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1F36C46D" w:rsidR="00B60939" w:rsidRPr="004A6040" w:rsidRDefault="00207D5F" w:rsidP="00DD34BF">
      <w:pPr>
        <w:pStyle w:val="COMH1-non-numbered"/>
        <w:ind w:left="851" w:hanging="851"/>
      </w:pPr>
      <w:bookmarkStart w:id="0" w:name="_Toc135227601"/>
      <w:r>
        <w:t>7.07</w:t>
      </w:r>
      <w:r w:rsidR="00163F66">
        <w:tab/>
      </w:r>
      <w:r w:rsidR="00142FF5">
        <w:t>TAFAMIDIS</w:t>
      </w:r>
      <w:r w:rsidR="00163F66">
        <w:t>,</w:t>
      </w:r>
      <w:r w:rsidR="00163F66">
        <w:br/>
      </w:r>
      <w:r w:rsidR="007147E1">
        <w:t>Capsule 61 mg</w:t>
      </w:r>
      <w:r w:rsidR="00163F66">
        <w:t>,</w:t>
      </w:r>
      <w:r w:rsidR="00163F66">
        <w:br/>
      </w:r>
      <w:r w:rsidR="00284DFC" w:rsidRPr="005100A3">
        <w:t>Vyndamax</w:t>
      </w:r>
      <w:r w:rsidR="00284DFC" w:rsidRPr="004A6040">
        <w:rPr>
          <w:vertAlign w:val="superscript"/>
        </w:rPr>
        <w:t>®</w:t>
      </w:r>
      <w:r w:rsidR="004A6040" w:rsidRPr="004A6040">
        <w:t>,</w:t>
      </w:r>
      <w:r w:rsidR="004A6040" w:rsidRPr="004A6040">
        <w:br/>
      </w:r>
      <w:r w:rsidR="009407FC">
        <w:t>Pfizer Australia Pty Ltd</w:t>
      </w:r>
      <w:r w:rsidR="00B60939" w:rsidRPr="004A6040">
        <w:t>.</w:t>
      </w:r>
      <w:bookmarkEnd w:id="0"/>
      <w:r w:rsidR="00F73E08">
        <w:t xml:space="preserve"> </w:t>
      </w:r>
    </w:p>
    <w:p w14:paraId="11C00795" w14:textId="2BBB24F7" w:rsidR="00B50DB8" w:rsidRPr="00407F2D" w:rsidRDefault="00B50DB8" w:rsidP="004A6040">
      <w:pPr>
        <w:pStyle w:val="COMH1numbered"/>
      </w:pPr>
      <w:bookmarkStart w:id="1" w:name="_Toc135227603"/>
      <w:r w:rsidRPr="00407F2D">
        <w:t xml:space="preserve">Purpose of </w:t>
      </w:r>
      <w:r w:rsidR="00CD7193">
        <w:t>s</w:t>
      </w:r>
      <w:r w:rsidR="00BB3A45">
        <w:t>ubmission</w:t>
      </w:r>
      <w:bookmarkEnd w:id="1"/>
    </w:p>
    <w:p w14:paraId="19414AA1" w14:textId="75C93C38" w:rsidR="002C2775" w:rsidRPr="008B1757" w:rsidRDefault="007170DA" w:rsidP="004E18E9">
      <w:pPr>
        <w:pStyle w:val="COMexecsumnumberedpara"/>
      </w:pPr>
      <w:r>
        <w:t>Th</w:t>
      </w:r>
      <w:r w:rsidR="00F70547">
        <w:t>e</w:t>
      </w:r>
      <w:r>
        <w:t xml:space="preserve"> </w:t>
      </w:r>
      <w:r w:rsidR="00B431A1">
        <w:t xml:space="preserve">Standard Re-entry </w:t>
      </w:r>
      <w:r>
        <w:t xml:space="preserve">submission </w:t>
      </w:r>
      <w:r w:rsidRPr="004E18E9">
        <w:t xml:space="preserve">requested </w:t>
      </w:r>
      <w:r w:rsidR="001B7A4F">
        <w:t>an</w:t>
      </w:r>
      <w:r w:rsidR="008B1757" w:rsidRPr="004E18E9">
        <w:t xml:space="preserve"> Authority Required</w:t>
      </w:r>
      <w:r w:rsidR="001B7A4F">
        <w:t xml:space="preserve"> </w:t>
      </w:r>
      <w:r w:rsidR="008B1757" w:rsidRPr="004E18E9">
        <w:t xml:space="preserve">listing for </w:t>
      </w:r>
      <w:r w:rsidR="001B7A4F">
        <w:t>tafamidis</w:t>
      </w:r>
      <w:r w:rsidR="008B1757" w:rsidRPr="004E18E9">
        <w:t xml:space="preserve"> for </w:t>
      </w:r>
      <w:r w:rsidR="0050174E" w:rsidRPr="004E18E9">
        <w:t xml:space="preserve">the </w:t>
      </w:r>
      <w:r w:rsidR="008B1757" w:rsidRPr="004E18E9">
        <w:t xml:space="preserve">treatment of </w:t>
      </w:r>
      <w:r w:rsidR="001B7A4F">
        <w:t>t</w:t>
      </w:r>
      <w:r w:rsidR="001B7A4F" w:rsidRPr="001B7A4F">
        <w:t xml:space="preserve">ransthyretin amyloid cardiomyopathy </w:t>
      </w:r>
      <w:r w:rsidR="00FE307A">
        <w:t>(ATTR-CM) in patients with NYHA class I-II heart failure</w:t>
      </w:r>
      <w:r w:rsidR="00226BD7">
        <w:t xml:space="preserve"> and </w:t>
      </w:r>
      <w:r w:rsidR="00226BD7" w:rsidRPr="009D09A6">
        <w:rPr>
          <w:rFonts w:cs="Calibri"/>
          <w:szCs w:val="20"/>
        </w:rPr>
        <w:t>an end-diastolic interventricular septal wall thickness of at least 12 mm</w:t>
      </w:r>
      <w:r w:rsidR="008B1757" w:rsidRPr="00C527C7">
        <w:t>.</w:t>
      </w:r>
      <w:r w:rsidR="008B1757" w:rsidRPr="00C527C7">
        <w:rPr>
          <w:color w:val="0066FF"/>
        </w:rPr>
        <w:t xml:space="preserve"> </w:t>
      </w:r>
      <w:r w:rsidR="001965EA" w:rsidRPr="009B6CFF">
        <w:t xml:space="preserve">The PBAC </w:t>
      </w:r>
      <w:r w:rsidR="00A523D0">
        <w:t xml:space="preserve">has </w:t>
      </w:r>
      <w:r w:rsidR="001965EA" w:rsidRPr="009B6CFF">
        <w:t xml:space="preserve">previously considered tafamidis for ATTR-CM at </w:t>
      </w:r>
      <w:r w:rsidR="00F70547">
        <w:t>its</w:t>
      </w:r>
      <w:r w:rsidR="00F70547" w:rsidRPr="009B6CFF">
        <w:t xml:space="preserve"> </w:t>
      </w:r>
      <w:r w:rsidR="001965EA" w:rsidRPr="009B6CFF">
        <w:t>July 2020</w:t>
      </w:r>
      <w:r w:rsidR="003E5747">
        <w:t>,</w:t>
      </w:r>
      <w:r w:rsidR="001965EA">
        <w:t xml:space="preserve"> March 2021 and September 2021 meeting</w:t>
      </w:r>
      <w:r w:rsidR="00F70547">
        <w:t>s</w:t>
      </w:r>
      <w:r w:rsidR="001965EA" w:rsidRPr="009B6CFF">
        <w:t>.</w:t>
      </w:r>
    </w:p>
    <w:p w14:paraId="4E9FBCB5" w14:textId="08B2977A" w:rsidR="00C2778B" w:rsidRDefault="00A523D0" w:rsidP="004E18E9">
      <w:pPr>
        <w:pStyle w:val="COMexecsumnumberedpara"/>
      </w:pPr>
      <w:r w:rsidRPr="0061435E">
        <w:t xml:space="preserve">Listing was requested on the basis of a cost-effectiveness analysis versus </w:t>
      </w:r>
      <w:r>
        <w:t>standard management of ATTR-CM</w:t>
      </w:r>
      <w:r w:rsidR="005750C5">
        <w:t>.</w:t>
      </w:r>
      <w:r w:rsidR="000E7765">
        <w:rPr>
          <w:color w:val="0066FF"/>
        </w:rPr>
        <w:t xml:space="preserve"> </w:t>
      </w:r>
    </w:p>
    <w:p w14:paraId="3718DE61" w14:textId="6CE74BB5" w:rsidR="008B1757" w:rsidRDefault="00696EF9" w:rsidP="004A6040">
      <w:pPr>
        <w:pStyle w:val="COMtablefigcaption"/>
      </w:pPr>
      <w:r>
        <w:t xml:space="preserve">Table </w:t>
      </w:r>
      <w:fldSimple w:instr=" SEQ Table \* ARABIC " w:fldLock="1">
        <w:r w:rsidR="0015761E">
          <w:rPr>
            <w:noProof/>
          </w:rPr>
          <w:t>1</w:t>
        </w:r>
      </w:fldSimple>
      <w:r>
        <w:t>:</w:t>
      </w:r>
      <w:r w:rsidR="00BC591F" w:rsidRPr="003C2DE2">
        <w:t xml:space="preserve"> </w:t>
      </w:r>
      <w:r w:rsidR="008B1757" w:rsidRPr="003C2DE2">
        <w:t>Key components of the clinical issue addressed by the submission</w:t>
      </w:r>
      <w:r w:rsidR="007170DA" w:rsidRPr="003C2DE2">
        <w:t xml:space="preserve">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68"/>
        <w:gridCol w:w="7488"/>
      </w:tblGrid>
      <w:tr w:rsidR="0013158E" w:rsidRPr="00A518F3" w14:paraId="0C8A0A4A" w14:textId="77777777" w:rsidTr="00FC47A0">
        <w:tc>
          <w:tcPr>
            <w:tcW w:w="1668" w:type="dxa"/>
            <w:vAlign w:val="center"/>
          </w:tcPr>
          <w:p w14:paraId="0D1D4F52" w14:textId="77777777" w:rsidR="0013158E" w:rsidRPr="00A518F3" w:rsidRDefault="0013158E" w:rsidP="00FC47A0">
            <w:pPr>
              <w:pStyle w:val="COMTableheadingrow"/>
            </w:pPr>
            <w:r w:rsidRPr="00A518F3">
              <w:t>Component</w:t>
            </w:r>
          </w:p>
        </w:tc>
        <w:tc>
          <w:tcPr>
            <w:tcW w:w="7488" w:type="dxa"/>
            <w:vAlign w:val="center"/>
          </w:tcPr>
          <w:p w14:paraId="3878C77E" w14:textId="77777777" w:rsidR="0013158E" w:rsidRPr="00A518F3" w:rsidRDefault="0013158E" w:rsidP="00FC47A0">
            <w:pPr>
              <w:pStyle w:val="COMTableheadingrow"/>
            </w:pPr>
            <w:r w:rsidRPr="00A518F3">
              <w:t>Description</w:t>
            </w:r>
          </w:p>
        </w:tc>
      </w:tr>
      <w:tr w:rsidR="0013158E" w14:paraId="5B0C5E9A" w14:textId="77777777" w:rsidTr="00FC47A0">
        <w:tc>
          <w:tcPr>
            <w:tcW w:w="1668" w:type="dxa"/>
            <w:vAlign w:val="center"/>
          </w:tcPr>
          <w:p w14:paraId="26B9605F" w14:textId="77777777" w:rsidR="0013158E" w:rsidRDefault="0013158E" w:rsidP="00FC47A0">
            <w:pPr>
              <w:pStyle w:val="COMTabletext"/>
            </w:pPr>
            <w:r>
              <w:t>Population</w:t>
            </w:r>
          </w:p>
        </w:tc>
        <w:tc>
          <w:tcPr>
            <w:tcW w:w="7488" w:type="dxa"/>
            <w:vAlign w:val="center"/>
          </w:tcPr>
          <w:p w14:paraId="30B2EBCA" w14:textId="77777777" w:rsidR="0013158E" w:rsidRDefault="0013158E" w:rsidP="00FC47A0">
            <w:pPr>
              <w:pStyle w:val="COMTabletext"/>
            </w:pPr>
            <w:r w:rsidRPr="00C066EE">
              <w:t xml:space="preserve">Wild-type or variant transthyretin cardiac amyloidosis in patients with NYHA class I-II. </w:t>
            </w:r>
            <w:r w:rsidRPr="00A523D0">
              <w:rPr>
                <w:u w:val="single"/>
              </w:rPr>
              <w:t>Patients who transition to NYHA class III (confirmed by a further assessment after 3-6 months) or NYHA class IV, are to be discontinued</w:t>
            </w:r>
            <w:r>
              <w:t>.</w:t>
            </w:r>
          </w:p>
        </w:tc>
      </w:tr>
      <w:tr w:rsidR="0013158E" w14:paraId="25370526" w14:textId="77777777" w:rsidTr="00FC47A0">
        <w:tc>
          <w:tcPr>
            <w:tcW w:w="1668" w:type="dxa"/>
            <w:vAlign w:val="center"/>
          </w:tcPr>
          <w:p w14:paraId="049618F5" w14:textId="77777777" w:rsidR="0013158E" w:rsidRDefault="0013158E" w:rsidP="00FC47A0">
            <w:pPr>
              <w:pStyle w:val="COMTabletext"/>
            </w:pPr>
            <w:r>
              <w:t>Intervention</w:t>
            </w:r>
          </w:p>
        </w:tc>
        <w:tc>
          <w:tcPr>
            <w:tcW w:w="7488" w:type="dxa"/>
            <w:vAlign w:val="center"/>
          </w:tcPr>
          <w:p w14:paraId="0D482EC5" w14:textId="77777777" w:rsidR="0013158E" w:rsidRDefault="0013158E" w:rsidP="00FC47A0">
            <w:pPr>
              <w:pStyle w:val="COMTabletext"/>
            </w:pPr>
            <w:r w:rsidRPr="00945EF5">
              <w:t>Tafamidis 61 mg capsules taken once daily (bioequivalent to tafamidis meglumine 80 mg)</w:t>
            </w:r>
          </w:p>
        </w:tc>
      </w:tr>
      <w:tr w:rsidR="0013158E" w14:paraId="5201EAA1" w14:textId="77777777" w:rsidTr="00FC47A0">
        <w:tc>
          <w:tcPr>
            <w:tcW w:w="1668" w:type="dxa"/>
            <w:vAlign w:val="center"/>
          </w:tcPr>
          <w:p w14:paraId="4ACD4484" w14:textId="77777777" w:rsidR="0013158E" w:rsidRDefault="0013158E" w:rsidP="00FC47A0">
            <w:pPr>
              <w:pStyle w:val="COMTabletext"/>
            </w:pPr>
            <w:r>
              <w:t>Comparator</w:t>
            </w:r>
          </w:p>
        </w:tc>
        <w:tc>
          <w:tcPr>
            <w:tcW w:w="7488" w:type="dxa"/>
            <w:vAlign w:val="center"/>
          </w:tcPr>
          <w:p w14:paraId="3FCA6142" w14:textId="77777777" w:rsidR="0013158E" w:rsidRDefault="0013158E" w:rsidP="00FC47A0">
            <w:pPr>
              <w:pStyle w:val="COMTabletext"/>
            </w:pPr>
            <w:r w:rsidRPr="00527BFB">
              <w:t xml:space="preserve">Standard </w:t>
            </w:r>
            <w:r>
              <w:t xml:space="preserve">ATTR-CM </w:t>
            </w:r>
            <w:r w:rsidRPr="00527BFB">
              <w:t>management (e.g. diuretics and anti-arrhythmics)</w:t>
            </w:r>
          </w:p>
        </w:tc>
      </w:tr>
      <w:tr w:rsidR="0013158E" w14:paraId="3A09BDE3" w14:textId="77777777" w:rsidTr="00FC47A0">
        <w:tc>
          <w:tcPr>
            <w:tcW w:w="1668" w:type="dxa"/>
            <w:vAlign w:val="center"/>
          </w:tcPr>
          <w:p w14:paraId="2E931189" w14:textId="77777777" w:rsidR="0013158E" w:rsidRDefault="0013158E" w:rsidP="00FC47A0">
            <w:pPr>
              <w:pStyle w:val="COMTabletext"/>
            </w:pPr>
            <w:r>
              <w:t>Outcomes</w:t>
            </w:r>
          </w:p>
        </w:tc>
        <w:tc>
          <w:tcPr>
            <w:tcW w:w="7488" w:type="dxa"/>
            <w:vAlign w:val="center"/>
          </w:tcPr>
          <w:p w14:paraId="5B146F96" w14:textId="77777777" w:rsidR="0013158E" w:rsidRDefault="0013158E" w:rsidP="00FC47A0">
            <w:pPr>
              <w:pStyle w:val="COMTabletext"/>
            </w:pPr>
            <w:r>
              <w:t>All-cause mortality, frequency of cardiovascular-related hospitalisations, change in the distance walked during 6MWT, change in quality of life scores (KCCQ – OS, EQ-5D-3L), cardiovascular-related mortality, TTR stabilisation at Month 1.</w:t>
            </w:r>
          </w:p>
        </w:tc>
      </w:tr>
      <w:tr w:rsidR="0013158E" w14:paraId="4AE1354B" w14:textId="77777777" w:rsidTr="00FC47A0">
        <w:tc>
          <w:tcPr>
            <w:tcW w:w="1668" w:type="dxa"/>
            <w:vAlign w:val="center"/>
          </w:tcPr>
          <w:p w14:paraId="22C672A0" w14:textId="77777777" w:rsidR="0013158E" w:rsidRDefault="0013158E" w:rsidP="00FC47A0">
            <w:pPr>
              <w:pStyle w:val="COMTabletext"/>
            </w:pPr>
            <w:r>
              <w:t>Clinical claim</w:t>
            </w:r>
          </w:p>
        </w:tc>
        <w:tc>
          <w:tcPr>
            <w:tcW w:w="7488" w:type="dxa"/>
            <w:vAlign w:val="center"/>
          </w:tcPr>
          <w:p w14:paraId="322830B4" w14:textId="77777777" w:rsidR="0013158E" w:rsidRDefault="0013158E" w:rsidP="00FC47A0">
            <w:pPr>
              <w:pStyle w:val="COMTabletext"/>
            </w:pPr>
            <w:r w:rsidRPr="00C6684D">
              <w:t xml:space="preserve">Tafamidis has superior efficacy and </w:t>
            </w:r>
            <w:r w:rsidRPr="003B77E9">
              <w:t>inferior</w:t>
            </w:r>
            <w:r w:rsidRPr="00C6684D">
              <w:t xml:space="preserve"> safety </w:t>
            </w:r>
            <w:r>
              <w:t xml:space="preserve">compared </w:t>
            </w:r>
            <w:r w:rsidRPr="00C6684D">
              <w:t xml:space="preserve">to standard </w:t>
            </w:r>
            <w:r>
              <w:t xml:space="preserve">ATTR-CM </w:t>
            </w:r>
            <w:r w:rsidRPr="00C6684D">
              <w:t>management</w:t>
            </w:r>
            <w:r>
              <w:t>.</w:t>
            </w:r>
          </w:p>
        </w:tc>
      </w:tr>
    </w:tbl>
    <w:p w14:paraId="3CC65829" w14:textId="75835D13" w:rsidR="0013158E" w:rsidRDefault="0013158E" w:rsidP="0013158E">
      <w:pPr>
        <w:pStyle w:val="COMTablefooter"/>
      </w:pPr>
      <w:r>
        <w:t xml:space="preserve">Source: Table 1.1.1, </w:t>
      </w:r>
      <w:r w:rsidR="00886855">
        <w:t>p</w:t>
      </w:r>
      <w:r>
        <w:t xml:space="preserve">4 of the resubmission; Section 2.8, </w:t>
      </w:r>
      <w:r w:rsidR="006D3E57">
        <w:t>p</w:t>
      </w:r>
      <w:r>
        <w:t>212 of the resubmission.</w:t>
      </w:r>
      <w:r w:rsidR="003B77E9">
        <w:t xml:space="preserve"> </w:t>
      </w:r>
      <w:r w:rsidR="003B77E9" w:rsidRPr="007F2002">
        <w:rPr>
          <w:u w:val="single"/>
        </w:rPr>
        <w:t xml:space="preserve">Changes </w:t>
      </w:r>
      <w:r w:rsidR="00BE34DC">
        <w:rPr>
          <w:u w:val="single"/>
        </w:rPr>
        <w:t xml:space="preserve">from the March 2021 submission </w:t>
      </w:r>
      <w:r w:rsidR="003B77E9" w:rsidRPr="007F2002">
        <w:rPr>
          <w:u w:val="single"/>
        </w:rPr>
        <w:t>underlined.</w:t>
      </w:r>
    </w:p>
    <w:p w14:paraId="2030F589" w14:textId="4B930827" w:rsidR="0013158E" w:rsidRPr="00AC74DB" w:rsidRDefault="0013158E" w:rsidP="0013158E">
      <w:pPr>
        <w:pStyle w:val="COMTablefooter"/>
      </w:pPr>
      <w:r>
        <w:t xml:space="preserve">Abbreviations: </w:t>
      </w:r>
      <w:r w:rsidRPr="00D86211">
        <w:rPr>
          <w:szCs w:val="18"/>
        </w:rPr>
        <w:t>6MWT, six-minute walk test;</w:t>
      </w:r>
      <w:r>
        <w:rPr>
          <w:szCs w:val="18"/>
        </w:rPr>
        <w:t xml:space="preserve"> </w:t>
      </w:r>
      <w:r w:rsidRPr="00D86211">
        <w:rPr>
          <w:szCs w:val="18"/>
        </w:rPr>
        <w:t>ATTR-CM, ca</w:t>
      </w:r>
      <w:r>
        <w:rPr>
          <w:szCs w:val="18"/>
        </w:rPr>
        <w:t xml:space="preserve">rdiac transthyretin amyloidosis; </w:t>
      </w:r>
      <w:r w:rsidRPr="00C30613">
        <w:t xml:space="preserve">KCCQ, Kansas City Cardiomyopathy Questionnaire; </w:t>
      </w:r>
      <w:r w:rsidRPr="00D86211">
        <w:rPr>
          <w:szCs w:val="18"/>
        </w:rPr>
        <w:t>NYHA, New York Heart Association;</w:t>
      </w:r>
      <w:r>
        <w:rPr>
          <w:szCs w:val="18"/>
        </w:rPr>
        <w:t xml:space="preserve"> TTR, transthyretin.</w:t>
      </w:r>
    </w:p>
    <w:p w14:paraId="6B4AB6C2" w14:textId="7F01D731" w:rsidR="005C25FF" w:rsidRPr="00407F2D" w:rsidRDefault="005C25FF" w:rsidP="004A6040">
      <w:pPr>
        <w:pStyle w:val="COMH1numbered"/>
      </w:pPr>
      <w:bookmarkStart w:id="2" w:name="_Toc135227604"/>
      <w:r w:rsidRPr="00407F2D">
        <w:t>Background</w:t>
      </w:r>
      <w:bookmarkEnd w:id="2"/>
    </w:p>
    <w:p w14:paraId="2C521D6D" w14:textId="78CF03EE" w:rsidR="005C25FF" w:rsidRPr="004151CF" w:rsidRDefault="005C25FF" w:rsidP="004A6040">
      <w:pPr>
        <w:pStyle w:val="COMH2-non-numbered"/>
      </w:pPr>
      <w:bookmarkStart w:id="3" w:name="_Toc22897638"/>
      <w:bookmarkStart w:id="4" w:name="_Toc134118703"/>
      <w:bookmarkStart w:id="5" w:name="_Toc135227605"/>
      <w:r w:rsidRPr="004151CF">
        <w:t>Registration status</w:t>
      </w:r>
      <w:bookmarkEnd w:id="3"/>
      <w:bookmarkEnd w:id="4"/>
      <w:bookmarkEnd w:id="5"/>
    </w:p>
    <w:p w14:paraId="7C48A96F" w14:textId="342174AF" w:rsidR="001918A3" w:rsidRDefault="001918A3" w:rsidP="001918A3">
      <w:pPr>
        <w:pStyle w:val="ExecSumBodyText"/>
        <w:numPr>
          <w:ilvl w:val="1"/>
          <w:numId w:val="1"/>
        </w:numPr>
      </w:pPr>
      <w:r>
        <w:t xml:space="preserve">Tafamidis 61 mg and tafamidis </w:t>
      </w:r>
      <w:r w:rsidRPr="00BD1B50">
        <w:t>meglumine</w:t>
      </w:r>
      <w:r>
        <w:t xml:space="preserve"> 20 mg were registered by the TGA for </w:t>
      </w:r>
      <w:r w:rsidR="00595E38">
        <w:t>‘</w:t>
      </w:r>
      <w:r>
        <w:t>the treatment of adult patients with wild-type or hereditary transthyretin amyloid cardiomyopathy (ATTR-CM)</w:t>
      </w:r>
      <w:r w:rsidR="00595E38">
        <w:t>’</w:t>
      </w:r>
      <w:r>
        <w:t xml:space="preserve"> on 16 March 2020.</w:t>
      </w:r>
    </w:p>
    <w:p w14:paraId="0A98F699" w14:textId="79EF7CD8" w:rsidR="001918A3" w:rsidRDefault="001918A3" w:rsidP="001918A3">
      <w:pPr>
        <w:pStyle w:val="ExecSumBodyText"/>
        <w:numPr>
          <w:ilvl w:val="1"/>
          <w:numId w:val="1"/>
        </w:numPr>
      </w:pPr>
      <w:r>
        <w:t xml:space="preserve">Tafamidis 61 mg is considered bioequivalent to the tafamidis </w:t>
      </w:r>
      <w:r w:rsidRPr="00BD1B50">
        <w:t>meglumine</w:t>
      </w:r>
      <w:r>
        <w:t xml:space="preserve"> 80</w:t>
      </w:r>
      <w:r w:rsidR="00DD34BF">
        <w:t> </w:t>
      </w:r>
      <w:r>
        <w:t>mg formulation (</w:t>
      </w:r>
      <w:r w:rsidRPr="001530F3">
        <w:t>four 20 mg capsules)</w:t>
      </w:r>
      <w:r>
        <w:t xml:space="preserve">, used in the key clinical trial (TGA </w:t>
      </w:r>
      <w:r w:rsidRPr="00544116">
        <w:t>Clinical Evaluation Report</w:t>
      </w:r>
      <w:r>
        <w:t>: Round 2).</w:t>
      </w:r>
    </w:p>
    <w:p w14:paraId="5687ECCD" w14:textId="09E2D127" w:rsidR="00CF3A1B" w:rsidRPr="00A523D0" w:rsidRDefault="00A523D0" w:rsidP="001918A3">
      <w:pPr>
        <w:pStyle w:val="COMexecsumnumberedpara"/>
      </w:pPr>
      <w:r w:rsidRPr="00656AA8">
        <w:t xml:space="preserve">The </w:t>
      </w:r>
      <w:r>
        <w:t>Advisory Committee on Medicines (</w:t>
      </w:r>
      <w:r w:rsidRPr="00656AA8">
        <w:t>ACM</w:t>
      </w:r>
      <w:r>
        <w:t>)</w:t>
      </w:r>
      <w:r w:rsidRPr="00656AA8">
        <w:t xml:space="preserve"> advised that ideally, tafamidis would be administered to patients prior to reaching</w:t>
      </w:r>
      <w:r>
        <w:t xml:space="preserve"> New York Heart Association (NYHA)</w:t>
      </w:r>
      <w:r w:rsidRPr="00656AA8">
        <w:t xml:space="preserve"> </w:t>
      </w:r>
      <w:r>
        <w:t>class</w:t>
      </w:r>
      <w:r w:rsidRPr="00656AA8">
        <w:t xml:space="preserve"> III ATTR-CM, as the major efficacy benefits </w:t>
      </w:r>
      <w:r>
        <w:t xml:space="preserve">of tafamidis </w:t>
      </w:r>
      <w:r w:rsidRPr="00656AA8">
        <w:t xml:space="preserve">were demonstrated in </w:t>
      </w:r>
      <w:r>
        <w:t xml:space="preserve">NYHA </w:t>
      </w:r>
      <w:r>
        <w:lastRenderedPageBreak/>
        <w:t>class</w:t>
      </w:r>
      <w:r w:rsidRPr="00656AA8">
        <w:t xml:space="preserve">es I and II. However, the ACM considered the efficacy of tafamidis in </w:t>
      </w:r>
      <w:r>
        <w:t>NYHA class</w:t>
      </w:r>
      <w:r w:rsidRPr="00656AA8">
        <w:t xml:space="preserve"> III to be acceptable</w:t>
      </w:r>
      <w:r>
        <w:t xml:space="preserve"> (Resolution of the Advisory Committee on Medicines, Meeting 19)</w:t>
      </w:r>
      <w:r w:rsidR="001918A3" w:rsidRPr="00A523D0">
        <w:t>.</w:t>
      </w:r>
      <w:r w:rsidR="005C25FF" w:rsidRPr="00A523D0">
        <w:t xml:space="preserve"> </w:t>
      </w:r>
    </w:p>
    <w:p w14:paraId="3E2A6EAB" w14:textId="469C8C0C" w:rsidR="005C25FF" w:rsidRPr="00621ADA" w:rsidRDefault="005C25FF" w:rsidP="004E18E9">
      <w:pPr>
        <w:pStyle w:val="COMH2-non-numbered"/>
      </w:pPr>
      <w:bookmarkStart w:id="6" w:name="_Toc22897639"/>
      <w:bookmarkStart w:id="7" w:name="_Toc134118704"/>
      <w:bookmarkStart w:id="8" w:name="_Toc135227606"/>
      <w:r w:rsidRPr="00621ADA">
        <w:t>Previous PBAC consideration</w:t>
      </w:r>
      <w:bookmarkEnd w:id="6"/>
      <w:bookmarkEnd w:id="7"/>
      <w:bookmarkEnd w:id="8"/>
    </w:p>
    <w:p w14:paraId="1BD16B1B" w14:textId="4CAAF911" w:rsidR="00C8133B" w:rsidRDefault="00C8133B" w:rsidP="00C8133B">
      <w:pPr>
        <w:pStyle w:val="COMexecsumnumberedpara"/>
      </w:pPr>
      <w:r>
        <w:t>A</w:t>
      </w:r>
      <w:r w:rsidRPr="00C8133B">
        <w:t xml:space="preserve">n Early Resolution submission </w:t>
      </w:r>
      <w:r>
        <w:t>was considered by the PBAC at the September</w:t>
      </w:r>
      <w:r w:rsidR="00DD34BF">
        <w:t> </w:t>
      </w:r>
      <w:r w:rsidRPr="00C8133B">
        <w:t>2021</w:t>
      </w:r>
      <w:r>
        <w:t xml:space="preserve"> PBAC meeting.</w:t>
      </w:r>
      <w:r w:rsidRPr="00C8133B">
        <w:t xml:space="preserve"> </w:t>
      </w:r>
      <w:r w:rsidR="007373E4">
        <w:t>However, tafamidis was not</w:t>
      </w:r>
      <w:r w:rsidRPr="00C8133B">
        <w:t xml:space="preserve"> recommend</w:t>
      </w:r>
      <w:r w:rsidR="007373E4">
        <w:t xml:space="preserve">ed </w:t>
      </w:r>
      <w:r w:rsidRPr="00C8133B">
        <w:t>for the treatment of patients with ATTR-CM</w:t>
      </w:r>
      <w:r w:rsidR="007373E4">
        <w:t xml:space="preserve"> as </w:t>
      </w:r>
      <w:r w:rsidRPr="00C8133B">
        <w:t xml:space="preserve">changes made in the resubmission did not sufficiently address the Committee’s previous advice and did not meet the criteria for </w:t>
      </w:r>
      <w:r w:rsidR="007373E4">
        <w:t>e</w:t>
      </w:r>
      <w:r w:rsidRPr="00C8133B">
        <w:t xml:space="preserve">arly </w:t>
      </w:r>
      <w:r w:rsidR="007373E4">
        <w:t>r</w:t>
      </w:r>
      <w:r w:rsidRPr="00C8133B">
        <w:t xml:space="preserve">esolution </w:t>
      </w:r>
      <w:r w:rsidR="007373E4">
        <w:t xml:space="preserve">(i.e. required </w:t>
      </w:r>
      <w:r w:rsidRPr="00C8133B">
        <w:t>evaluation</w:t>
      </w:r>
      <w:r w:rsidR="007373E4">
        <w:t>)</w:t>
      </w:r>
      <w:r w:rsidRPr="00C8133B">
        <w:t xml:space="preserve">. </w:t>
      </w:r>
    </w:p>
    <w:p w14:paraId="3AC4C76E" w14:textId="560A3973" w:rsidR="005C25FF" w:rsidRPr="00C8133B" w:rsidRDefault="00A147ED" w:rsidP="00C8133B">
      <w:pPr>
        <w:pStyle w:val="COMexecsumnumberedpara"/>
      </w:pPr>
      <w:r>
        <w:fldChar w:fldCharType="begin" w:fldLock="1"/>
      </w:r>
      <w:r>
        <w:instrText xml:space="preserve"> REF _Ref133227311 \h </w:instrText>
      </w:r>
      <w:r>
        <w:fldChar w:fldCharType="separate"/>
      </w:r>
      <w:r w:rsidRPr="007A058D">
        <w:t xml:space="preserve">Table </w:t>
      </w:r>
      <w:r>
        <w:rPr>
          <w:noProof/>
        </w:rPr>
        <w:t>2</w:t>
      </w:r>
      <w:r>
        <w:fldChar w:fldCharType="end"/>
      </w:r>
      <w:r w:rsidR="00376EA7" w:rsidRPr="00C8133B">
        <w:t xml:space="preserve"> summarises the key matters of concern from the September 2021 early resolution resubmission.</w:t>
      </w:r>
    </w:p>
    <w:p w14:paraId="2A23A49F" w14:textId="238E74F8" w:rsidR="005C25FF" w:rsidRDefault="00696EF9" w:rsidP="00EC37B6">
      <w:pPr>
        <w:pStyle w:val="COMtablefigcaption"/>
      </w:pPr>
      <w:bookmarkStart w:id="9" w:name="_Ref133227311"/>
      <w:r w:rsidRPr="007A058D">
        <w:t xml:space="preserve">Table </w:t>
      </w:r>
      <w:fldSimple w:instr=" SEQ Table \* ARABIC " w:fldLock="1">
        <w:r w:rsidR="0015761E">
          <w:rPr>
            <w:noProof/>
          </w:rPr>
          <w:t>2</w:t>
        </w:r>
      </w:fldSimple>
      <w:bookmarkEnd w:id="9"/>
      <w:r w:rsidRPr="007A058D">
        <w:t>:</w:t>
      </w:r>
      <w:r w:rsidR="005C25FF" w:rsidRPr="007A058D">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Summary of key matters of concern"/>
      </w:tblPr>
      <w:tblGrid>
        <w:gridCol w:w="4815"/>
        <w:gridCol w:w="4202"/>
      </w:tblGrid>
      <w:tr w:rsidR="00A523D0" w:rsidRPr="0061435E" w14:paraId="38F4C118" w14:textId="77777777" w:rsidTr="004631A4">
        <w:trPr>
          <w:tblHeader/>
        </w:trPr>
        <w:tc>
          <w:tcPr>
            <w:tcW w:w="2670" w:type="pct"/>
            <w:vAlign w:val="center"/>
          </w:tcPr>
          <w:p w14:paraId="4D61C84C" w14:textId="77777777" w:rsidR="00A523D0" w:rsidRPr="0061435E" w:rsidRDefault="00A523D0" w:rsidP="004631A4">
            <w:pPr>
              <w:pStyle w:val="COMTabletext"/>
              <w:keepNext w:val="0"/>
              <w:rPr>
                <w:b/>
                <w:bCs w:val="0"/>
              </w:rPr>
            </w:pPr>
            <w:r w:rsidRPr="0061435E">
              <w:rPr>
                <w:b/>
                <w:bCs w:val="0"/>
              </w:rPr>
              <w:t>Matter of concern</w:t>
            </w:r>
          </w:p>
        </w:tc>
        <w:tc>
          <w:tcPr>
            <w:tcW w:w="2330" w:type="pct"/>
            <w:vAlign w:val="center"/>
          </w:tcPr>
          <w:p w14:paraId="3B4DF675" w14:textId="77777777" w:rsidR="00A523D0" w:rsidRPr="0061435E" w:rsidRDefault="00A523D0" w:rsidP="004631A4">
            <w:pPr>
              <w:pStyle w:val="COMTabletext"/>
              <w:keepNext w:val="0"/>
              <w:jc w:val="center"/>
              <w:rPr>
                <w:rFonts w:eastAsia="Times New Roman" w:cs="Arial"/>
                <w:b/>
                <w:bCs w:val="0"/>
                <w:snapToGrid w:val="0"/>
                <w:szCs w:val="20"/>
              </w:rPr>
            </w:pPr>
            <w:r w:rsidRPr="0061435E">
              <w:rPr>
                <w:rFonts w:eastAsia="Times New Roman" w:cs="Arial"/>
                <w:b/>
                <w:bCs w:val="0"/>
                <w:snapToGrid w:val="0"/>
                <w:szCs w:val="20"/>
              </w:rPr>
              <w:t>Addressed in the resubmission</w:t>
            </w:r>
          </w:p>
        </w:tc>
      </w:tr>
      <w:tr w:rsidR="00A523D0" w:rsidRPr="0061435E" w14:paraId="4868ACE0" w14:textId="77777777" w:rsidTr="004631A4">
        <w:tc>
          <w:tcPr>
            <w:tcW w:w="5000" w:type="pct"/>
            <w:gridSpan w:val="2"/>
            <w:vAlign w:val="center"/>
          </w:tcPr>
          <w:p w14:paraId="20A08059" w14:textId="77777777" w:rsidR="00A523D0" w:rsidRPr="0061435E" w:rsidRDefault="00A523D0" w:rsidP="004631A4">
            <w:pPr>
              <w:pStyle w:val="COMTabletext"/>
              <w:keepNext w:val="0"/>
              <w:rPr>
                <w:rFonts w:eastAsia="Times New Roman" w:cs="Arial"/>
                <w:bCs w:val="0"/>
                <w:snapToGrid w:val="0"/>
                <w:color w:val="0066FF"/>
                <w:szCs w:val="20"/>
              </w:rPr>
            </w:pPr>
            <w:r w:rsidRPr="0061435E">
              <w:rPr>
                <w:b/>
                <w:bCs w:val="0"/>
              </w:rPr>
              <w:t>Economic evaluation</w:t>
            </w:r>
          </w:p>
        </w:tc>
      </w:tr>
      <w:tr w:rsidR="00A523D0" w:rsidRPr="0061435E" w14:paraId="0554659A" w14:textId="77777777" w:rsidTr="004631A4">
        <w:tc>
          <w:tcPr>
            <w:tcW w:w="2670" w:type="pct"/>
          </w:tcPr>
          <w:p w14:paraId="72BCDF58" w14:textId="423D0972" w:rsidR="00A523D0" w:rsidRPr="0061435E" w:rsidRDefault="00A523D0" w:rsidP="004631A4">
            <w:pPr>
              <w:pStyle w:val="COMTabletext"/>
              <w:keepNext w:val="0"/>
              <w:spacing w:after="120"/>
            </w:pPr>
            <w:r w:rsidRPr="0061435E">
              <w:t xml:space="preserve">In March 2021 the PBAC considered the outstanding economic issues may be addressed in a simple resubmission if the following changes were made, without any additional amendments to the economic evaluation: an ICER of </w:t>
            </w:r>
            <w:r w:rsidRPr="005E431C">
              <w:t>$80,000</w:t>
            </w:r>
            <w:r w:rsidRPr="0061435E">
              <w:t>/QALY gained for the model, applying the 2 sensitivity analyses in the pre-PBAC response (allowing for increasing mortality over time, and a reduced treatment effect for tafamidis on mortality to account for treatment-related discontinuation), and correcting for errors in the calculation of acute disease costs and disease management costs, and the inappropriate use of MBS benefit rather than MBS fee as per the evaluation (para 9.1).</w:t>
            </w:r>
          </w:p>
          <w:p w14:paraId="52D1283B" w14:textId="29076FFC" w:rsidR="00A523D0" w:rsidRPr="0061435E" w:rsidRDefault="00A523D0" w:rsidP="004631A4">
            <w:pPr>
              <w:pStyle w:val="COMTabletext"/>
              <w:keepNext w:val="0"/>
              <w:spacing w:after="120"/>
            </w:pPr>
            <w:r w:rsidRPr="0061435E">
              <w:t>The PBAC considered that the changes made in the September 2021 resubmission did not sufficiently address the Committee’s previous advice regarding the requirements of a simple resubmission. In particular, the PBAC considered that the ICER stated in the resubmission ($</w:t>
            </w:r>
            <w:r w:rsidR="00B474C2" w:rsidRPr="002C3508">
              <w:rPr>
                <w:color w:val="000000"/>
                <w:spacing w:val="48"/>
                <w:shd w:val="solid" w:color="000000" w:fill="000000"/>
                <w:fitText w:val="318" w:id="-1168367360"/>
                <w14:textFill>
                  <w14:solidFill>
                    <w14:srgbClr w14:val="000000">
                      <w14:alpha w14:val="100000"/>
                    </w14:srgbClr>
                  </w14:solidFill>
                </w14:textFill>
              </w:rPr>
              <w:t>|||</w:t>
            </w:r>
            <w:r w:rsidR="00B474C2" w:rsidRPr="002C3508">
              <w:rPr>
                <w:color w:val="000000"/>
                <w:spacing w:val="2"/>
                <w:shd w:val="solid" w:color="000000" w:fill="000000"/>
                <w:fitText w:val="318" w:id="-1168367360"/>
                <w14:textFill>
                  <w14:solidFill>
                    <w14:srgbClr w14:val="000000">
                      <w14:alpha w14:val="100000"/>
                    </w14:srgbClr>
                  </w14:solidFill>
                </w14:textFill>
              </w:rPr>
              <w:t>|</w:t>
            </w:r>
            <w:r w:rsidR="005A54A1">
              <w:rPr>
                <w:vertAlign w:val="superscript"/>
              </w:rPr>
              <w:t>1</w:t>
            </w:r>
            <w:r w:rsidRPr="0061435E">
              <w:t xml:space="preserve">/QALY gained) was significantly higher than the ICER requested </w:t>
            </w:r>
            <w:r w:rsidRPr="005E431C">
              <w:t>($80,000/</w:t>
            </w:r>
            <w:r w:rsidRPr="0061435E">
              <w:t>QALY gained) and noted that it relied on tafamidis being discontinued in patients with persistent class III heart failure (para 10.1). This change was not requested by the PBAC and resulted in significant changes to the economic model (para 9.3).</w:t>
            </w:r>
          </w:p>
          <w:p w14:paraId="3D01439D" w14:textId="0256A8E3" w:rsidR="00A523D0" w:rsidRPr="0061435E" w:rsidRDefault="00A523D0" w:rsidP="004631A4">
            <w:pPr>
              <w:pStyle w:val="COMTabletext"/>
              <w:keepNext w:val="0"/>
            </w:pPr>
            <w:r w:rsidRPr="0061435E">
              <w:t xml:space="preserve">At the September 2021 meeting, the PBAC reiterated that a resubmission for tafamidis should address the following issues which remain outstanding from the March 2021 </w:t>
            </w:r>
            <w:r w:rsidR="003D028B">
              <w:t>PSD</w:t>
            </w:r>
            <w:r w:rsidRPr="0061435E">
              <w:t xml:space="preserve">: An ICER </w:t>
            </w:r>
            <w:r w:rsidRPr="005E431C">
              <w:t>of $80,000/</w:t>
            </w:r>
            <w:r w:rsidRPr="0061435E">
              <w:t>QALY gained for the model applying the two sensitivity analyses in the pre-PBAC response (para 10.4).</w:t>
            </w:r>
          </w:p>
        </w:tc>
        <w:tc>
          <w:tcPr>
            <w:tcW w:w="2330" w:type="pct"/>
          </w:tcPr>
          <w:p w14:paraId="748BB240" w14:textId="77777777" w:rsidR="00A523D0" w:rsidRPr="0061435E" w:rsidRDefault="00A523D0" w:rsidP="004631A4">
            <w:pPr>
              <w:pStyle w:val="COMTabletext"/>
              <w:keepNext w:val="0"/>
              <w:spacing w:after="120"/>
              <w:rPr>
                <w:rFonts w:eastAsia="Times New Roman" w:cs="Arial"/>
                <w:bCs w:val="0"/>
                <w:snapToGrid w:val="0"/>
                <w:szCs w:val="20"/>
              </w:rPr>
            </w:pPr>
            <w:r w:rsidRPr="0061435E">
              <w:rPr>
                <w:rFonts w:eastAsia="Times New Roman" w:cs="Arial"/>
                <w:bCs w:val="0"/>
                <w:snapToGrid w:val="0"/>
                <w:szCs w:val="20"/>
              </w:rPr>
              <w:t>The economic analysis presented in the current resubmission is largely unchanged from the September 2021 model.</w:t>
            </w:r>
          </w:p>
          <w:p w14:paraId="2E4247BF" w14:textId="0EBE7DF2" w:rsidR="00A523D0" w:rsidRPr="0061435E" w:rsidRDefault="00A523D0" w:rsidP="004631A4">
            <w:pPr>
              <w:pStyle w:val="COMTabletext"/>
              <w:keepNext w:val="0"/>
              <w:spacing w:after="120"/>
              <w:rPr>
                <w:rFonts w:eastAsia="Times New Roman" w:cs="Arial"/>
                <w:bCs w:val="0"/>
                <w:snapToGrid w:val="0"/>
                <w:szCs w:val="20"/>
              </w:rPr>
            </w:pPr>
            <w:r w:rsidRPr="0061435E">
              <w:rPr>
                <w:rFonts w:eastAsia="Times New Roman" w:cs="Arial"/>
                <w:bCs w:val="0"/>
                <w:snapToGrid w:val="0"/>
                <w:szCs w:val="20"/>
              </w:rPr>
              <w:t>The model correct</w:t>
            </w:r>
            <w:r w:rsidR="001A2F79">
              <w:rPr>
                <w:rFonts w:eastAsia="Times New Roman" w:cs="Arial"/>
                <w:bCs w:val="0"/>
                <w:snapToGrid w:val="0"/>
                <w:szCs w:val="20"/>
              </w:rPr>
              <w:t>ed</w:t>
            </w:r>
            <w:r w:rsidRPr="0061435E">
              <w:rPr>
                <w:rFonts w:eastAsia="Times New Roman" w:cs="Arial"/>
                <w:bCs w:val="0"/>
                <w:snapToGrid w:val="0"/>
                <w:szCs w:val="20"/>
              </w:rPr>
              <w:t xml:space="preserve"> the errors in costs identified in the March 2021 evaluation and incorporate</w:t>
            </w:r>
            <w:r w:rsidR="001A2F79">
              <w:rPr>
                <w:rFonts w:eastAsia="Times New Roman" w:cs="Arial"/>
                <w:bCs w:val="0"/>
                <w:snapToGrid w:val="0"/>
                <w:szCs w:val="20"/>
              </w:rPr>
              <w:t>d</w:t>
            </w:r>
            <w:r w:rsidRPr="0061435E">
              <w:rPr>
                <w:rFonts w:eastAsia="Times New Roman" w:cs="Arial"/>
                <w:bCs w:val="0"/>
                <w:snapToGrid w:val="0"/>
                <w:szCs w:val="20"/>
              </w:rPr>
              <w:t xml:space="preserve"> the changes that were presented in the 2 sensitivity analyses presented in the March 2021 pre-PBAC response.</w:t>
            </w:r>
          </w:p>
          <w:p w14:paraId="3FC74606" w14:textId="3BC732B6" w:rsidR="00A523D0" w:rsidRPr="0061435E" w:rsidRDefault="00A523D0" w:rsidP="004631A4">
            <w:pPr>
              <w:pStyle w:val="COMTabletext"/>
              <w:keepNext w:val="0"/>
              <w:spacing w:after="120"/>
              <w:rPr>
                <w:rFonts w:eastAsia="Times New Roman" w:cs="Arial"/>
                <w:bCs w:val="0"/>
                <w:snapToGrid w:val="0"/>
                <w:szCs w:val="20"/>
              </w:rPr>
            </w:pPr>
            <w:r w:rsidRPr="0061435E">
              <w:rPr>
                <w:rFonts w:eastAsia="Times New Roman" w:cs="Arial"/>
                <w:bCs w:val="0"/>
                <w:snapToGrid w:val="0"/>
                <w:szCs w:val="20"/>
              </w:rPr>
              <w:t>However, the model also incorporate</w:t>
            </w:r>
            <w:r w:rsidR="001A2F79">
              <w:rPr>
                <w:rFonts w:eastAsia="Times New Roman" w:cs="Arial"/>
                <w:bCs w:val="0"/>
                <w:snapToGrid w:val="0"/>
                <w:szCs w:val="20"/>
              </w:rPr>
              <w:t>d</w:t>
            </w:r>
            <w:r w:rsidRPr="0061435E">
              <w:rPr>
                <w:rFonts w:eastAsia="Times New Roman" w:cs="Arial"/>
                <w:bCs w:val="0"/>
                <w:snapToGrid w:val="0"/>
                <w:szCs w:val="20"/>
              </w:rPr>
              <w:t xml:space="preserve"> discontinuation of patients with persistent NYHA class III heart failure, which was not requested by the PBAC, and which the PBAC considered would be difficult to implement in practice.</w:t>
            </w:r>
          </w:p>
          <w:p w14:paraId="5AD633A3" w14:textId="5C906DDA" w:rsidR="00A523D0" w:rsidRPr="0061435E" w:rsidRDefault="00A523D0" w:rsidP="004631A4">
            <w:pPr>
              <w:pStyle w:val="COMTabletext"/>
              <w:keepNext w:val="0"/>
              <w:spacing w:after="120"/>
              <w:rPr>
                <w:rFonts w:eastAsia="Times New Roman" w:cs="Arial"/>
                <w:bCs w:val="0"/>
                <w:snapToGrid w:val="0"/>
                <w:szCs w:val="20"/>
              </w:rPr>
            </w:pPr>
            <w:r w:rsidRPr="0061435E">
              <w:rPr>
                <w:rFonts w:eastAsia="Times New Roman" w:cs="Arial"/>
                <w:bCs w:val="0"/>
                <w:snapToGrid w:val="0"/>
                <w:szCs w:val="20"/>
              </w:rPr>
              <w:t xml:space="preserve">An error in the </w:t>
            </w:r>
            <w:r w:rsidR="00155663">
              <w:rPr>
                <w:rFonts w:eastAsia="Times New Roman" w:cs="Arial"/>
                <w:bCs w:val="0"/>
                <w:snapToGrid w:val="0"/>
                <w:szCs w:val="20"/>
              </w:rPr>
              <w:t>application</w:t>
            </w:r>
            <w:r w:rsidR="00155663" w:rsidRPr="0061435E">
              <w:rPr>
                <w:rFonts w:eastAsia="Times New Roman" w:cs="Arial"/>
                <w:bCs w:val="0"/>
                <w:snapToGrid w:val="0"/>
                <w:szCs w:val="20"/>
              </w:rPr>
              <w:t xml:space="preserve"> </w:t>
            </w:r>
            <w:r w:rsidRPr="0061435E">
              <w:rPr>
                <w:rFonts w:eastAsia="Times New Roman" w:cs="Arial"/>
                <w:bCs w:val="0"/>
                <w:snapToGrid w:val="0"/>
                <w:szCs w:val="20"/>
              </w:rPr>
              <w:t>of this change increased the ICER to $</w:t>
            </w:r>
            <w:r w:rsidR="00B474C2" w:rsidRPr="002C3508">
              <w:rPr>
                <w:rFonts w:eastAsia="Times New Roman" w:cs="Arial"/>
                <w:bCs w:val="0"/>
                <w:snapToGrid w:val="0"/>
                <w:color w:val="000000"/>
                <w:spacing w:val="54"/>
                <w:szCs w:val="20"/>
                <w:shd w:val="solid" w:color="000000" w:fill="000000"/>
                <w:fitText w:val="335" w:id="-1168367359"/>
                <w14:textFill>
                  <w14:solidFill>
                    <w14:srgbClr w14:val="000000">
                      <w14:alpha w14:val="100000"/>
                    </w14:srgbClr>
                  </w14:solidFill>
                </w14:textFill>
              </w:rPr>
              <w:t>|||</w:t>
            </w:r>
            <w:r w:rsidR="00B474C2" w:rsidRPr="002C3508">
              <w:rPr>
                <w:rFonts w:eastAsia="Times New Roman" w:cs="Arial"/>
                <w:bCs w:val="0"/>
                <w:snapToGrid w:val="0"/>
                <w:color w:val="000000"/>
                <w:spacing w:val="1"/>
                <w:szCs w:val="20"/>
                <w:shd w:val="solid" w:color="000000" w:fill="000000"/>
                <w:fitText w:val="335" w:id="-1168367359"/>
                <w14:textFill>
                  <w14:solidFill>
                    <w14:srgbClr w14:val="000000">
                      <w14:alpha w14:val="100000"/>
                    </w14:srgbClr>
                  </w14:solidFill>
                </w14:textFill>
              </w:rPr>
              <w:t>|</w:t>
            </w:r>
            <w:r w:rsidR="005A54A1">
              <w:rPr>
                <w:rFonts w:eastAsia="Times New Roman" w:cs="Arial"/>
                <w:bCs w:val="0"/>
                <w:snapToGrid w:val="0"/>
                <w:szCs w:val="20"/>
                <w:vertAlign w:val="superscript"/>
              </w:rPr>
              <w:t>1</w:t>
            </w:r>
            <w:r w:rsidRPr="0061435E">
              <w:rPr>
                <w:rFonts w:eastAsia="Times New Roman" w:cs="Arial"/>
                <w:bCs w:val="0"/>
                <w:snapToGrid w:val="0"/>
                <w:szCs w:val="20"/>
              </w:rPr>
              <w:t xml:space="preserve"> per QALY gained (compared to the resubmission’s base case of $</w:t>
            </w:r>
            <w:r w:rsidR="00B474C2" w:rsidRPr="002C3508">
              <w:rPr>
                <w:rFonts w:eastAsia="Times New Roman" w:cs="Arial"/>
                <w:bCs w:val="0"/>
                <w:snapToGrid w:val="0"/>
                <w:color w:val="000000"/>
                <w:spacing w:val="48"/>
                <w:szCs w:val="20"/>
                <w:shd w:val="solid" w:color="000000" w:fill="000000"/>
                <w:fitText w:val="318" w:id="-1168367358"/>
                <w14:textFill>
                  <w14:solidFill>
                    <w14:srgbClr w14:val="000000">
                      <w14:alpha w14:val="100000"/>
                    </w14:srgbClr>
                  </w14:solidFill>
                </w14:textFill>
              </w:rPr>
              <w:t>|||</w:t>
            </w:r>
            <w:r w:rsidR="00B474C2" w:rsidRPr="002C3508">
              <w:rPr>
                <w:rFonts w:eastAsia="Times New Roman" w:cs="Arial"/>
                <w:bCs w:val="0"/>
                <w:snapToGrid w:val="0"/>
                <w:color w:val="000000"/>
                <w:spacing w:val="2"/>
                <w:szCs w:val="20"/>
                <w:shd w:val="solid" w:color="000000" w:fill="000000"/>
                <w:fitText w:val="318" w:id="-1168367358"/>
                <w14:textFill>
                  <w14:solidFill>
                    <w14:srgbClr w14:val="000000">
                      <w14:alpha w14:val="100000"/>
                    </w14:srgbClr>
                  </w14:solidFill>
                </w14:textFill>
              </w:rPr>
              <w:t>|</w:t>
            </w:r>
            <w:r w:rsidR="005A54A1">
              <w:rPr>
                <w:rFonts w:eastAsia="Times New Roman" w:cs="Arial"/>
                <w:bCs w:val="0"/>
                <w:snapToGrid w:val="0"/>
                <w:szCs w:val="20"/>
                <w:vertAlign w:val="superscript"/>
              </w:rPr>
              <w:t>2</w:t>
            </w:r>
            <w:r w:rsidRPr="0061435E">
              <w:rPr>
                <w:rFonts w:eastAsia="Times New Roman" w:cs="Arial"/>
                <w:bCs w:val="0"/>
                <w:snapToGrid w:val="0"/>
                <w:szCs w:val="20"/>
              </w:rPr>
              <w:t xml:space="preserve"> per QALY gained).</w:t>
            </w:r>
          </w:p>
          <w:p w14:paraId="6687DDC9" w14:textId="4332639B" w:rsidR="00A523D0" w:rsidRPr="0061435E" w:rsidRDefault="00A523D0" w:rsidP="004631A4">
            <w:pPr>
              <w:pStyle w:val="COMTabletext"/>
              <w:keepNext w:val="0"/>
              <w:rPr>
                <w:rFonts w:eastAsia="Times New Roman" w:cs="Arial"/>
                <w:bCs w:val="0"/>
                <w:snapToGrid w:val="0"/>
                <w:color w:val="0066FF"/>
                <w:szCs w:val="20"/>
              </w:rPr>
            </w:pPr>
            <w:r w:rsidRPr="0061435E">
              <w:t xml:space="preserve">The resubmission stated that the sponsor is unable to meet </w:t>
            </w:r>
            <w:r w:rsidRPr="005E431C">
              <w:t>the $80,000 ICER</w:t>
            </w:r>
            <w:r w:rsidRPr="0061435E">
              <w:t>, but reductions in the published and effective prices for tafamidis were proposed in the resubmission (an effective DPMQ of $</w:t>
            </w:r>
            <w:r w:rsidR="00B474C2" w:rsidRPr="002C3508">
              <w:rPr>
                <w:color w:val="000000"/>
                <w:spacing w:val="54"/>
                <w:shd w:val="solid" w:color="000000" w:fill="000000"/>
                <w:fitText w:val="335" w:id="-1168367357"/>
                <w14:textFill>
                  <w14:solidFill>
                    <w14:srgbClr w14:val="000000">
                      <w14:alpha w14:val="100000"/>
                    </w14:srgbClr>
                  </w14:solidFill>
                </w14:textFill>
              </w:rPr>
              <w:t>|||</w:t>
            </w:r>
            <w:r w:rsidR="00B474C2" w:rsidRPr="002C3508">
              <w:rPr>
                <w:color w:val="000000"/>
                <w:spacing w:val="1"/>
                <w:shd w:val="solid" w:color="000000" w:fill="000000"/>
                <w:fitText w:val="335" w:id="-1168367357"/>
                <w14:textFill>
                  <w14:solidFill>
                    <w14:srgbClr w14:val="000000">
                      <w14:alpha w14:val="100000"/>
                    </w14:srgbClr>
                  </w14:solidFill>
                </w14:textFill>
              </w:rPr>
              <w:t>|</w:t>
            </w:r>
            <w:r w:rsidRPr="0061435E">
              <w:t xml:space="preserve"> for the first 3 years and $</w:t>
            </w:r>
            <w:r w:rsidR="00B474C2" w:rsidRPr="002C3508">
              <w:rPr>
                <w:color w:val="000000"/>
                <w:spacing w:val="48"/>
                <w:shd w:val="solid" w:color="000000" w:fill="000000"/>
                <w:fitText w:val="318" w:id="-1168367356"/>
                <w14:textFill>
                  <w14:solidFill>
                    <w14:srgbClr w14:val="000000">
                      <w14:alpha w14:val="100000"/>
                    </w14:srgbClr>
                  </w14:solidFill>
                </w14:textFill>
              </w:rPr>
              <w:t>|||</w:t>
            </w:r>
            <w:r w:rsidR="00B474C2" w:rsidRPr="002C3508">
              <w:rPr>
                <w:color w:val="000000"/>
                <w:spacing w:val="2"/>
                <w:shd w:val="solid" w:color="000000" w:fill="000000"/>
                <w:fitText w:val="318" w:id="-1168367356"/>
                <w14:textFill>
                  <w14:solidFill>
                    <w14:srgbClr w14:val="000000">
                      <w14:alpha w14:val="100000"/>
                    </w14:srgbClr>
                  </w14:solidFill>
                </w14:textFill>
              </w:rPr>
              <w:t>|</w:t>
            </w:r>
            <w:r w:rsidRPr="0061435E">
              <w:t xml:space="preserve"> for subsequent years; compared with $</w:t>
            </w:r>
            <w:r w:rsidR="00B474C2" w:rsidRPr="002C3508">
              <w:rPr>
                <w:color w:val="000000"/>
                <w:spacing w:val="54"/>
                <w:shd w:val="solid" w:color="000000" w:fill="000000"/>
                <w:fitText w:val="335" w:id="-1168367355"/>
                <w14:textFill>
                  <w14:solidFill>
                    <w14:srgbClr w14:val="000000">
                      <w14:alpha w14:val="100000"/>
                    </w14:srgbClr>
                  </w14:solidFill>
                </w14:textFill>
              </w:rPr>
              <w:t>|||</w:t>
            </w:r>
            <w:r w:rsidR="00B474C2" w:rsidRPr="002C3508">
              <w:rPr>
                <w:color w:val="000000"/>
                <w:spacing w:val="1"/>
                <w:shd w:val="solid" w:color="000000" w:fill="000000"/>
                <w:fitText w:val="335" w:id="-1168367355"/>
                <w14:textFill>
                  <w14:solidFill>
                    <w14:srgbClr w14:val="000000">
                      <w14:alpha w14:val="100000"/>
                    </w14:srgbClr>
                  </w14:solidFill>
                </w14:textFill>
              </w:rPr>
              <w:t>|</w:t>
            </w:r>
            <w:r w:rsidRPr="0061435E">
              <w:t xml:space="preserve"> for the first 3 years and $</w:t>
            </w:r>
            <w:r w:rsidR="00B474C2" w:rsidRPr="002C3508">
              <w:rPr>
                <w:color w:val="000000"/>
                <w:spacing w:val="54"/>
                <w:shd w:val="solid" w:color="000000" w:fill="000000"/>
                <w:fitText w:val="335" w:id="-1168367354"/>
                <w14:textFill>
                  <w14:solidFill>
                    <w14:srgbClr w14:val="000000">
                      <w14:alpha w14:val="100000"/>
                    </w14:srgbClr>
                  </w14:solidFill>
                </w14:textFill>
              </w:rPr>
              <w:t>|||</w:t>
            </w:r>
            <w:r w:rsidR="00B474C2" w:rsidRPr="002C3508">
              <w:rPr>
                <w:color w:val="000000"/>
                <w:spacing w:val="1"/>
                <w:shd w:val="solid" w:color="000000" w:fill="000000"/>
                <w:fitText w:val="335" w:id="-1168367354"/>
                <w14:textFill>
                  <w14:solidFill>
                    <w14:srgbClr w14:val="000000">
                      <w14:alpha w14:val="100000"/>
                    </w14:srgbClr>
                  </w14:solidFill>
                </w14:textFill>
              </w:rPr>
              <w:t>|</w:t>
            </w:r>
            <w:r w:rsidRPr="0061435E">
              <w:t xml:space="preserve"> for subsequent years in the September 2021 submission; $</w:t>
            </w:r>
            <w:r w:rsidR="00B474C2" w:rsidRPr="002C3508">
              <w:rPr>
                <w:color w:val="000000"/>
                <w:spacing w:val="54"/>
                <w:shd w:val="solid" w:color="000000" w:fill="000000"/>
                <w:fitText w:val="335" w:id="-1168367353"/>
                <w14:textFill>
                  <w14:solidFill>
                    <w14:srgbClr w14:val="000000">
                      <w14:alpha w14:val="100000"/>
                    </w14:srgbClr>
                  </w14:solidFill>
                </w14:textFill>
              </w:rPr>
              <w:t>|||</w:t>
            </w:r>
            <w:r w:rsidR="00B474C2" w:rsidRPr="002C3508">
              <w:rPr>
                <w:color w:val="000000"/>
                <w:spacing w:val="1"/>
                <w:shd w:val="solid" w:color="000000" w:fill="000000"/>
                <w:fitText w:val="335" w:id="-1168367353"/>
                <w14:textFill>
                  <w14:solidFill>
                    <w14:srgbClr w14:val="000000">
                      <w14:alpha w14:val="100000"/>
                    </w14:srgbClr>
                  </w14:solidFill>
                </w14:textFill>
              </w:rPr>
              <w:t>|</w:t>
            </w:r>
            <w:r w:rsidRPr="0061435E">
              <w:t xml:space="preserve"> in the March 2021 submission; and $</w:t>
            </w:r>
            <w:r w:rsidR="00B474C2" w:rsidRPr="002C3508">
              <w:rPr>
                <w:color w:val="000000"/>
                <w:spacing w:val="54"/>
                <w:shd w:val="solid" w:color="000000" w:fill="000000"/>
                <w:fitText w:val="335" w:id="-1168367352"/>
                <w14:textFill>
                  <w14:solidFill>
                    <w14:srgbClr w14:val="000000">
                      <w14:alpha w14:val="100000"/>
                    </w14:srgbClr>
                  </w14:solidFill>
                </w14:textFill>
              </w:rPr>
              <w:t>|||</w:t>
            </w:r>
            <w:r w:rsidR="00B474C2" w:rsidRPr="002C3508">
              <w:rPr>
                <w:color w:val="000000"/>
                <w:spacing w:val="1"/>
                <w:shd w:val="solid" w:color="000000" w:fill="000000"/>
                <w:fitText w:val="335" w:id="-1168367352"/>
                <w14:textFill>
                  <w14:solidFill>
                    <w14:srgbClr w14:val="000000">
                      <w14:alpha w14:val="100000"/>
                    </w14:srgbClr>
                  </w14:solidFill>
                </w14:textFill>
              </w:rPr>
              <w:t>|</w:t>
            </w:r>
            <w:r w:rsidRPr="0061435E">
              <w:t xml:space="preserve"> in the July 2020 submission).</w:t>
            </w:r>
          </w:p>
        </w:tc>
      </w:tr>
      <w:tr w:rsidR="00A523D0" w:rsidRPr="0061435E" w14:paraId="21F2FC75" w14:textId="77777777" w:rsidTr="004631A4">
        <w:tc>
          <w:tcPr>
            <w:tcW w:w="5000" w:type="pct"/>
            <w:gridSpan w:val="2"/>
            <w:vAlign w:val="center"/>
          </w:tcPr>
          <w:p w14:paraId="11CA88E9" w14:textId="77777777" w:rsidR="00A523D0" w:rsidRPr="0061435E" w:rsidRDefault="00A523D0" w:rsidP="004631A4">
            <w:pPr>
              <w:pStyle w:val="COMTabletext"/>
              <w:keepNext w:val="0"/>
              <w:rPr>
                <w:rFonts w:eastAsia="Times New Roman" w:cs="Arial"/>
                <w:bCs w:val="0"/>
                <w:snapToGrid w:val="0"/>
                <w:color w:val="0066FF"/>
                <w:szCs w:val="20"/>
              </w:rPr>
            </w:pPr>
            <w:r w:rsidRPr="0061435E">
              <w:rPr>
                <w:b/>
                <w:bCs w:val="0"/>
              </w:rPr>
              <w:t>Utilisation and financial impact of listing</w:t>
            </w:r>
          </w:p>
        </w:tc>
      </w:tr>
      <w:tr w:rsidR="00A523D0" w:rsidRPr="0061435E" w14:paraId="7ED68887" w14:textId="77777777" w:rsidTr="004631A4">
        <w:tc>
          <w:tcPr>
            <w:tcW w:w="2670" w:type="pct"/>
            <w:vAlign w:val="center"/>
          </w:tcPr>
          <w:p w14:paraId="01CBD59F" w14:textId="77777777" w:rsidR="00A523D0" w:rsidRDefault="00A523D0" w:rsidP="004631A4">
            <w:pPr>
              <w:pStyle w:val="COMTabletext"/>
              <w:keepNext w:val="0"/>
              <w:spacing w:after="120"/>
              <w:rPr>
                <w:lang w:eastAsia="en-US"/>
              </w:rPr>
            </w:pPr>
            <w:r w:rsidRPr="0061435E">
              <w:t>The</w:t>
            </w:r>
            <w:r w:rsidRPr="0061435E">
              <w:rPr>
                <w:lang w:eastAsia="en-US"/>
              </w:rPr>
              <w:t xml:space="preserve"> PBAC considered that the resubmission’s proposal for tafamidis to be discontinued in patients with persistent class III heart failure may be difficult to implement in practice given the subjective nature of NYHA classification and would likely result in use outside the restriction (para 10.2). </w:t>
            </w:r>
          </w:p>
          <w:p w14:paraId="03CEE252" w14:textId="77777777" w:rsidR="00A523D0" w:rsidRDefault="00A523D0" w:rsidP="004631A4">
            <w:pPr>
              <w:pStyle w:val="COMTabletext"/>
              <w:keepNext w:val="0"/>
              <w:spacing w:after="120"/>
            </w:pPr>
            <w:r>
              <w:t>Notwithstanding this</w:t>
            </w:r>
            <w:r w:rsidRPr="00EA3F77">
              <w:t>,</w:t>
            </w:r>
            <w:r>
              <w:t xml:space="preserve"> the PBAC considered that this patient population </w:t>
            </w:r>
            <w:r w:rsidRPr="00EA3F77">
              <w:t xml:space="preserve">(i.e. patient numbers derived </w:t>
            </w:r>
            <w:r>
              <w:t xml:space="preserve">based on patients with NYHA class I, II and non-persistent class III </w:t>
            </w:r>
            <w:r w:rsidRPr="00EA3F77">
              <w:t xml:space="preserve">heart failure) </w:t>
            </w:r>
            <w:r>
              <w:t xml:space="preserve">may form a reasonable </w:t>
            </w:r>
            <w:r w:rsidRPr="00EA3F77">
              <w:t>bas</w:t>
            </w:r>
            <w:r>
              <w:t>is for</w:t>
            </w:r>
            <w:r w:rsidRPr="00EA3F77">
              <w:t xml:space="preserve"> </w:t>
            </w:r>
            <w:r>
              <w:t>the risk sharing arrangement (</w:t>
            </w:r>
            <w:r w:rsidRPr="00EA3F77">
              <w:t>RSA</w:t>
            </w:r>
            <w:r>
              <w:t>)</w:t>
            </w:r>
            <w:r w:rsidRPr="00EA3F77">
              <w:t xml:space="preserve"> expenditure</w:t>
            </w:r>
            <w:r>
              <w:t xml:space="preserve"> caps, given the Committee previously considered that the efficacy was </w:t>
            </w:r>
            <w:r w:rsidRPr="00EA3F77">
              <w:t xml:space="preserve">uncertain in patients with NYHA class III heart failure </w:t>
            </w:r>
            <w:r>
              <w:t>(para 7.7, T</w:t>
            </w:r>
            <w:r w:rsidRPr="00EA3F77">
              <w:t xml:space="preserve">afamidis </w:t>
            </w:r>
            <w:r>
              <w:t>PSD</w:t>
            </w:r>
            <w:r w:rsidRPr="00EA3F77">
              <w:t>, March 2021 PBAC meeting)</w:t>
            </w:r>
            <w:r>
              <w:t xml:space="preserve"> (para 10.3)</w:t>
            </w:r>
            <w:r w:rsidRPr="00EA3F77">
              <w:t xml:space="preserve">. </w:t>
            </w:r>
          </w:p>
          <w:p w14:paraId="32CD280D" w14:textId="77777777" w:rsidR="00A523D0" w:rsidRDefault="00A523D0" w:rsidP="004631A4">
            <w:pPr>
              <w:pStyle w:val="COMTabletext"/>
              <w:keepNext w:val="0"/>
              <w:spacing w:after="120"/>
            </w:pPr>
            <w:r>
              <w:rPr>
                <w:lang w:eastAsia="en-US"/>
              </w:rPr>
              <w:t xml:space="preserve">The PBAC considered that the total financial expenditure remained high and the proposed RSA, with expenditure </w:t>
            </w:r>
            <w:r w:rsidRPr="004619D4">
              <w:rPr>
                <w:lang w:eastAsia="en-US"/>
              </w:rPr>
              <w:t>caps higher than the resubmission’s e</w:t>
            </w:r>
            <w:r>
              <w:rPr>
                <w:lang w:eastAsia="en-US"/>
              </w:rPr>
              <w:t xml:space="preserve">stimated financial expenditure, would not adequately </w:t>
            </w:r>
            <w:r>
              <w:t>manage the risk associated with use in a broader population in which cost-effectiveness is unknown (para 10.1).</w:t>
            </w:r>
          </w:p>
          <w:p w14:paraId="03865767" w14:textId="77777777" w:rsidR="00A523D0" w:rsidRPr="0061435E" w:rsidRDefault="00A523D0" w:rsidP="004631A4">
            <w:pPr>
              <w:pStyle w:val="COMTabletext"/>
              <w:keepNext w:val="0"/>
            </w:pPr>
            <w:r>
              <w:t>T</w:t>
            </w:r>
            <w:r w:rsidRPr="0061435E">
              <w:t xml:space="preserve">he PBAC reiterated that a resubmission for tafamidis should address the following issues which remain outstanding from the March 2021 </w:t>
            </w:r>
            <w:r>
              <w:t>PSD: o</w:t>
            </w:r>
            <w:r w:rsidRPr="000A724D">
              <w:t>utline an RSA to provide more certainty with respect to the total cost, and to manage the risk associated with use in a broader population in which cost-effectiveness is unknown</w:t>
            </w:r>
            <w:r>
              <w:t xml:space="preserve"> (para 10.4).</w:t>
            </w:r>
          </w:p>
        </w:tc>
        <w:tc>
          <w:tcPr>
            <w:tcW w:w="2330" w:type="pct"/>
          </w:tcPr>
          <w:p w14:paraId="4C55908A" w14:textId="205C33D1" w:rsidR="00886855" w:rsidRDefault="00886855" w:rsidP="004631A4">
            <w:pPr>
              <w:pStyle w:val="COMTabletext"/>
              <w:keepNext w:val="0"/>
            </w:pPr>
            <w:r>
              <w:t xml:space="preserve">The resubmission proposed </w:t>
            </w:r>
            <w:r w:rsidR="00355BFA">
              <w:t xml:space="preserve">a </w:t>
            </w:r>
            <w:r>
              <w:t xml:space="preserve">special </w:t>
            </w:r>
            <w:r w:rsidR="00355BFA">
              <w:t xml:space="preserve">pricing </w:t>
            </w:r>
            <w:r>
              <w:t>arrangement (see above).</w:t>
            </w:r>
          </w:p>
          <w:p w14:paraId="0FA0A690" w14:textId="4B36D297" w:rsidR="00886855" w:rsidRDefault="00886855" w:rsidP="004631A4">
            <w:pPr>
              <w:pStyle w:val="COMTabletext"/>
              <w:keepNext w:val="0"/>
            </w:pPr>
          </w:p>
          <w:p w14:paraId="1139C24D" w14:textId="6558E4C6" w:rsidR="00886855" w:rsidRDefault="00886855" w:rsidP="004631A4">
            <w:pPr>
              <w:pStyle w:val="COMTabletext"/>
              <w:keepNext w:val="0"/>
            </w:pPr>
            <w:r>
              <w:t>The resubmission assumed that patients progressing from NYHA class I-II heart failure will be identified in the Australian setting, and estimated the utilisation and cost of tafamidis use in the narrower eligible Australian excluding patients with persistent NYHA class III or NYHA class IV heart failure. The resubmission used the proportions of transitions between NYHA classes observed in the ATTR-ACT trial at 6 month intervals to estimate transitions in the Australian setting</w:t>
            </w:r>
            <w:r w:rsidR="00B970CC">
              <w:t>.</w:t>
            </w:r>
          </w:p>
          <w:p w14:paraId="7B2A5A27" w14:textId="77777777" w:rsidR="00886855" w:rsidRDefault="00886855" w:rsidP="004631A4">
            <w:pPr>
              <w:pStyle w:val="COMTabletext"/>
              <w:keepNext w:val="0"/>
            </w:pPr>
          </w:p>
          <w:p w14:paraId="53D3C918" w14:textId="6EA6A122" w:rsidR="00A523D0" w:rsidRPr="00886855" w:rsidRDefault="00886855" w:rsidP="004631A4">
            <w:pPr>
              <w:pStyle w:val="COMTabletext"/>
              <w:keepNext w:val="0"/>
            </w:pPr>
            <w:r>
              <w:t xml:space="preserve">In addition, the </w:t>
            </w:r>
            <w:r w:rsidRPr="00886855">
              <w:t xml:space="preserve">resubmission proposed a risk </w:t>
            </w:r>
            <w:r w:rsidR="00924A39" w:rsidRPr="00886855">
              <w:t>shar</w:t>
            </w:r>
            <w:r w:rsidR="00924A39">
              <w:t>ing</w:t>
            </w:r>
            <w:r w:rsidR="00924A39" w:rsidRPr="00886855">
              <w:t xml:space="preserve"> </w:t>
            </w:r>
            <w:r w:rsidRPr="00886855">
              <w:t>arrangement</w:t>
            </w:r>
            <w:r>
              <w:t xml:space="preserve"> to address the uncertainty, </w:t>
            </w:r>
            <w:r>
              <w:rPr>
                <w:lang w:val="en-US"/>
              </w:rPr>
              <w:t>with caps set at</w:t>
            </w:r>
            <w:r w:rsidRPr="00646C78">
              <w:rPr>
                <w:lang w:val="en-US"/>
              </w:rPr>
              <w:t xml:space="preserve"> 100% of estimated expenditure </w:t>
            </w:r>
            <w:r w:rsidR="00C6093C">
              <w:rPr>
                <w:lang w:val="en-US"/>
              </w:rPr>
              <w:t xml:space="preserve">with </w:t>
            </w:r>
            <w:r w:rsidR="00B474C2" w:rsidRPr="002C3508">
              <w:rPr>
                <w:color w:val="000000"/>
                <w:spacing w:val="54"/>
                <w:shd w:val="solid" w:color="000000" w:fill="000000"/>
                <w:fitText w:val="335" w:id="-1168367351"/>
                <w:lang w:val="en-US"/>
                <w14:textFill>
                  <w14:solidFill>
                    <w14:srgbClr w14:val="000000">
                      <w14:alpha w14:val="100000"/>
                    </w14:srgbClr>
                  </w14:solidFill>
                </w14:textFill>
              </w:rPr>
              <w:t>|||</w:t>
            </w:r>
            <w:r w:rsidR="00B474C2" w:rsidRPr="002C3508">
              <w:rPr>
                <w:color w:val="000000"/>
                <w:spacing w:val="1"/>
                <w:shd w:val="solid" w:color="000000" w:fill="000000"/>
                <w:fitText w:val="335" w:id="-1168367351"/>
                <w:lang w:val="en-US"/>
                <w14:textFill>
                  <w14:solidFill>
                    <w14:srgbClr w14:val="000000">
                      <w14:alpha w14:val="100000"/>
                    </w14:srgbClr>
                  </w14:solidFill>
                </w14:textFill>
              </w:rPr>
              <w:t>|</w:t>
            </w:r>
            <w:r w:rsidR="00C6093C">
              <w:rPr>
                <w:lang w:val="en-US"/>
              </w:rPr>
              <w:t xml:space="preserve">% rebate </w:t>
            </w:r>
            <w:r w:rsidRPr="00646C78">
              <w:rPr>
                <w:lang w:val="en-US"/>
              </w:rPr>
              <w:t>in Years 1-3 of listing and at 105% of estimated expenditure</w:t>
            </w:r>
            <w:r w:rsidR="00433212">
              <w:rPr>
                <w:lang w:val="en-US"/>
              </w:rPr>
              <w:t xml:space="preserve"> with a </w:t>
            </w:r>
            <w:r w:rsidR="00B474C2" w:rsidRPr="002C3508">
              <w:rPr>
                <w:color w:val="000000"/>
                <w:spacing w:val="48"/>
                <w:shd w:val="solid" w:color="000000" w:fill="000000"/>
                <w:fitText w:val="318" w:id="-1168367350"/>
                <w:lang w:val="en-US"/>
                <w14:textFill>
                  <w14:solidFill>
                    <w14:srgbClr w14:val="000000">
                      <w14:alpha w14:val="100000"/>
                    </w14:srgbClr>
                  </w14:solidFill>
                </w14:textFill>
              </w:rPr>
              <w:t>|||</w:t>
            </w:r>
            <w:r w:rsidR="00B474C2" w:rsidRPr="002C3508">
              <w:rPr>
                <w:color w:val="000000"/>
                <w:spacing w:val="2"/>
                <w:shd w:val="solid" w:color="000000" w:fill="000000"/>
                <w:fitText w:val="318" w:id="-1168367350"/>
                <w:lang w:val="en-US"/>
                <w14:textFill>
                  <w14:solidFill>
                    <w14:srgbClr w14:val="000000">
                      <w14:alpha w14:val="100000"/>
                    </w14:srgbClr>
                  </w14:solidFill>
                </w14:textFill>
              </w:rPr>
              <w:t>|</w:t>
            </w:r>
            <w:r w:rsidR="00433212">
              <w:rPr>
                <w:lang w:val="en-US"/>
              </w:rPr>
              <w:t>% rebate</w:t>
            </w:r>
            <w:r w:rsidRPr="00646C78">
              <w:rPr>
                <w:lang w:val="en-US"/>
              </w:rPr>
              <w:t xml:space="preserve"> in Years 4-6 of listing</w:t>
            </w:r>
            <w:r>
              <w:rPr>
                <w:lang w:val="en-US"/>
              </w:rPr>
              <w:t>.</w:t>
            </w:r>
          </w:p>
        </w:tc>
      </w:tr>
    </w:tbl>
    <w:p w14:paraId="07408D4C" w14:textId="5245F44F" w:rsidR="00A523D0" w:rsidRPr="0061435E" w:rsidRDefault="00A523D0" w:rsidP="00A9171C">
      <w:pPr>
        <w:pStyle w:val="COMTablefooter"/>
        <w:spacing w:after="0"/>
      </w:pPr>
      <w:r w:rsidRPr="0061435E">
        <w:t>Source: Tafamidis PSD</w:t>
      </w:r>
      <w:r>
        <w:t xml:space="preserve"> and PBAC </w:t>
      </w:r>
      <w:r w:rsidR="003D028B">
        <w:t>PSD</w:t>
      </w:r>
      <w:r w:rsidRPr="0061435E">
        <w:t>, March 2021 PBAC meeting with September 2021 Addendum; and Overview, p</w:t>
      </w:r>
      <w:r w:rsidR="00886855">
        <w:t>p</w:t>
      </w:r>
      <w:r w:rsidRPr="0061435E">
        <w:t xml:space="preserve">xv-xix of the resubmission. </w:t>
      </w:r>
    </w:p>
    <w:p w14:paraId="6AEC1B61" w14:textId="08AEC6FA" w:rsidR="00A9171C" w:rsidRDefault="00A523D0" w:rsidP="004B37B4">
      <w:pPr>
        <w:pStyle w:val="TableFigureFooter"/>
        <w:spacing w:after="0"/>
        <w:rPr>
          <w:rFonts w:asciiTheme="minorHAnsi" w:hAnsiTheme="minorHAnsi"/>
          <w:i/>
        </w:rPr>
      </w:pPr>
      <w:r w:rsidRPr="0061435E">
        <w:t>Abbreviations: DPMQ, dispensed price for maximum quantity; NYHA, New York Heart Association; PBAC, Pharmaceutical Benefits Advisory Committee</w:t>
      </w:r>
      <w:r>
        <w:t xml:space="preserve">; </w:t>
      </w:r>
      <w:r w:rsidR="00D4239A">
        <w:t xml:space="preserve">PSD, Public Summary Document; </w:t>
      </w:r>
      <w:r>
        <w:t>RSA, risk sharing arrangement.</w:t>
      </w:r>
      <w:bookmarkStart w:id="10" w:name="_Hlk76375324"/>
      <w:r w:rsidR="00A9171C" w:rsidRPr="00A9171C">
        <w:rPr>
          <w:rFonts w:asciiTheme="minorHAnsi" w:hAnsiTheme="minorHAnsi"/>
          <w:i/>
        </w:rPr>
        <w:t xml:space="preserve"> </w:t>
      </w:r>
    </w:p>
    <w:p w14:paraId="55F9A795" w14:textId="77777777" w:rsidR="005A54A1" w:rsidRPr="009A6D58" w:rsidRDefault="005A54A1" w:rsidP="004B37B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59ED824" w14:textId="71BEF280" w:rsidR="005A54A1" w:rsidRPr="009A6D58" w:rsidRDefault="005A54A1" w:rsidP="004B37B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A54A1">
        <w:rPr>
          <w:rFonts w:ascii="Arial Narrow" w:hAnsi="Arial Narrow"/>
          <w:i/>
          <w:sz w:val="18"/>
          <w:szCs w:val="18"/>
        </w:rPr>
        <w:t>$135,000 to &lt; $155,000</w:t>
      </w:r>
    </w:p>
    <w:p w14:paraId="3B185533" w14:textId="5621E5BB" w:rsidR="005A54A1" w:rsidRPr="00DD34BF" w:rsidRDefault="005A54A1" w:rsidP="00DD34BF">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5A54A1">
        <w:rPr>
          <w:rFonts w:ascii="Arial Narrow" w:hAnsi="Arial Narrow"/>
          <w:i/>
          <w:sz w:val="18"/>
          <w:szCs w:val="18"/>
        </w:rPr>
        <w:t>$95,000 to &lt; $115,000</w:t>
      </w:r>
    </w:p>
    <w:p w14:paraId="52793F9A" w14:textId="6D7707A1" w:rsidR="00A523D0" w:rsidRPr="00DD34BF" w:rsidRDefault="00A9171C" w:rsidP="00DD34BF">
      <w:pPr>
        <w:ind w:firstLine="709"/>
        <w:rPr>
          <w:rFonts w:asciiTheme="minorHAnsi" w:hAnsiTheme="minorHAnsi"/>
          <w:i/>
        </w:rPr>
      </w:pPr>
      <w:r w:rsidRPr="00C33D30">
        <w:rPr>
          <w:rFonts w:asciiTheme="minorHAnsi" w:hAnsiTheme="minorHAnsi"/>
          <w:i/>
        </w:rPr>
        <w:t>For more detail on PBAC’s view, see section 7 PBAC outcome.</w:t>
      </w:r>
      <w:bookmarkEnd w:id="10"/>
    </w:p>
    <w:p w14:paraId="1B423B86" w14:textId="697B0612" w:rsidR="003A4C14" w:rsidRDefault="00B50DB8" w:rsidP="003A4C14">
      <w:pPr>
        <w:pStyle w:val="COMH1numbered"/>
      </w:pPr>
      <w:bookmarkStart w:id="11" w:name="_Toc107902078"/>
      <w:bookmarkStart w:id="12" w:name="_Toc135227607"/>
      <w:bookmarkEnd w:id="11"/>
      <w:r w:rsidRPr="00407F2D">
        <w:t>Requested listing</w:t>
      </w:r>
      <w:bookmarkEnd w:id="12"/>
    </w:p>
    <w:p w14:paraId="2FA4DE1F" w14:textId="1F7F6319" w:rsidR="001A2F79" w:rsidRPr="001A2F79" w:rsidRDefault="001A2F79" w:rsidP="001A2F79">
      <w:pPr>
        <w:pStyle w:val="COMexecsumnumberedpara"/>
      </w:pPr>
      <w:r w:rsidRPr="001A2F79">
        <w:t>The requested restriction</w:t>
      </w:r>
      <w:r>
        <w:t>, shown below,</w:t>
      </w:r>
      <w:r w:rsidRPr="001A2F79">
        <w:t xml:space="preserve"> </w:t>
      </w:r>
      <w:r>
        <w:t>wa</w:t>
      </w:r>
      <w:r w:rsidRPr="001A2F79">
        <w:t xml:space="preserve">s unchanged from the September 2021 resubmission.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552"/>
        <w:gridCol w:w="933"/>
        <w:gridCol w:w="910"/>
        <w:gridCol w:w="850"/>
        <w:gridCol w:w="1509"/>
      </w:tblGrid>
      <w:tr w:rsidR="00046D64" w:rsidRPr="001428E9" w14:paraId="73E16E29" w14:textId="77777777" w:rsidTr="006D3E57">
        <w:trPr>
          <w:cantSplit/>
          <w:trHeight w:val="20"/>
        </w:trPr>
        <w:tc>
          <w:tcPr>
            <w:tcW w:w="2263" w:type="dxa"/>
            <w:vAlign w:val="center"/>
          </w:tcPr>
          <w:p w14:paraId="4660296B" w14:textId="77777777" w:rsidR="00046D64" w:rsidRPr="001428E9" w:rsidRDefault="00046D64" w:rsidP="008E5E3B">
            <w:pPr>
              <w:keepNext/>
              <w:keepLines/>
              <w:rPr>
                <w:rFonts w:ascii="Arial Narrow" w:hAnsi="Arial Narrow"/>
                <w:b/>
                <w:bCs/>
                <w:sz w:val="20"/>
                <w:szCs w:val="20"/>
              </w:rPr>
            </w:pPr>
            <w:bookmarkStart w:id="13" w:name="_Hlk104809055"/>
            <w:r w:rsidRPr="001428E9">
              <w:rPr>
                <w:rFonts w:ascii="Arial Narrow" w:hAnsi="Arial Narrow"/>
                <w:b/>
                <w:bCs/>
                <w:sz w:val="20"/>
                <w:szCs w:val="20"/>
              </w:rPr>
              <w:t>MEDICINAL PRODUCT</w:t>
            </w:r>
          </w:p>
          <w:p w14:paraId="7221C2FD" w14:textId="77777777" w:rsidR="00046D64" w:rsidRPr="001428E9" w:rsidRDefault="00046D64" w:rsidP="008E5E3B">
            <w:pPr>
              <w:keepNext/>
              <w:keepLines/>
              <w:rPr>
                <w:rFonts w:ascii="Arial Narrow" w:hAnsi="Arial Narrow"/>
                <w:b/>
                <w:sz w:val="20"/>
                <w:szCs w:val="20"/>
              </w:rPr>
            </w:pPr>
            <w:r w:rsidRPr="001428E9">
              <w:rPr>
                <w:rFonts w:ascii="Arial Narrow" w:hAnsi="Arial Narrow"/>
                <w:b/>
                <w:bCs/>
                <w:sz w:val="20"/>
                <w:szCs w:val="20"/>
              </w:rPr>
              <w:t>medicinal product pack</w:t>
            </w:r>
          </w:p>
        </w:tc>
        <w:tc>
          <w:tcPr>
            <w:tcW w:w="2552" w:type="dxa"/>
            <w:vAlign w:val="center"/>
          </w:tcPr>
          <w:p w14:paraId="14424AF1" w14:textId="43AB6F02" w:rsidR="00046D64" w:rsidRPr="00C61A59" w:rsidRDefault="00C61A59" w:rsidP="008E5E3B">
            <w:pPr>
              <w:pStyle w:val="COMTabletext"/>
              <w:keepLines/>
              <w:jc w:val="center"/>
              <w:rPr>
                <w:b/>
                <w:bCs w:val="0"/>
                <w:szCs w:val="20"/>
              </w:rPr>
            </w:pPr>
            <w:r w:rsidRPr="00C61A59">
              <w:rPr>
                <w:b/>
                <w:bCs w:val="0"/>
                <w:snapToGrid w:val="0"/>
              </w:rPr>
              <w:t>Dispensed Price for Max. Qty</w:t>
            </w:r>
          </w:p>
        </w:tc>
        <w:tc>
          <w:tcPr>
            <w:tcW w:w="933" w:type="dxa"/>
            <w:vAlign w:val="center"/>
          </w:tcPr>
          <w:p w14:paraId="4E41A9BC" w14:textId="0E3A90D0" w:rsidR="00046D64" w:rsidRPr="001428E9" w:rsidRDefault="00046D64" w:rsidP="008E5E3B">
            <w:pPr>
              <w:keepNext/>
              <w:keepLines/>
              <w:jc w:val="center"/>
              <w:rPr>
                <w:rFonts w:ascii="Arial Narrow" w:hAnsi="Arial Narrow"/>
                <w:b/>
                <w:sz w:val="20"/>
                <w:szCs w:val="20"/>
              </w:rPr>
            </w:pPr>
            <w:r w:rsidRPr="001428E9">
              <w:rPr>
                <w:rFonts w:ascii="Arial Narrow" w:hAnsi="Arial Narrow"/>
                <w:b/>
                <w:sz w:val="20"/>
                <w:szCs w:val="20"/>
              </w:rPr>
              <w:t>Max. qty packs</w:t>
            </w:r>
          </w:p>
        </w:tc>
        <w:tc>
          <w:tcPr>
            <w:tcW w:w="910" w:type="dxa"/>
            <w:vAlign w:val="center"/>
          </w:tcPr>
          <w:p w14:paraId="48197540" w14:textId="77777777" w:rsidR="00046D64" w:rsidRPr="001428E9" w:rsidRDefault="00046D64" w:rsidP="008E5E3B">
            <w:pPr>
              <w:keepNext/>
              <w:keepLines/>
              <w:jc w:val="center"/>
              <w:rPr>
                <w:rFonts w:ascii="Arial Narrow" w:hAnsi="Arial Narrow"/>
                <w:b/>
                <w:sz w:val="20"/>
                <w:szCs w:val="20"/>
              </w:rPr>
            </w:pPr>
            <w:r w:rsidRPr="001428E9">
              <w:rPr>
                <w:rFonts w:ascii="Arial Narrow" w:hAnsi="Arial Narrow"/>
                <w:b/>
                <w:sz w:val="20"/>
                <w:szCs w:val="20"/>
              </w:rPr>
              <w:t>Max. qty units</w:t>
            </w:r>
          </w:p>
        </w:tc>
        <w:tc>
          <w:tcPr>
            <w:tcW w:w="850" w:type="dxa"/>
            <w:vAlign w:val="center"/>
          </w:tcPr>
          <w:p w14:paraId="13B3FDEE" w14:textId="77777777" w:rsidR="00046D64" w:rsidRPr="001428E9" w:rsidRDefault="00046D64" w:rsidP="008E5E3B">
            <w:pPr>
              <w:keepNext/>
              <w:keepLines/>
              <w:jc w:val="center"/>
              <w:rPr>
                <w:rFonts w:ascii="Arial Narrow" w:hAnsi="Arial Narrow"/>
                <w:b/>
                <w:sz w:val="20"/>
                <w:szCs w:val="20"/>
              </w:rPr>
            </w:pPr>
            <w:r w:rsidRPr="001428E9">
              <w:rPr>
                <w:rFonts w:ascii="Arial Narrow" w:hAnsi="Arial Narrow"/>
                <w:b/>
                <w:sz w:val="20"/>
                <w:szCs w:val="20"/>
              </w:rPr>
              <w:t>№.of</w:t>
            </w:r>
          </w:p>
          <w:p w14:paraId="7B215997" w14:textId="77777777" w:rsidR="00046D64" w:rsidRPr="001428E9" w:rsidRDefault="00046D64" w:rsidP="008E5E3B">
            <w:pPr>
              <w:keepNext/>
              <w:keepLines/>
              <w:jc w:val="center"/>
              <w:rPr>
                <w:rFonts w:ascii="Arial Narrow" w:hAnsi="Arial Narrow"/>
                <w:b/>
                <w:sz w:val="20"/>
                <w:szCs w:val="20"/>
              </w:rPr>
            </w:pPr>
            <w:r w:rsidRPr="001428E9">
              <w:rPr>
                <w:rFonts w:ascii="Arial Narrow" w:hAnsi="Arial Narrow"/>
                <w:b/>
                <w:sz w:val="20"/>
                <w:szCs w:val="20"/>
              </w:rPr>
              <w:t>Rpts</w:t>
            </w:r>
          </w:p>
        </w:tc>
        <w:tc>
          <w:tcPr>
            <w:tcW w:w="1509" w:type="dxa"/>
            <w:vAlign w:val="center"/>
          </w:tcPr>
          <w:p w14:paraId="4976F6A8" w14:textId="77777777" w:rsidR="00046D64" w:rsidRPr="001428E9" w:rsidRDefault="00046D64" w:rsidP="008E5E3B">
            <w:pPr>
              <w:keepNext/>
              <w:keepLines/>
              <w:jc w:val="center"/>
              <w:rPr>
                <w:rFonts w:ascii="Arial Narrow" w:hAnsi="Arial Narrow"/>
                <w:b/>
                <w:sz w:val="20"/>
                <w:szCs w:val="20"/>
                <w:lang w:val="fr-FR"/>
              </w:rPr>
            </w:pPr>
            <w:r w:rsidRPr="001428E9">
              <w:rPr>
                <w:rFonts w:ascii="Arial Narrow" w:hAnsi="Arial Narrow"/>
                <w:b/>
                <w:sz w:val="20"/>
                <w:szCs w:val="20"/>
              </w:rPr>
              <w:t>Available brands</w:t>
            </w:r>
          </w:p>
        </w:tc>
      </w:tr>
      <w:tr w:rsidR="00046D64" w:rsidRPr="001428E9" w14:paraId="40C1AD8E" w14:textId="77777777" w:rsidTr="00A2021E">
        <w:trPr>
          <w:cantSplit/>
          <w:trHeight w:val="20"/>
        </w:trPr>
        <w:tc>
          <w:tcPr>
            <w:tcW w:w="9017" w:type="dxa"/>
            <w:gridSpan w:val="6"/>
            <w:vAlign w:val="center"/>
          </w:tcPr>
          <w:p w14:paraId="2A4C00A6" w14:textId="22CE6F14" w:rsidR="00046D64" w:rsidRPr="001428E9" w:rsidRDefault="00376EA7" w:rsidP="008E5E3B">
            <w:pPr>
              <w:pStyle w:val="COMTabletext"/>
              <w:keepLines/>
              <w:rPr>
                <w:rFonts w:cs="Arial"/>
                <w:szCs w:val="20"/>
              </w:rPr>
            </w:pPr>
            <w:r>
              <w:t>TAFAMIDIS</w:t>
            </w:r>
          </w:p>
        </w:tc>
      </w:tr>
      <w:tr w:rsidR="00376EA7" w:rsidRPr="001428E9" w14:paraId="1DC2CC67" w14:textId="77777777" w:rsidTr="006D3E57">
        <w:trPr>
          <w:cantSplit/>
          <w:trHeight w:val="20"/>
        </w:trPr>
        <w:tc>
          <w:tcPr>
            <w:tcW w:w="2263" w:type="dxa"/>
            <w:vAlign w:val="center"/>
          </w:tcPr>
          <w:p w14:paraId="612C04D7" w14:textId="1E8F28D6" w:rsidR="00376EA7" w:rsidRPr="003A4C14" w:rsidRDefault="00376EA7" w:rsidP="008E5E3B">
            <w:pPr>
              <w:keepNext/>
              <w:keepLines/>
              <w:rPr>
                <w:rFonts w:ascii="Arial Narrow" w:hAnsi="Arial Narrow"/>
                <w:color w:val="0066FF"/>
                <w:sz w:val="20"/>
                <w:szCs w:val="20"/>
              </w:rPr>
            </w:pPr>
            <w:r w:rsidRPr="006A2576">
              <w:rPr>
                <w:rFonts w:ascii="Arial Narrow" w:hAnsi="Arial Narrow"/>
                <w:sz w:val="20"/>
                <w:szCs w:val="20"/>
              </w:rPr>
              <w:t>Tafamidis 61 mg tablet (30)</w:t>
            </w:r>
          </w:p>
        </w:tc>
        <w:tc>
          <w:tcPr>
            <w:tcW w:w="2552" w:type="dxa"/>
          </w:tcPr>
          <w:p w14:paraId="36E76862" w14:textId="433A0601" w:rsidR="00376EA7" w:rsidRPr="006A2576" w:rsidRDefault="00376EA7" w:rsidP="008E5E3B">
            <w:pPr>
              <w:pStyle w:val="COMTabletext"/>
              <w:keepLines/>
              <w:jc w:val="center"/>
            </w:pPr>
            <w:r w:rsidRPr="006A2576">
              <w:t>$</w:t>
            </w:r>
            <w:r w:rsidR="00B474C2" w:rsidRPr="00B474C2">
              <w:rPr>
                <w:color w:val="000000"/>
                <w:shd w:val="solid" w:color="000000" w:fill="000000"/>
                <w14:textFill>
                  <w14:solidFill>
                    <w14:srgbClr w14:val="000000">
                      <w14:alpha w14:val="100000"/>
                    </w14:srgbClr>
                  </w14:solidFill>
                </w14:textFill>
              </w:rPr>
              <w:t>|</w:t>
            </w:r>
            <w:r w:rsidRPr="006A2576">
              <w:t xml:space="preserve"> </w:t>
            </w:r>
            <w:r>
              <w:t>(</w:t>
            </w:r>
            <w:r w:rsidRPr="006A2576">
              <w:t>published</w:t>
            </w:r>
            <w:r>
              <w:t>)</w:t>
            </w:r>
          </w:p>
          <w:p w14:paraId="4F1A0BE4" w14:textId="069723D2" w:rsidR="00376EA7" w:rsidRDefault="00376EA7" w:rsidP="008E5E3B">
            <w:pPr>
              <w:pStyle w:val="COMTabletext"/>
              <w:keepLines/>
              <w:jc w:val="center"/>
            </w:pPr>
            <w:r w:rsidRPr="006A2576">
              <w:t>$</w:t>
            </w:r>
            <w:r w:rsidR="00B474C2" w:rsidRPr="002C3508">
              <w:rPr>
                <w:color w:val="000000"/>
                <w:spacing w:val="44"/>
                <w:shd w:val="solid" w:color="000000" w:fill="000000"/>
                <w:fitText w:val="217" w:id="-1168367349"/>
                <w14:textFill>
                  <w14:solidFill>
                    <w14:srgbClr w14:val="000000">
                      <w14:alpha w14:val="100000"/>
                    </w14:srgbClr>
                  </w14:solidFill>
                </w14:textFill>
              </w:rPr>
              <w:t>||</w:t>
            </w:r>
            <w:r w:rsidR="00B474C2" w:rsidRPr="002C3508">
              <w:rPr>
                <w:color w:val="000000"/>
                <w:shd w:val="solid" w:color="000000" w:fill="000000"/>
                <w:fitText w:val="217" w:id="-1168367349"/>
                <w14:textFill>
                  <w14:solidFill>
                    <w14:srgbClr w14:val="000000">
                      <w14:alpha w14:val="100000"/>
                    </w14:srgbClr>
                  </w14:solidFill>
                </w14:textFill>
              </w:rPr>
              <w:t>|</w:t>
            </w:r>
            <w:r w:rsidRPr="006A2576">
              <w:t xml:space="preserve"> </w:t>
            </w:r>
            <w:r>
              <w:t>(</w:t>
            </w:r>
            <w:r w:rsidRPr="006A2576">
              <w:t>effective</w:t>
            </w:r>
            <w:r w:rsidR="006D3E57">
              <w:t>; Years 1-3</w:t>
            </w:r>
            <w:r>
              <w:t>)</w:t>
            </w:r>
          </w:p>
          <w:p w14:paraId="70C2874A" w14:textId="6FEF199E" w:rsidR="006D3E57" w:rsidRPr="001428E9" w:rsidRDefault="006D3E57" w:rsidP="008E5E3B">
            <w:pPr>
              <w:pStyle w:val="COMTabletext"/>
              <w:keepLines/>
              <w:jc w:val="center"/>
              <w:rPr>
                <w:szCs w:val="20"/>
              </w:rPr>
            </w:pPr>
            <w:r w:rsidRPr="006A2576">
              <w:t>$</w:t>
            </w:r>
            <w:r w:rsidR="00B474C2" w:rsidRPr="002C3508">
              <w:rPr>
                <w:color w:val="000000"/>
                <w:spacing w:val="44"/>
                <w:shd w:val="solid" w:color="000000" w:fill="000000"/>
                <w:fitText w:val="217" w:id="-1168367348"/>
                <w14:textFill>
                  <w14:solidFill>
                    <w14:srgbClr w14:val="000000">
                      <w14:alpha w14:val="100000"/>
                    </w14:srgbClr>
                  </w14:solidFill>
                </w14:textFill>
              </w:rPr>
              <w:t>||</w:t>
            </w:r>
            <w:r w:rsidR="00B474C2" w:rsidRPr="002C3508">
              <w:rPr>
                <w:color w:val="000000"/>
                <w:shd w:val="solid" w:color="000000" w:fill="000000"/>
                <w:fitText w:val="217" w:id="-1168367348"/>
                <w14:textFill>
                  <w14:solidFill>
                    <w14:srgbClr w14:val="000000">
                      <w14:alpha w14:val="100000"/>
                    </w14:srgbClr>
                  </w14:solidFill>
                </w14:textFill>
              </w:rPr>
              <w:t>|</w:t>
            </w:r>
            <w:r w:rsidRPr="006A2576">
              <w:t xml:space="preserve"> </w:t>
            </w:r>
            <w:r>
              <w:t>(</w:t>
            </w:r>
            <w:r w:rsidRPr="006A2576">
              <w:t>effective</w:t>
            </w:r>
            <w:r>
              <w:t>; Years 4-6)</w:t>
            </w:r>
          </w:p>
        </w:tc>
        <w:tc>
          <w:tcPr>
            <w:tcW w:w="933" w:type="dxa"/>
            <w:vAlign w:val="center"/>
          </w:tcPr>
          <w:p w14:paraId="71CD2441" w14:textId="4A45C758" w:rsidR="00376EA7" w:rsidRPr="001428E9" w:rsidRDefault="00376EA7" w:rsidP="008E5E3B">
            <w:pPr>
              <w:keepNext/>
              <w:keepLines/>
              <w:jc w:val="center"/>
              <w:rPr>
                <w:rFonts w:ascii="Arial Narrow" w:hAnsi="Arial Narrow"/>
                <w:sz w:val="20"/>
                <w:szCs w:val="20"/>
              </w:rPr>
            </w:pPr>
            <w:r>
              <w:rPr>
                <w:rFonts w:ascii="Arial Narrow" w:hAnsi="Arial Narrow"/>
                <w:sz w:val="20"/>
              </w:rPr>
              <w:t>1</w:t>
            </w:r>
          </w:p>
        </w:tc>
        <w:tc>
          <w:tcPr>
            <w:tcW w:w="910" w:type="dxa"/>
            <w:vAlign w:val="center"/>
          </w:tcPr>
          <w:p w14:paraId="65F4D3E9" w14:textId="34406861" w:rsidR="00376EA7" w:rsidRPr="001428E9" w:rsidRDefault="00376EA7" w:rsidP="008E5E3B">
            <w:pPr>
              <w:keepNext/>
              <w:keepLines/>
              <w:jc w:val="center"/>
              <w:rPr>
                <w:rFonts w:ascii="Arial Narrow" w:hAnsi="Arial Narrow"/>
                <w:sz w:val="20"/>
                <w:szCs w:val="20"/>
              </w:rPr>
            </w:pPr>
            <w:r>
              <w:rPr>
                <w:rFonts w:ascii="Arial Narrow" w:hAnsi="Arial Narrow"/>
                <w:sz w:val="20"/>
              </w:rPr>
              <w:t>30</w:t>
            </w:r>
          </w:p>
        </w:tc>
        <w:tc>
          <w:tcPr>
            <w:tcW w:w="850" w:type="dxa"/>
            <w:vAlign w:val="center"/>
          </w:tcPr>
          <w:p w14:paraId="7C728D0C" w14:textId="302E0E84" w:rsidR="00376EA7" w:rsidRPr="001428E9" w:rsidRDefault="00376EA7" w:rsidP="008E5E3B">
            <w:pPr>
              <w:keepNext/>
              <w:keepLines/>
              <w:jc w:val="center"/>
              <w:rPr>
                <w:rFonts w:ascii="Arial Narrow" w:hAnsi="Arial Narrow"/>
                <w:sz w:val="20"/>
                <w:szCs w:val="20"/>
              </w:rPr>
            </w:pPr>
            <w:r>
              <w:rPr>
                <w:rFonts w:ascii="Arial Narrow" w:hAnsi="Arial Narrow"/>
                <w:sz w:val="20"/>
              </w:rPr>
              <w:t>5</w:t>
            </w:r>
          </w:p>
        </w:tc>
        <w:tc>
          <w:tcPr>
            <w:tcW w:w="1509" w:type="dxa"/>
            <w:vAlign w:val="center"/>
          </w:tcPr>
          <w:p w14:paraId="519A0BC8" w14:textId="37F6C729" w:rsidR="00376EA7" w:rsidRPr="003A4C14" w:rsidRDefault="00376EA7" w:rsidP="008E5E3B">
            <w:pPr>
              <w:keepNext/>
              <w:keepLines/>
              <w:jc w:val="center"/>
              <w:rPr>
                <w:rFonts w:ascii="Arial Narrow" w:hAnsi="Arial Narrow"/>
                <w:color w:val="0066FF"/>
                <w:sz w:val="20"/>
                <w:szCs w:val="20"/>
              </w:rPr>
            </w:pPr>
            <w:r>
              <w:rPr>
                <w:rFonts w:ascii="Arial Narrow" w:hAnsi="Arial Narrow"/>
                <w:sz w:val="20"/>
                <w:szCs w:val="20"/>
              </w:rPr>
              <w:t>Vyndamax</w:t>
            </w:r>
          </w:p>
        </w:tc>
      </w:tr>
    </w:tbl>
    <w:p w14:paraId="769B37F3" w14:textId="77777777" w:rsidR="006D3E57" w:rsidRPr="006D3E57" w:rsidRDefault="006D3E57" w:rsidP="00E52976">
      <w:pPr>
        <w:pStyle w:val="COMTabletext"/>
        <w:keepNext w:val="0"/>
        <w:rPr>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5879E1" w:rsidRPr="009D09A6" w14:paraId="353600CD" w14:textId="77777777" w:rsidTr="00CB0507">
        <w:trPr>
          <w:cantSplit/>
          <w:trHeight w:val="20"/>
        </w:trPr>
        <w:tc>
          <w:tcPr>
            <w:tcW w:w="9017" w:type="dxa"/>
          </w:tcPr>
          <w:p w14:paraId="4E0F1F71" w14:textId="77777777" w:rsidR="005879E1" w:rsidRPr="009D09A6" w:rsidRDefault="005879E1" w:rsidP="005879E1">
            <w:pPr>
              <w:pStyle w:val="COMTabletext"/>
              <w:keepNext w:val="0"/>
              <w:rPr>
                <w:szCs w:val="20"/>
              </w:rPr>
            </w:pPr>
            <w:r w:rsidRPr="009D09A6">
              <w:rPr>
                <w:b/>
                <w:szCs w:val="20"/>
              </w:rPr>
              <w:t xml:space="preserve">Category / Program: </w:t>
            </w:r>
            <w:r w:rsidRPr="009D09A6">
              <w:rPr>
                <w:szCs w:val="20"/>
              </w:rPr>
              <w:t>General Schedule (GE)</w:t>
            </w:r>
          </w:p>
        </w:tc>
      </w:tr>
      <w:tr w:rsidR="005879E1" w:rsidRPr="009D09A6" w14:paraId="1671FF13" w14:textId="77777777" w:rsidTr="00CB0507">
        <w:trPr>
          <w:cantSplit/>
          <w:trHeight w:val="20"/>
        </w:trPr>
        <w:tc>
          <w:tcPr>
            <w:tcW w:w="9017" w:type="dxa"/>
          </w:tcPr>
          <w:p w14:paraId="73C98EA3" w14:textId="620A869A" w:rsidR="005879E1" w:rsidRPr="009D09A6" w:rsidRDefault="005879E1" w:rsidP="005879E1">
            <w:pPr>
              <w:pStyle w:val="COMTabletext"/>
              <w:keepNext w:val="0"/>
              <w:rPr>
                <w:b/>
                <w:szCs w:val="20"/>
              </w:rPr>
            </w:pPr>
            <w:r w:rsidRPr="009D09A6">
              <w:rPr>
                <w:b/>
                <w:szCs w:val="20"/>
              </w:rPr>
              <w:t xml:space="preserve">Prescriber type: </w:t>
            </w:r>
            <w:r w:rsidRPr="009D09A6">
              <w:rPr>
                <w:szCs w:val="20"/>
              </w:rPr>
              <w:fldChar w:fldCharType="begin" w:fldLock="1">
                <w:ffData>
                  <w:name w:val=""/>
                  <w:enabled/>
                  <w:calcOnExit w:val="0"/>
                  <w:checkBox>
                    <w:sizeAuto/>
                    <w:default w:val="1"/>
                  </w:checkBox>
                </w:ffData>
              </w:fldChar>
            </w:r>
            <w:r w:rsidRPr="009D09A6">
              <w:rPr>
                <w:szCs w:val="20"/>
              </w:rPr>
              <w:instrText xml:space="preserve"> FORMCHECKBOX </w:instrText>
            </w:r>
            <w:r w:rsidR="004826FD">
              <w:rPr>
                <w:szCs w:val="20"/>
              </w:rPr>
            </w:r>
            <w:r w:rsidR="004826FD">
              <w:rPr>
                <w:szCs w:val="20"/>
              </w:rPr>
              <w:fldChar w:fldCharType="separate"/>
            </w:r>
            <w:r w:rsidRPr="009D09A6">
              <w:rPr>
                <w:szCs w:val="20"/>
              </w:rPr>
              <w:fldChar w:fldCharType="end"/>
            </w:r>
            <w:r w:rsidRPr="009D09A6">
              <w:rPr>
                <w:szCs w:val="20"/>
              </w:rPr>
              <w:t xml:space="preserve">Medical Practitioners </w:t>
            </w:r>
          </w:p>
        </w:tc>
      </w:tr>
      <w:tr w:rsidR="00CB0507" w:rsidRPr="009D09A6" w14:paraId="27D7A924" w14:textId="77777777" w:rsidTr="00CB0507">
        <w:trPr>
          <w:cantSplit/>
          <w:trHeight w:val="20"/>
        </w:trPr>
        <w:tc>
          <w:tcPr>
            <w:tcW w:w="9017" w:type="dxa"/>
            <w:vAlign w:val="center"/>
            <w:hideMark/>
          </w:tcPr>
          <w:p w14:paraId="5B495891" w14:textId="77777777" w:rsidR="00CB0507" w:rsidRPr="009D09A6" w:rsidRDefault="00CB0507" w:rsidP="00727D5F">
            <w:pPr>
              <w:pStyle w:val="COMTabletext"/>
              <w:keepNext w:val="0"/>
              <w:rPr>
                <w:szCs w:val="20"/>
              </w:rPr>
            </w:pPr>
            <w:r w:rsidRPr="009D09A6">
              <w:rPr>
                <w:b/>
                <w:szCs w:val="20"/>
              </w:rPr>
              <w:t>Treatment Phase:</w:t>
            </w:r>
            <w:r w:rsidRPr="009D09A6">
              <w:rPr>
                <w:szCs w:val="20"/>
              </w:rPr>
              <w:t xml:space="preserve"> </w:t>
            </w:r>
            <w:r w:rsidRPr="009D09A6">
              <w:rPr>
                <w:bCs w:val="0"/>
                <w:szCs w:val="20"/>
              </w:rPr>
              <w:t>Initial treatment phase</w:t>
            </w:r>
          </w:p>
        </w:tc>
      </w:tr>
      <w:tr w:rsidR="005879E1" w:rsidRPr="009D09A6" w14:paraId="49C31D19" w14:textId="77777777" w:rsidTr="00CB0507">
        <w:trPr>
          <w:cantSplit/>
          <w:trHeight w:val="20"/>
        </w:trPr>
        <w:tc>
          <w:tcPr>
            <w:tcW w:w="9017" w:type="dxa"/>
          </w:tcPr>
          <w:p w14:paraId="2E53391F" w14:textId="36AFF6BA" w:rsidR="005879E1" w:rsidRPr="009D09A6" w:rsidRDefault="005879E1" w:rsidP="005879E1">
            <w:pPr>
              <w:pStyle w:val="COMTabletext"/>
              <w:keepNext w:val="0"/>
              <w:rPr>
                <w:rFonts w:eastAsia="Times New Roman"/>
                <w:szCs w:val="20"/>
              </w:rPr>
            </w:pPr>
            <w:r w:rsidRPr="009D09A6">
              <w:rPr>
                <w:b/>
                <w:szCs w:val="20"/>
              </w:rPr>
              <w:t xml:space="preserve">Restriction type: </w:t>
            </w:r>
            <w:r w:rsidRPr="009D09A6">
              <w:rPr>
                <w:rFonts w:eastAsia="Times New Roman"/>
                <w:szCs w:val="20"/>
              </w:rPr>
              <w:fldChar w:fldCharType="begin" w:fldLock="1">
                <w:ffData>
                  <w:name w:val=""/>
                  <w:enabled/>
                  <w:calcOnExit w:val="0"/>
                  <w:checkBox>
                    <w:sizeAuto/>
                    <w:default w:val="1"/>
                  </w:checkBox>
                </w:ffData>
              </w:fldChar>
            </w:r>
            <w:r w:rsidRPr="009D09A6">
              <w:rPr>
                <w:rFonts w:eastAsia="Times New Roman"/>
                <w:szCs w:val="20"/>
              </w:rPr>
              <w:instrText xml:space="preserve"> FORMCHECKBOX </w:instrText>
            </w:r>
            <w:r w:rsidR="004826FD">
              <w:rPr>
                <w:rFonts w:eastAsia="Times New Roman"/>
                <w:szCs w:val="20"/>
              </w:rPr>
            </w:r>
            <w:r w:rsidR="004826FD">
              <w:rPr>
                <w:rFonts w:eastAsia="Times New Roman"/>
                <w:szCs w:val="20"/>
              </w:rPr>
              <w:fldChar w:fldCharType="separate"/>
            </w:r>
            <w:r w:rsidRPr="009D09A6">
              <w:rPr>
                <w:rFonts w:eastAsia="Times New Roman"/>
                <w:szCs w:val="20"/>
              </w:rPr>
              <w:fldChar w:fldCharType="end"/>
            </w:r>
            <w:r w:rsidRPr="009D09A6">
              <w:rPr>
                <w:rFonts w:eastAsia="Times New Roman"/>
                <w:szCs w:val="20"/>
              </w:rPr>
              <w:t>Authority Required (in writing only via post/HPOS upload)</w:t>
            </w:r>
            <w:r w:rsidR="000E7765">
              <w:rPr>
                <w:rFonts w:eastAsia="Times New Roman"/>
                <w:szCs w:val="20"/>
              </w:rPr>
              <w:t xml:space="preserve"> </w:t>
            </w:r>
          </w:p>
        </w:tc>
      </w:tr>
      <w:tr w:rsidR="005879E1" w:rsidRPr="009D09A6" w14:paraId="700607A4" w14:textId="77777777" w:rsidTr="00CB0507">
        <w:trPr>
          <w:cantSplit/>
          <w:trHeight w:val="20"/>
        </w:trPr>
        <w:tc>
          <w:tcPr>
            <w:tcW w:w="9017" w:type="dxa"/>
            <w:vAlign w:val="center"/>
            <w:hideMark/>
          </w:tcPr>
          <w:p w14:paraId="7C9B61DB" w14:textId="77777777" w:rsidR="005879E1" w:rsidRPr="009D09A6" w:rsidRDefault="005879E1" w:rsidP="005879E1">
            <w:pPr>
              <w:pStyle w:val="COMTabletext"/>
              <w:keepNext w:val="0"/>
              <w:rPr>
                <w:szCs w:val="20"/>
              </w:rPr>
            </w:pPr>
            <w:r w:rsidRPr="009D09A6">
              <w:rPr>
                <w:b/>
                <w:szCs w:val="20"/>
              </w:rPr>
              <w:t>Indication:</w:t>
            </w:r>
            <w:r w:rsidRPr="009D09A6">
              <w:rPr>
                <w:szCs w:val="20"/>
              </w:rPr>
              <w:t xml:space="preserve"> </w:t>
            </w:r>
            <w:r w:rsidRPr="009D09A6">
              <w:rPr>
                <w:bCs w:val="0"/>
                <w:szCs w:val="20"/>
              </w:rPr>
              <w:t>Transthyretin amyloid cardiomyopathy</w:t>
            </w:r>
          </w:p>
        </w:tc>
      </w:tr>
      <w:tr w:rsidR="005879E1" w:rsidRPr="009D09A6" w14:paraId="7B958DF5" w14:textId="77777777" w:rsidTr="00CB0507">
        <w:trPr>
          <w:cantSplit/>
          <w:trHeight w:val="20"/>
        </w:trPr>
        <w:tc>
          <w:tcPr>
            <w:tcW w:w="9017" w:type="dxa"/>
            <w:vAlign w:val="center"/>
            <w:hideMark/>
          </w:tcPr>
          <w:p w14:paraId="2D99AD2E" w14:textId="77777777" w:rsidR="005879E1" w:rsidRPr="009D09A6" w:rsidRDefault="005879E1" w:rsidP="005879E1">
            <w:pPr>
              <w:pStyle w:val="COMTabletext"/>
              <w:keepNext w:val="0"/>
              <w:rPr>
                <w:szCs w:val="20"/>
              </w:rPr>
            </w:pPr>
            <w:r w:rsidRPr="009D09A6">
              <w:rPr>
                <w:b/>
                <w:szCs w:val="20"/>
              </w:rPr>
              <w:t>Clinical criteria:</w:t>
            </w:r>
          </w:p>
        </w:tc>
      </w:tr>
      <w:tr w:rsidR="005879E1" w:rsidRPr="009D09A6" w14:paraId="7D93FF23" w14:textId="77777777" w:rsidTr="00CB0507">
        <w:trPr>
          <w:cantSplit/>
          <w:trHeight w:val="20"/>
        </w:trPr>
        <w:tc>
          <w:tcPr>
            <w:tcW w:w="9017" w:type="dxa"/>
            <w:vAlign w:val="center"/>
            <w:hideMark/>
          </w:tcPr>
          <w:p w14:paraId="3373DE73" w14:textId="77777777" w:rsidR="005879E1" w:rsidRPr="009D09A6" w:rsidRDefault="005879E1" w:rsidP="005879E1">
            <w:pPr>
              <w:pStyle w:val="COMTabletext"/>
              <w:keepNext w:val="0"/>
              <w:rPr>
                <w:szCs w:val="20"/>
              </w:rPr>
            </w:pPr>
            <w:r w:rsidRPr="009D09A6">
              <w:rPr>
                <w:szCs w:val="20"/>
              </w:rPr>
              <w:t xml:space="preserve">The condition must be wild type transthyretin amyloidosis; or </w:t>
            </w:r>
          </w:p>
          <w:p w14:paraId="7F29B1B9" w14:textId="77777777" w:rsidR="005879E1" w:rsidRPr="009D09A6" w:rsidRDefault="005879E1" w:rsidP="005879E1">
            <w:pPr>
              <w:pStyle w:val="COMTabletext"/>
              <w:keepNext w:val="0"/>
              <w:rPr>
                <w:szCs w:val="20"/>
              </w:rPr>
            </w:pPr>
            <w:r w:rsidRPr="009D09A6">
              <w:rPr>
                <w:szCs w:val="20"/>
              </w:rPr>
              <w:t>the condition must be variant transthyretin type amyloidosis</w:t>
            </w:r>
          </w:p>
        </w:tc>
      </w:tr>
      <w:tr w:rsidR="00584398" w:rsidRPr="009D09A6" w14:paraId="74CCCD00" w14:textId="77777777" w:rsidTr="00CB0507">
        <w:trPr>
          <w:cantSplit/>
          <w:trHeight w:val="20"/>
        </w:trPr>
        <w:tc>
          <w:tcPr>
            <w:tcW w:w="9017" w:type="dxa"/>
            <w:vAlign w:val="center"/>
          </w:tcPr>
          <w:p w14:paraId="6720EA63" w14:textId="6A1400C4" w:rsidR="00584398" w:rsidRPr="009D09A6" w:rsidRDefault="00584398" w:rsidP="00584398">
            <w:pPr>
              <w:pStyle w:val="COMTabletext"/>
              <w:keepNext w:val="0"/>
              <w:rPr>
                <w:szCs w:val="20"/>
              </w:rPr>
            </w:pPr>
            <w:r w:rsidRPr="009D09A6">
              <w:rPr>
                <w:b/>
                <w:szCs w:val="20"/>
              </w:rPr>
              <w:t>AND</w:t>
            </w:r>
          </w:p>
        </w:tc>
      </w:tr>
      <w:tr w:rsidR="00584398" w:rsidRPr="009D09A6" w14:paraId="7AB7524A" w14:textId="77777777" w:rsidTr="00CB0507">
        <w:trPr>
          <w:cantSplit/>
          <w:trHeight w:val="20"/>
        </w:trPr>
        <w:tc>
          <w:tcPr>
            <w:tcW w:w="9017" w:type="dxa"/>
            <w:vAlign w:val="center"/>
          </w:tcPr>
          <w:p w14:paraId="1CBF8754" w14:textId="1C6E55AB" w:rsidR="00584398" w:rsidRPr="009D09A6" w:rsidRDefault="00584398" w:rsidP="00584398">
            <w:pPr>
              <w:pStyle w:val="COMTabletext"/>
              <w:keepNext w:val="0"/>
              <w:rPr>
                <w:szCs w:val="20"/>
              </w:rPr>
            </w:pPr>
            <w:r w:rsidRPr="009D09A6">
              <w:rPr>
                <w:b/>
                <w:szCs w:val="20"/>
              </w:rPr>
              <w:t>Clinical criteria:</w:t>
            </w:r>
          </w:p>
        </w:tc>
      </w:tr>
      <w:tr w:rsidR="00584398" w:rsidRPr="009D09A6" w14:paraId="702FB6FC" w14:textId="77777777" w:rsidTr="00CB0507">
        <w:trPr>
          <w:cantSplit/>
          <w:trHeight w:val="20"/>
        </w:trPr>
        <w:tc>
          <w:tcPr>
            <w:tcW w:w="9017" w:type="dxa"/>
            <w:vAlign w:val="center"/>
          </w:tcPr>
          <w:p w14:paraId="51C791C3" w14:textId="3923AC06" w:rsidR="00584398" w:rsidRPr="009D09A6" w:rsidRDefault="00584398" w:rsidP="00584398">
            <w:pPr>
              <w:pStyle w:val="COMTabletext"/>
              <w:keepNext w:val="0"/>
              <w:rPr>
                <w:szCs w:val="20"/>
              </w:rPr>
            </w:pPr>
            <w:r w:rsidRPr="00584398">
              <w:rPr>
                <w:szCs w:val="20"/>
              </w:rPr>
              <w:t>Patient must have evidence or history of heart failure</w:t>
            </w:r>
          </w:p>
        </w:tc>
      </w:tr>
      <w:tr w:rsidR="00584398" w:rsidRPr="009D09A6" w14:paraId="4477BABD" w14:textId="77777777" w:rsidTr="00CB0507">
        <w:trPr>
          <w:cantSplit/>
          <w:trHeight w:val="20"/>
        </w:trPr>
        <w:tc>
          <w:tcPr>
            <w:tcW w:w="9017" w:type="dxa"/>
            <w:vAlign w:val="center"/>
            <w:hideMark/>
          </w:tcPr>
          <w:p w14:paraId="31AFE883" w14:textId="77777777" w:rsidR="00584398" w:rsidRPr="009D09A6" w:rsidRDefault="00584398" w:rsidP="00584398">
            <w:pPr>
              <w:pStyle w:val="COMTabletext"/>
              <w:keepNext w:val="0"/>
              <w:rPr>
                <w:szCs w:val="20"/>
              </w:rPr>
            </w:pPr>
            <w:r w:rsidRPr="009D09A6">
              <w:rPr>
                <w:b/>
                <w:szCs w:val="20"/>
              </w:rPr>
              <w:t>AND</w:t>
            </w:r>
          </w:p>
        </w:tc>
      </w:tr>
      <w:tr w:rsidR="00584398" w:rsidRPr="009D09A6" w14:paraId="004F38EE" w14:textId="77777777" w:rsidTr="00CB0507">
        <w:trPr>
          <w:cantSplit/>
          <w:trHeight w:val="20"/>
        </w:trPr>
        <w:tc>
          <w:tcPr>
            <w:tcW w:w="9017" w:type="dxa"/>
            <w:vAlign w:val="center"/>
            <w:hideMark/>
          </w:tcPr>
          <w:p w14:paraId="4043B3A3" w14:textId="77777777" w:rsidR="00584398" w:rsidRPr="009D09A6" w:rsidRDefault="00584398" w:rsidP="00584398">
            <w:pPr>
              <w:pStyle w:val="COMTabletext"/>
              <w:keepNext w:val="0"/>
              <w:rPr>
                <w:szCs w:val="20"/>
              </w:rPr>
            </w:pPr>
            <w:r w:rsidRPr="009D09A6">
              <w:rPr>
                <w:b/>
                <w:szCs w:val="20"/>
              </w:rPr>
              <w:t>Clinical criteria:</w:t>
            </w:r>
          </w:p>
        </w:tc>
      </w:tr>
      <w:tr w:rsidR="00584398" w:rsidRPr="009D09A6" w14:paraId="299A86B4" w14:textId="77777777" w:rsidTr="00CB0507">
        <w:trPr>
          <w:cantSplit/>
          <w:trHeight w:val="20"/>
        </w:trPr>
        <w:tc>
          <w:tcPr>
            <w:tcW w:w="9017" w:type="dxa"/>
            <w:vAlign w:val="center"/>
            <w:hideMark/>
          </w:tcPr>
          <w:p w14:paraId="7A47A539" w14:textId="77777777" w:rsidR="00584398" w:rsidRPr="009D09A6" w:rsidRDefault="00584398" w:rsidP="00584398">
            <w:pPr>
              <w:pStyle w:val="COMTabletext"/>
              <w:keepNext w:val="0"/>
              <w:rPr>
                <w:color w:val="0066FF"/>
                <w:szCs w:val="20"/>
              </w:rPr>
            </w:pPr>
            <w:r w:rsidRPr="009D09A6">
              <w:rPr>
                <w:rFonts w:cs="Calibri"/>
                <w:szCs w:val="20"/>
              </w:rPr>
              <w:t>Patient must have New York Heart Association class I to II heart failure.</w:t>
            </w:r>
          </w:p>
        </w:tc>
      </w:tr>
      <w:tr w:rsidR="00584398" w:rsidRPr="009D09A6" w14:paraId="1738331D" w14:textId="77777777" w:rsidTr="00CB0507">
        <w:trPr>
          <w:cantSplit/>
          <w:trHeight w:val="20"/>
        </w:trPr>
        <w:tc>
          <w:tcPr>
            <w:tcW w:w="9017" w:type="dxa"/>
            <w:vAlign w:val="center"/>
            <w:hideMark/>
          </w:tcPr>
          <w:p w14:paraId="282E6728" w14:textId="77777777" w:rsidR="00584398" w:rsidRPr="009D09A6" w:rsidRDefault="00584398" w:rsidP="00584398">
            <w:pPr>
              <w:pStyle w:val="COMTabletext"/>
              <w:keepNext w:val="0"/>
              <w:rPr>
                <w:szCs w:val="20"/>
              </w:rPr>
            </w:pPr>
            <w:r w:rsidRPr="009D09A6">
              <w:rPr>
                <w:b/>
                <w:szCs w:val="20"/>
              </w:rPr>
              <w:t>AND</w:t>
            </w:r>
          </w:p>
        </w:tc>
      </w:tr>
      <w:tr w:rsidR="00584398" w:rsidRPr="009D09A6" w14:paraId="3FEFD331" w14:textId="77777777" w:rsidTr="00CB0507">
        <w:trPr>
          <w:cantSplit/>
          <w:trHeight w:val="20"/>
        </w:trPr>
        <w:tc>
          <w:tcPr>
            <w:tcW w:w="9017" w:type="dxa"/>
            <w:vAlign w:val="center"/>
            <w:hideMark/>
          </w:tcPr>
          <w:p w14:paraId="620DA13F" w14:textId="77777777" w:rsidR="00584398" w:rsidRPr="009D09A6" w:rsidRDefault="00584398" w:rsidP="00584398">
            <w:pPr>
              <w:pStyle w:val="COMTabletext"/>
              <w:keepNext w:val="0"/>
              <w:rPr>
                <w:szCs w:val="20"/>
              </w:rPr>
            </w:pPr>
            <w:r w:rsidRPr="009D09A6">
              <w:rPr>
                <w:b/>
                <w:szCs w:val="20"/>
              </w:rPr>
              <w:t>Clinical criteria:</w:t>
            </w:r>
          </w:p>
        </w:tc>
      </w:tr>
      <w:tr w:rsidR="00584398" w:rsidRPr="009D09A6" w14:paraId="1D67F930" w14:textId="77777777" w:rsidTr="00CB0507">
        <w:trPr>
          <w:cantSplit/>
          <w:trHeight w:val="20"/>
        </w:trPr>
        <w:tc>
          <w:tcPr>
            <w:tcW w:w="9017" w:type="dxa"/>
            <w:vAlign w:val="center"/>
            <w:hideMark/>
          </w:tcPr>
          <w:p w14:paraId="6E85C874" w14:textId="77777777" w:rsidR="00584398" w:rsidRPr="009D09A6" w:rsidRDefault="00584398" w:rsidP="00584398">
            <w:pPr>
              <w:pStyle w:val="COMTabletext"/>
              <w:keepNext w:val="0"/>
              <w:rPr>
                <w:color w:val="0066FF"/>
                <w:szCs w:val="20"/>
              </w:rPr>
            </w:pPr>
            <w:r w:rsidRPr="009D09A6">
              <w:rPr>
                <w:rFonts w:cs="Calibri"/>
                <w:szCs w:val="20"/>
              </w:rPr>
              <w:t>The condition must have an end-diastolic interventricular septal wall thickness of at least 12 mm.</w:t>
            </w:r>
          </w:p>
        </w:tc>
      </w:tr>
      <w:tr w:rsidR="00584398" w:rsidRPr="009D09A6" w14:paraId="06D8AAC0" w14:textId="77777777" w:rsidTr="00CB0507">
        <w:trPr>
          <w:cantSplit/>
          <w:trHeight w:val="20"/>
        </w:trPr>
        <w:tc>
          <w:tcPr>
            <w:tcW w:w="9017" w:type="dxa"/>
            <w:vAlign w:val="center"/>
            <w:hideMark/>
          </w:tcPr>
          <w:p w14:paraId="38CF6168" w14:textId="77777777" w:rsidR="00584398" w:rsidRPr="009D09A6" w:rsidRDefault="00584398" w:rsidP="00584398">
            <w:pPr>
              <w:pStyle w:val="COMTabletext"/>
              <w:keepNext w:val="0"/>
              <w:rPr>
                <w:szCs w:val="20"/>
              </w:rPr>
            </w:pPr>
            <w:r w:rsidRPr="009D09A6">
              <w:rPr>
                <w:b/>
                <w:szCs w:val="20"/>
              </w:rPr>
              <w:t>AND</w:t>
            </w:r>
          </w:p>
        </w:tc>
      </w:tr>
      <w:tr w:rsidR="00584398" w:rsidRPr="009D09A6" w14:paraId="4E262172" w14:textId="77777777" w:rsidTr="00CB0507">
        <w:trPr>
          <w:cantSplit/>
          <w:trHeight w:val="20"/>
        </w:trPr>
        <w:tc>
          <w:tcPr>
            <w:tcW w:w="9017" w:type="dxa"/>
            <w:vAlign w:val="center"/>
            <w:hideMark/>
          </w:tcPr>
          <w:p w14:paraId="411B44AB" w14:textId="77777777" w:rsidR="00584398" w:rsidRPr="009D09A6" w:rsidRDefault="00584398" w:rsidP="00584398">
            <w:pPr>
              <w:pStyle w:val="COMTabletext"/>
              <w:keepNext w:val="0"/>
              <w:rPr>
                <w:szCs w:val="20"/>
              </w:rPr>
            </w:pPr>
            <w:r w:rsidRPr="009D09A6">
              <w:rPr>
                <w:b/>
                <w:szCs w:val="20"/>
              </w:rPr>
              <w:t>Clinical criteria:</w:t>
            </w:r>
          </w:p>
        </w:tc>
      </w:tr>
      <w:tr w:rsidR="00584398" w:rsidRPr="009D09A6" w14:paraId="40D14FE9" w14:textId="77777777" w:rsidTr="00CB0507">
        <w:trPr>
          <w:cantSplit/>
          <w:trHeight w:val="20"/>
        </w:trPr>
        <w:tc>
          <w:tcPr>
            <w:tcW w:w="9017" w:type="dxa"/>
            <w:vAlign w:val="center"/>
            <w:hideMark/>
          </w:tcPr>
          <w:p w14:paraId="27DDFDA3" w14:textId="77777777" w:rsidR="00584398" w:rsidRPr="009D09A6" w:rsidRDefault="00584398" w:rsidP="00584398">
            <w:pPr>
              <w:pStyle w:val="COMTabletext"/>
              <w:keepNext w:val="0"/>
              <w:rPr>
                <w:rFonts w:cs="Calibri"/>
                <w:szCs w:val="20"/>
              </w:rPr>
            </w:pPr>
            <w:r w:rsidRPr="009D09A6">
              <w:rPr>
                <w:rFonts w:cs="Calibri"/>
                <w:szCs w:val="20"/>
              </w:rPr>
              <w:t>The condition must have the presence of transthyretin precursor protein as identified by one of the following:</w:t>
            </w:r>
          </w:p>
          <w:p w14:paraId="0A582D49" w14:textId="77777777" w:rsidR="00584398" w:rsidRPr="009D09A6" w:rsidRDefault="00584398" w:rsidP="00A9171C">
            <w:pPr>
              <w:pStyle w:val="COMTabletext"/>
              <w:keepNext w:val="0"/>
              <w:numPr>
                <w:ilvl w:val="0"/>
                <w:numId w:val="7"/>
              </w:numPr>
              <w:ind w:left="314" w:hanging="284"/>
              <w:rPr>
                <w:rFonts w:cs="Calibri"/>
                <w:szCs w:val="20"/>
              </w:rPr>
            </w:pPr>
            <w:r w:rsidRPr="009D09A6">
              <w:rPr>
                <w:rFonts w:cs="Calibri"/>
                <w:szCs w:val="20"/>
              </w:rPr>
              <w:t xml:space="preserve">Histological confirmation with either immunohistochemistry (confirmed by amyloid expert centre) or mass spectrometry; or </w:t>
            </w:r>
          </w:p>
          <w:p w14:paraId="73CDFF8A" w14:textId="77777777" w:rsidR="00584398" w:rsidRPr="009D09A6" w:rsidRDefault="00584398" w:rsidP="00A9171C">
            <w:pPr>
              <w:pStyle w:val="COMTabletext"/>
              <w:keepNext w:val="0"/>
              <w:numPr>
                <w:ilvl w:val="0"/>
                <w:numId w:val="7"/>
              </w:numPr>
              <w:ind w:left="314" w:hanging="284"/>
              <w:rPr>
                <w:szCs w:val="20"/>
              </w:rPr>
            </w:pPr>
            <w:r w:rsidRPr="009D09A6">
              <w:rPr>
                <w:rFonts w:cs="Calibri"/>
                <w:szCs w:val="20"/>
              </w:rPr>
              <w:t>Grade 2/3 bone scintigraphy with technetium-labelled radioactive tracer in addition to negative results for monoclonal protein on each of the following three tests: serum immunofixation and electrophoresis; urine immunofixation and electrophoresis; and serum free light chains.</w:t>
            </w:r>
          </w:p>
        </w:tc>
      </w:tr>
      <w:tr w:rsidR="00584398" w:rsidRPr="009D09A6" w14:paraId="712A0B79" w14:textId="77777777" w:rsidTr="00CB0507">
        <w:trPr>
          <w:cantSplit/>
          <w:trHeight w:val="20"/>
        </w:trPr>
        <w:tc>
          <w:tcPr>
            <w:tcW w:w="9017" w:type="dxa"/>
            <w:vAlign w:val="center"/>
            <w:hideMark/>
          </w:tcPr>
          <w:p w14:paraId="38F3845F" w14:textId="77777777" w:rsidR="00584398" w:rsidRPr="009D09A6" w:rsidRDefault="00584398" w:rsidP="00584398">
            <w:pPr>
              <w:pStyle w:val="COMTabletext"/>
              <w:keepNext w:val="0"/>
              <w:rPr>
                <w:szCs w:val="20"/>
              </w:rPr>
            </w:pPr>
            <w:r w:rsidRPr="009D09A6">
              <w:rPr>
                <w:b/>
                <w:szCs w:val="20"/>
              </w:rPr>
              <w:t>AND</w:t>
            </w:r>
          </w:p>
        </w:tc>
      </w:tr>
      <w:tr w:rsidR="00584398" w:rsidRPr="009D09A6" w14:paraId="2AC153F9" w14:textId="77777777" w:rsidTr="00CB0507">
        <w:trPr>
          <w:cantSplit/>
          <w:trHeight w:val="20"/>
        </w:trPr>
        <w:tc>
          <w:tcPr>
            <w:tcW w:w="9017" w:type="dxa"/>
            <w:vAlign w:val="center"/>
            <w:hideMark/>
          </w:tcPr>
          <w:p w14:paraId="75070E6D" w14:textId="77777777" w:rsidR="00584398" w:rsidRPr="009D09A6" w:rsidRDefault="00584398" w:rsidP="00584398">
            <w:pPr>
              <w:pStyle w:val="COMTabletext"/>
              <w:keepNext w:val="0"/>
              <w:rPr>
                <w:szCs w:val="20"/>
              </w:rPr>
            </w:pPr>
            <w:r w:rsidRPr="009D09A6">
              <w:rPr>
                <w:b/>
                <w:szCs w:val="20"/>
              </w:rPr>
              <w:t>Clinical criteria:</w:t>
            </w:r>
          </w:p>
        </w:tc>
      </w:tr>
      <w:tr w:rsidR="00584398" w:rsidRPr="009D09A6" w14:paraId="27C6E079" w14:textId="77777777" w:rsidTr="00CB0507">
        <w:trPr>
          <w:cantSplit/>
          <w:trHeight w:val="20"/>
        </w:trPr>
        <w:tc>
          <w:tcPr>
            <w:tcW w:w="9017" w:type="dxa"/>
            <w:vAlign w:val="center"/>
            <w:hideMark/>
          </w:tcPr>
          <w:p w14:paraId="55BF5258" w14:textId="77777777" w:rsidR="00584398" w:rsidRPr="009D09A6" w:rsidRDefault="00584398" w:rsidP="00584398">
            <w:pPr>
              <w:pStyle w:val="COMTabletext"/>
              <w:keepNext w:val="0"/>
              <w:rPr>
                <w:szCs w:val="20"/>
              </w:rPr>
            </w:pPr>
            <w:r w:rsidRPr="009D09A6">
              <w:rPr>
                <w:rFonts w:cs="Calibri"/>
                <w:szCs w:val="20"/>
                <w:lang w:val="en-US"/>
              </w:rPr>
              <w:t>Patient must have an estimated glomerular filtration rate (eGFR) greater than 25 mL/min/1.73 m</w:t>
            </w:r>
            <w:r w:rsidRPr="009D09A6">
              <w:rPr>
                <w:rFonts w:cs="Calibri"/>
                <w:szCs w:val="20"/>
                <w:vertAlign w:val="superscript"/>
                <w:lang w:val="en-US"/>
              </w:rPr>
              <w:t>2</w:t>
            </w:r>
            <w:r w:rsidRPr="009D09A6">
              <w:rPr>
                <w:rFonts w:cs="Calibri"/>
                <w:szCs w:val="20"/>
              </w:rPr>
              <w:t>.</w:t>
            </w:r>
          </w:p>
        </w:tc>
      </w:tr>
      <w:tr w:rsidR="00584398" w:rsidRPr="009D09A6" w14:paraId="3A3D94ED" w14:textId="77777777" w:rsidTr="00CB0507">
        <w:trPr>
          <w:cantSplit/>
          <w:trHeight w:val="20"/>
        </w:trPr>
        <w:tc>
          <w:tcPr>
            <w:tcW w:w="9017" w:type="dxa"/>
            <w:vAlign w:val="center"/>
            <w:hideMark/>
          </w:tcPr>
          <w:p w14:paraId="139E4805" w14:textId="77777777" w:rsidR="00584398" w:rsidRPr="009D09A6" w:rsidRDefault="00584398" w:rsidP="00584398">
            <w:pPr>
              <w:pStyle w:val="COMTabletext"/>
              <w:keepNext w:val="0"/>
              <w:rPr>
                <w:szCs w:val="20"/>
              </w:rPr>
            </w:pPr>
            <w:r w:rsidRPr="009D09A6">
              <w:rPr>
                <w:b/>
                <w:szCs w:val="20"/>
              </w:rPr>
              <w:t>Treatment criteria:</w:t>
            </w:r>
          </w:p>
        </w:tc>
      </w:tr>
      <w:tr w:rsidR="00584398" w:rsidRPr="009D09A6" w14:paraId="052E3AD5" w14:textId="77777777" w:rsidTr="00CB0507">
        <w:trPr>
          <w:cantSplit/>
          <w:trHeight w:val="20"/>
        </w:trPr>
        <w:tc>
          <w:tcPr>
            <w:tcW w:w="9017" w:type="dxa"/>
            <w:tcBorders>
              <w:bottom w:val="single" w:sz="4" w:space="0" w:color="auto"/>
            </w:tcBorders>
            <w:vAlign w:val="center"/>
            <w:hideMark/>
          </w:tcPr>
          <w:p w14:paraId="678708E9" w14:textId="77777777" w:rsidR="00584398" w:rsidRPr="009D09A6" w:rsidRDefault="00584398" w:rsidP="00584398">
            <w:pPr>
              <w:pStyle w:val="COMTabletext"/>
              <w:keepNext w:val="0"/>
              <w:rPr>
                <w:rFonts w:cs="Calibri"/>
                <w:szCs w:val="20"/>
                <w:lang w:eastAsia="en-US"/>
              </w:rPr>
            </w:pPr>
            <w:r w:rsidRPr="009D09A6">
              <w:rPr>
                <w:rFonts w:eastAsia="Calibri" w:cs="Calibri"/>
                <w:szCs w:val="20"/>
                <w:lang w:eastAsia="en-US"/>
              </w:rPr>
              <w:t>Must be treated by a specialist cardiologist; or</w:t>
            </w:r>
          </w:p>
          <w:p w14:paraId="426DB10E" w14:textId="77777777" w:rsidR="00584398" w:rsidRPr="009D09A6" w:rsidRDefault="00584398" w:rsidP="00584398">
            <w:pPr>
              <w:pStyle w:val="COMTabletext"/>
              <w:keepNext w:val="0"/>
              <w:rPr>
                <w:szCs w:val="20"/>
              </w:rPr>
            </w:pPr>
            <w:r w:rsidRPr="009D09A6">
              <w:rPr>
                <w:rFonts w:eastAsia="Calibri" w:cs="Calibri"/>
                <w:szCs w:val="20"/>
                <w:lang w:eastAsia="en-US"/>
              </w:rPr>
              <w:t>Must be treated by a consultant physician with experience in the management of amyloid disorders.</w:t>
            </w:r>
          </w:p>
        </w:tc>
      </w:tr>
      <w:tr w:rsidR="00584398" w:rsidRPr="009D09A6" w14:paraId="6035A518" w14:textId="77777777" w:rsidTr="00CB0507">
        <w:trPr>
          <w:cantSplit/>
          <w:trHeight w:val="20"/>
        </w:trPr>
        <w:tc>
          <w:tcPr>
            <w:tcW w:w="9017" w:type="dxa"/>
            <w:tcBorders>
              <w:bottom w:val="single" w:sz="4" w:space="0" w:color="auto"/>
            </w:tcBorders>
            <w:vAlign w:val="center"/>
            <w:hideMark/>
          </w:tcPr>
          <w:p w14:paraId="5993C190" w14:textId="77777777" w:rsidR="00584398" w:rsidRPr="009D09A6" w:rsidRDefault="00584398" w:rsidP="00584398">
            <w:pPr>
              <w:spacing w:before="40"/>
              <w:rPr>
                <w:rFonts w:ascii="Arial Narrow" w:eastAsia="Calibri" w:hAnsi="Arial Narrow" w:cs="Calibri"/>
                <w:sz w:val="20"/>
                <w:szCs w:val="20"/>
                <w:lang w:eastAsia="en-US"/>
              </w:rPr>
            </w:pPr>
            <w:r w:rsidRPr="009D09A6">
              <w:rPr>
                <w:rFonts w:ascii="Arial Narrow" w:eastAsiaTheme="majorEastAsia" w:hAnsi="Arial Narrow" w:cstheme="majorBidi"/>
                <w:b/>
                <w:bCs/>
                <w:sz w:val="20"/>
                <w:szCs w:val="20"/>
              </w:rPr>
              <w:t>Prescribing Instructions:</w:t>
            </w:r>
            <w:r w:rsidRPr="009D09A6">
              <w:rPr>
                <w:rFonts w:ascii="Arial Narrow" w:hAnsi="Arial Narrow"/>
                <w:b/>
                <w:sz w:val="20"/>
                <w:szCs w:val="20"/>
              </w:rPr>
              <w:t xml:space="preserve"> </w:t>
            </w:r>
            <w:r w:rsidRPr="009D09A6">
              <w:rPr>
                <w:rFonts w:ascii="Arial Narrow" w:eastAsia="Calibri" w:hAnsi="Arial Narrow" w:cs="Calibri"/>
                <w:sz w:val="20"/>
                <w:szCs w:val="20"/>
                <w:lang w:eastAsia="en-US"/>
              </w:rPr>
              <w:t>Evidence or history of heart failure must comprise one of the following:</w:t>
            </w:r>
          </w:p>
          <w:p w14:paraId="14759665" w14:textId="63E52E31" w:rsidR="00584398" w:rsidRPr="009D09A6" w:rsidRDefault="00584398" w:rsidP="00A9171C">
            <w:pPr>
              <w:pStyle w:val="COMTabletext"/>
              <w:keepNext w:val="0"/>
              <w:numPr>
                <w:ilvl w:val="0"/>
                <w:numId w:val="8"/>
              </w:numPr>
              <w:ind w:left="322" w:hanging="292"/>
              <w:rPr>
                <w:rFonts w:cs="Calibri"/>
                <w:szCs w:val="20"/>
              </w:rPr>
            </w:pPr>
            <w:r w:rsidRPr="009D09A6">
              <w:rPr>
                <w:rFonts w:cs="Calibri"/>
                <w:szCs w:val="20"/>
              </w:rPr>
              <w:t>History of one or more hospitalisations for heart failure,</w:t>
            </w:r>
            <w:r>
              <w:rPr>
                <w:rFonts w:cs="Calibri"/>
                <w:szCs w:val="20"/>
              </w:rPr>
              <w:t xml:space="preserve"> </w:t>
            </w:r>
          </w:p>
          <w:p w14:paraId="7E175570" w14:textId="77777777" w:rsidR="00584398" w:rsidRPr="009D09A6" w:rsidRDefault="00584398" w:rsidP="00A9171C">
            <w:pPr>
              <w:pStyle w:val="COMTabletext"/>
              <w:keepNext w:val="0"/>
              <w:numPr>
                <w:ilvl w:val="0"/>
                <w:numId w:val="8"/>
              </w:numPr>
              <w:ind w:left="322" w:hanging="292"/>
              <w:rPr>
                <w:szCs w:val="20"/>
              </w:rPr>
            </w:pPr>
            <w:r w:rsidRPr="009D09A6">
              <w:rPr>
                <w:rFonts w:cs="Calibri"/>
                <w:szCs w:val="20"/>
              </w:rPr>
              <w:t>Clinical evidence of heart failure without hospitalisation that required treatment with a diuretic for improvement.</w:t>
            </w:r>
          </w:p>
        </w:tc>
      </w:tr>
    </w:tbl>
    <w:p w14:paraId="3BF2971C" w14:textId="77777777" w:rsidR="00B85AEC" w:rsidRPr="00CF1F1E" w:rsidRDefault="00B85AEC" w:rsidP="006D3E57">
      <w:pPr>
        <w:rPr>
          <w:rFonts w:ascii="Arial Narrow" w:eastAsiaTheme="majorEastAsia" w:hAnsi="Arial Narrow" w:cstheme="majorBidi"/>
          <w:b/>
          <w:bCs/>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09412F" w:rsidRPr="009D09A6" w14:paraId="34E754A5" w14:textId="77777777" w:rsidTr="00E9397C">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6357A87B" w14:textId="77777777" w:rsidR="0009412F" w:rsidRPr="005F7282" w:rsidRDefault="0009412F" w:rsidP="00E9397C">
            <w:pPr>
              <w:spacing w:before="40"/>
              <w:rPr>
                <w:rFonts w:ascii="Arial Narrow" w:eastAsiaTheme="majorEastAsia" w:hAnsi="Arial Narrow" w:cstheme="majorBidi"/>
                <w:b/>
                <w:bCs/>
                <w:sz w:val="20"/>
                <w:szCs w:val="20"/>
              </w:rPr>
            </w:pPr>
            <w:r w:rsidRPr="005F7282">
              <w:rPr>
                <w:rFonts w:ascii="Arial Narrow" w:eastAsiaTheme="majorEastAsia" w:hAnsi="Arial Narrow" w:cstheme="majorBidi"/>
                <w:b/>
                <w:bCs/>
                <w:sz w:val="20"/>
                <w:szCs w:val="20"/>
              </w:rPr>
              <w:t xml:space="preserve">Treatment Phase: </w:t>
            </w:r>
            <w:r w:rsidRPr="005F7282">
              <w:rPr>
                <w:rFonts w:ascii="Arial Narrow" w:eastAsiaTheme="majorEastAsia" w:hAnsi="Arial Narrow" w:cstheme="majorBidi"/>
                <w:sz w:val="20"/>
                <w:szCs w:val="20"/>
              </w:rPr>
              <w:t>Continuing treatment phase</w:t>
            </w:r>
          </w:p>
        </w:tc>
      </w:tr>
      <w:bookmarkEnd w:id="13"/>
      <w:tr w:rsidR="005F7282" w:rsidRPr="009D09A6" w14:paraId="00C67812" w14:textId="77777777" w:rsidTr="005F7282">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48D72580" w14:textId="64D92E0D" w:rsidR="005F7282" w:rsidRPr="005F7282" w:rsidRDefault="005F7282" w:rsidP="005F7282">
            <w:pPr>
              <w:spacing w:before="40"/>
              <w:rPr>
                <w:rFonts w:ascii="Arial Narrow" w:eastAsiaTheme="majorEastAsia" w:hAnsi="Arial Narrow" w:cstheme="majorBidi"/>
                <w:b/>
                <w:bCs/>
                <w:sz w:val="20"/>
                <w:szCs w:val="20"/>
              </w:rPr>
            </w:pPr>
            <w:r w:rsidRPr="005F7282">
              <w:rPr>
                <w:rFonts w:ascii="Arial Narrow" w:eastAsiaTheme="majorEastAsia" w:hAnsi="Arial Narrow" w:cstheme="majorBidi"/>
                <w:b/>
                <w:bCs/>
                <w:sz w:val="20"/>
                <w:szCs w:val="20"/>
              </w:rPr>
              <w:t xml:space="preserve">Restriction type: </w:t>
            </w:r>
            <w:r w:rsidRPr="005F7282">
              <w:rPr>
                <w:rFonts w:ascii="Arial Narrow" w:eastAsiaTheme="majorEastAsia" w:hAnsi="Arial Narrow" w:cstheme="majorBidi"/>
                <w:sz w:val="20"/>
                <w:szCs w:val="20"/>
              </w:rPr>
              <w:fldChar w:fldCharType="begin" w:fldLock="1">
                <w:ffData>
                  <w:name w:val=""/>
                  <w:enabled/>
                  <w:calcOnExit w:val="0"/>
                  <w:checkBox>
                    <w:sizeAuto/>
                    <w:default w:val="1"/>
                  </w:checkBox>
                </w:ffData>
              </w:fldChar>
            </w:r>
            <w:r w:rsidRPr="005F7282">
              <w:rPr>
                <w:rFonts w:ascii="Arial Narrow" w:eastAsiaTheme="majorEastAsia" w:hAnsi="Arial Narrow" w:cstheme="majorBidi"/>
                <w:sz w:val="20"/>
                <w:szCs w:val="20"/>
              </w:rPr>
              <w:instrText xml:space="preserve"> FORMCHECKBOX </w:instrText>
            </w:r>
            <w:r w:rsidR="004826FD">
              <w:rPr>
                <w:rFonts w:ascii="Arial Narrow" w:eastAsiaTheme="majorEastAsia" w:hAnsi="Arial Narrow" w:cstheme="majorBidi"/>
                <w:sz w:val="20"/>
                <w:szCs w:val="20"/>
              </w:rPr>
            </w:r>
            <w:r w:rsidR="004826FD">
              <w:rPr>
                <w:rFonts w:ascii="Arial Narrow" w:eastAsiaTheme="majorEastAsia" w:hAnsi="Arial Narrow" w:cstheme="majorBidi"/>
                <w:sz w:val="20"/>
                <w:szCs w:val="20"/>
              </w:rPr>
              <w:fldChar w:fldCharType="separate"/>
            </w:r>
            <w:r w:rsidRPr="005F7282">
              <w:rPr>
                <w:rFonts w:ascii="Arial Narrow" w:eastAsiaTheme="majorEastAsia" w:hAnsi="Arial Narrow" w:cstheme="majorBidi"/>
                <w:sz w:val="20"/>
                <w:szCs w:val="20"/>
              </w:rPr>
              <w:fldChar w:fldCharType="end"/>
            </w:r>
            <w:r w:rsidRPr="005F7282">
              <w:rPr>
                <w:rFonts w:ascii="Arial Narrow" w:eastAsiaTheme="majorEastAsia" w:hAnsi="Arial Narrow" w:cstheme="majorBidi"/>
                <w:sz w:val="20"/>
                <w:szCs w:val="20"/>
              </w:rPr>
              <w:t>Authority Required – immediate/real time assessment by Medicare (telephone/online/emergency)</w:t>
            </w:r>
            <w:r w:rsidR="000E7765">
              <w:rPr>
                <w:rFonts w:ascii="Arial Narrow" w:eastAsiaTheme="majorEastAsia" w:hAnsi="Arial Narrow" w:cstheme="majorBidi"/>
                <w:sz w:val="20"/>
                <w:szCs w:val="20"/>
              </w:rPr>
              <w:t xml:space="preserve"> </w:t>
            </w:r>
          </w:p>
        </w:tc>
      </w:tr>
      <w:tr w:rsidR="005F7282" w:rsidRPr="009D09A6" w14:paraId="2C98DEAB" w14:textId="77777777" w:rsidTr="005F7282">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477D4A51" w14:textId="77777777" w:rsidR="005F7282" w:rsidRPr="005F7282" w:rsidRDefault="005F7282" w:rsidP="005F7282">
            <w:pPr>
              <w:spacing w:before="40"/>
              <w:rPr>
                <w:rFonts w:ascii="Arial Narrow" w:eastAsiaTheme="majorEastAsia" w:hAnsi="Arial Narrow" w:cstheme="majorBidi"/>
                <w:b/>
                <w:bCs/>
                <w:sz w:val="20"/>
                <w:szCs w:val="20"/>
              </w:rPr>
            </w:pPr>
            <w:r w:rsidRPr="005F7282">
              <w:rPr>
                <w:rFonts w:ascii="Arial Narrow" w:eastAsiaTheme="majorEastAsia" w:hAnsi="Arial Narrow" w:cstheme="majorBidi"/>
                <w:b/>
                <w:bCs/>
                <w:sz w:val="20"/>
                <w:szCs w:val="20"/>
              </w:rPr>
              <w:t xml:space="preserve">Indication: </w:t>
            </w:r>
            <w:r w:rsidRPr="005F7282">
              <w:rPr>
                <w:rFonts w:ascii="Arial Narrow" w:eastAsiaTheme="majorEastAsia" w:hAnsi="Arial Narrow" w:cstheme="majorBidi"/>
                <w:sz w:val="20"/>
                <w:szCs w:val="20"/>
              </w:rPr>
              <w:t>Transthyretin amyloid cardiomyopathy</w:t>
            </w:r>
          </w:p>
        </w:tc>
      </w:tr>
      <w:tr w:rsidR="005F7282" w:rsidRPr="009D09A6" w14:paraId="40731622" w14:textId="77777777" w:rsidTr="005F7282">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3E403662" w14:textId="77777777" w:rsidR="005F7282" w:rsidRPr="005F7282" w:rsidRDefault="005F7282" w:rsidP="005F7282">
            <w:pPr>
              <w:spacing w:before="40"/>
              <w:rPr>
                <w:rFonts w:ascii="Arial Narrow" w:eastAsiaTheme="majorEastAsia" w:hAnsi="Arial Narrow" w:cstheme="majorBidi"/>
                <w:b/>
                <w:bCs/>
                <w:sz w:val="20"/>
                <w:szCs w:val="20"/>
              </w:rPr>
            </w:pPr>
            <w:r w:rsidRPr="005F7282">
              <w:rPr>
                <w:rFonts w:ascii="Arial Narrow" w:eastAsiaTheme="majorEastAsia" w:hAnsi="Arial Narrow" w:cstheme="majorBidi"/>
                <w:b/>
                <w:bCs/>
                <w:sz w:val="20"/>
                <w:szCs w:val="20"/>
              </w:rPr>
              <w:t>Clinical criteria:</w:t>
            </w:r>
          </w:p>
        </w:tc>
      </w:tr>
      <w:tr w:rsidR="005F7282" w:rsidRPr="009D09A6" w14:paraId="152264DB" w14:textId="77777777" w:rsidTr="005F7282">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1A24E999" w14:textId="77777777" w:rsidR="005F7282" w:rsidRPr="0009412F" w:rsidRDefault="005F7282" w:rsidP="005F7282">
            <w:pPr>
              <w:spacing w:before="40"/>
              <w:rPr>
                <w:rFonts w:ascii="Arial Narrow" w:eastAsiaTheme="majorEastAsia" w:hAnsi="Arial Narrow" w:cstheme="majorBidi"/>
                <w:sz w:val="20"/>
                <w:szCs w:val="20"/>
              </w:rPr>
            </w:pPr>
            <w:r w:rsidRPr="0009412F">
              <w:rPr>
                <w:rFonts w:ascii="Arial Narrow" w:eastAsiaTheme="majorEastAsia" w:hAnsi="Arial Narrow" w:cstheme="majorBidi"/>
                <w:sz w:val="20"/>
                <w:szCs w:val="20"/>
              </w:rPr>
              <w:t>Patient must have previously received PBS-subsidised treatment with this drug for this condition.</w:t>
            </w:r>
          </w:p>
        </w:tc>
      </w:tr>
      <w:tr w:rsidR="005F7282" w:rsidRPr="009D09A6" w14:paraId="56B3A2B6" w14:textId="77777777" w:rsidTr="005F7282">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6383E9F7" w14:textId="77777777" w:rsidR="005F7282" w:rsidRPr="005F7282" w:rsidRDefault="005F7282" w:rsidP="005F7282">
            <w:pPr>
              <w:spacing w:before="40"/>
              <w:rPr>
                <w:rFonts w:ascii="Arial Narrow" w:eastAsiaTheme="majorEastAsia" w:hAnsi="Arial Narrow" w:cstheme="majorBidi"/>
                <w:b/>
                <w:bCs/>
                <w:sz w:val="20"/>
                <w:szCs w:val="20"/>
              </w:rPr>
            </w:pPr>
            <w:r w:rsidRPr="005F7282">
              <w:rPr>
                <w:rFonts w:ascii="Arial Narrow" w:eastAsiaTheme="majorEastAsia" w:hAnsi="Arial Narrow" w:cstheme="majorBidi"/>
                <w:b/>
                <w:bCs/>
                <w:sz w:val="20"/>
                <w:szCs w:val="20"/>
              </w:rPr>
              <w:t>AND</w:t>
            </w:r>
          </w:p>
        </w:tc>
      </w:tr>
      <w:tr w:rsidR="005F7282" w:rsidRPr="009D09A6" w14:paraId="01194E9B" w14:textId="77777777" w:rsidTr="005F7282">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4476153B" w14:textId="77777777" w:rsidR="005F7282" w:rsidRPr="005F7282" w:rsidRDefault="005F7282" w:rsidP="005F7282">
            <w:pPr>
              <w:spacing w:before="40"/>
              <w:rPr>
                <w:rFonts w:ascii="Arial Narrow" w:eastAsiaTheme="majorEastAsia" w:hAnsi="Arial Narrow" w:cstheme="majorBidi"/>
                <w:b/>
                <w:bCs/>
                <w:sz w:val="20"/>
                <w:szCs w:val="20"/>
              </w:rPr>
            </w:pPr>
            <w:r w:rsidRPr="005F7282">
              <w:rPr>
                <w:rFonts w:ascii="Arial Narrow" w:eastAsiaTheme="majorEastAsia" w:hAnsi="Arial Narrow" w:cstheme="majorBidi"/>
                <w:b/>
                <w:bCs/>
                <w:sz w:val="20"/>
                <w:szCs w:val="20"/>
              </w:rPr>
              <w:t>Clinical criteria:</w:t>
            </w:r>
          </w:p>
        </w:tc>
      </w:tr>
      <w:tr w:rsidR="005F7282" w:rsidRPr="0009412F" w14:paraId="09338F32" w14:textId="77777777" w:rsidTr="005F7282">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42E93F70" w14:textId="77777777" w:rsidR="005F7282" w:rsidRPr="0009412F" w:rsidRDefault="005F7282" w:rsidP="005F7282">
            <w:pPr>
              <w:spacing w:before="40"/>
              <w:rPr>
                <w:rFonts w:ascii="Arial Narrow" w:eastAsiaTheme="majorEastAsia" w:hAnsi="Arial Narrow" w:cstheme="majorBidi"/>
                <w:sz w:val="20"/>
                <w:szCs w:val="20"/>
              </w:rPr>
            </w:pPr>
            <w:r w:rsidRPr="0009412F">
              <w:rPr>
                <w:rFonts w:ascii="Arial Narrow" w:eastAsiaTheme="majorEastAsia" w:hAnsi="Arial Narrow" w:cstheme="majorBidi"/>
                <w:sz w:val="20"/>
                <w:szCs w:val="20"/>
              </w:rPr>
              <w:t>Patient must have an estimated glomerular filtration rate (eGFR) greater than 25 mL/min/1.73 m</w:t>
            </w:r>
            <w:r w:rsidRPr="00C24C3D">
              <w:rPr>
                <w:rFonts w:ascii="Arial Narrow" w:eastAsiaTheme="majorEastAsia" w:hAnsi="Arial Narrow" w:cstheme="majorBidi"/>
                <w:sz w:val="20"/>
                <w:szCs w:val="20"/>
                <w:vertAlign w:val="superscript"/>
              </w:rPr>
              <w:t>2</w:t>
            </w:r>
            <w:r w:rsidRPr="0009412F">
              <w:rPr>
                <w:rFonts w:ascii="Arial Narrow" w:eastAsiaTheme="majorEastAsia" w:hAnsi="Arial Narrow" w:cstheme="majorBidi"/>
                <w:sz w:val="20"/>
                <w:szCs w:val="20"/>
              </w:rPr>
              <w:t>.</w:t>
            </w:r>
          </w:p>
        </w:tc>
      </w:tr>
      <w:tr w:rsidR="005F7282" w:rsidRPr="009D09A6" w14:paraId="6EC936FA" w14:textId="77777777" w:rsidTr="005F7282">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1A093880" w14:textId="77777777" w:rsidR="005F7282" w:rsidRPr="005F7282" w:rsidRDefault="005F7282" w:rsidP="005F7282">
            <w:pPr>
              <w:spacing w:before="40"/>
              <w:rPr>
                <w:rFonts w:ascii="Arial Narrow" w:eastAsiaTheme="majorEastAsia" w:hAnsi="Arial Narrow" w:cstheme="majorBidi"/>
                <w:b/>
                <w:bCs/>
                <w:sz w:val="20"/>
                <w:szCs w:val="20"/>
              </w:rPr>
            </w:pPr>
            <w:r w:rsidRPr="005F7282">
              <w:rPr>
                <w:rFonts w:ascii="Arial Narrow" w:eastAsiaTheme="majorEastAsia" w:hAnsi="Arial Narrow" w:cstheme="majorBidi"/>
                <w:b/>
                <w:bCs/>
                <w:sz w:val="20"/>
                <w:szCs w:val="20"/>
              </w:rPr>
              <w:t>AND</w:t>
            </w:r>
          </w:p>
        </w:tc>
      </w:tr>
      <w:tr w:rsidR="005F7282" w:rsidRPr="009D09A6" w14:paraId="4A2618B0" w14:textId="77777777" w:rsidTr="005F7282">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384F02AA" w14:textId="77777777" w:rsidR="005F7282" w:rsidRPr="005F7282" w:rsidRDefault="005F7282" w:rsidP="005F7282">
            <w:pPr>
              <w:spacing w:before="40"/>
              <w:rPr>
                <w:rFonts w:ascii="Arial Narrow" w:eastAsiaTheme="majorEastAsia" w:hAnsi="Arial Narrow" w:cstheme="majorBidi"/>
                <w:b/>
                <w:bCs/>
                <w:sz w:val="20"/>
                <w:szCs w:val="20"/>
              </w:rPr>
            </w:pPr>
            <w:r w:rsidRPr="005F7282">
              <w:rPr>
                <w:rFonts w:ascii="Arial Narrow" w:eastAsiaTheme="majorEastAsia" w:hAnsi="Arial Narrow" w:cstheme="majorBidi"/>
                <w:b/>
                <w:bCs/>
                <w:sz w:val="20"/>
                <w:szCs w:val="20"/>
              </w:rPr>
              <w:t>Clinical criteria:</w:t>
            </w:r>
          </w:p>
        </w:tc>
      </w:tr>
      <w:tr w:rsidR="005F7282" w:rsidRPr="0009412F" w14:paraId="089B66D3" w14:textId="77777777" w:rsidTr="005F7282">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328DE51D" w14:textId="77777777" w:rsidR="005F7282" w:rsidRPr="0009412F" w:rsidRDefault="005F7282" w:rsidP="005F7282">
            <w:pPr>
              <w:spacing w:before="40"/>
              <w:rPr>
                <w:rFonts w:ascii="Arial Narrow" w:eastAsiaTheme="majorEastAsia" w:hAnsi="Arial Narrow" w:cstheme="majorBidi"/>
                <w:sz w:val="20"/>
                <w:szCs w:val="20"/>
              </w:rPr>
            </w:pPr>
            <w:r w:rsidRPr="0009412F">
              <w:rPr>
                <w:rFonts w:ascii="Arial Narrow" w:eastAsiaTheme="majorEastAsia" w:hAnsi="Arial Narrow" w:cstheme="majorBidi"/>
                <w:sz w:val="20"/>
                <w:szCs w:val="20"/>
              </w:rPr>
              <w:t>Patient must have New York Heart Association class I to II heart failure.</w:t>
            </w:r>
          </w:p>
        </w:tc>
      </w:tr>
      <w:tr w:rsidR="005F7282" w:rsidRPr="009D09A6" w14:paraId="257A7A39" w14:textId="77777777" w:rsidTr="005F7282">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4CC46599" w14:textId="77777777" w:rsidR="005F7282" w:rsidRPr="005F7282" w:rsidRDefault="005F7282" w:rsidP="005F7282">
            <w:pPr>
              <w:spacing w:before="40"/>
              <w:rPr>
                <w:rFonts w:ascii="Arial Narrow" w:eastAsiaTheme="majorEastAsia" w:hAnsi="Arial Narrow" w:cstheme="majorBidi"/>
                <w:b/>
                <w:bCs/>
                <w:sz w:val="20"/>
                <w:szCs w:val="20"/>
              </w:rPr>
            </w:pPr>
            <w:r w:rsidRPr="005F7282">
              <w:rPr>
                <w:rFonts w:ascii="Arial Narrow" w:eastAsiaTheme="majorEastAsia" w:hAnsi="Arial Narrow" w:cstheme="majorBidi"/>
                <w:b/>
                <w:bCs/>
                <w:sz w:val="20"/>
                <w:szCs w:val="20"/>
              </w:rPr>
              <w:t>Treatment criteria:</w:t>
            </w:r>
          </w:p>
        </w:tc>
      </w:tr>
      <w:tr w:rsidR="005F7282" w:rsidRPr="0009412F" w14:paraId="5FD17A93" w14:textId="77777777" w:rsidTr="005F7282">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66AF95CD" w14:textId="77777777" w:rsidR="005F7282" w:rsidRPr="0009412F" w:rsidRDefault="005F7282" w:rsidP="005F7282">
            <w:pPr>
              <w:spacing w:before="40"/>
              <w:rPr>
                <w:rFonts w:ascii="Arial Narrow" w:eastAsiaTheme="majorEastAsia" w:hAnsi="Arial Narrow" w:cstheme="majorBidi"/>
                <w:sz w:val="20"/>
                <w:szCs w:val="20"/>
              </w:rPr>
            </w:pPr>
            <w:r w:rsidRPr="0009412F">
              <w:rPr>
                <w:rFonts w:ascii="Arial Narrow" w:eastAsiaTheme="majorEastAsia" w:hAnsi="Arial Narrow" w:cstheme="majorBidi"/>
                <w:sz w:val="20"/>
                <w:szCs w:val="20"/>
              </w:rPr>
              <w:t>Must be treated by a specialist cardiologist; or</w:t>
            </w:r>
          </w:p>
          <w:p w14:paraId="7912C30B" w14:textId="77777777" w:rsidR="005F7282" w:rsidRPr="0009412F" w:rsidRDefault="005F7282" w:rsidP="005F7282">
            <w:pPr>
              <w:spacing w:before="40"/>
              <w:rPr>
                <w:rFonts w:ascii="Arial Narrow" w:eastAsiaTheme="majorEastAsia" w:hAnsi="Arial Narrow" w:cstheme="majorBidi"/>
                <w:sz w:val="20"/>
                <w:szCs w:val="20"/>
              </w:rPr>
            </w:pPr>
            <w:r w:rsidRPr="0009412F">
              <w:rPr>
                <w:rFonts w:ascii="Arial Narrow" w:eastAsiaTheme="majorEastAsia" w:hAnsi="Arial Narrow" w:cstheme="majorBidi"/>
                <w:sz w:val="20"/>
                <w:szCs w:val="20"/>
              </w:rPr>
              <w:t>Must be treated by a consultant physician with experience in the management of amyloid disorders.</w:t>
            </w:r>
          </w:p>
        </w:tc>
      </w:tr>
      <w:tr w:rsidR="005F7282" w:rsidRPr="009D09A6" w14:paraId="0F2B06BF" w14:textId="77777777" w:rsidTr="005F7282">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025843BB" w14:textId="77777777" w:rsidR="005F7282" w:rsidRPr="005F7282" w:rsidRDefault="005F7282" w:rsidP="00FC47A0">
            <w:pPr>
              <w:spacing w:before="40"/>
              <w:rPr>
                <w:rFonts w:ascii="Arial Narrow" w:eastAsiaTheme="majorEastAsia" w:hAnsi="Arial Narrow" w:cstheme="majorBidi"/>
                <w:b/>
                <w:bCs/>
                <w:sz w:val="20"/>
                <w:szCs w:val="20"/>
              </w:rPr>
            </w:pPr>
            <w:r w:rsidRPr="009D09A6">
              <w:rPr>
                <w:rFonts w:ascii="Arial Narrow" w:eastAsiaTheme="majorEastAsia" w:hAnsi="Arial Narrow" w:cstheme="majorBidi"/>
                <w:b/>
                <w:bCs/>
                <w:sz w:val="20"/>
                <w:szCs w:val="20"/>
              </w:rPr>
              <w:t>Prescribing Instructions:</w:t>
            </w:r>
            <w:r w:rsidRPr="005F7282">
              <w:rPr>
                <w:rFonts w:ascii="Arial Narrow" w:eastAsiaTheme="majorEastAsia" w:hAnsi="Arial Narrow" w:cstheme="majorBidi"/>
                <w:b/>
                <w:bCs/>
                <w:sz w:val="20"/>
                <w:szCs w:val="20"/>
              </w:rPr>
              <w:t xml:space="preserve"> </w:t>
            </w:r>
          </w:p>
        </w:tc>
      </w:tr>
      <w:tr w:rsidR="005F7282" w:rsidRPr="0009412F" w14:paraId="535985BE" w14:textId="77777777" w:rsidTr="005F7282">
        <w:trPr>
          <w:cantSplit/>
          <w:trHeight w:val="20"/>
        </w:trPr>
        <w:tc>
          <w:tcPr>
            <w:tcW w:w="9017" w:type="dxa"/>
            <w:tcBorders>
              <w:top w:val="single" w:sz="4" w:space="0" w:color="auto"/>
              <w:left w:val="single" w:sz="4" w:space="0" w:color="auto"/>
              <w:bottom w:val="single" w:sz="4" w:space="0" w:color="auto"/>
              <w:right w:val="single" w:sz="4" w:space="0" w:color="auto"/>
            </w:tcBorders>
            <w:vAlign w:val="center"/>
            <w:hideMark/>
          </w:tcPr>
          <w:p w14:paraId="00AE8E82" w14:textId="77777777" w:rsidR="005F7282" w:rsidRPr="0009412F" w:rsidRDefault="005F7282" w:rsidP="00FC47A0">
            <w:pPr>
              <w:spacing w:before="40"/>
              <w:rPr>
                <w:rFonts w:ascii="Arial Narrow" w:eastAsiaTheme="majorEastAsia" w:hAnsi="Arial Narrow" w:cstheme="majorBidi"/>
                <w:sz w:val="20"/>
                <w:szCs w:val="20"/>
              </w:rPr>
            </w:pPr>
            <w:r w:rsidRPr="0009412F">
              <w:rPr>
                <w:rFonts w:ascii="Arial Narrow" w:eastAsiaTheme="majorEastAsia" w:hAnsi="Arial Narrow" w:cstheme="majorBidi"/>
                <w:sz w:val="20"/>
                <w:szCs w:val="20"/>
              </w:rPr>
              <w:t xml:space="preserve">The treatment must be ceased if any of the following occur: </w:t>
            </w:r>
          </w:p>
          <w:p w14:paraId="439DAF6C" w14:textId="77777777" w:rsidR="005F7282" w:rsidRPr="0009412F" w:rsidRDefault="005F7282" w:rsidP="00A9171C">
            <w:pPr>
              <w:pStyle w:val="COMTabletext"/>
              <w:keepLines/>
              <w:numPr>
                <w:ilvl w:val="0"/>
                <w:numId w:val="9"/>
              </w:numPr>
              <w:ind w:left="322" w:hanging="292"/>
              <w:rPr>
                <w:bCs w:val="0"/>
                <w:szCs w:val="20"/>
              </w:rPr>
            </w:pPr>
            <w:r w:rsidRPr="0009412F">
              <w:rPr>
                <w:bCs w:val="0"/>
                <w:szCs w:val="20"/>
              </w:rPr>
              <w:t>Patient progresses to New York Heart Association class III confirmed by a further assessment within 3-6 months.</w:t>
            </w:r>
          </w:p>
          <w:p w14:paraId="135FA3CC" w14:textId="77777777" w:rsidR="005F7282" w:rsidRPr="0009412F" w:rsidRDefault="005F7282" w:rsidP="00A9171C">
            <w:pPr>
              <w:pStyle w:val="COMTabletext"/>
              <w:keepLines/>
              <w:numPr>
                <w:ilvl w:val="0"/>
                <w:numId w:val="9"/>
              </w:numPr>
              <w:ind w:left="322" w:hanging="292"/>
              <w:rPr>
                <w:bCs w:val="0"/>
                <w:szCs w:val="20"/>
              </w:rPr>
            </w:pPr>
            <w:r w:rsidRPr="0009412F">
              <w:rPr>
                <w:bCs w:val="0"/>
                <w:szCs w:val="20"/>
              </w:rPr>
              <w:t>Patient progresses to New York Heart Association class IV heart failure.</w:t>
            </w:r>
          </w:p>
          <w:p w14:paraId="571B74B7" w14:textId="77777777" w:rsidR="005F7282" w:rsidRPr="0009412F" w:rsidRDefault="005F7282" w:rsidP="00A9171C">
            <w:pPr>
              <w:pStyle w:val="COMTabletext"/>
              <w:keepLines/>
              <w:numPr>
                <w:ilvl w:val="0"/>
                <w:numId w:val="9"/>
              </w:numPr>
              <w:ind w:left="322" w:hanging="292"/>
              <w:rPr>
                <w:bCs w:val="0"/>
                <w:szCs w:val="20"/>
              </w:rPr>
            </w:pPr>
            <w:r w:rsidRPr="0009412F">
              <w:rPr>
                <w:bCs w:val="0"/>
                <w:szCs w:val="20"/>
              </w:rPr>
              <w:t>Patient receives a heart / liver transplant, or an implanted cardiac ventricular assist device.</w:t>
            </w:r>
          </w:p>
        </w:tc>
      </w:tr>
    </w:tbl>
    <w:p w14:paraId="22BAEBD6" w14:textId="4BC47E0E" w:rsidR="00046D64" w:rsidRPr="00882085" w:rsidRDefault="005F7282" w:rsidP="005F7282">
      <w:pPr>
        <w:pStyle w:val="COMTablefooter"/>
      </w:pPr>
      <w:r>
        <w:t>Source: Tables 1.4.2 and 1.4.3, p</w:t>
      </w:r>
      <w:r w:rsidR="00886855">
        <w:t>p</w:t>
      </w:r>
      <w:r>
        <w:t xml:space="preserve">36-37 </w:t>
      </w:r>
      <w:r w:rsidRPr="00D13A3E">
        <w:t xml:space="preserve">of the </w:t>
      </w:r>
      <w:r>
        <w:t xml:space="preserve">resubmission. </w:t>
      </w:r>
    </w:p>
    <w:p w14:paraId="78FD4C41" w14:textId="7A7FDA1C" w:rsidR="0064434C" w:rsidRPr="00A523D0" w:rsidRDefault="00A523D0" w:rsidP="00F9393E">
      <w:pPr>
        <w:pStyle w:val="COMexecsumnumberedpara"/>
        <w:rPr>
          <w:color w:val="0066FF"/>
        </w:rPr>
      </w:pPr>
      <w:r w:rsidRPr="00A523D0">
        <w:t>The resubmission proposed a special pricing arrangement with an initial effective price of $</w:t>
      </w:r>
      <w:r w:rsidR="00B474C2" w:rsidRPr="00D774EA">
        <w:rPr>
          <w:color w:val="000000"/>
          <w:w w:val="15"/>
          <w:shd w:val="solid" w:color="000000" w:fill="000000"/>
          <w:fitText w:val="-20" w:id="-1168367347"/>
          <w14:textFill>
            <w14:solidFill>
              <w14:srgbClr w14:val="000000">
                <w14:alpha w14:val="100000"/>
              </w14:srgbClr>
            </w14:solidFill>
          </w14:textFill>
        </w:rPr>
        <w:t xml:space="preserve">|  </w:t>
      </w:r>
      <w:r w:rsidR="00B474C2" w:rsidRPr="00D774EA">
        <w:rPr>
          <w:color w:val="000000"/>
          <w:spacing w:val="-69"/>
          <w:w w:val="15"/>
          <w:shd w:val="solid" w:color="000000" w:fill="000000"/>
          <w:fitText w:val="-20" w:id="-1168367347"/>
          <w14:textFill>
            <w14:solidFill>
              <w14:srgbClr w14:val="000000">
                <w14:alpha w14:val="100000"/>
              </w14:srgbClr>
            </w14:solidFill>
          </w14:textFill>
        </w:rPr>
        <w:t>|</w:t>
      </w:r>
      <w:r w:rsidRPr="00A523D0">
        <w:t xml:space="preserve"> (DPMQ) for Years 1 to 3 of listing, and $</w:t>
      </w:r>
      <w:r w:rsidR="00B474C2" w:rsidRPr="00D774EA">
        <w:rPr>
          <w:color w:val="000000"/>
          <w:w w:val="15"/>
          <w:shd w:val="solid" w:color="000000" w:fill="000000"/>
          <w:fitText w:val="-20" w:id="-1168367346"/>
          <w14:textFill>
            <w14:solidFill>
              <w14:srgbClr w14:val="000000">
                <w14:alpha w14:val="100000"/>
              </w14:srgbClr>
            </w14:solidFill>
          </w14:textFill>
        </w:rPr>
        <w:t xml:space="preserve">|  </w:t>
      </w:r>
      <w:r w:rsidR="00B474C2" w:rsidRPr="00D774EA">
        <w:rPr>
          <w:color w:val="000000"/>
          <w:spacing w:val="-69"/>
          <w:w w:val="15"/>
          <w:shd w:val="solid" w:color="000000" w:fill="000000"/>
          <w:fitText w:val="-20" w:id="-1168367346"/>
          <w14:textFill>
            <w14:solidFill>
              <w14:srgbClr w14:val="000000">
                <w14:alpha w14:val="100000"/>
              </w14:srgbClr>
            </w14:solidFill>
          </w14:textFill>
        </w:rPr>
        <w:t>|</w:t>
      </w:r>
      <w:r w:rsidRPr="00A523D0">
        <w:t xml:space="preserve"> (DPMQ) for Years 4 to 6 of listing. </w:t>
      </w:r>
      <w:r w:rsidRPr="009B152B">
        <w:rPr>
          <w:iCs/>
        </w:rPr>
        <w:t>This was lower than the proposed price in the March 2021 resubmission ($</w:t>
      </w:r>
      <w:r w:rsidR="00B474C2" w:rsidRPr="00D774EA">
        <w:rPr>
          <w:iCs/>
          <w:color w:val="000000"/>
          <w:w w:val="15"/>
          <w:shd w:val="solid" w:color="000000" w:fill="000000"/>
          <w:fitText w:val="-20" w:id="-1168367345"/>
          <w14:textFill>
            <w14:solidFill>
              <w14:srgbClr w14:val="000000">
                <w14:alpha w14:val="100000"/>
              </w14:srgbClr>
            </w14:solidFill>
          </w14:textFill>
        </w:rPr>
        <w:t xml:space="preserve">|  </w:t>
      </w:r>
      <w:r w:rsidR="00B474C2" w:rsidRPr="00D774EA">
        <w:rPr>
          <w:iCs/>
          <w:color w:val="000000"/>
          <w:spacing w:val="-69"/>
          <w:w w:val="15"/>
          <w:shd w:val="solid" w:color="000000" w:fill="000000"/>
          <w:fitText w:val="-20" w:id="-1168367345"/>
          <w14:textFill>
            <w14:solidFill>
              <w14:srgbClr w14:val="000000">
                <w14:alpha w14:val="100000"/>
              </w14:srgbClr>
            </w14:solidFill>
          </w14:textFill>
        </w:rPr>
        <w:t>|</w:t>
      </w:r>
      <w:r w:rsidRPr="009B152B">
        <w:rPr>
          <w:iCs/>
        </w:rPr>
        <w:t xml:space="preserve"> DPMQ), and the proposed price in the September 2021 resubmission ($</w:t>
      </w:r>
      <w:r w:rsidR="00B474C2" w:rsidRPr="00D774EA">
        <w:rPr>
          <w:iCs/>
          <w:color w:val="000000"/>
          <w:w w:val="15"/>
          <w:shd w:val="solid" w:color="000000" w:fill="000000"/>
          <w:fitText w:val="-20" w:id="-1168367344"/>
          <w14:textFill>
            <w14:solidFill>
              <w14:srgbClr w14:val="000000">
                <w14:alpha w14:val="100000"/>
              </w14:srgbClr>
            </w14:solidFill>
          </w14:textFill>
        </w:rPr>
        <w:t xml:space="preserve">|  </w:t>
      </w:r>
      <w:r w:rsidR="00B474C2" w:rsidRPr="00D774EA">
        <w:rPr>
          <w:iCs/>
          <w:color w:val="000000"/>
          <w:spacing w:val="-69"/>
          <w:w w:val="15"/>
          <w:shd w:val="solid" w:color="000000" w:fill="000000"/>
          <w:fitText w:val="-20" w:id="-1168367344"/>
          <w14:textFill>
            <w14:solidFill>
              <w14:srgbClr w14:val="000000">
                <w14:alpha w14:val="100000"/>
              </w14:srgbClr>
            </w14:solidFill>
          </w14:textFill>
        </w:rPr>
        <w:t>|</w:t>
      </w:r>
      <w:r w:rsidRPr="009B152B">
        <w:rPr>
          <w:iCs/>
        </w:rPr>
        <w:t xml:space="preserve"> DPMQ for Years 1 to 3; $</w:t>
      </w:r>
      <w:r w:rsidR="00B474C2" w:rsidRPr="00D774EA">
        <w:rPr>
          <w:iCs/>
          <w:color w:val="000000"/>
          <w:w w:val="15"/>
          <w:shd w:val="solid" w:color="000000" w:fill="000000"/>
          <w:fitText w:val="-20" w:id="-1168367360"/>
          <w14:textFill>
            <w14:solidFill>
              <w14:srgbClr w14:val="000000">
                <w14:alpha w14:val="100000"/>
              </w14:srgbClr>
            </w14:solidFill>
          </w14:textFill>
        </w:rPr>
        <w:t xml:space="preserve">|  </w:t>
      </w:r>
      <w:r w:rsidR="00B474C2" w:rsidRPr="00D774EA">
        <w:rPr>
          <w:iCs/>
          <w:color w:val="000000"/>
          <w:spacing w:val="-69"/>
          <w:w w:val="15"/>
          <w:shd w:val="solid" w:color="000000" w:fill="000000"/>
          <w:fitText w:val="-20" w:id="-1168367360"/>
          <w14:textFill>
            <w14:solidFill>
              <w14:srgbClr w14:val="000000">
                <w14:alpha w14:val="100000"/>
              </w14:srgbClr>
            </w14:solidFill>
          </w14:textFill>
        </w:rPr>
        <w:t>|</w:t>
      </w:r>
      <w:r w:rsidRPr="009B152B">
        <w:rPr>
          <w:iCs/>
        </w:rPr>
        <w:t xml:space="preserve"> DPMQ for Years 4 to 6).</w:t>
      </w:r>
      <w:r w:rsidR="00CB0507">
        <w:rPr>
          <w:iCs/>
        </w:rPr>
        <w:t xml:space="preserve"> The pre-PBAC </w:t>
      </w:r>
      <w:r w:rsidR="00D4239A">
        <w:rPr>
          <w:iCs/>
        </w:rPr>
        <w:t xml:space="preserve">response </w:t>
      </w:r>
      <w:r w:rsidR="00CB0507">
        <w:rPr>
          <w:iCs/>
        </w:rPr>
        <w:t>proposed</w:t>
      </w:r>
      <w:r w:rsidR="00B77BC8">
        <w:rPr>
          <w:iCs/>
        </w:rPr>
        <w:t xml:space="preserve"> a revised effective price from the 4</w:t>
      </w:r>
      <w:r w:rsidR="00B77BC8" w:rsidRPr="00B77BC8">
        <w:rPr>
          <w:iCs/>
          <w:vertAlign w:val="superscript"/>
        </w:rPr>
        <w:t>th</w:t>
      </w:r>
      <w:r w:rsidR="00B77BC8">
        <w:rPr>
          <w:iCs/>
        </w:rPr>
        <w:t xml:space="preserve"> year of listing from $</w:t>
      </w:r>
      <w:r w:rsidR="00B474C2" w:rsidRPr="00D774EA">
        <w:rPr>
          <w:iCs/>
          <w:color w:val="000000"/>
          <w:w w:val="15"/>
          <w:shd w:val="solid" w:color="000000" w:fill="000000"/>
          <w:fitText w:val="-20" w:id="-1168367359"/>
          <w14:textFill>
            <w14:solidFill>
              <w14:srgbClr w14:val="000000">
                <w14:alpha w14:val="100000"/>
              </w14:srgbClr>
            </w14:solidFill>
          </w14:textFill>
        </w:rPr>
        <w:t xml:space="preserve">|  </w:t>
      </w:r>
      <w:r w:rsidR="00B474C2" w:rsidRPr="00D774EA">
        <w:rPr>
          <w:iCs/>
          <w:color w:val="000000"/>
          <w:spacing w:val="-69"/>
          <w:w w:val="15"/>
          <w:shd w:val="solid" w:color="000000" w:fill="000000"/>
          <w:fitText w:val="-20" w:id="-1168367359"/>
          <w14:textFill>
            <w14:solidFill>
              <w14:srgbClr w14:val="000000">
                <w14:alpha w14:val="100000"/>
              </w14:srgbClr>
            </w14:solidFill>
          </w14:textFill>
        </w:rPr>
        <w:t>|</w:t>
      </w:r>
      <w:r w:rsidR="00B77BC8">
        <w:rPr>
          <w:iCs/>
        </w:rPr>
        <w:t xml:space="preserve"> to $</w:t>
      </w:r>
      <w:r w:rsidR="00B474C2" w:rsidRPr="00D774EA">
        <w:rPr>
          <w:iCs/>
          <w:color w:val="000000"/>
          <w:w w:val="15"/>
          <w:shd w:val="solid" w:color="000000" w:fill="000000"/>
          <w:fitText w:val="-20" w:id="-1168367358"/>
          <w14:textFill>
            <w14:solidFill>
              <w14:srgbClr w14:val="000000">
                <w14:alpha w14:val="100000"/>
              </w14:srgbClr>
            </w14:solidFill>
          </w14:textFill>
        </w:rPr>
        <w:t xml:space="preserve">|  </w:t>
      </w:r>
      <w:r w:rsidR="00B474C2" w:rsidRPr="00D774EA">
        <w:rPr>
          <w:iCs/>
          <w:color w:val="000000"/>
          <w:spacing w:val="-69"/>
          <w:w w:val="15"/>
          <w:shd w:val="solid" w:color="000000" w:fill="000000"/>
          <w:fitText w:val="-20" w:id="-1168367358"/>
          <w14:textFill>
            <w14:solidFill>
              <w14:srgbClr w14:val="000000">
                <w14:alpha w14:val="100000"/>
              </w14:srgbClr>
            </w14:solidFill>
          </w14:textFill>
        </w:rPr>
        <w:t>|</w:t>
      </w:r>
      <w:r w:rsidR="00B77BC8">
        <w:rPr>
          <w:iCs/>
        </w:rPr>
        <w:t xml:space="preserve"> DPMQ and a reduction in the published price from $</w:t>
      </w:r>
      <w:r w:rsidR="00B474C2" w:rsidRPr="00D774EA">
        <w:rPr>
          <w:iCs/>
          <w:color w:val="000000"/>
          <w:w w:val="15"/>
          <w:shd w:val="solid" w:color="000000" w:fill="000000"/>
          <w:fitText w:val="-20" w:id="-1168367357"/>
          <w14:textFill>
            <w14:solidFill>
              <w14:srgbClr w14:val="000000">
                <w14:alpha w14:val="100000"/>
              </w14:srgbClr>
            </w14:solidFill>
          </w14:textFill>
        </w:rPr>
        <w:t xml:space="preserve">|  </w:t>
      </w:r>
      <w:r w:rsidR="00B474C2" w:rsidRPr="00D774EA">
        <w:rPr>
          <w:iCs/>
          <w:color w:val="000000"/>
          <w:spacing w:val="-69"/>
          <w:w w:val="15"/>
          <w:shd w:val="solid" w:color="000000" w:fill="000000"/>
          <w:fitText w:val="-20" w:id="-1168367357"/>
          <w14:textFill>
            <w14:solidFill>
              <w14:srgbClr w14:val="000000">
                <w14:alpha w14:val="100000"/>
              </w14:srgbClr>
            </w14:solidFill>
          </w14:textFill>
        </w:rPr>
        <w:t>|</w:t>
      </w:r>
      <w:r w:rsidR="00B474C2" w:rsidRPr="00B474C2">
        <w:rPr>
          <w:iCs/>
        </w:rPr>
        <w:t xml:space="preserve"> </w:t>
      </w:r>
      <w:r w:rsidR="00B77BC8" w:rsidRPr="005E431C">
        <w:rPr>
          <w:iCs/>
        </w:rPr>
        <w:t>to $</w:t>
      </w:r>
      <w:r w:rsidR="00B474C2" w:rsidRPr="00D774EA">
        <w:rPr>
          <w:iCs/>
          <w:color w:val="000000"/>
          <w:w w:val="15"/>
          <w:shd w:val="solid" w:color="000000" w:fill="000000"/>
          <w:fitText w:val="-20" w:id="-1168367356"/>
          <w14:textFill>
            <w14:solidFill>
              <w14:srgbClr w14:val="000000">
                <w14:alpha w14:val="100000"/>
              </w14:srgbClr>
            </w14:solidFill>
          </w14:textFill>
        </w:rPr>
        <w:t xml:space="preserve">|  </w:t>
      </w:r>
      <w:r w:rsidR="00B474C2" w:rsidRPr="00D774EA">
        <w:rPr>
          <w:iCs/>
          <w:color w:val="000000"/>
          <w:spacing w:val="-69"/>
          <w:w w:val="15"/>
          <w:shd w:val="solid" w:color="000000" w:fill="000000"/>
          <w:fitText w:val="-20" w:id="-1168367356"/>
          <w14:textFill>
            <w14:solidFill>
              <w14:srgbClr w14:val="000000">
                <w14:alpha w14:val="100000"/>
              </w14:srgbClr>
            </w14:solidFill>
          </w14:textFill>
        </w:rPr>
        <w:t>|</w:t>
      </w:r>
      <w:r w:rsidR="00B77BC8" w:rsidRPr="005E431C">
        <w:rPr>
          <w:iCs/>
        </w:rPr>
        <w:t>.</w:t>
      </w:r>
    </w:p>
    <w:p w14:paraId="26D2B1AA" w14:textId="6C3516DA" w:rsidR="00A523D0" w:rsidRDefault="00A523D0" w:rsidP="00A523D0">
      <w:pPr>
        <w:pStyle w:val="COMexecsumnumberedpara"/>
      </w:pPr>
      <w:r w:rsidRPr="000B64D6">
        <w:t xml:space="preserve">The requested restriction is narrower than the registered TGA indication, </w:t>
      </w:r>
      <w:r>
        <w:t>as it</w:t>
      </w:r>
      <w:r w:rsidRPr="000B64D6">
        <w:t xml:space="preserve"> limits eligibility for </w:t>
      </w:r>
      <w:r>
        <w:t>initiation of PBS listed</w:t>
      </w:r>
      <w:r w:rsidRPr="000B64D6">
        <w:t xml:space="preserve"> tafamidis to patients </w:t>
      </w:r>
      <w:r>
        <w:t xml:space="preserve">with </w:t>
      </w:r>
      <w:r w:rsidRPr="00222BC5">
        <w:t xml:space="preserve">NYHA class I to </w:t>
      </w:r>
      <w:r>
        <w:t>II heart failure</w:t>
      </w:r>
      <w:r w:rsidRPr="00222BC5">
        <w:t xml:space="preserve"> </w:t>
      </w:r>
      <w:r>
        <w:t xml:space="preserve">with </w:t>
      </w:r>
      <w:r w:rsidRPr="00222BC5">
        <w:t>an end-diastolic interventricula</w:t>
      </w:r>
      <w:r>
        <w:t>r septal wall thickness ≥ 12 mm, and</w:t>
      </w:r>
      <w:r w:rsidRPr="00222BC5">
        <w:t xml:space="preserve"> eGFR </w:t>
      </w:r>
      <w:r w:rsidR="00A263D5">
        <w:t>&gt;</w:t>
      </w:r>
      <w:r w:rsidRPr="00222BC5">
        <w:t>25mL/min/1.73m</w:t>
      </w:r>
      <w:r w:rsidRPr="0039290E">
        <w:rPr>
          <w:vertAlign w:val="superscript"/>
        </w:rPr>
        <w:t>2</w:t>
      </w:r>
      <w:r w:rsidRPr="00222BC5">
        <w:t>.</w:t>
      </w:r>
      <w:r>
        <w:t xml:space="preserve"> Patients who progress to persistent NYHA class III heart failure or NYHA class IV heart failure may not continue PBS subsidised treatment.</w:t>
      </w:r>
    </w:p>
    <w:p w14:paraId="3A741931" w14:textId="3CF0F8EF" w:rsidR="00A523D0" w:rsidRDefault="00A523D0" w:rsidP="004F406E">
      <w:pPr>
        <w:pStyle w:val="COMexecsumnumberedpara"/>
      </w:pPr>
      <w:r w:rsidRPr="009B152B">
        <w:t xml:space="preserve">At the September 2021 meeting, the PBAC considered that the proposal for tafamidis to be discontinued in patients with persistent NYHA class III heart failure may be difficult to implement in practice given the subjective nature of the NYHA classification, and would likely result in use outside the restriction (para 10.2, Tafamidis </w:t>
      </w:r>
      <w:r w:rsidR="00D4239A">
        <w:t>Public Summary Document (</w:t>
      </w:r>
      <w:r w:rsidRPr="009B152B">
        <w:t>PSD</w:t>
      </w:r>
      <w:r w:rsidR="00D4239A">
        <w:t>)</w:t>
      </w:r>
      <w:r w:rsidRPr="009B152B">
        <w:t xml:space="preserve">, March 2021 PBAC meeting with September 2021 addendum). </w:t>
      </w:r>
      <w:r w:rsidRPr="00426535">
        <w:t>The resubmission stated that the implementation of this restriction has been discussed with clinical experts who confirmed that discontinuation of tafamidis in patients with NYHA class III heart failure could be managed in clinical practice.</w:t>
      </w:r>
      <w:r w:rsidR="00383688">
        <w:t xml:space="preserve"> </w:t>
      </w:r>
      <w:r w:rsidR="00383688" w:rsidRPr="0079392B">
        <w:rPr>
          <w:i/>
          <w:iCs/>
        </w:rPr>
        <w:t xml:space="preserve"> </w:t>
      </w:r>
      <w:r w:rsidR="00383688" w:rsidRPr="001F4A02">
        <w:t xml:space="preserve">The ESC reaffirmed that this would likely lead to use outside of the restriction in patients commenced on tafamidis who </w:t>
      </w:r>
      <w:r w:rsidR="00957838" w:rsidRPr="001F4A02">
        <w:t xml:space="preserve">had </w:t>
      </w:r>
      <w:r w:rsidR="00383688" w:rsidRPr="001F4A02">
        <w:t>progressed, but where the patient and the clinician were unwilling to stop the medication in case tafamidis w</w:t>
      </w:r>
      <w:r w:rsidR="00EC7B39" w:rsidRPr="001F4A02">
        <w:t>as</w:t>
      </w:r>
      <w:r w:rsidR="00383688" w:rsidRPr="001F4A02">
        <w:t xml:space="preserve"> slowing progression.</w:t>
      </w:r>
      <w:r w:rsidR="0079392B">
        <w:t xml:space="preserve"> </w:t>
      </w:r>
      <w:r w:rsidR="0079392B" w:rsidRPr="0079392B">
        <w:t xml:space="preserve">The </w:t>
      </w:r>
      <w:r w:rsidR="00032961">
        <w:t>PBAC considered the wording of this criterion could be further refined and clarified</w:t>
      </w:r>
      <w:r w:rsidR="0079392B">
        <w:t xml:space="preserve">. </w:t>
      </w:r>
      <w:r w:rsidR="0079392B" w:rsidRPr="001F4A02">
        <w:rPr>
          <w:iCs/>
        </w:rPr>
        <w:t xml:space="preserve">The </w:t>
      </w:r>
      <w:r w:rsidR="00032961">
        <w:rPr>
          <w:iCs/>
        </w:rPr>
        <w:t>PBAC</w:t>
      </w:r>
      <w:r w:rsidR="00032961" w:rsidRPr="001F4A02">
        <w:rPr>
          <w:iCs/>
        </w:rPr>
        <w:t xml:space="preserve"> </w:t>
      </w:r>
      <w:r w:rsidR="0079392B" w:rsidRPr="001F4A02">
        <w:rPr>
          <w:iCs/>
        </w:rPr>
        <w:t>considered that review of patients progressing to NYHA class III after 3 months would allow sufficient time to restabilise the patients with diuretics and dose adjustments of other medications.</w:t>
      </w:r>
    </w:p>
    <w:p w14:paraId="6BEF1A2C" w14:textId="4BBAA5CD" w:rsidR="0079392B" w:rsidRPr="0079392B" w:rsidRDefault="0079392B" w:rsidP="0079392B">
      <w:pPr>
        <w:pStyle w:val="COMexecsumnumberedpara"/>
        <w:rPr>
          <w:rFonts w:eastAsia="Calibri"/>
          <w:lang w:eastAsia="en-US"/>
        </w:rPr>
      </w:pPr>
      <w:r w:rsidRPr="00501326">
        <w:rPr>
          <w:rFonts w:eastAsia="Calibri"/>
          <w:lang w:eastAsia="en-US"/>
        </w:rPr>
        <w:t xml:space="preserve">Consistent with the previous submissions, the resubmission did not specify what documentation, if any, would be required to be provided as part of the initial written Authority application. </w:t>
      </w:r>
      <w:r w:rsidRPr="001F4A02">
        <w:rPr>
          <w:rFonts w:eastAsia="Calibri"/>
          <w:lang w:eastAsia="en-US"/>
        </w:rPr>
        <w:t xml:space="preserve">The </w:t>
      </w:r>
      <w:r w:rsidR="00032961">
        <w:rPr>
          <w:rFonts w:eastAsia="Calibri"/>
          <w:lang w:eastAsia="en-US"/>
        </w:rPr>
        <w:t xml:space="preserve">PBAC agreed with </w:t>
      </w:r>
      <w:r w:rsidRPr="001F4A02">
        <w:rPr>
          <w:rFonts w:eastAsia="Calibri"/>
          <w:lang w:eastAsia="en-US"/>
        </w:rPr>
        <w:t xml:space="preserve">ESC that it would be preferable for the initial written authority application to </w:t>
      </w:r>
      <w:r w:rsidR="00032961">
        <w:rPr>
          <w:rFonts w:eastAsia="Calibri"/>
          <w:lang w:eastAsia="en-US"/>
        </w:rPr>
        <w:t>require confirmation</w:t>
      </w:r>
      <w:r w:rsidRPr="001F4A02">
        <w:rPr>
          <w:rFonts w:eastAsia="Calibri"/>
          <w:lang w:eastAsia="en-US"/>
        </w:rPr>
        <w:t xml:space="preserve"> </w:t>
      </w:r>
      <w:r w:rsidR="00E21732">
        <w:rPr>
          <w:rFonts w:eastAsia="Calibri"/>
          <w:lang w:eastAsia="en-US"/>
        </w:rPr>
        <w:t xml:space="preserve">that there is evidence </w:t>
      </w:r>
      <w:r w:rsidRPr="001F4A02">
        <w:rPr>
          <w:rFonts w:eastAsia="Calibri"/>
          <w:lang w:eastAsia="en-US"/>
        </w:rPr>
        <w:t>of heart failure (echocardiogram</w:t>
      </w:r>
      <w:r w:rsidR="000E1298">
        <w:rPr>
          <w:rFonts w:eastAsia="Calibri"/>
          <w:lang w:eastAsia="en-US"/>
        </w:rPr>
        <w:t xml:space="preserve"> or </w:t>
      </w:r>
      <w:r w:rsidR="00474EDE">
        <w:rPr>
          <w:rFonts w:eastAsia="Calibri"/>
          <w:lang w:eastAsia="en-US"/>
        </w:rPr>
        <w:t>magnetic resonance imaging</w:t>
      </w:r>
      <w:r w:rsidRPr="001F4A02">
        <w:rPr>
          <w:rFonts w:eastAsia="Calibri"/>
          <w:lang w:eastAsia="en-US"/>
        </w:rPr>
        <w:t xml:space="preserve">), and </w:t>
      </w:r>
      <w:r w:rsidR="00E21732">
        <w:rPr>
          <w:rFonts w:eastAsia="Calibri"/>
          <w:lang w:eastAsia="en-US"/>
        </w:rPr>
        <w:t xml:space="preserve">confirmation that there is </w:t>
      </w:r>
      <w:r w:rsidRPr="001F4A02">
        <w:rPr>
          <w:rFonts w:eastAsia="Calibri"/>
          <w:lang w:eastAsia="en-US"/>
        </w:rPr>
        <w:t>evidence of ATTR (bone scintigraphy and pathology results</w:t>
      </w:r>
      <w:r w:rsidR="006A530D">
        <w:rPr>
          <w:rFonts w:eastAsia="Calibri"/>
          <w:lang w:eastAsia="en-US"/>
        </w:rPr>
        <w:t>, or histological confirmation</w:t>
      </w:r>
      <w:r w:rsidRPr="001F4A02">
        <w:rPr>
          <w:rFonts w:eastAsia="Calibri"/>
          <w:lang w:eastAsia="en-US"/>
        </w:rPr>
        <w:t>).</w:t>
      </w:r>
      <w:r w:rsidRPr="00A774ED">
        <w:rPr>
          <w:rFonts w:eastAsia="Calibri"/>
          <w:i/>
          <w:lang w:eastAsia="en-US"/>
        </w:rPr>
        <w:t xml:space="preserve"> </w:t>
      </w:r>
    </w:p>
    <w:p w14:paraId="02E4B034" w14:textId="52778602" w:rsidR="00A9171C" w:rsidRDefault="00A523D0" w:rsidP="00A9171C">
      <w:pPr>
        <w:pStyle w:val="COMexecsumnumberedpara"/>
      </w:pPr>
      <w:r w:rsidRPr="00F73AD5">
        <w:t xml:space="preserve">A grandfather restriction was not proposed. </w:t>
      </w:r>
      <w:r w:rsidR="007E043C">
        <w:t>T</w:t>
      </w:r>
      <w:r w:rsidRPr="00F73AD5">
        <w:t>he resubmission estimated that approximately 300 patients may be grandfathered onto PBS subsidised tafamidis</w:t>
      </w:r>
      <w:r w:rsidR="000E1298">
        <w:t>. The PBAC considered a separate grandfather restriction is not required as these patients would be eligible to access treatment</w:t>
      </w:r>
      <w:r w:rsidRPr="00F73AD5">
        <w:t xml:space="preserve"> under the </w:t>
      </w:r>
      <w:r w:rsidR="0079392B">
        <w:t xml:space="preserve">initial treatment </w:t>
      </w:r>
      <w:r w:rsidRPr="00F73AD5">
        <w:t>restriction.</w:t>
      </w:r>
      <w:r w:rsidR="000E1298">
        <w:t xml:space="preserve"> </w:t>
      </w:r>
    </w:p>
    <w:p w14:paraId="5E2E253E" w14:textId="4EC3CE01" w:rsidR="00A9171C" w:rsidRPr="00C33D30" w:rsidRDefault="00A9171C" w:rsidP="00A9171C">
      <w:pPr>
        <w:ind w:firstLine="709"/>
        <w:rPr>
          <w:rFonts w:asciiTheme="minorHAnsi" w:hAnsiTheme="minorHAnsi"/>
          <w:i/>
        </w:rPr>
      </w:pPr>
      <w:r w:rsidRPr="00C33D30">
        <w:rPr>
          <w:rFonts w:asciiTheme="minorHAnsi" w:hAnsiTheme="minorHAnsi"/>
          <w:i/>
        </w:rPr>
        <w:t>For more detail on PBAC’s view, see section 7 PBAC outcome.</w:t>
      </w:r>
    </w:p>
    <w:p w14:paraId="7075B85C" w14:textId="62A47B7B" w:rsidR="00B50DB8" w:rsidRPr="00407F2D" w:rsidDel="00195452" w:rsidRDefault="00203181" w:rsidP="004E18E9">
      <w:pPr>
        <w:pStyle w:val="COMH1numbered"/>
      </w:pPr>
      <w:bookmarkStart w:id="14" w:name="_Toc135227608"/>
      <w:r w:rsidDel="00195452">
        <w:t xml:space="preserve">Population and </w:t>
      </w:r>
      <w:r w:rsidR="008E0D3C" w:rsidDel="00195452">
        <w:t>d</w:t>
      </w:r>
      <w:r w:rsidDel="00195452">
        <w:t>isease</w:t>
      </w:r>
      <w:bookmarkEnd w:id="14"/>
    </w:p>
    <w:p w14:paraId="18EA804D" w14:textId="5103FA8B" w:rsidR="00A523D0" w:rsidRDefault="00A523D0" w:rsidP="00A523D0">
      <w:pPr>
        <w:pStyle w:val="COMexecsumnumberedpara"/>
      </w:pPr>
      <w:r w:rsidRPr="00043E87">
        <w:t>Transthyretin amyloidosis (ATTR) is a rare systemic disorder caused by the extracellular deposition of misfolded transthyretin (TTR) amyloid fibrils in affected organs and tissues. ATTR can be inherited as an autosomal dominant variant of the TTR gene (ATTRv</w:t>
      </w:r>
      <w:r>
        <w:t>; also referred to as hereditary ATTR, or hATTR</w:t>
      </w:r>
      <w:r w:rsidRPr="00043E87">
        <w:t xml:space="preserve">) or caused by the deposition of wild-type transthyretin protein (ATTRwt). The TTR amyloid protein can infiltrate many vital organs and tissues, but most affected patients present with one of two predominant phenotypes: ATTR related cardiomyopathy (ATTR-CM), or ATTR related polyneuropathy (ATTR-PN) (Kittleson et al. 2020). </w:t>
      </w:r>
    </w:p>
    <w:p w14:paraId="7748CF47" w14:textId="77777777" w:rsidR="00A523D0" w:rsidRPr="00303101" w:rsidRDefault="00A523D0" w:rsidP="00A523D0">
      <w:pPr>
        <w:pStyle w:val="COMexecsumnumberedpara"/>
      </w:pPr>
      <w:r>
        <w:t>ATTR-CM</w:t>
      </w:r>
      <w:r w:rsidRPr="00303101">
        <w:t xml:space="preserve"> is a </w:t>
      </w:r>
      <w:r>
        <w:t xml:space="preserve">rare, </w:t>
      </w:r>
      <w:r w:rsidRPr="00303101">
        <w:t xml:space="preserve">late onset, progressive </w:t>
      </w:r>
      <w:r>
        <w:t>disease</w:t>
      </w:r>
      <w:r w:rsidRPr="00303101">
        <w:t xml:space="preserve">, characterised by </w:t>
      </w:r>
      <w:r>
        <w:t xml:space="preserve">ATTR </w:t>
      </w:r>
      <w:r w:rsidRPr="00303101">
        <w:t>fibril</w:t>
      </w:r>
      <w:r>
        <w:t xml:space="preserve"> deposition</w:t>
      </w:r>
      <w:r w:rsidRPr="00303101">
        <w:t xml:space="preserve"> in the </w:t>
      </w:r>
      <w:r>
        <w:t xml:space="preserve">cardiac </w:t>
      </w:r>
      <w:r w:rsidRPr="00303101">
        <w:t>atrial and ventricular walls</w:t>
      </w:r>
      <w:r>
        <w:t>, and/or direct amyloid proteotoxicity (</w:t>
      </w:r>
      <w:r w:rsidRPr="00303101">
        <w:t>Siddiqi et al. 2018</w:t>
      </w:r>
      <w:r>
        <w:t>; Kittleson et al. 2020)</w:t>
      </w:r>
      <w:r w:rsidRPr="00303101">
        <w:t xml:space="preserve">. </w:t>
      </w:r>
      <w:r>
        <w:t>ATTR</w:t>
      </w:r>
      <w:r w:rsidRPr="00303101">
        <w:t xml:space="preserve"> fibril deposition results in progressive myocardial hypertrophy, restrictive cardiomyopathy</w:t>
      </w:r>
      <w:r w:rsidRPr="006F3896">
        <w:t xml:space="preserve"> </w:t>
      </w:r>
      <w:r>
        <w:t xml:space="preserve">with </w:t>
      </w:r>
      <w:r w:rsidRPr="006F3896">
        <w:t>diastolic</w:t>
      </w:r>
      <w:r>
        <w:t xml:space="preserve"> </w:t>
      </w:r>
      <w:r w:rsidRPr="006F3896">
        <w:t>dysfunction</w:t>
      </w:r>
      <w:r>
        <w:t xml:space="preserve"> (with or without systolic dysfunction)</w:t>
      </w:r>
      <w:r w:rsidRPr="00303101">
        <w:t xml:space="preserve">, and progressive fulminant heart failure (Donnelly and Hanna 2017; Mankad and Shah 2017). </w:t>
      </w:r>
      <w:r>
        <w:t>Fibril i</w:t>
      </w:r>
      <w:r w:rsidRPr="00303101">
        <w:t xml:space="preserve">nfiltration around </w:t>
      </w:r>
      <w:r>
        <w:t>cardiac</w:t>
      </w:r>
      <w:r w:rsidRPr="00303101">
        <w:t xml:space="preserve"> conduction tissue may result in </w:t>
      </w:r>
      <w:r>
        <w:t xml:space="preserve">cardiac </w:t>
      </w:r>
      <w:r w:rsidRPr="00303101">
        <w:t>arrhythmias (</w:t>
      </w:r>
      <w:r>
        <w:t xml:space="preserve">e.g. atrial fibrillation), or </w:t>
      </w:r>
      <w:r w:rsidRPr="00303101">
        <w:t xml:space="preserve">atrioventricular conduction defects (e.g. heart block; bundle branch block). </w:t>
      </w:r>
    </w:p>
    <w:p w14:paraId="3F44D7AC" w14:textId="5A605780" w:rsidR="00A523D0" w:rsidRDefault="00A523D0" w:rsidP="00A523D0">
      <w:pPr>
        <w:pStyle w:val="COMexecsumnumberedpara"/>
      </w:pPr>
      <w:r w:rsidRPr="00D326B7">
        <w:t>A</w:t>
      </w:r>
      <w:r>
        <w:t xml:space="preserve">TTR-CM is related to either the </w:t>
      </w:r>
      <w:r w:rsidRPr="00D326B7">
        <w:t xml:space="preserve">ATTRwt </w:t>
      </w:r>
      <w:r>
        <w:t xml:space="preserve">or </w:t>
      </w:r>
      <w:r w:rsidRPr="00D326B7">
        <w:t>ATTR</w:t>
      </w:r>
      <w:r>
        <w:t xml:space="preserve">v </w:t>
      </w:r>
      <w:r w:rsidRPr="00D326B7">
        <w:t>genotype</w:t>
      </w:r>
      <w:r>
        <w:t>s, and is most prevalent in males ≥ 60 years of age, with prevalence increasing with age (Siddiqi et al.</w:t>
      </w:r>
      <w:r w:rsidRPr="00416EB8">
        <w:t xml:space="preserve"> 2018</w:t>
      </w:r>
      <w:r>
        <w:t>). Median age at diagnosis has been estimated at 75 years (range 47-94 years; Grogan</w:t>
      </w:r>
      <w:r w:rsidR="00D4239A">
        <w:t> </w:t>
      </w:r>
      <w:r>
        <w:t>et</w:t>
      </w:r>
      <w:r w:rsidR="00D4239A">
        <w:t> </w:t>
      </w:r>
      <w:r>
        <w:t xml:space="preserve">al. 2016). However, age of onset, presentation and prognosis vary between TTR genotypes and ATTRv mutations. </w:t>
      </w:r>
      <w:r w:rsidRPr="00565631">
        <w:t xml:space="preserve">Cardiac amyloidosis is the dominant feature of </w:t>
      </w:r>
      <w:r>
        <w:t xml:space="preserve">the </w:t>
      </w:r>
      <w:r w:rsidRPr="00565631">
        <w:t xml:space="preserve">ATTRwt </w:t>
      </w:r>
      <w:r>
        <w:t>genotype.</w:t>
      </w:r>
      <w:r w:rsidRPr="00565631">
        <w:t xml:space="preserve"> </w:t>
      </w:r>
      <w:r w:rsidRPr="001847CF">
        <w:t>ATTR</w:t>
      </w:r>
      <w:r>
        <w:t xml:space="preserve">v cardiomyopathy </w:t>
      </w:r>
      <w:r w:rsidRPr="001847CF">
        <w:t>varies</w:t>
      </w:r>
      <w:r>
        <w:t xml:space="preserve"> </w:t>
      </w:r>
      <w:r w:rsidRPr="001847CF">
        <w:t>in</w:t>
      </w:r>
      <w:r>
        <w:t xml:space="preserve"> </w:t>
      </w:r>
      <w:r w:rsidRPr="001847CF">
        <w:t>prevalence</w:t>
      </w:r>
      <w:r>
        <w:t xml:space="preserve"> </w:t>
      </w:r>
      <w:r w:rsidRPr="001847CF">
        <w:t>and pattern</w:t>
      </w:r>
      <w:r>
        <w:t xml:space="preserve"> </w:t>
      </w:r>
      <w:r w:rsidRPr="001847CF">
        <w:t>of</w:t>
      </w:r>
      <w:r>
        <w:t xml:space="preserve"> </w:t>
      </w:r>
      <w:r w:rsidRPr="001847CF">
        <w:t>organ</w:t>
      </w:r>
      <w:r>
        <w:t xml:space="preserve"> </w:t>
      </w:r>
      <w:r w:rsidRPr="001847CF">
        <w:t>involvement</w:t>
      </w:r>
      <w:r>
        <w:t xml:space="preserve"> by mutation, and may involve a </w:t>
      </w:r>
      <w:r w:rsidRPr="001847CF">
        <w:t>combination</w:t>
      </w:r>
      <w:r>
        <w:t xml:space="preserve"> of </w:t>
      </w:r>
      <w:r w:rsidRPr="001847CF">
        <w:t>amyloid</w:t>
      </w:r>
      <w:r>
        <w:t xml:space="preserve"> </w:t>
      </w:r>
      <w:r w:rsidRPr="001847CF">
        <w:t>polyneuropathy</w:t>
      </w:r>
      <w:r>
        <w:t xml:space="preserve"> and cardiomyopathy</w:t>
      </w:r>
      <w:r w:rsidRPr="001847CF">
        <w:t>.</w:t>
      </w:r>
      <w:r>
        <w:t xml:space="preserve"> </w:t>
      </w:r>
    </w:p>
    <w:p w14:paraId="4F12A525" w14:textId="77777777" w:rsidR="00A523D0" w:rsidRDefault="00A523D0" w:rsidP="00A523D0">
      <w:pPr>
        <w:pStyle w:val="COMexecsumnumberedpara"/>
        <w:rPr>
          <w:rFonts w:cstheme="minorHAnsi"/>
        </w:rPr>
      </w:pPr>
      <w:r>
        <w:rPr>
          <w:rFonts w:cstheme="minorHAnsi"/>
        </w:rPr>
        <w:t>ATTR-CM commonly presents</w:t>
      </w:r>
      <w:r w:rsidRPr="00416EB8">
        <w:rPr>
          <w:rFonts w:cstheme="minorHAnsi"/>
        </w:rPr>
        <w:t xml:space="preserve"> </w:t>
      </w:r>
      <w:r>
        <w:rPr>
          <w:rFonts w:cstheme="minorHAnsi"/>
        </w:rPr>
        <w:t xml:space="preserve">with systemic manifestations of fibril deposition; </w:t>
      </w:r>
      <w:r>
        <w:t xml:space="preserve">e.g. carpal tunnel syndrome, </w:t>
      </w:r>
      <w:r w:rsidRPr="005701F7">
        <w:t>lumbar spinal stenosis, bicep tendon rupture</w:t>
      </w:r>
      <w:r>
        <w:t>, b</w:t>
      </w:r>
      <w:r w:rsidRPr="000A6EC6">
        <w:t xml:space="preserve">ilateral </w:t>
      </w:r>
      <w:r>
        <w:t xml:space="preserve">ascending </w:t>
      </w:r>
      <w:r w:rsidRPr="000A6EC6">
        <w:t>sensory-motor polyneuropathy, dysautonomia, diarrh</w:t>
      </w:r>
      <w:r>
        <w:t>o</w:t>
      </w:r>
      <w:r w:rsidRPr="000A6EC6">
        <w:t>ea/constipation</w:t>
      </w:r>
      <w:r>
        <w:t>,</w:t>
      </w:r>
      <w:r w:rsidRPr="000A6EC6">
        <w:t xml:space="preserve"> erectile dysfunction, </w:t>
      </w:r>
      <w:r>
        <w:t xml:space="preserve">and </w:t>
      </w:r>
      <w:r w:rsidRPr="000A6EC6">
        <w:t>gl</w:t>
      </w:r>
      <w:r>
        <w:t>aucoma (</w:t>
      </w:r>
      <w:r>
        <w:rPr>
          <w:rFonts w:cstheme="minorHAnsi"/>
        </w:rPr>
        <w:t>Siddiqi et al.</w:t>
      </w:r>
      <w:r w:rsidRPr="00416EB8">
        <w:rPr>
          <w:rFonts w:cstheme="minorHAnsi"/>
        </w:rPr>
        <w:t xml:space="preserve"> 2018)</w:t>
      </w:r>
      <w:r>
        <w:rPr>
          <w:rFonts w:cstheme="minorHAnsi"/>
        </w:rPr>
        <w:t xml:space="preserve">. However, diagnosis of ATTR-CM is difficult and frequently delayed until the presentation of progressive heart failure. </w:t>
      </w:r>
      <w:r w:rsidRPr="000A3F81">
        <w:rPr>
          <w:rFonts w:cstheme="minorHAnsi"/>
        </w:rPr>
        <w:t xml:space="preserve">Median survival </w:t>
      </w:r>
      <w:r>
        <w:rPr>
          <w:rFonts w:cstheme="minorHAnsi"/>
        </w:rPr>
        <w:t xml:space="preserve">after diagnosis </w:t>
      </w:r>
      <w:r w:rsidRPr="000A3F81">
        <w:rPr>
          <w:rFonts w:cstheme="minorHAnsi"/>
        </w:rPr>
        <w:t xml:space="preserve">in untreated patients </w:t>
      </w:r>
      <w:r>
        <w:rPr>
          <w:rFonts w:cstheme="minorHAnsi"/>
        </w:rPr>
        <w:t>has been estimated to be</w:t>
      </w:r>
      <w:r w:rsidRPr="000A3F81">
        <w:rPr>
          <w:rFonts w:cstheme="minorHAnsi"/>
        </w:rPr>
        <w:t xml:space="preserve"> 2.5 years </w:t>
      </w:r>
      <w:r>
        <w:rPr>
          <w:rFonts w:cstheme="minorHAnsi"/>
        </w:rPr>
        <w:t>for ATTRv and 3.5</w:t>
      </w:r>
      <w:r w:rsidRPr="000A3F81">
        <w:rPr>
          <w:rFonts w:cstheme="minorHAnsi"/>
        </w:rPr>
        <w:t xml:space="preserve"> years </w:t>
      </w:r>
      <w:r>
        <w:rPr>
          <w:rFonts w:cstheme="minorHAnsi"/>
        </w:rPr>
        <w:t xml:space="preserve">for </w:t>
      </w:r>
      <w:r w:rsidRPr="000A3F81">
        <w:rPr>
          <w:rFonts w:cstheme="minorHAnsi"/>
        </w:rPr>
        <w:t xml:space="preserve">ATTRwt, </w:t>
      </w:r>
      <w:r>
        <w:rPr>
          <w:rFonts w:cstheme="minorHAnsi"/>
        </w:rPr>
        <w:t xml:space="preserve">with </w:t>
      </w:r>
      <w:r w:rsidRPr="000A3F81">
        <w:rPr>
          <w:rFonts w:cstheme="minorHAnsi"/>
        </w:rPr>
        <w:t>deat</w:t>
      </w:r>
      <w:r>
        <w:rPr>
          <w:rFonts w:cstheme="minorHAnsi"/>
        </w:rPr>
        <w:t>h most likely due to cardiovascular causes (cardiac arrhythmia, fulminant heart failure; Dungu et al. 2012; Maurer et al. 2017; Ruberg et al.</w:t>
      </w:r>
      <w:r w:rsidRPr="00CC0DCB">
        <w:rPr>
          <w:rFonts w:cstheme="minorHAnsi"/>
        </w:rPr>
        <w:t xml:space="preserve"> 2012</w:t>
      </w:r>
      <w:r>
        <w:rPr>
          <w:rFonts w:cstheme="minorHAnsi"/>
        </w:rPr>
        <w:t>).</w:t>
      </w:r>
    </w:p>
    <w:p w14:paraId="1956571B" w14:textId="0A50878E" w:rsidR="00A523D0" w:rsidRPr="00A9171C" w:rsidRDefault="00A523D0" w:rsidP="00A523D0">
      <w:pPr>
        <w:pStyle w:val="COMexecsumnumberedpara"/>
      </w:pPr>
      <w:r w:rsidRPr="00E03997">
        <w:t xml:space="preserve">The current and proposed clinical management algorithms </w:t>
      </w:r>
      <w:r w:rsidR="00094421">
        <w:t>in the submission were</w:t>
      </w:r>
      <w:r w:rsidR="00094421" w:rsidRPr="00E03997">
        <w:t xml:space="preserve"> </w:t>
      </w:r>
      <w:r w:rsidRPr="00E03997">
        <w:t xml:space="preserve">the same as presented in the </w:t>
      </w:r>
      <w:r>
        <w:t>March 2021 and September 2021 submissions</w:t>
      </w:r>
      <w:r w:rsidRPr="00E03997">
        <w:t>, with standard management of ATTR-CM related heart failure (i.e. symptomatic treatment with appropriate diuretics and antiarrhythmics), as a treatment option prior to or concomitant with tafamidis. This positions tafamidis as a disease modifying treatment in addition to or in place of standard management of ATTR-CM heart failure, in patients with ATTR-CM related heart failure</w:t>
      </w:r>
      <w:r w:rsidR="00977398">
        <w:t>,</w:t>
      </w:r>
      <w:r w:rsidRPr="00E03997">
        <w:t xml:space="preserve"> confirmed by bone scintigraphy with histological confirmation of transthyretin precursor protein in cardiac tissue, and immunochemistry or mass spectrometry as required, with or without gene testing.</w:t>
      </w:r>
      <w:r w:rsidR="00977398">
        <w:t xml:space="preserve"> </w:t>
      </w:r>
      <w:r w:rsidR="00F17CA2" w:rsidRPr="001F4A02">
        <w:t>T</w:t>
      </w:r>
      <w:r w:rsidR="00977398" w:rsidRPr="001F4A02">
        <w:t xml:space="preserve">he </w:t>
      </w:r>
      <w:r w:rsidR="00094421" w:rsidRPr="001F4A02">
        <w:t xml:space="preserve">Pre-Sub-Committee Response (PSCR) provided a revised current </w:t>
      </w:r>
      <w:r w:rsidR="00977398" w:rsidRPr="001F4A02">
        <w:t xml:space="preserve">clinical algorithm </w:t>
      </w:r>
      <w:r w:rsidR="00094421" w:rsidRPr="001F4A02">
        <w:t xml:space="preserve">including </w:t>
      </w:r>
      <w:r w:rsidR="003F5A4E" w:rsidRPr="001F4A02">
        <w:t xml:space="preserve">updated </w:t>
      </w:r>
      <w:r w:rsidR="00977398" w:rsidRPr="001F4A02">
        <w:t>diagnosis procedures (scintigraphy</w:t>
      </w:r>
      <w:r w:rsidR="003F5A4E" w:rsidRPr="001F4A02">
        <w:t xml:space="preserve"> +/- histological confirmation, as in the proposed treatment algorithm</w:t>
      </w:r>
      <w:r w:rsidR="00977398" w:rsidRPr="001F4A02">
        <w:t xml:space="preserve">) </w:t>
      </w:r>
      <w:r w:rsidR="003F5A4E" w:rsidRPr="001F4A02">
        <w:t>which the PSCR noted have become the standard diagnostic method.</w:t>
      </w:r>
      <w:r w:rsidR="003F5A4E">
        <w:rPr>
          <w:i/>
          <w:iCs/>
        </w:rPr>
        <w:t xml:space="preserve"> </w:t>
      </w:r>
      <w:r w:rsidR="00094421">
        <w:t>T</w:t>
      </w:r>
      <w:r w:rsidR="00552E86" w:rsidRPr="009B152B">
        <w:t>he</w:t>
      </w:r>
      <w:r w:rsidR="00094421">
        <w:t xml:space="preserve"> submission</w:t>
      </w:r>
      <w:r w:rsidR="00552E86" w:rsidRPr="009B152B">
        <w:t xml:space="preserve"> </w:t>
      </w:r>
      <w:r w:rsidR="00094421" w:rsidRPr="00B77BC8">
        <w:t>and PSCR</w:t>
      </w:r>
      <w:r w:rsidR="00094421">
        <w:t xml:space="preserve"> </w:t>
      </w:r>
      <w:r w:rsidR="00552E86" w:rsidRPr="009B152B">
        <w:t>claim</w:t>
      </w:r>
      <w:r w:rsidR="00094421">
        <w:t>ed</w:t>
      </w:r>
      <w:r w:rsidR="00552E86" w:rsidRPr="009B152B">
        <w:t xml:space="preserve"> </w:t>
      </w:r>
      <w:r w:rsidR="00F17CA2" w:rsidRPr="009B152B">
        <w:t xml:space="preserve">that diagnosis of ATTR-CM has increased since the previous </w:t>
      </w:r>
      <w:r w:rsidR="00F17CA2" w:rsidRPr="001F4A02">
        <w:t>submission</w:t>
      </w:r>
      <w:r w:rsidR="00552E86" w:rsidRPr="001F4A02">
        <w:t xml:space="preserve"> </w:t>
      </w:r>
      <w:r w:rsidR="00DB50AA" w:rsidRPr="001F4A02">
        <w:t xml:space="preserve">due to the availability of a non-invasive diagnostic method </w:t>
      </w:r>
      <w:r w:rsidR="00994F36" w:rsidRPr="009B152B">
        <w:t>and will further increase with the listing of tafamidis</w:t>
      </w:r>
      <w:r w:rsidR="00F17CA2" w:rsidRPr="009B152B">
        <w:t>.</w:t>
      </w:r>
      <w:r w:rsidR="00552E86">
        <w:rPr>
          <w:i/>
          <w:iCs/>
        </w:rPr>
        <w:t xml:space="preserve"> </w:t>
      </w:r>
    </w:p>
    <w:p w14:paraId="4E6D0456" w14:textId="73956293" w:rsidR="00A9171C" w:rsidRPr="00D4239A" w:rsidRDefault="00A9171C" w:rsidP="00D4239A">
      <w:pPr>
        <w:ind w:firstLine="720"/>
        <w:rPr>
          <w:i/>
          <w:iCs/>
        </w:rPr>
      </w:pPr>
      <w:r w:rsidRPr="00A9171C">
        <w:rPr>
          <w:i/>
          <w:iCs/>
        </w:rPr>
        <w:t>For more detail on PBAC’s view, see section 7 PBAC outcome.</w:t>
      </w:r>
    </w:p>
    <w:p w14:paraId="51E5AE96" w14:textId="136A63B1" w:rsidR="00B50DB8" w:rsidRPr="00407F2D" w:rsidRDefault="00B50DB8" w:rsidP="004E18E9">
      <w:pPr>
        <w:pStyle w:val="COMH1numbered"/>
      </w:pPr>
      <w:bookmarkStart w:id="15" w:name="_Toc135227609"/>
      <w:r w:rsidRPr="00407F2D">
        <w:t>Comparator</w:t>
      </w:r>
      <w:bookmarkEnd w:id="15"/>
    </w:p>
    <w:p w14:paraId="2C3311EB" w14:textId="6D3E5AFB" w:rsidR="00A523D0" w:rsidRPr="009B152B" w:rsidRDefault="00A523D0" w:rsidP="00A523D0">
      <w:pPr>
        <w:pStyle w:val="COMexecsumnumberedpara"/>
      </w:pPr>
      <w:bookmarkStart w:id="16" w:name="_Toc22897640"/>
      <w:r w:rsidRPr="00D473AC">
        <w:t xml:space="preserve">The </w:t>
      </w:r>
      <w:r>
        <w:t>re</w:t>
      </w:r>
      <w:r w:rsidRPr="00D473AC">
        <w:t xml:space="preserve">submission nominated standard management of the symptoms of ATTR-CM </w:t>
      </w:r>
      <w:r>
        <w:t xml:space="preserve">heart failure </w:t>
      </w:r>
      <w:r w:rsidRPr="00D473AC">
        <w:t>as the main comparator</w:t>
      </w:r>
      <w:r w:rsidRPr="009B152B">
        <w:t>. The PBAC previously considered that standard management of ATTR-CM is the appropriate comparator (para 7.7, Tafamidis PSD, July 2020 PBAC meeting; para 7.3, Tafamidis PSD, March 2021 PBAC meeting).</w:t>
      </w:r>
    </w:p>
    <w:p w14:paraId="01CF2E2E" w14:textId="483960E2" w:rsidR="00747834" w:rsidRPr="00501326" w:rsidRDefault="00A523D0" w:rsidP="00A523D0">
      <w:pPr>
        <w:pStyle w:val="COMexecsumnumberedpara"/>
      </w:pPr>
      <w:r w:rsidRPr="00D864B3">
        <w:t xml:space="preserve">Patisiran for the treatment of hereditary transthyretin-mediated amyloidosis in adult patients with stage 1 or stage 2 polyneuropathy will </w:t>
      </w:r>
      <w:r>
        <w:t xml:space="preserve">also </w:t>
      </w:r>
      <w:r w:rsidRPr="00D864B3">
        <w:t>be considered by the PBAC at the July 2023 meeting</w:t>
      </w:r>
      <w:r w:rsidR="00A147ED">
        <w:t xml:space="preserve"> (item 5.09 refers)</w:t>
      </w:r>
      <w:r w:rsidRPr="00D864B3">
        <w:t xml:space="preserve">. </w:t>
      </w:r>
      <w:r w:rsidR="00747834" w:rsidRPr="001F4A02">
        <w:t xml:space="preserve">The ESC </w:t>
      </w:r>
      <w:r w:rsidR="00F370B4" w:rsidRPr="001F4A02">
        <w:t>noted the PSCR</w:t>
      </w:r>
      <w:r w:rsidR="003F5A4E" w:rsidRPr="001F4A02">
        <w:t xml:space="preserve"> </w:t>
      </w:r>
      <w:r w:rsidR="00F370B4" w:rsidRPr="001F4A02">
        <w:t xml:space="preserve">questioned the relevance of the comparison between tafamidis and patisiran. However, the ESC </w:t>
      </w:r>
      <w:r w:rsidR="00747834" w:rsidRPr="001F4A02">
        <w:t>considered that there would potentially be some overlap in the proposed populations eligible for tafamidis and patisiran despite the different manifestations of ATTR amyloidosis targeted by the two submissions.</w:t>
      </w:r>
    </w:p>
    <w:p w14:paraId="3E433E49" w14:textId="0A0520FD" w:rsidR="00A523D0" w:rsidRDefault="00A523D0" w:rsidP="00A523D0">
      <w:pPr>
        <w:pStyle w:val="COMexecsumnumberedpara"/>
      </w:pPr>
      <w:r w:rsidRPr="00D864B3">
        <w:t xml:space="preserve">Top line results of the patisiran ATTR-CM APOLLO-B trial </w:t>
      </w:r>
      <w:r w:rsidR="0007470A">
        <w:t xml:space="preserve">(n=360) </w:t>
      </w:r>
      <w:r w:rsidRPr="00D864B3">
        <w:t>showed statistically significant benefits to patients with cardiomyopathy at 12 months in terms of functional capacity (6MWT) and health status/quality of life (KCCQ-OS) compared to placebo, but no statistically significant benefits in terms of all-cause mortality and key composite outcomes comprised of mortality, frequency of cardiovascular events, hospitalisations, and urgent heart failure related hospitalisations (Maurer et al. 2022).</w:t>
      </w:r>
      <w:r w:rsidR="009402F1">
        <w:t xml:space="preserve"> </w:t>
      </w:r>
    </w:p>
    <w:p w14:paraId="34B94F29" w14:textId="3A0A95FB" w:rsidR="00A523D0" w:rsidRDefault="00A523D0" w:rsidP="00A523D0">
      <w:pPr>
        <w:pStyle w:val="COMexecsumnumberedpara"/>
      </w:pPr>
      <w:r w:rsidRPr="00AB287F">
        <w:t>In addition, a</w:t>
      </w:r>
      <w:r>
        <w:t>n</w:t>
      </w:r>
      <w:r w:rsidRPr="00AB287F">
        <w:t xml:space="preserve"> open-label study of inotersen suggested some efficacy in the treatment of ATTR-CM (Dasgupta et al. 2020).</w:t>
      </w:r>
    </w:p>
    <w:p w14:paraId="2C8AA680" w14:textId="77777777" w:rsidR="00A9171C" w:rsidRDefault="00A523D0" w:rsidP="00A9171C">
      <w:pPr>
        <w:pStyle w:val="COMexecsumnumberedpara"/>
      </w:pPr>
      <w:r>
        <w:t xml:space="preserve">Given </w:t>
      </w:r>
      <w:r w:rsidRPr="001C6B4D">
        <w:t>inotersen and patisiran are not registered for</w:t>
      </w:r>
      <w:r>
        <w:t xml:space="preserve"> the treatment of ATTR-CM in Australia and the current clinical evidence for both agents for this indication is limited, neither agent was nominated as a potential near market comparator. </w:t>
      </w:r>
    </w:p>
    <w:p w14:paraId="441EAD2A" w14:textId="3D09BBB1" w:rsidR="00A523D0" w:rsidRPr="00D4239A" w:rsidRDefault="00A9171C" w:rsidP="00D4239A">
      <w:pPr>
        <w:ind w:firstLine="720"/>
        <w:rPr>
          <w:i/>
          <w:iCs/>
        </w:rPr>
      </w:pPr>
      <w:r w:rsidRPr="00A9171C">
        <w:rPr>
          <w:i/>
          <w:iCs/>
        </w:rPr>
        <w:t>For more detail on PBAC’s view, see section 7 PBAC outcome.</w:t>
      </w:r>
    </w:p>
    <w:p w14:paraId="7F9C27C8" w14:textId="77777777" w:rsidR="00223D5A" w:rsidRPr="00407F2D" w:rsidRDefault="00223D5A" w:rsidP="00223D5A">
      <w:pPr>
        <w:pStyle w:val="COMH1numbered"/>
        <w:numPr>
          <w:ilvl w:val="0"/>
          <w:numId w:val="1"/>
        </w:numPr>
      </w:pPr>
      <w:bookmarkStart w:id="17" w:name="_Toc135227610"/>
      <w:r>
        <w:t>C</w:t>
      </w:r>
      <w:r w:rsidRPr="00407F2D">
        <w:t>onsideration of the evidence</w:t>
      </w:r>
      <w:bookmarkEnd w:id="17"/>
    </w:p>
    <w:p w14:paraId="7BC989E5" w14:textId="77777777" w:rsidR="00A9171C" w:rsidRPr="006E1229" w:rsidRDefault="00A9171C" w:rsidP="00A9171C">
      <w:pPr>
        <w:pStyle w:val="3-SubsectionHeading"/>
      </w:pPr>
      <w:bookmarkStart w:id="18" w:name="_Hlk76375935"/>
      <w:bookmarkStart w:id="19" w:name="_Toc134118705"/>
      <w:bookmarkStart w:id="20" w:name="_Toc135227611"/>
      <w:r w:rsidRPr="006E1229">
        <w:t>Sponsor hearing</w:t>
      </w:r>
    </w:p>
    <w:p w14:paraId="7DBC060E" w14:textId="643E538D" w:rsidR="00A9171C" w:rsidRPr="00836F75" w:rsidRDefault="00A9171C" w:rsidP="00A9171C">
      <w:pPr>
        <w:widowControl w:val="0"/>
        <w:numPr>
          <w:ilvl w:val="1"/>
          <w:numId w:val="1"/>
        </w:numPr>
        <w:spacing w:after="120"/>
        <w:ind w:left="720" w:hanging="720"/>
        <w:rPr>
          <w:rFonts w:asciiTheme="minorHAnsi" w:hAnsiTheme="minorHAnsi"/>
          <w:bCs/>
          <w:snapToGrid w:val="0"/>
        </w:rPr>
      </w:pPr>
      <w:bookmarkStart w:id="21" w:name="_Hlk76382586"/>
      <w:r w:rsidRPr="00836F75">
        <w:rPr>
          <w:rFonts w:asciiTheme="minorHAnsi" w:hAnsiTheme="minorHAnsi"/>
          <w:bCs/>
          <w:snapToGrid w:val="0"/>
        </w:rPr>
        <w:t xml:space="preserve">The sponsor requested a hearing for this item. The clinician discussed the </w:t>
      </w:r>
      <w:r w:rsidR="00212937">
        <w:rPr>
          <w:rFonts w:asciiTheme="minorHAnsi" w:hAnsiTheme="minorHAnsi"/>
          <w:bCs/>
          <w:snapToGrid w:val="0"/>
        </w:rPr>
        <w:t>course of symptoms, diagnosis</w:t>
      </w:r>
      <w:r w:rsidRPr="00836F75">
        <w:rPr>
          <w:rFonts w:asciiTheme="minorHAnsi" w:hAnsiTheme="minorHAnsi"/>
          <w:bCs/>
          <w:snapToGrid w:val="0"/>
        </w:rPr>
        <w:t xml:space="preserve"> </w:t>
      </w:r>
      <w:r w:rsidR="00212937">
        <w:rPr>
          <w:rFonts w:asciiTheme="minorHAnsi" w:hAnsiTheme="minorHAnsi"/>
          <w:bCs/>
          <w:snapToGrid w:val="0"/>
        </w:rPr>
        <w:t>and current treatments for A</w:t>
      </w:r>
      <w:r w:rsidR="0074472E">
        <w:rPr>
          <w:rFonts w:asciiTheme="minorHAnsi" w:hAnsiTheme="minorHAnsi"/>
          <w:bCs/>
          <w:snapToGrid w:val="0"/>
        </w:rPr>
        <w:t>T</w:t>
      </w:r>
      <w:r w:rsidR="00212937">
        <w:rPr>
          <w:rFonts w:asciiTheme="minorHAnsi" w:hAnsiTheme="minorHAnsi"/>
          <w:bCs/>
          <w:snapToGrid w:val="0"/>
        </w:rPr>
        <w:t xml:space="preserve">TR-CM. The clinician noted that genetic testing can sometimes identify a rare form of the condition and allow patients to access clinical trials for new treatments. </w:t>
      </w:r>
      <w:r w:rsidR="00AF6DFD">
        <w:rPr>
          <w:rFonts w:asciiTheme="minorHAnsi" w:hAnsiTheme="minorHAnsi"/>
          <w:bCs/>
          <w:snapToGrid w:val="0"/>
        </w:rPr>
        <w:t xml:space="preserve">Most patients (90%) are wild type for the ATTR gene and those with the ATTR gene tend to be younger. The clinician noted that tafamidis is the only TGA approved drug for this indication and has good evidence of stabilising disease and improved or prolonged quality of life. The clinician noted that there is increased awareness of ATTR, especially in heart failure with preserved ejection fraction but rates of referral and diagnosis are still low. The clinician considered that patients can revert from </w:t>
      </w:r>
      <w:r w:rsidR="00257906">
        <w:rPr>
          <w:rFonts w:asciiTheme="minorHAnsi" w:hAnsiTheme="minorHAnsi"/>
          <w:bCs/>
          <w:snapToGrid w:val="0"/>
        </w:rPr>
        <w:t xml:space="preserve">NYHA Class III or IV back to Class II </w:t>
      </w:r>
      <w:r w:rsidR="00AF6DFD">
        <w:rPr>
          <w:rFonts w:asciiTheme="minorHAnsi" w:hAnsiTheme="minorHAnsi"/>
          <w:bCs/>
          <w:snapToGrid w:val="0"/>
        </w:rPr>
        <w:t xml:space="preserve">and noted that the stopping rule proposed should be explained to patients prior to initiating tafamidis. </w:t>
      </w:r>
      <w:r w:rsidRPr="00836F75">
        <w:rPr>
          <w:rFonts w:asciiTheme="minorHAnsi" w:hAnsiTheme="minorHAnsi"/>
          <w:bCs/>
          <w:snapToGrid w:val="0"/>
        </w:rPr>
        <w:t>The PBAC considered that the hearing was</w:t>
      </w:r>
      <w:r w:rsidR="00FF401A">
        <w:rPr>
          <w:rFonts w:asciiTheme="minorHAnsi" w:hAnsiTheme="minorHAnsi"/>
          <w:bCs/>
          <w:snapToGrid w:val="0"/>
        </w:rPr>
        <w:t xml:space="preserve"> moderately</w:t>
      </w:r>
      <w:r w:rsidRPr="00836F75">
        <w:rPr>
          <w:rFonts w:asciiTheme="minorHAnsi" w:hAnsiTheme="minorHAnsi"/>
          <w:bCs/>
          <w:snapToGrid w:val="0"/>
        </w:rPr>
        <w:t xml:space="preserve"> informative as it provided a clinical perspective on</w:t>
      </w:r>
      <w:r w:rsidR="00FF401A">
        <w:rPr>
          <w:rFonts w:asciiTheme="minorHAnsi" w:hAnsiTheme="minorHAnsi"/>
          <w:bCs/>
          <w:snapToGrid w:val="0"/>
        </w:rPr>
        <w:t xml:space="preserve"> managing the proposed stopping rule</w:t>
      </w:r>
      <w:r w:rsidRPr="00836F75">
        <w:rPr>
          <w:rFonts w:asciiTheme="minorHAnsi" w:hAnsiTheme="minorHAnsi"/>
          <w:bCs/>
          <w:snapToGrid w:val="0"/>
        </w:rPr>
        <w:t>.</w:t>
      </w:r>
    </w:p>
    <w:bookmarkEnd w:id="21"/>
    <w:p w14:paraId="0CE49122" w14:textId="77777777" w:rsidR="00A9171C" w:rsidRPr="006E1229" w:rsidRDefault="00A9171C" w:rsidP="00A9171C">
      <w:pPr>
        <w:pStyle w:val="3-SubsectionHeading"/>
      </w:pPr>
      <w:r w:rsidRPr="006E1229">
        <w:t>Consumer comments</w:t>
      </w:r>
    </w:p>
    <w:p w14:paraId="37A08DCF" w14:textId="461843EE" w:rsidR="00A9171C" w:rsidRPr="002F52F5" w:rsidRDefault="00A9171C" w:rsidP="002F52F5">
      <w:pPr>
        <w:widowControl w:val="0"/>
        <w:numPr>
          <w:ilvl w:val="1"/>
          <w:numId w:val="1"/>
        </w:numPr>
        <w:spacing w:after="120"/>
        <w:ind w:left="720" w:hanging="720"/>
        <w:rPr>
          <w:rFonts w:asciiTheme="minorHAnsi" w:hAnsiTheme="minorHAnsi"/>
          <w:bCs/>
          <w:snapToGrid w:val="0"/>
        </w:rPr>
      </w:pPr>
      <w:bookmarkStart w:id="22" w:name="_Hlk76382618"/>
      <w:r w:rsidRPr="00836F75">
        <w:rPr>
          <w:rFonts w:asciiTheme="minorHAnsi" w:hAnsiTheme="minorHAnsi"/>
          <w:bCs/>
          <w:snapToGrid w:val="0"/>
        </w:rPr>
        <w:t>The PBAC noted and welcomed the input from individuals (</w:t>
      </w:r>
      <w:r w:rsidR="009D16C4">
        <w:rPr>
          <w:rFonts w:asciiTheme="minorHAnsi" w:hAnsiTheme="minorHAnsi"/>
          <w:bCs/>
          <w:snapToGrid w:val="0"/>
        </w:rPr>
        <w:t>26</w:t>
      </w:r>
      <w:r w:rsidRPr="00836F75">
        <w:rPr>
          <w:rFonts w:asciiTheme="minorHAnsi" w:hAnsiTheme="minorHAnsi"/>
          <w:bCs/>
          <w:snapToGrid w:val="0"/>
        </w:rPr>
        <w:t>), and organisations (</w:t>
      </w:r>
      <w:r w:rsidR="009D16C4">
        <w:rPr>
          <w:rFonts w:asciiTheme="minorHAnsi" w:hAnsiTheme="minorHAnsi"/>
          <w:bCs/>
          <w:snapToGrid w:val="0"/>
        </w:rPr>
        <w:t>2</w:t>
      </w:r>
      <w:r w:rsidRPr="00836F75">
        <w:rPr>
          <w:rFonts w:asciiTheme="minorHAnsi" w:hAnsiTheme="minorHAnsi"/>
          <w:bCs/>
          <w:snapToGrid w:val="0"/>
        </w:rPr>
        <w:t>) via the Consumer Comments facility on the PBS website. The comments</w:t>
      </w:r>
      <w:r w:rsidR="001B46E8">
        <w:rPr>
          <w:rFonts w:asciiTheme="minorHAnsi" w:hAnsiTheme="minorHAnsi"/>
          <w:bCs/>
          <w:snapToGrid w:val="0"/>
        </w:rPr>
        <w:t xml:space="preserve"> from patients treated with tafamidis</w:t>
      </w:r>
      <w:r w:rsidRPr="00836F75">
        <w:rPr>
          <w:rFonts w:asciiTheme="minorHAnsi" w:hAnsiTheme="minorHAnsi"/>
          <w:bCs/>
          <w:snapToGrid w:val="0"/>
        </w:rPr>
        <w:t xml:space="preserve"> described </w:t>
      </w:r>
      <w:r w:rsidR="009D16C4">
        <w:rPr>
          <w:rFonts w:asciiTheme="minorHAnsi" w:hAnsiTheme="minorHAnsi"/>
          <w:bCs/>
          <w:snapToGrid w:val="0"/>
        </w:rPr>
        <w:t>the</w:t>
      </w:r>
      <w:r w:rsidRPr="00836F75">
        <w:rPr>
          <w:rFonts w:asciiTheme="minorHAnsi" w:hAnsiTheme="minorHAnsi"/>
          <w:bCs/>
          <w:snapToGrid w:val="0"/>
        </w:rPr>
        <w:t xml:space="preserve"> benefits of treatment </w:t>
      </w:r>
      <w:r w:rsidR="009D16C4">
        <w:rPr>
          <w:rFonts w:asciiTheme="minorHAnsi" w:hAnsiTheme="minorHAnsi"/>
          <w:bCs/>
          <w:snapToGrid w:val="0"/>
        </w:rPr>
        <w:t>in terms of stabilisation of amyloid deposits in the heart</w:t>
      </w:r>
      <w:r w:rsidR="00E510BB">
        <w:rPr>
          <w:rFonts w:asciiTheme="minorHAnsi" w:hAnsiTheme="minorHAnsi"/>
          <w:bCs/>
          <w:snapToGrid w:val="0"/>
        </w:rPr>
        <w:t xml:space="preserve">. </w:t>
      </w:r>
      <w:r w:rsidR="001B46E8">
        <w:rPr>
          <w:rFonts w:asciiTheme="minorHAnsi" w:hAnsiTheme="minorHAnsi"/>
          <w:bCs/>
          <w:snapToGrid w:val="0"/>
        </w:rPr>
        <w:t xml:space="preserve">Input from individuals with </w:t>
      </w:r>
      <w:r w:rsidR="0074472E">
        <w:rPr>
          <w:rFonts w:asciiTheme="minorHAnsi" w:hAnsiTheme="minorHAnsi"/>
          <w:bCs/>
          <w:snapToGrid w:val="0"/>
        </w:rPr>
        <w:t>ATTR</w:t>
      </w:r>
      <w:r w:rsidR="001B46E8">
        <w:rPr>
          <w:rFonts w:asciiTheme="minorHAnsi" w:hAnsiTheme="minorHAnsi"/>
          <w:bCs/>
          <w:snapToGrid w:val="0"/>
        </w:rPr>
        <w:t>-CM</w:t>
      </w:r>
      <w:r w:rsidR="00E510BB">
        <w:rPr>
          <w:rFonts w:asciiTheme="minorHAnsi" w:hAnsiTheme="minorHAnsi"/>
          <w:bCs/>
          <w:snapToGrid w:val="0"/>
        </w:rPr>
        <w:t xml:space="preserve"> described </w:t>
      </w:r>
      <w:r w:rsidR="001B46E8">
        <w:rPr>
          <w:rFonts w:asciiTheme="minorHAnsi" w:hAnsiTheme="minorHAnsi"/>
          <w:bCs/>
          <w:snapToGrid w:val="0"/>
        </w:rPr>
        <w:t>its impact</w:t>
      </w:r>
      <w:r w:rsidR="00E510BB">
        <w:rPr>
          <w:rFonts w:asciiTheme="minorHAnsi" w:hAnsiTheme="minorHAnsi"/>
          <w:bCs/>
          <w:snapToGrid w:val="0"/>
        </w:rPr>
        <w:t xml:space="preserve"> on quality of life</w:t>
      </w:r>
      <w:r w:rsidR="001B46E8">
        <w:rPr>
          <w:rFonts w:asciiTheme="minorHAnsi" w:hAnsiTheme="minorHAnsi"/>
          <w:bCs/>
          <w:snapToGrid w:val="0"/>
        </w:rPr>
        <w:t>,</w:t>
      </w:r>
      <w:r w:rsidR="00E510BB">
        <w:rPr>
          <w:rFonts w:asciiTheme="minorHAnsi" w:hAnsiTheme="minorHAnsi"/>
          <w:bCs/>
          <w:snapToGrid w:val="0"/>
        </w:rPr>
        <w:t xml:space="preserve"> particularly on fatigue</w:t>
      </w:r>
      <w:r w:rsidR="00E40A83">
        <w:rPr>
          <w:rFonts w:asciiTheme="minorHAnsi" w:hAnsiTheme="minorHAnsi"/>
          <w:bCs/>
          <w:snapToGrid w:val="0"/>
        </w:rPr>
        <w:t xml:space="preserve"> and weakness</w:t>
      </w:r>
      <w:r w:rsidR="00E510BB">
        <w:rPr>
          <w:rFonts w:asciiTheme="minorHAnsi" w:hAnsiTheme="minorHAnsi"/>
          <w:bCs/>
          <w:snapToGrid w:val="0"/>
        </w:rPr>
        <w:t>, with comments noting improvements observed due to tafamidis treatment, including stabilisation of quality of life and the ability to return to work and exercise. Individuals who would like to access tafamidis described the hope that it will improve functional capacity, symptoms of peripheral neuropathy and autonomic nervous system symptoms</w:t>
      </w:r>
      <w:r w:rsidR="002F52F5">
        <w:rPr>
          <w:rFonts w:asciiTheme="minorHAnsi" w:hAnsiTheme="minorHAnsi"/>
          <w:bCs/>
          <w:snapToGrid w:val="0"/>
        </w:rPr>
        <w:t xml:space="preserve">, </w:t>
      </w:r>
      <w:r w:rsidR="00E510BB">
        <w:rPr>
          <w:rFonts w:asciiTheme="minorHAnsi" w:hAnsiTheme="minorHAnsi"/>
          <w:bCs/>
          <w:snapToGrid w:val="0"/>
        </w:rPr>
        <w:t xml:space="preserve">improve quality of life </w:t>
      </w:r>
      <w:r w:rsidR="00E40A83">
        <w:rPr>
          <w:rFonts w:asciiTheme="minorHAnsi" w:hAnsiTheme="minorHAnsi"/>
          <w:bCs/>
          <w:snapToGrid w:val="0"/>
        </w:rPr>
        <w:t>and</w:t>
      </w:r>
      <w:r w:rsidR="00E510BB">
        <w:rPr>
          <w:rFonts w:asciiTheme="minorHAnsi" w:hAnsiTheme="minorHAnsi"/>
          <w:bCs/>
          <w:snapToGrid w:val="0"/>
        </w:rPr>
        <w:t xml:space="preserve"> even extend life. Input </w:t>
      </w:r>
      <w:r w:rsidR="001B46E8">
        <w:rPr>
          <w:rFonts w:asciiTheme="minorHAnsi" w:hAnsiTheme="minorHAnsi"/>
          <w:bCs/>
          <w:snapToGrid w:val="0"/>
        </w:rPr>
        <w:t xml:space="preserve">from individuals also </w:t>
      </w:r>
      <w:r w:rsidR="00E510BB">
        <w:rPr>
          <w:rFonts w:asciiTheme="minorHAnsi" w:hAnsiTheme="minorHAnsi"/>
          <w:bCs/>
          <w:snapToGrid w:val="0"/>
        </w:rPr>
        <w:t>outlined the prohibitive cost of tafamidis and noted th</w:t>
      </w:r>
      <w:r w:rsidR="001B46E8">
        <w:rPr>
          <w:rFonts w:asciiTheme="minorHAnsi" w:hAnsiTheme="minorHAnsi"/>
          <w:bCs/>
          <w:snapToGrid w:val="0"/>
        </w:rPr>
        <w:t>e</w:t>
      </w:r>
      <w:r w:rsidR="00E510BB">
        <w:rPr>
          <w:rFonts w:asciiTheme="minorHAnsi" w:hAnsiTheme="minorHAnsi"/>
          <w:bCs/>
          <w:snapToGrid w:val="0"/>
        </w:rPr>
        <w:t xml:space="preserve"> preference for oral administration. </w:t>
      </w:r>
      <w:r w:rsidR="00E40A83">
        <w:rPr>
          <w:rFonts w:asciiTheme="minorHAnsi" w:hAnsiTheme="minorHAnsi"/>
          <w:bCs/>
          <w:snapToGrid w:val="0"/>
        </w:rPr>
        <w:t>Comments described side effects as minor and more tolerable than other treatments used for management of symptoms.</w:t>
      </w:r>
      <w:r w:rsidR="00E510BB">
        <w:rPr>
          <w:rFonts w:asciiTheme="minorHAnsi" w:hAnsiTheme="minorHAnsi"/>
          <w:bCs/>
          <w:snapToGrid w:val="0"/>
        </w:rPr>
        <w:t xml:space="preserve"> </w:t>
      </w:r>
      <w:r w:rsidR="002F52F5">
        <w:rPr>
          <w:rFonts w:asciiTheme="minorHAnsi" w:hAnsiTheme="minorHAnsi"/>
          <w:bCs/>
          <w:snapToGrid w:val="0"/>
        </w:rPr>
        <w:t xml:space="preserve">The PBAC noted that consumer comments </w:t>
      </w:r>
      <w:r w:rsidR="00F02A1B">
        <w:rPr>
          <w:rFonts w:asciiTheme="minorHAnsi" w:hAnsiTheme="minorHAnsi"/>
          <w:bCs/>
          <w:snapToGrid w:val="0"/>
        </w:rPr>
        <w:t xml:space="preserve">for </w:t>
      </w:r>
      <w:r w:rsidR="002F52F5">
        <w:rPr>
          <w:rFonts w:asciiTheme="minorHAnsi" w:hAnsiTheme="minorHAnsi"/>
          <w:bCs/>
          <w:snapToGrid w:val="0"/>
        </w:rPr>
        <w:t>the previous tafamidis submission</w:t>
      </w:r>
      <w:r w:rsidR="00F02A1B">
        <w:rPr>
          <w:rFonts w:asciiTheme="minorHAnsi" w:hAnsiTheme="minorHAnsi"/>
          <w:bCs/>
          <w:snapToGrid w:val="0"/>
        </w:rPr>
        <w:t>s</w:t>
      </w:r>
      <w:r w:rsidR="002F52F5">
        <w:rPr>
          <w:rFonts w:asciiTheme="minorHAnsi" w:hAnsiTheme="minorHAnsi"/>
          <w:bCs/>
          <w:snapToGrid w:val="0"/>
        </w:rPr>
        <w:t xml:space="preserve"> reflected </w:t>
      </w:r>
      <w:r w:rsidR="00D371F6">
        <w:rPr>
          <w:rFonts w:asciiTheme="minorHAnsi" w:hAnsiTheme="minorHAnsi"/>
          <w:bCs/>
          <w:snapToGrid w:val="0"/>
        </w:rPr>
        <w:t>similar</w:t>
      </w:r>
      <w:r w:rsidR="002F52F5">
        <w:rPr>
          <w:rFonts w:asciiTheme="minorHAnsi" w:hAnsiTheme="minorHAnsi"/>
          <w:bCs/>
          <w:snapToGrid w:val="0"/>
        </w:rPr>
        <w:t xml:space="preserve"> </w:t>
      </w:r>
      <w:r w:rsidR="00D371F6">
        <w:rPr>
          <w:rFonts w:asciiTheme="minorHAnsi" w:hAnsiTheme="minorHAnsi"/>
          <w:bCs/>
          <w:snapToGrid w:val="0"/>
        </w:rPr>
        <w:t>views</w:t>
      </w:r>
      <w:r w:rsidR="002F52F5">
        <w:rPr>
          <w:rFonts w:asciiTheme="minorHAnsi" w:hAnsiTheme="minorHAnsi"/>
          <w:bCs/>
          <w:snapToGrid w:val="0"/>
        </w:rPr>
        <w:t>.</w:t>
      </w:r>
    </w:p>
    <w:p w14:paraId="75B94171" w14:textId="65DADA8F" w:rsidR="00535F2A" w:rsidRDefault="002F52F5" w:rsidP="00A9171C">
      <w:pPr>
        <w:widowControl w:val="0"/>
        <w:numPr>
          <w:ilvl w:val="1"/>
          <w:numId w:val="1"/>
        </w:numPr>
        <w:spacing w:after="120"/>
        <w:ind w:left="720" w:hanging="720"/>
        <w:rPr>
          <w:rFonts w:asciiTheme="minorHAnsi" w:hAnsiTheme="minorHAnsi"/>
          <w:bCs/>
          <w:snapToGrid w:val="0"/>
        </w:rPr>
      </w:pPr>
      <w:bookmarkStart w:id="23" w:name="_Hlk97141415"/>
      <w:r>
        <w:rPr>
          <w:rFonts w:asciiTheme="minorHAnsi" w:hAnsiTheme="minorHAnsi"/>
          <w:bCs/>
          <w:snapToGrid w:val="0"/>
        </w:rPr>
        <w:t xml:space="preserve">The PBAC noted advice received from Amyloidosis Research Consortium (ARC), </w:t>
      </w:r>
      <w:r w:rsidR="00535F2A">
        <w:rPr>
          <w:rFonts w:asciiTheme="minorHAnsi" w:hAnsiTheme="minorHAnsi"/>
          <w:bCs/>
          <w:snapToGrid w:val="0"/>
        </w:rPr>
        <w:t xml:space="preserve">which provided results of a </w:t>
      </w:r>
      <w:r w:rsidR="00257906">
        <w:rPr>
          <w:rFonts w:asciiTheme="minorHAnsi" w:hAnsiTheme="minorHAnsi"/>
          <w:bCs/>
          <w:snapToGrid w:val="0"/>
        </w:rPr>
        <w:t xml:space="preserve">global </w:t>
      </w:r>
      <w:r w:rsidR="00535F2A">
        <w:rPr>
          <w:rFonts w:asciiTheme="minorHAnsi" w:hAnsiTheme="minorHAnsi"/>
          <w:bCs/>
          <w:snapToGrid w:val="0"/>
        </w:rPr>
        <w:t xml:space="preserve">survey of 390 ATTR patients (41% with CM only and 40% with both CM and PN). The most common symptoms reported for ATTR-CM patients were fatigue (87%), shortness of breath (77%), and muscle weakness or loss of strength (71%). </w:t>
      </w:r>
      <w:r w:rsidR="00535F2A" w:rsidRPr="00535F2A">
        <w:rPr>
          <w:rFonts w:asciiTheme="minorHAnsi" w:hAnsiTheme="minorHAnsi"/>
          <w:bCs/>
          <w:snapToGrid w:val="0"/>
        </w:rPr>
        <w:t xml:space="preserve">The symptoms </w:t>
      </w:r>
      <w:r w:rsidR="00535F2A">
        <w:rPr>
          <w:rFonts w:asciiTheme="minorHAnsi" w:hAnsiTheme="minorHAnsi"/>
          <w:bCs/>
          <w:snapToGrid w:val="0"/>
        </w:rPr>
        <w:t>impacting</w:t>
      </w:r>
      <w:r w:rsidR="00535F2A" w:rsidRPr="00535F2A">
        <w:rPr>
          <w:rFonts w:asciiTheme="minorHAnsi" w:hAnsiTheme="minorHAnsi"/>
          <w:bCs/>
          <w:snapToGrid w:val="0"/>
        </w:rPr>
        <w:t xml:space="preserve"> ATTR-CM patients </w:t>
      </w:r>
      <w:r w:rsidR="00535F2A">
        <w:rPr>
          <w:rFonts w:asciiTheme="minorHAnsi" w:hAnsiTheme="minorHAnsi"/>
          <w:bCs/>
          <w:snapToGrid w:val="0"/>
        </w:rPr>
        <w:t xml:space="preserve">most significantly </w:t>
      </w:r>
      <w:r w:rsidR="00535F2A" w:rsidRPr="00535F2A">
        <w:rPr>
          <w:rFonts w:asciiTheme="minorHAnsi" w:hAnsiTheme="minorHAnsi"/>
          <w:bCs/>
          <w:snapToGrid w:val="0"/>
        </w:rPr>
        <w:t>were sexual dysfunction (47%), fatigue (46%) and pain, numbness, or tingling in feet/legs (41%)</w:t>
      </w:r>
      <w:r w:rsidR="00535F2A">
        <w:rPr>
          <w:rFonts w:asciiTheme="minorHAnsi" w:hAnsiTheme="minorHAnsi"/>
          <w:bCs/>
          <w:snapToGrid w:val="0"/>
        </w:rPr>
        <w:t>. In terms of mental/emotional impacts t</w:t>
      </w:r>
      <w:r w:rsidR="00535F2A" w:rsidRPr="00535F2A">
        <w:rPr>
          <w:rFonts w:asciiTheme="minorHAnsi" w:hAnsiTheme="minorHAnsi"/>
          <w:bCs/>
          <w:snapToGrid w:val="0"/>
        </w:rPr>
        <w:t>he most commonly reported significant impact was worry about the future (29%), worry that they may not be able to access the treatments that they need for ATTR (19%) and fear or anxiety related to ATTR (21%).</w:t>
      </w:r>
    </w:p>
    <w:p w14:paraId="256D0A7A" w14:textId="10C89CF4" w:rsidR="00A9171C" w:rsidRDefault="00535F2A" w:rsidP="00A9171C">
      <w:pPr>
        <w:widowControl w:val="0"/>
        <w:numPr>
          <w:ilvl w:val="1"/>
          <w:numId w:val="1"/>
        </w:numPr>
        <w:spacing w:after="120"/>
        <w:ind w:left="720" w:hanging="720"/>
        <w:rPr>
          <w:rFonts w:asciiTheme="minorHAnsi" w:hAnsiTheme="minorHAnsi"/>
          <w:bCs/>
          <w:snapToGrid w:val="0"/>
        </w:rPr>
      </w:pPr>
      <w:r>
        <w:rPr>
          <w:rFonts w:asciiTheme="minorHAnsi" w:hAnsiTheme="minorHAnsi"/>
          <w:bCs/>
          <w:snapToGrid w:val="0"/>
        </w:rPr>
        <w:t xml:space="preserve">The PBAC noted </w:t>
      </w:r>
      <w:r w:rsidR="00814339">
        <w:rPr>
          <w:rFonts w:asciiTheme="minorHAnsi" w:hAnsiTheme="minorHAnsi"/>
          <w:bCs/>
          <w:snapToGrid w:val="0"/>
        </w:rPr>
        <w:t>input</w:t>
      </w:r>
      <w:r>
        <w:rPr>
          <w:rFonts w:asciiTheme="minorHAnsi" w:hAnsiTheme="minorHAnsi"/>
          <w:bCs/>
          <w:snapToGrid w:val="0"/>
        </w:rPr>
        <w:t xml:space="preserve"> from the Australian Amyloidosis Network</w:t>
      </w:r>
      <w:r w:rsidR="00814339">
        <w:rPr>
          <w:rFonts w:asciiTheme="minorHAnsi" w:hAnsiTheme="minorHAnsi"/>
          <w:bCs/>
          <w:snapToGrid w:val="0"/>
        </w:rPr>
        <w:t xml:space="preserve"> (AAN), describing diagnosis of ATTR-CM and the </w:t>
      </w:r>
      <w:r w:rsidR="00B01470">
        <w:rPr>
          <w:rFonts w:asciiTheme="minorHAnsi" w:hAnsiTheme="minorHAnsi"/>
          <w:bCs/>
          <w:snapToGrid w:val="0"/>
        </w:rPr>
        <w:t xml:space="preserve">treatment </w:t>
      </w:r>
      <w:r w:rsidR="00814339">
        <w:rPr>
          <w:rFonts w:asciiTheme="minorHAnsi" w:hAnsiTheme="minorHAnsi"/>
          <w:bCs/>
          <w:snapToGrid w:val="0"/>
        </w:rPr>
        <w:t xml:space="preserve">benefit </w:t>
      </w:r>
      <w:r w:rsidR="00B01470">
        <w:rPr>
          <w:rFonts w:asciiTheme="minorHAnsi" w:hAnsiTheme="minorHAnsi"/>
          <w:bCs/>
          <w:snapToGrid w:val="0"/>
        </w:rPr>
        <w:t>and tolerability of</w:t>
      </w:r>
      <w:r w:rsidR="00814339">
        <w:rPr>
          <w:rFonts w:asciiTheme="minorHAnsi" w:hAnsiTheme="minorHAnsi"/>
          <w:bCs/>
          <w:snapToGrid w:val="0"/>
        </w:rPr>
        <w:t xml:space="preserve"> tafamidis</w:t>
      </w:r>
      <w:r>
        <w:rPr>
          <w:rFonts w:asciiTheme="minorHAnsi" w:hAnsiTheme="minorHAnsi"/>
          <w:bCs/>
          <w:snapToGrid w:val="0"/>
        </w:rPr>
        <w:t xml:space="preserve">. </w:t>
      </w:r>
      <w:r w:rsidR="00814339">
        <w:rPr>
          <w:rFonts w:asciiTheme="minorHAnsi" w:hAnsiTheme="minorHAnsi"/>
          <w:bCs/>
          <w:snapToGrid w:val="0"/>
        </w:rPr>
        <w:t xml:space="preserve">Input from AAN stated that there </w:t>
      </w:r>
      <w:r w:rsidR="001B46E8">
        <w:rPr>
          <w:rFonts w:asciiTheme="minorHAnsi" w:hAnsiTheme="minorHAnsi"/>
          <w:bCs/>
          <w:snapToGrid w:val="0"/>
        </w:rPr>
        <w:t>is</w:t>
      </w:r>
      <w:r w:rsidR="005D092E">
        <w:rPr>
          <w:rFonts w:asciiTheme="minorHAnsi" w:hAnsiTheme="minorHAnsi"/>
          <w:bCs/>
          <w:snapToGrid w:val="0"/>
        </w:rPr>
        <w:t xml:space="preserve"> now</w:t>
      </w:r>
      <w:r w:rsidR="00814339">
        <w:rPr>
          <w:rFonts w:asciiTheme="minorHAnsi" w:hAnsiTheme="minorHAnsi"/>
          <w:bCs/>
          <w:snapToGrid w:val="0"/>
        </w:rPr>
        <w:t xml:space="preserve"> consensus that ATTR-CM can be accurately diagnosed without the need for cardiac biopsy by the use of bone scintigraphy, and that the quality of </w:t>
      </w:r>
      <w:r w:rsidR="00814339" w:rsidRPr="00814339">
        <w:rPr>
          <w:rFonts w:asciiTheme="minorHAnsi" w:hAnsiTheme="minorHAnsi"/>
          <w:bCs/>
          <w:snapToGrid w:val="0"/>
        </w:rPr>
        <w:t>bone scintigraphy reports for cardiac amyloidosis has improved significantly with greater use of SPECT imaging, appropriate scan timing and more uniform reporting.</w:t>
      </w:r>
      <w:r w:rsidR="00814339">
        <w:rPr>
          <w:rFonts w:asciiTheme="minorHAnsi" w:hAnsiTheme="minorHAnsi"/>
          <w:bCs/>
          <w:snapToGrid w:val="0"/>
        </w:rPr>
        <w:t xml:space="preserve"> AAN also noted that around 20% of patients with positive cardiac bone scintigraphy require </w:t>
      </w:r>
      <w:r w:rsidR="00814339" w:rsidRPr="00814339">
        <w:rPr>
          <w:rFonts w:asciiTheme="minorHAnsi" w:hAnsiTheme="minorHAnsi"/>
          <w:bCs/>
          <w:snapToGrid w:val="0"/>
        </w:rPr>
        <w:t>demonstration of amyloid on a tissue biopsy with subtyping by immunohistochemistry or mass spectrometry in order to distinguish AL from ATTR amyloidosis. Immunohistochemistry to diagnose amyloid subtype is highly specialized and technically difficult and the AAN recommend</w:t>
      </w:r>
      <w:r w:rsidR="00814339">
        <w:rPr>
          <w:rFonts w:asciiTheme="minorHAnsi" w:hAnsiTheme="minorHAnsi"/>
          <w:bCs/>
          <w:snapToGrid w:val="0"/>
        </w:rPr>
        <w:t>ed</w:t>
      </w:r>
      <w:r w:rsidR="00814339" w:rsidRPr="00814339">
        <w:rPr>
          <w:rFonts w:asciiTheme="minorHAnsi" w:hAnsiTheme="minorHAnsi"/>
          <w:bCs/>
          <w:snapToGrid w:val="0"/>
        </w:rPr>
        <w:t xml:space="preserve"> that it be performed only in specialized amyloidosis centres</w:t>
      </w:r>
      <w:r w:rsidR="00814339">
        <w:rPr>
          <w:rFonts w:asciiTheme="minorHAnsi" w:hAnsiTheme="minorHAnsi"/>
          <w:bCs/>
          <w:snapToGrid w:val="0"/>
        </w:rPr>
        <w:t>, and consideration of greater resourcing for these services may be required.</w:t>
      </w:r>
      <w:bookmarkEnd w:id="23"/>
      <w:r w:rsidR="00814339">
        <w:rPr>
          <w:rFonts w:asciiTheme="minorHAnsi" w:hAnsiTheme="minorHAnsi"/>
          <w:bCs/>
          <w:snapToGrid w:val="0"/>
        </w:rPr>
        <w:t xml:space="preserve"> </w:t>
      </w:r>
    </w:p>
    <w:bookmarkEnd w:id="18"/>
    <w:bookmarkEnd w:id="22"/>
    <w:p w14:paraId="609C0765" w14:textId="4354D4B2" w:rsidR="00B60939" w:rsidRPr="00C9624D" w:rsidRDefault="00B60939" w:rsidP="002E4F02">
      <w:pPr>
        <w:pStyle w:val="COMH2-non-numbered"/>
      </w:pPr>
      <w:r w:rsidRPr="00C9624D">
        <w:t>Clinical trials</w:t>
      </w:r>
      <w:bookmarkEnd w:id="16"/>
      <w:bookmarkEnd w:id="19"/>
      <w:bookmarkEnd w:id="20"/>
    </w:p>
    <w:p w14:paraId="31D551D0" w14:textId="77777777" w:rsidR="00A523D0" w:rsidRPr="00EC7B39" w:rsidRDefault="00A523D0" w:rsidP="00D4239A">
      <w:pPr>
        <w:pStyle w:val="COMexecsumnumberedpara"/>
      </w:pPr>
      <w:bookmarkStart w:id="24" w:name="_Ref104803956"/>
      <w:r>
        <w:t xml:space="preserve">The current resubmission relied on the same clinical trial data previously considered by the PBAC. The key differences between the March and September 2021 </w:t>
      </w:r>
      <w:r w:rsidRPr="00EC7B39">
        <w:t>resubmissions, and the current resubmission are as follows:</w:t>
      </w:r>
    </w:p>
    <w:p w14:paraId="5FB074A6" w14:textId="77777777" w:rsidR="00A523D0" w:rsidRPr="00EC7B39" w:rsidRDefault="00A523D0" w:rsidP="00D4239A">
      <w:pPr>
        <w:pStyle w:val="COMbodybulletlist"/>
        <w:spacing w:after="120"/>
        <w:ind w:left="1077" w:hanging="357"/>
        <w:contextualSpacing w:val="0"/>
      </w:pPr>
      <w:r w:rsidRPr="00EC7B39">
        <w:t>Updated long term follow-up data from the ATTR-ACT trial extension study, B3461045.</w:t>
      </w:r>
    </w:p>
    <w:p w14:paraId="0F77E737" w14:textId="5CA8CEEE" w:rsidR="00A523D0" w:rsidRPr="00501326" w:rsidRDefault="004128BB" w:rsidP="00D4239A">
      <w:pPr>
        <w:pStyle w:val="COMbodybulletlist"/>
        <w:spacing w:after="120"/>
        <w:ind w:left="1077" w:hanging="357"/>
        <w:contextualSpacing w:val="0"/>
      </w:pPr>
      <w:r w:rsidRPr="00EC7B39">
        <w:t>New supporting evidence from 11 nonrandomised studies</w:t>
      </w:r>
      <w:r w:rsidR="00F02A1B">
        <w:t>.</w:t>
      </w:r>
      <w:r w:rsidRPr="00EC7B39">
        <w:t xml:space="preserve"> </w:t>
      </w:r>
    </w:p>
    <w:p w14:paraId="05EDD378" w14:textId="77777777" w:rsidR="00A523D0" w:rsidRPr="00EC7B39" w:rsidRDefault="00A523D0" w:rsidP="00D4239A">
      <w:pPr>
        <w:pStyle w:val="COMbodybulletlist"/>
        <w:spacing w:after="120"/>
        <w:ind w:left="1077" w:hanging="357"/>
        <w:contextualSpacing w:val="0"/>
      </w:pPr>
      <w:r w:rsidRPr="00EC7B39">
        <w:t>Updated Periodic Safety Update Report and extended assessment of comparative harms.</w:t>
      </w:r>
    </w:p>
    <w:p w14:paraId="0FD655B3" w14:textId="77777777" w:rsidR="00A523D0" w:rsidRDefault="00A523D0" w:rsidP="00D4239A">
      <w:pPr>
        <w:pStyle w:val="COMbodybulletlist"/>
        <w:spacing w:after="120"/>
        <w:ind w:left="1077" w:hanging="357"/>
        <w:contextualSpacing w:val="0"/>
      </w:pPr>
      <w:r w:rsidRPr="00EC7B39">
        <w:t>The clinical claim</w:t>
      </w:r>
      <w:r>
        <w:t xml:space="preserve"> was based on the ATTR-ACT trial subgroup with ATTR-CM and </w:t>
      </w:r>
      <w:r w:rsidRPr="001F75AA">
        <w:t>NYHA class I</w:t>
      </w:r>
      <w:r>
        <w:t>-</w:t>
      </w:r>
      <w:r w:rsidRPr="001F75AA">
        <w:t xml:space="preserve">II </w:t>
      </w:r>
      <w:r>
        <w:t>heart failure at baseline, consistent with the requested restriction.</w:t>
      </w:r>
    </w:p>
    <w:p w14:paraId="2CA262DC" w14:textId="1970308F" w:rsidR="00A523D0" w:rsidRDefault="00A523D0" w:rsidP="00A523D0">
      <w:pPr>
        <w:pStyle w:val="COMexecsumnumberedpara"/>
      </w:pPr>
      <w:r w:rsidRPr="002903DC">
        <w:rPr>
          <w:snapToGrid/>
          <w:lang w:val="en-US"/>
        </w:rPr>
        <w:t>Details</w:t>
      </w:r>
      <w:r>
        <w:rPr>
          <w:snapToGrid/>
          <w:lang w:val="en-US"/>
        </w:rPr>
        <w:t xml:space="preserve"> of </w:t>
      </w:r>
      <w:r>
        <w:t xml:space="preserve">the ATTR-ACT trial and long-term extension study, </w:t>
      </w:r>
      <w:r w:rsidRPr="001D3761">
        <w:t>B3461045</w:t>
      </w:r>
      <w:r>
        <w:t xml:space="preserve"> </w:t>
      </w:r>
      <w:proofErr w:type="gramStart"/>
      <w:r>
        <w:t>are provided</w:t>
      </w:r>
      <w:proofErr w:type="gramEnd"/>
      <w:r>
        <w:t xml:space="preserve"> in </w:t>
      </w:r>
      <w:r w:rsidR="006F75BD">
        <w:fldChar w:fldCharType="begin" w:fldLock="1"/>
      </w:r>
      <w:r w:rsidR="006F75BD">
        <w:instrText xml:space="preserve"> REF _Ref132657511 \h </w:instrText>
      </w:r>
      <w:r w:rsidR="006F75BD">
        <w:fldChar w:fldCharType="separate"/>
      </w:r>
      <w:r w:rsidR="006F75BD" w:rsidRPr="0061435E">
        <w:t xml:space="preserve">Table </w:t>
      </w:r>
      <w:r w:rsidR="006F75BD">
        <w:rPr>
          <w:noProof/>
        </w:rPr>
        <w:t>3</w:t>
      </w:r>
      <w:r w:rsidR="006F75BD">
        <w:fldChar w:fldCharType="end"/>
      </w:r>
      <w:r w:rsidR="006F75BD">
        <w:t xml:space="preserve"> </w:t>
      </w:r>
      <w:r>
        <w:t xml:space="preserve">below. </w:t>
      </w:r>
    </w:p>
    <w:p w14:paraId="42FC9405" w14:textId="56AB807C" w:rsidR="00A523D0" w:rsidRDefault="00A523D0" w:rsidP="00041D0B">
      <w:pPr>
        <w:pStyle w:val="COMtablefigcaption"/>
      </w:pPr>
      <w:bookmarkStart w:id="25" w:name="_Ref132657511"/>
      <w:r w:rsidRPr="0061435E">
        <w:t xml:space="preserve">Table </w:t>
      </w:r>
      <w:r w:rsidRPr="0061435E">
        <w:fldChar w:fldCharType="begin" w:fldLock="1"/>
      </w:r>
      <w:r w:rsidRPr="0061435E">
        <w:instrText>SEQ Table \* ARABIC</w:instrText>
      </w:r>
      <w:r w:rsidRPr="0061435E">
        <w:fldChar w:fldCharType="separate"/>
      </w:r>
      <w:r w:rsidR="0015761E">
        <w:rPr>
          <w:noProof/>
        </w:rPr>
        <w:t>3</w:t>
      </w:r>
      <w:r w:rsidRPr="0061435E">
        <w:fldChar w:fldCharType="end"/>
      </w:r>
      <w:bookmarkEnd w:id="25"/>
      <w:r w:rsidRPr="0061435E">
        <w:t xml:space="preserve">: </w:t>
      </w:r>
      <w:r>
        <w:t>Key trial and study</w:t>
      </w:r>
      <w:r w:rsidRPr="0061435E">
        <w:t xml:space="preserve"> presented in the </w:t>
      </w:r>
      <w:r>
        <w:t>re</w:t>
      </w:r>
      <w:r w:rsidRPr="0061435E">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3: Key trial and study presented in the resubmission"/>
      </w:tblPr>
      <w:tblGrid>
        <w:gridCol w:w="1271"/>
        <w:gridCol w:w="5104"/>
        <w:gridCol w:w="2642"/>
      </w:tblGrid>
      <w:tr w:rsidR="00A523D0" w:rsidRPr="00B41614" w14:paraId="6DBAE95B" w14:textId="77777777" w:rsidTr="004631A4">
        <w:trPr>
          <w:tblHeader/>
        </w:trPr>
        <w:tc>
          <w:tcPr>
            <w:tcW w:w="705" w:type="pct"/>
            <w:vAlign w:val="center"/>
          </w:tcPr>
          <w:p w14:paraId="6EC7612D" w14:textId="77777777" w:rsidR="00A523D0" w:rsidRPr="00B41614" w:rsidRDefault="00A523D0" w:rsidP="00041D0B">
            <w:pPr>
              <w:pStyle w:val="Tableheadingrow"/>
            </w:pPr>
            <w:r w:rsidRPr="00B41614">
              <w:t>Trial ID</w:t>
            </w:r>
          </w:p>
        </w:tc>
        <w:tc>
          <w:tcPr>
            <w:tcW w:w="2830" w:type="pct"/>
            <w:vAlign w:val="center"/>
          </w:tcPr>
          <w:p w14:paraId="71E7E19F" w14:textId="77777777" w:rsidR="00A523D0" w:rsidRPr="00B41614" w:rsidRDefault="00A523D0" w:rsidP="00041D0B">
            <w:pPr>
              <w:pStyle w:val="Tableheadingrow"/>
            </w:pPr>
            <w:r w:rsidRPr="00B41614">
              <w:t>Protocol title/Publication title</w:t>
            </w:r>
          </w:p>
        </w:tc>
        <w:tc>
          <w:tcPr>
            <w:tcW w:w="1465" w:type="pct"/>
            <w:vAlign w:val="center"/>
          </w:tcPr>
          <w:p w14:paraId="67C78EB7" w14:textId="77777777" w:rsidR="00A523D0" w:rsidRPr="00B41614" w:rsidRDefault="00A523D0" w:rsidP="00041D0B">
            <w:pPr>
              <w:pStyle w:val="Tableheadingrow"/>
            </w:pPr>
            <w:r w:rsidRPr="00B41614">
              <w:t>Publication citation</w:t>
            </w:r>
          </w:p>
        </w:tc>
      </w:tr>
      <w:tr w:rsidR="00A523D0" w:rsidRPr="00CB38A8" w14:paraId="2CC9C721" w14:textId="77777777" w:rsidTr="004631A4">
        <w:tc>
          <w:tcPr>
            <w:tcW w:w="705" w:type="pct"/>
            <w:vMerge w:val="restart"/>
          </w:tcPr>
          <w:p w14:paraId="369730F6" w14:textId="77777777" w:rsidR="00A523D0" w:rsidRDefault="00A523D0" w:rsidP="00041D0B">
            <w:pPr>
              <w:pStyle w:val="TableText"/>
            </w:pPr>
            <w:r>
              <w:t>ATTR-ACT</w:t>
            </w:r>
          </w:p>
          <w:p w14:paraId="613E0C3B" w14:textId="77777777" w:rsidR="00A523D0" w:rsidRDefault="00A523D0" w:rsidP="00041D0B">
            <w:pPr>
              <w:pStyle w:val="TableText"/>
            </w:pPr>
            <w:r>
              <w:t>(B3461028)</w:t>
            </w:r>
          </w:p>
          <w:p w14:paraId="24681C7C" w14:textId="77777777" w:rsidR="00A523D0" w:rsidRPr="00CB38A8" w:rsidRDefault="00A523D0" w:rsidP="00041D0B">
            <w:pPr>
              <w:pStyle w:val="TableText"/>
            </w:pPr>
            <w:r>
              <w:t>(</w:t>
            </w:r>
            <w:r w:rsidRPr="00E17641">
              <w:t>NCT01994889</w:t>
            </w:r>
            <w:r>
              <w:t xml:space="preserve">) </w:t>
            </w:r>
          </w:p>
        </w:tc>
        <w:tc>
          <w:tcPr>
            <w:tcW w:w="2830" w:type="pct"/>
            <w:tcBorders>
              <w:bottom w:val="nil"/>
            </w:tcBorders>
          </w:tcPr>
          <w:p w14:paraId="49198DD9" w14:textId="77777777" w:rsidR="00A523D0" w:rsidRPr="00AB6248" w:rsidRDefault="00A523D0" w:rsidP="00041D0B">
            <w:pPr>
              <w:pStyle w:val="TableText"/>
              <w:spacing w:after="60"/>
              <w:rPr>
                <w:szCs w:val="18"/>
              </w:rPr>
            </w:pPr>
            <w:r w:rsidRPr="003B5670">
              <w:rPr>
                <w:szCs w:val="18"/>
              </w:rPr>
              <w:t>A multicentre, international, phase 3, double-bli</w:t>
            </w:r>
            <w:r>
              <w:rPr>
                <w:szCs w:val="18"/>
              </w:rPr>
              <w:t>nd, placebo-controlled, randomis</w:t>
            </w:r>
            <w:r w:rsidRPr="003B5670">
              <w:rPr>
                <w:szCs w:val="18"/>
              </w:rPr>
              <w:t>ed study to evaluate the efficacy, safety, and tolerability of daily oral dosing of tafamidis meglumine (PF-06291826) 20 mg or 80 mg in comparison to placebo in subjects diagnosed with transthyretin cardiomyopathy (TTR-CM)</w:t>
            </w:r>
            <w:r>
              <w:rPr>
                <w:szCs w:val="18"/>
              </w:rPr>
              <w:t>.</w:t>
            </w:r>
          </w:p>
        </w:tc>
        <w:tc>
          <w:tcPr>
            <w:tcW w:w="1465" w:type="pct"/>
            <w:tcBorders>
              <w:bottom w:val="nil"/>
            </w:tcBorders>
          </w:tcPr>
          <w:p w14:paraId="74639EA3" w14:textId="77777777" w:rsidR="00A523D0" w:rsidRPr="00CB38A8" w:rsidRDefault="00A523D0" w:rsidP="00041D0B">
            <w:pPr>
              <w:pStyle w:val="TableText"/>
              <w:spacing w:after="60"/>
            </w:pPr>
            <w:r>
              <w:t>Report date: 28 August 2018</w:t>
            </w:r>
          </w:p>
        </w:tc>
      </w:tr>
      <w:tr w:rsidR="00A523D0" w:rsidRPr="00CB38A8" w14:paraId="544C4DBD" w14:textId="77777777" w:rsidTr="004631A4">
        <w:tc>
          <w:tcPr>
            <w:tcW w:w="705" w:type="pct"/>
            <w:vMerge/>
          </w:tcPr>
          <w:p w14:paraId="53E916D4" w14:textId="77777777" w:rsidR="00A523D0" w:rsidRPr="00CB38A8" w:rsidRDefault="00A523D0" w:rsidP="00041D0B">
            <w:pPr>
              <w:pStyle w:val="TableText"/>
            </w:pPr>
          </w:p>
        </w:tc>
        <w:tc>
          <w:tcPr>
            <w:tcW w:w="2830" w:type="pct"/>
            <w:tcBorders>
              <w:top w:val="nil"/>
              <w:bottom w:val="nil"/>
            </w:tcBorders>
          </w:tcPr>
          <w:p w14:paraId="301D94B0" w14:textId="77777777" w:rsidR="00A523D0" w:rsidRPr="00E34A35" w:rsidRDefault="00A523D0" w:rsidP="00041D0B">
            <w:pPr>
              <w:pStyle w:val="TableText"/>
              <w:spacing w:after="60"/>
              <w:rPr>
                <w:szCs w:val="18"/>
              </w:rPr>
            </w:pPr>
            <w:r>
              <w:rPr>
                <w:szCs w:val="18"/>
              </w:rPr>
              <w:t>Maurer MS</w:t>
            </w:r>
            <w:r w:rsidRPr="003B5670">
              <w:rPr>
                <w:szCs w:val="18"/>
              </w:rPr>
              <w:t xml:space="preserve"> </w:t>
            </w:r>
            <w:r>
              <w:rPr>
                <w:szCs w:val="18"/>
              </w:rPr>
              <w:t xml:space="preserve">et al. </w:t>
            </w:r>
            <w:r w:rsidRPr="003B5670">
              <w:rPr>
                <w:szCs w:val="18"/>
              </w:rPr>
              <w:t xml:space="preserve">Tafamidis treatment for patients with transthyretin amyloid cardiomyopathy. </w:t>
            </w:r>
          </w:p>
        </w:tc>
        <w:tc>
          <w:tcPr>
            <w:tcW w:w="1465" w:type="pct"/>
            <w:tcBorders>
              <w:top w:val="nil"/>
              <w:bottom w:val="nil"/>
            </w:tcBorders>
          </w:tcPr>
          <w:p w14:paraId="79DDFD53" w14:textId="77777777" w:rsidR="00A523D0" w:rsidRPr="00E34A35" w:rsidRDefault="00A523D0" w:rsidP="00041D0B">
            <w:pPr>
              <w:pStyle w:val="TableText"/>
              <w:spacing w:after="60"/>
              <w:rPr>
                <w:szCs w:val="18"/>
              </w:rPr>
            </w:pPr>
            <w:r w:rsidRPr="003B5670">
              <w:rPr>
                <w:i/>
                <w:szCs w:val="18"/>
              </w:rPr>
              <w:t>New England Journal of Medicine</w:t>
            </w:r>
            <w:r w:rsidRPr="003B5670">
              <w:rPr>
                <w:szCs w:val="18"/>
              </w:rPr>
              <w:t>, 2018; 379(11):1007-1016.</w:t>
            </w:r>
          </w:p>
        </w:tc>
      </w:tr>
      <w:tr w:rsidR="00A523D0" w:rsidRPr="00CB38A8" w14:paraId="081A78CD" w14:textId="77777777" w:rsidTr="004631A4">
        <w:tc>
          <w:tcPr>
            <w:tcW w:w="705" w:type="pct"/>
            <w:vMerge/>
          </w:tcPr>
          <w:p w14:paraId="0E4F3DC8" w14:textId="77777777" w:rsidR="00A523D0" w:rsidRPr="00CB38A8" w:rsidRDefault="00A523D0" w:rsidP="00041D0B">
            <w:pPr>
              <w:pStyle w:val="TableText"/>
            </w:pPr>
          </w:p>
        </w:tc>
        <w:tc>
          <w:tcPr>
            <w:tcW w:w="2830" w:type="pct"/>
            <w:tcBorders>
              <w:top w:val="nil"/>
              <w:bottom w:val="single" w:sz="4" w:space="0" w:color="auto"/>
            </w:tcBorders>
          </w:tcPr>
          <w:p w14:paraId="1101C746" w14:textId="77777777" w:rsidR="00A523D0" w:rsidRPr="00AB6248" w:rsidRDefault="00A523D0" w:rsidP="00041D0B">
            <w:pPr>
              <w:pStyle w:val="TableText"/>
              <w:rPr>
                <w:szCs w:val="18"/>
                <w:lang w:val="en-US"/>
              </w:rPr>
            </w:pPr>
            <w:r>
              <w:rPr>
                <w:szCs w:val="18"/>
                <w:lang w:val="en-US"/>
              </w:rPr>
              <w:t>Grogan M et al. Effi</w:t>
            </w:r>
            <w:r w:rsidRPr="003B5670">
              <w:rPr>
                <w:szCs w:val="18"/>
                <w:lang w:val="en-US"/>
              </w:rPr>
              <w:t>cacy of tafamidis in patients with hereditary or wild-type transthyretin amyloid cardiomyopathy: further results from the ATTR-ACT Trial. Journal of heart and lung transplantation, 2019, 38(4):S204.</w:t>
            </w:r>
          </w:p>
        </w:tc>
        <w:tc>
          <w:tcPr>
            <w:tcW w:w="1465" w:type="pct"/>
            <w:tcBorders>
              <w:top w:val="nil"/>
              <w:bottom w:val="single" w:sz="4" w:space="0" w:color="auto"/>
            </w:tcBorders>
          </w:tcPr>
          <w:p w14:paraId="0C4682F4" w14:textId="77777777" w:rsidR="00A523D0" w:rsidRPr="00AB6248" w:rsidRDefault="00A523D0" w:rsidP="00041D0B">
            <w:pPr>
              <w:pStyle w:val="TableText"/>
              <w:rPr>
                <w:i/>
                <w:szCs w:val="18"/>
                <w:lang w:val="en-US"/>
              </w:rPr>
            </w:pPr>
            <w:r w:rsidRPr="00E17641">
              <w:rPr>
                <w:i/>
                <w:szCs w:val="18"/>
                <w:lang w:val="en-US"/>
              </w:rPr>
              <w:t>Journal of Heart and Lung Transplantation</w:t>
            </w:r>
            <w:r w:rsidRPr="003B5670">
              <w:rPr>
                <w:szCs w:val="18"/>
                <w:lang w:val="en-US"/>
              </w:rPr>
              <w:t>, 2019</w:t>
            </w:r>
            <w:r>
              <w:rPr>
                <w:szCs w:val="18"/>
                <w:lang w:val="en-US"/>
              </w:rPr>
              <w:t>;</w:t>
            </w:r>
            <w:r w:rsidRPr="003B5670">
              <w:rPr>
                <w:szCs w:val="18"/>
                <w:lang w:val="en-US"/>
              </w:rPr>
              <w:t xml:space="preserve"> 38(4):S204.</w:t>
            </w:r>
          </w:p>
        </w:tc>
      </w:tr>
      <w:tr w:rsidR="00A523D0" w:rsidRPr="00CB38A8" w14:paraId="32DD5BBC" w14:textId="77777777" w:rsidTr="004631A4">
        <w:tc>
          <w:tcPr>
            <w:tcW w:w="705" w:type="pct"/>
            <w:vMerge/>
            <w:tcBorders>
              <w:bottom w:val="single" w:sz="4" w:space="0" w:color="auto"/>
            </w:tcBorders>
          </w:tcPr>
          <w:p w14:paraId="7A98FFC0" w14:textId="77777777" w:rsidR="00A523D0" w:rsidRPr="00CB38A8" w:rsidRDefault="00A523D0" w:rsidP="00041D0B">
            <w:pPr>
              <w:pStyle w:val="TableText"/>
            </w:pPr>
          </w:p>
        </w:tc>
        <w:tc>
          <w:tcPr>
            <w:tcW w:w="2830" w:type="pct"/>
            <w:tcBorders>
              <w:top w:val="nil"/>
              <w:bottom w:val="single" w:sz="4" w:space="0" w:color="auto"/>
            </w:tcBorders>
          </w:tcPr>
          <w:p w14:paraId="5A985A31" w14:textId="77777777" w:rsidR="00A523D0" w:rsidRDefault="00A523D0" w:rsidP="00041D0B">
            <w:pPr>
              <w:pStyle w:val="TableText"/>
              <w:rPr>
                <w:szCs w:val="18"/>
                <w:lang w:val="en-US"/>
              </w:rPr>
            </w:pPr>
            <w:r w:rsidRPr="004647FE">
              <w:rPr>
                <w:szCs w:val="18"/>
                <w:lang w:val="en-US"/>
              </w:rPr>
              <w:t>Hanna M, Damy T, Grogan M, Stewart M, Gundapaneni B, Patterson TA, Schwartz JH, Sultan MB, Maurer MS. Impact of tafamidis on health-related quality of life in patients with transthyretin amyloid cardiomyopathy (from the Tafamidis in Transthyretin Cardiomyopathy Clinical Trial)</w:t>
            </w:r>
            <w:proofErr w:type="gramStart"/>
            <w:r w:rsidRPr="004647FE">
              <w:rPr>
                <w:szCs w:val="18"/>
                <w:lang w:val="en-US"/>
              </w:rPr>
              <w:t xml:space="preserve">.  </w:t>
            </w:r>
            <w:proofErr w:type="gramEnd"/>
          </w:p>
        </w:tc>
        <w:tc>
          <w:tcPr>
            <w:tcW w:w="1465" w:type="pct"/>
            <w:tcBorders>
              <w:top w:val="nil"/>
              <w:bottom w:val="single" w:sz="4" w:space="0" w:color="auto"/>
            </w:tcBorders>
          </w:tcPr>
          <w:p w14:paraId="21C8E3F1" w14:textId="77777777" w:rsidR="00A523D0" w:rsidRPr="00E17641" w:rsidRDefault="00A523D0" w:rsidP="00041D0B">
            <w:pPr>
              <w:pStyle w:val="TableText"/>
              <w:rPr>
                <w:i/>
                <w:szCs w:val="18"/>
                <w:lang w:val="en-US"/>
              </w:rPr>
            </w:pPr>
            <w:r w:rsidRPr="004647FE">
              <w:rPr>
                <w:i/>
                <w:iCs/>
                <w:szCs w:val="18"/>
                <w:lang w:val="en-US"/>
              </w:rPr>
              <w:t>American Journal of Cardiology</w:t>
            </w:r>
            <w:r w:rsidRPr="004647FE">
              <w:rPr>
                <w:szCs w:val="18"/>
                <w:lang w:val="en-US"/>
              </w:rPr>
              <w:t>.</w:t>
            </w:r>
            <w:r>
              <w:rPr>
                <w:szCs w:val="18"/>
                <w:lang w:val="en-US"/>
              </w:rPr>
              <w:t xml:space="preserve"> 2021;</w:t>
            </w:r>
            <w:r w:rsidRPr="004647FE">
              <w:rPr>
                <w:szCs w:val="18"/>
                <w:lang w:val="en-US"/>
              </w:rPr>
              <w:t xml:space="preserve"> 141:98-105</w:t>
            </w:r>
            <w:r>
              <w:rPr>
                <w:szCs w:val="18"/>
                <w:lang w:val="en-US"/>
              </w:rPr>
              <w:t>.</w:t>
            </w:r>
          </w:p>
        </w:tc>
      </w:tr>
      <w:tr w:rsidR="00A523D0" w:rsidRPr="00CB38A8" w14:paraId="2A942F76" w14:textId="77777777" w:rsidTr="004631A4">
        <w:tc>
          <w:tcPr>
            <w:tcW w:w="705" w:type="pct"/>
            <w:vMerge w:val="restart"/>
            <w:tcBorders>
              <w:top w:val="single" w:sz="4" w:space="0" w:color="auto"/>
            </w:tcBorders>
          </w:tcPr>
          <w:p w14:paraId="71150433" w14:textId="77777777" w:rsidR="00A523D0" w:rsidRPr="00CB38A8" w:rsidRDefault="00A523D0" w:rsidP="00041D0B">
            <w:pPr>
              <w:pStyle w:val="TableText"/>
            </w:pPr>
            <w:r w:rsidRPr="00BB538B">
              <w:t>B3461045</w:t>
            </w:r>
            <w:r>
              <w:t xml:space="preserve"> (extension study)</w:t>
            </w:r>
          </w:p>
        </w:tc>
        <w:tc>
          <w:tcPr>
            <w:tcW w:w="2830" w:type="pct"/>
            <w:tcBorders>
              <w:top w:val="single" w:sz="4" w:space="0" w:color="auto"/>
              <w:bottom w:val="nil"/>
            </w:tcBorders>
          </w:tcPr>
          <w:p w14:paraId="4E4F0E9D" w14:textId="77777777" w:rsidR="00A523D0" w:rsidRDefault="00A523D0" w:rsidP="00041D0B">
            <w:pPr>
              <w:pStyle w:val="TableText"/>
              <w:spacing w:after="60"/>
              <w:rPr>
                <w:szCs w:val="18"/>
                <w:lang w:val="en-US"/>
              </w:rPr>
            </w:pPr>
            <w:r>
              <w:rPr>
                <w:szCs w:val="18"/>
                <w:lang w:val="en-US"/>
              </w:rPr>
              <w:t xml:space="preserve">Elliot P et al. </w:t>
            </w:r>
            <w:r w:rsidRPr="00A320A8">
              <w:rPr>
                <w:szCs w:val="18"/>
                <w:lang w:val="en-US"/>
              </w:rPr>
              <w:t>Interim analysis of data from a long-term, extension trial of tafam</w:t>
            </w:r>
            <w:r>
              <w:rPr>
                <w:szCs w:val="18"/>
                <w:lang w:val="en-US"/>
              </w:rPr>
              <w:t xml:space="preserve">idis meglumine in patients with </w:t>
            </w:r>
            <w:r w:rsidRPr="00A320A8">
              <w:rPr>
                <w:szCs w:val="18"/>
                <w:lang w:val="en-US"/>
              </w:rPr>
              <w:t>transthyretin amyloid cardiomyopathy</w:t>
            </w:r>
            <w:r>
              <w:rPr>
                <w:szCs w:val="18"/>
                <w:lang w:val="en-US"/>
              </w:rPr>
              <w:t xml:space="preserve"> (ongoing).</w:t>
            </w:r>
          </w:p>
        </w:tc>
        <w:tc>
          <w:tcPr>
            <w:tcW w:w="1465" w:type="pct"/>
            <w:tcBorders>
              <w:top w:val="single" w:sz="4" w:space="0" w:color="auto"/>
              <w:bottom w:val="nil"/>
            </w:tcBorders>
          </w:tcPr>
          <w:p w14:paraId="49F08110" w14:textId="77777777" w:rsidR="00A523D0" w:rsidRPr="00E17641" w:rsidRDefault="00A523D0" w:rsidP="00041D0B">
            <w:pPr>
              <w:pStyle w:val="TableText"/>
              <w:spacing w:after="60"/>
              <w:rPr>
                <w:i/>
                <w:szCs w:val="18"/>
                <w:lang w:val="en-US"/>
              </w:rPr>
            </w:pPr>
            <w:r w:rsidRPr="00A320A8">
              <w:rPr>
                <w:i/>
                <w:szCs w:val="18"/>
                <w:lang w:val="en-US"/>
              </w:rPr>
              <w:t xml:space="preserve">European Heart Journal, </w:t>
            </w:r>
            <w:r>
              <w:rPr>
                <w:szCs w:val="18"/>
                <w:lang w:val="en-US"/>
              </w:rPr>
              <w:t xml:space="preserve">2019; 40(Suppl </w:t>
            </w:r>
            <w:r w:rsidRPr="00A320A8">
              <w:rPr>
                <w:szCs w:val="18"/>
                <w:lang w:val="en-US"/>
              </w:rPr>
              <w:t>1</w:t>
            </w:r>
            <w:r>
              <w:rPr>
                <w:szCs w:val="18"/>
                <w:lang w:val="en-US"/>
              </w:rPr>
              <w:t>):1169.</w:t>
            </w:r>
          </w:p>
        </w:tc>
      </w:tr>
      <w:tr w:rsidR="00A523D0" w:rsidRPr="00CB38A8" w14:paraId="0ADA0DA9" w14:textId="77777777" w:rsidTr="004631A4">
        <w:tc>
          <w:tcPr>
            <w:tcW w:w="705" w:type="pct"/>
            <w:vMerge/>
            <w:tcBorders>
              <w:bottom w:val="single" w:sz="4" w:space="0" w:color="auto"/>
            </w:tcBorders>
          </w:tcPr>
          <w:p w14:paraId="11ED83E2" w14:textId="77777777" w:rsidR="00A523D0" w:rsidRPr="00BB538B" w:rsidRDefault="00A523D0" w:rsidP="00041D0B">
            <w:pPr>
              <w:pStyle w:val="TableText"/>
            </w:pPr>
          </w:p>
        </w:tc>
        <w:tc>
          <w:tcPr>
            <w:tcW w:w="2830" w:type="pct"/>
            <w:tcBorders>
              <w:top w:val="nil"/>
              <w:bottom w:val="single" w:sz="4" w:space="0" w:color="auto"/>
            </w:tcBorders>
          </w:tcPr>
          <w:p w14:paraId="5FE9298D" w14:textId="77777777" w:rsidR="00A523D0" w:rsidRDefault="00A523D0" w:rsidP="00041D0B">
            <w:pPr>
              <w:pStyle w:val="TableText"/>
              <w:rPr>
                <w:szCs w:val="18"/>
                <w:lang w:val="en-US"/>
              </w:rPr>
            </w:pPr>
            <w:r w:rsidRPr="00294EDB">
              <w:rPr>
                <w:szCs w:val="18"/>
                <w:lang w:val="en-US"/>
              </w:rPr>
              <w:t>Elliott P, Drachman BM, Gottlieb SS, Hoffman JE, Hummel SL, Lenihan DJ, Ebede B, Gundapaneni B, Li B, Sultan MB. Long-term survival with tafamidis in patients with transthyretin amyloid cardiomyopathy.</w:t>
            </w:r>
          </w:p>
        </w:tc>
        <w:tc>
          <w:tcPr>
            <w:tcW w:w="1465" w:type="pct"/>
            <w:tcBorders>
              <w:top w:val="nil"/>
              <w:bottom w:val="single" w:sz="4" w:space="0" w:color="auto"/>
            </w:tcBorders>
          </w:tcPr>
          <w:p w14:paraId="0EEBE5C2" w14:textId="77777777" w:rsidR="00A523D0" w:rsidRPr="00A320A8" w:rsidRDefault="00A523D0" w:rsidP="00041D0B">
            <w:pPr>
              <w:pStyle w:val="TableText"/>
              <w:rPr>
                <w:i/>
                <w:szCs w:val="18"/>
                <w:lang w:val="en-US"/>
              </w:rPr>
            </w:pPr>
            <w:r w:rsidRPr="00294EDB">
              <w:rPr>
                <w:i/>
                <w:iCs/>
                <w:szCs w:val="18"/>
                <w:lang w:val="en-US"/>
              </w:rPr>
              <w:t>Circulation. Heart Failure</w:t>
            </w:r>
            <w:r w:rsidRPr="00294EDB">
              <w:rPr>
                <w:szCs w:val="18"/>
                <w:lang w:val="en-US"/>
              </w:rPr>
              <w:t>, 202</w:t>
            </w:r>
            <w:r>
              <w:rPr>
                <w:szCs w:val="18"/>
                <w:lang w:val="en-US"/>
              </w:rPr>
              <w:t>2; 15:</w:t>
            </w:r>
            <w:r w:rsidRPr="00294EDB">
              <w:rPr>
                <w:szCs w:val="18"/>
                <w:lang w:val="en-US"/>
              </w:rPr>
              <w:t>e008193.</w:t>
            </w:r>
          </w:p>
        </w:tc>
      </w:tr>
    </w:tbl>
    <w:p w14:paraId="6A4AB920" w14:textId="3A1BD3A5" w:rsidR="00A523D0" w:rsidRDefault="00A523D0" w:rsidP="00041D0B">
      <w:pPr>
        <w:pStyle w:val="TableFigureFooter"/>
        <w:keepNext/>
      </w:pPr>
      <w:r>
        <w:t>Source: Table 2.2.1, p</w:t>
      </w:r>
      <w:r w:rsidR="00886855">
        <w:t>p</w:t>
      </w:r>
      <w:r>
        <w:t>50-53 of the resubmission.</w:t>
      </w:r>
    </w:p>
    <w:p w14:paraId="46442E1F" w14:textId="28582A4E" w:rsidR="004128BB" w:rsidRPr="00B1011F" w:rsidRDefault="004128BB" w:rsidP="00041D0B">
      <w:pPr>
        <w:pStyle w:val="TableFigureFooter"/>
        <w:keepNext/>
        <w:rPr>
          <w:sz w:val="20"/>
        </w:rPr>
      </w:pPr>
      <w:r>
        <w:t>Note: Abstracts and poster presentations not listed.</w:t>
      </w:r>
    </w:p>
    <w:bookmarkEnd w:id="24"/>
    <w:p w14:paraId="1DD06D7D" w14:textId="189E99C8" w:rsidR="007F1017" w:rsidRPr="00EC5836" w:rsidRDefault="004128BB" w:rsidP="00EC5836">
      <w:pPr>
        <w:pStyle w:val="COMexecsumnumberedpara"/>
        <w:rPr>
          <w:color w:val="0066FF"/>
        </w:rPr>
      </w:pPr>
      <w:r w:rsidRPr="0061435E">
        <w:t xml:space="preserve">The key features of the </w:t>
      </w:r>
      <w:r>
        <w:t xml:space="preserve">studies </w:t>
      </w:r>
      <w:r w:rsidRPr="0061435E">
        <w:t xml:space="preserve">are summarised in </w:t>
      </w:r>
      <w:r w:rsidRPr="0061435E">
        <w:fldChar w:fldCharType="begin" w:fldLock="1"/>
      </w:r>
      <w:r w:rsidRPr="0061435E">
        <w:instrText xml:space="preserve"> REF _Ref104804098 \h  \* MERGEFORMAT </w:instrText>
      </w:r>
      <w:r w:rsidRPr="0061435E">
        <w:fldChar w:fldCharType="separate"/>
      </w:r>
      <w:r w:rsidR="0015761E" w:rsidRPr="00FD4ED6">
        <w:t xml:space="preserve">Table </w:t>
      </w:r>
      <w:r w:rsidR="0015761E">
        <w:t>4</w:t>
      </w:r>
      <w:r w:rsidRPr="0061435E">
        <w:fldChar w:fldCharType="end"/>
      </w:r>
      <w:r w:rsidR="008F120A" w:rsidRPr="00B50DB8">
        <w:t>.</w:t>
      </w:r>
      <w:r w:rsidR="00BC591F">
        <w:t xml:space="preserve"> </w:t>
      </w:r>
    </w:p>
    <w:p w14:paraId="355E2F15" w14:textId="6E01C00E" w:rsidR="007F1017" w:rsidRDefault="00696EF9" w:rsidP="00FD4ED6">
      <w:pPr>
        <w:pStyle w:val="COMtablefigcaption"/>
      </w:pPr>
      <w:bookmarkStart w:id="26" w:name="_Ref104804098"/>
      <w:r w:rsidRPr="00FD4ED6">
        <w:t xml:space="preserve">Table </w:t>
      </w:r>
      <w:fldSimple w:instr=" SEQ Table \* ARABIC " w:fldLock="1">
        <w:r w:rsidR="0015761E">
          <w:rPr>
            <w:noProof/>
          </w:rPr>
          <w:t>4</w:t>
        </w:r>
      </w:fldSimple>
      <w:bookmarkEnd w:id="26"/>
      <w:r w:rsidR="00D6076E" w:rsidRPr="00FD4ED6">
        <w:t xml:space="preserve">: </w:t>
      </w:r>
      <w:r w:rsidR="007F1017" w:rsidRPr="00FD4ED6">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Key features of the included evidence"/>
      </w:tblPr>
      <w:tblGrid>
        <w:gridCol w:w="923"/>
        <w:gridCol w:w="1767"/>
        <w:gridCol w:w="1134"/>
        <w:gridCol w:w="707"/>
        <w:gridCol w:w="1578"/>
        <w:gridCol w:w="1454"/>
        <w:gridCol w:w="1454"/>
      </w:tblGrid>
      <w:tr w:rsidR="004128BB" w:rsidRPr="00B41614" w14:paraId="059C94C3" w14:textId="77777777" w:rsidTr="004631A4">
        <w:trPr>
          <w:cantSplit/>
          <w:tblHeader/>
        </w:trPr>
        <w:tc>
          <w:tcPr>
            <w:tcW w:w="512" w:type="pct"/>
            <w:shd w:val="clear" w:color="auto" w:fill="auto"/>
            <w:vAlign w:val="center"/>
          </w:tcPr>
          <w:p w14:paraId="713EE866" w14:textId="77777777" w:rsidR="004128BB" w:rsidRPr="00B41614" w:rsidRDefault="004128BB" w:rsidP="004631A4">
            <w:pPr>
              <w:pStyle w:val="Tableheadingrow"/>
            </w:pPr>
            <w:r w:rsidRPr="00B41614">
              <w:t>Trial</w:t>
            </w:r>
          </w:p>
        </w:tc>
        <w:tc>
          <w:tcPr>
            <w:tcW w:w="980" w:type="pct"/>
            <w:shd w:val="clear" w:color="auto" w:fill="auto"/>
            <w:vAlign w:val="center"/>
          </w:tcPr>
          <w:p w14:paraId="15668FD6" w14:textId="77777777" w:rsidR="004128BB" w:rsidRPr="00B41614" w:rsidRDefault="004128BB" w:rsidP="004631A4">
            <w:pPr>
              <w:pStyle w:val="Tableheadingrow"/>
              <w:jc w:val="center"/>
            </w:pPr>
            <w:r w:rsidRPr="00B41614">
              <w:t>N</w:t>
            </w:r>
          </w:p>
        </w:tc>
        <w:tc>
          <w:tcPr>
            <w:tcW w:w="629" w:type="pct"/>
            <w:shd w:val="clear" w:color="auto" w:fill="auto"/>
            <w:vAlign w:val="center"/>
          </w:tcPr>
          <w:p w14:paraId="1AA8C51C" w14:textId="77777777" w:rsidR="004128BB" w:rsidRPr="00B41614" w:rsidRDefault="004128BB" w:rsidP="004631A4">
            <w:pPr>
              <w:pStyle w:val="Tableheadingrow"/>
              <w:jc w:val="center"/>
            </w:pPr>
            <w:r w:rsidRPr="00B41614">
              <w:t>Design/ duration</w:t>
            </w:r>
          </w:p>
        </w:tc>
        <w:tc>
          <w:tcPr>
            <w:tcW w:w="392" w:type="pct"/>
            <w:shd w:val="clear" w:color="auto" w:fill="auto"/>
            <w:vAlign w:val="center"/>
          </w:tcPr>
          <w:p w14:paraId="579E77C5" w14:textId="77777777" w:rsidR="004128BB" w:rsidRPr="00B41614" w:rsidRDefault="004128BB" w:rsidP="004631A4">
            <w:pPr>
              <w:pStyle w:val="Tableheadingrow"/>
              <w:jc w:val="center"/>
            </w:pPr>
            <w:r w:rsidRPr="00B41614">
              <w:t>Risk of bias</w:t>
            </w:r>
          </w:p>
        </w:tc>
        <w:tc>
          <w:tcPr>
            <w:tcW w:w="875" w:type="pct"/>
            <w:shd w:val="clear" w:color="auto" w:fill="auto"/>
            <w:vAlign w:val="center"/>
          </w:tcPr>
          <w:p w14:paraId="7565AE09" w14:textId="77777777" w:rsidR="004128BB" w:rsidRPr="00B41614" w:rsidRDefault="004128BB" w:rsidP="004631A4">
            <w:pPr>
              <w:pStyle w:val="Tableheadingrow"/>
              <w:jc w:val="center"/>
            </w:pPr>
            <w:r w:rsidRPr="00B41614">
              <w:t>Patient population</w:t>
            </w:r>
          </w:p>
        </w:tc>
        <w:tc>
          <w:tcPr>
            <w:tcW w:w="806" w:type="pct"/>
            <w:shd w:val="clear" w:color="auto" w:fill="auto"/>
            <w:vAlign w:val="center"/>
          </w:tcPr>
          <w:p w14:paraId="58D27792" w14:textId="77777777" w:rsidR="004128BB" w:rsidRPr="00B41614" w:rsidRDefault="004128BB" w:rsidP="004631A4">
            <w:pPr>
              <w:pStyle w:val="Tableheadingrow"/>
              <w:jc w:val="center"/>
            </w:pPr>
            <w:r>
              <w:t>Outcome</w:t>
            </w:r>
            <w:r w:rsidRPr="00B41614">
              <w:t>s</w:t>
            </w:r>
          </w:p>
        </w:tc>
        <w:tc>
          <w:tcPr>
            <w:tcW w:w="806" w:type="pct"/>
            <w:shd w:val="clear" w:color="auto" w:fill="auto"/>
            <w:vAlign w:val="center"/>
          </w:tcPr>
          <w:p w14:paraId="1D41EFE3" w14:textId="77777777" w:rsidR="004128BB" w:rsidRPr="00B41614" w:rsidRDefault="004128BB" w:rsidP="004631A4">
            <w:pPr>
              <w:pStyle w:val="Tableheadingrow"/>
              <w:jc w:val="center"/>
            </w:pPr>
            <w:r w:rsidRPr="00B41614">
              <w:t>Use in modelled evaluation</w:t>
            </w:r>
          </w:p>
        </w:tc>
      </w:tr>
      <w:tr w:rsidR="004128BB" w:rsidRPr="001539E3" w14:paraId="492315AA" w14:textId="77777777" w:rsidTr="004631A4">
        <w:trPr>
          <w:cantSplit/>
        </w:trPr>
        <w:tc>
          <w:tcPr>
            <w:tcW w:w="512" w:type="pct"/>
            <w:shd w:val="clear" w:color="auto" w:fill="auto"/>
            <w:vAlign w:val="center"/>
          </w:tcPr>
          <w:p w14:paraId="6303A047" w14:textId="77777777" w:rsidR="004128BB" w:rsidRPr="009E1F4E" w:rsidRDefault="004128BB" w:rsidP="004631A4">
            <w:pPr>
              <w:pStyle w:val="TableText"/>
              <w:rPr>
                <w:lang w:val="en-US"/>
              </w:rPr>
            </w:pPr>
            <w:r w:rsidRPr="009E1F4E">
              <w:rPr>
                <w:lang w:val="en-US"/>
              </w:rPr>
              <w:t>ATTR-ACT</w:t>
            </w:r>
          </w:p>
        </w:tc>
        <w:tc>
          <w:tcPr>
            <w:tcW w:w="980" w:type="pct"/>
            <w:shd w:val="clear" w:color="auto" w:fill="auto"/>
            <w:vAlign w:val="center"/>
          </w:tcPr>
          <w:p w14:paraId="1D28C0C7" w14:textId="77777777" w:rsidR="004128BB" w:rsidRDefault="004128BB" w:rsidP="004631A4">
            <w:pPr>
              <w:pStyle w:val="TableText"/>
              <w:jc w:val="center"/>
              <w:rPr>
                <w:lang w:val="en-US"/>
              </w:rPr>
            </w:pPr>
            <w:r>
              <w:rPr>
                <w:lang w:val="en-US"/>
              </w:rPr>
              <w:t xml:space="preserve">Tafamidis meglumine </w:t>
            </w:r>
            <w:r>
              <w:rPr>
                <w:lang w:val="en-US"/>
              </w:rPr>
              <w:br/>
              <w:t>20 mg (N=88);</w:t>
            </w:r>
          </w:p>
          <w:p w14:paraId="3F7844DF" w14:textId="77777777" w:rsidR="004128BB" w:rsidRDefault="004128BB" w:rsidP="004631A4">
            <w:pPr>
              <w:pStyle w:val="TableText"/>
              <w:jc w:val="center"/>
              <w:rPr>
                <w:lang w:val="en-US"/>
              </w:rPr>
            </w:pPr>
            <w:r>
              <w:rPr>
                <w:lang w:val="en-US"/>
              </w:rPr>
              <w:t xml:space="preserve">Tafamidis meglumine </w:t>
            </w:r>
            <w:r>
              <w:rPr>
                <w:lang w:val="en-US"/>
              </w:rPr>
              <w:br/>
              <w:t>80 mg (N=176);</w:t>
            </w:r>
          </w:p>
          <w:p w14:paraId="03F6E9CB" w14:textId="77777777" w:rsidR="004128BB" w:rsidRPr="009E1F4E" w:rsidRDefault="004128BB" w:rsidP="004631A4">
            <w:pPr>
              <w:pStyle w:val="TableText"/>
              <w:jc w:val="center"/>
              <w:rPr>
                <w:lang w:val="en-US"/>
              </w:rPr>
            </w:pPr>
            <w:r>
              <w:rPr>
                <w:lang w:val="en-US"/>
              </w:rPr>
              <w:t>Placebo (N=177)</w:t>
            </w:r>
          </w:p>
        </w:tc>
        <w:tc>
          <w:tcPr>
            <w:tcW w:w="629" w:type="pct"/>
            <w:shd w:val="clear" w:color="auto" w:fill="auto"/>
            <w:vAlign w:val="center"/>
          </w:tcPr>
          <w:p w14:paraId="3273CEDD" w14:textId="77777777" w:rsidR="004128BB" w:rsidRDefault="004128BB" w:rsidP="004631A4">
            <w:pPr>
              <w:pStyle w:val="TableText"/>
              <w:jc w:val="center"/>
              <w:rPr>
                <w:lang w:val="en-US"/>
              </w:rPr>
            </w:pPr>
            <w:r w:rsidRPr="009E1F4E">
              <w:rPr>
                <w:lang w:val="en-US"/>
              </w:rPr>
              <w:t>R</w:t>
            </w:r>
            <w:r>
              <w:rPr>
                <w:lang w:val="en-US"/>
              </w:rPr>
              <w:t xml:space="preserve">andomised, double blind, placebo-controlled, multicentre </w:t>
            </w:r>
          </w:p>
          <w:p w14:paraId="1FD3BE04" w14:textId="77777777" w:rsidR="004128BB" w:rsidRPr="00091023" w:rsidRDefault="004128BB" w:rsidP="004631A4">
            <w:pPr>
              <w:pStyle w:val="TableText"/>
              <w:jc w:val="center"/>
              <w:rPr>
                <w:lang w:val="en-US"/>
              </w:rPr>
            </w:pPr>
            <w:r>
              <w:rPr>
                <w:lang w:val="en-US"/>
              </w:rPr>
              <w:t>30 months</w:t>
            </w:r>
          </w:p>
        </w:tc>
        <w:tc>
          <w:tcPr>
            <w:tcW w:w="392" w:type="pct"/>
            <w:shd w:val="clear" w:color="auto" w:fill="auto"/>
            <w:vAlign w:val="center"/>
          </w:tcPr>
          <w:p w14:paraId="192D6F1B" w14:textId="77777777" w:rsidR="004128BB" w:rsidRPr="009E1F4E" w:rsidRDefault="004128BB" w:rsidP="004631A4">
            <w:pPr>
              <w:pStyle w:val="TableText"/>
              <w:jc w:val="center"/>
              <w:rPr>
                <w:lang w:val="en-US"/>
              </w:rPr>
            </w:pPr>
            <w:r w:rsidRPr="009E1F4E">
              <w:rPr>
                <w:lang w:val="en-US"/>
              </w:rPr>
              <w:t>Unclear</w:t>
            </w:r>
          </w:p>
        </w:tc>
        <w:tc>
          <w:tcPr>
            <w:tcW w:w="875" w:type="pct"/>
            <w:shd w:val="clear" w:color="auto" w:fill="auto"/>
            <w:vAlign w:val="center"/>
          </w:tcPr>
          <w:p w14:paraId="7F0C1581" w14:textId="77777777" w:rsidR="004128BB" w:rsidRDefault="004128BB" w:rsidP="004631A4">
            <w:pPr>
              <w:pStyle w:val="TableText"/>
              <w:jc w:val="center"/>
              <w:rPr>
                <w:lang w:val="en-US"/>
              </w:rPr>
            </w:pPr>
            <w:r>
              <w:rPr>
                <w:lang w:val="en-US"/>
              </w:rPr>
              <w:t>18-90 years,</w:t>
            </w:r>
          </w:p>
          <w:p w14:paraId="0DA1E6A2" w14:textId="77777777" w:rsidR="004128BB" w:rsidRPr="0057793E" w:rsidRDefault="004128BB" w:rsidP="004631A4">
            <w:pPr>
              <w:pStyle w:val="TableText"/>
              <w:jc w:val="center"/>
              <w:rPr>
                <w:vertAlign w:val="superscript"/>
                <w:lang w:val="en-US"/>
              </w:rPr>
            </w:pPr>
            <w:r>
              <w:rPr>
                <w:lang w:val="en-US"/>
              </w:rPr>
              <w:t xml:space="preserve">ATTR-CM with </w:t>
            </w:r>
            <w:proofErr w:type="gramStart"/>
            <w:r>
              <w:rPr>
                <w:lang w:val="en-US"/>
              </w:rPr>
              <w:t>CV</w:t>
            </w:r>
            <w:proofErr w:type="gramEnd"/>
            <w:r>
              <w:rPr>
                <w:lang w:val="en-US"/>
              </w:rPr>
              <w:t xml:space="preserve"> involvement</w:t>
            </w:r>
            <w:r w:rsidRPr="00140894">
              <w:rPr>
                <w:vertAlign w:val="superscript"/>
                <w:lang w:val="en-US"/>
              </w:rPr>
              <w:t>a</w:t>
            </w:r>
          </w:p>
        </w:tc>
        <w:tc>
          <w:tcPr>
            <w:tcW w:w="806" w:type="pct"/>
            <w:shd w:val="clear" w:color="auto" w:fill="auto"/>
            <w:vAlign w:val="center"/>
          </w:tcPr>
          <w:p w14:paraId="17199691" w14:textId="77777777" w:rsidR="004128BB" w:rsidRDefault="004128BB" w:rsidP="004631A4">
            <w:pPr>
              <w:pStyle w:val="TableText"/>
              <w:jc w:val="center"/>
              <w:rPr>
                <w:lang w:val="en-US"/>
              </w:rPr>
            </w:pPr>
            <w:r>
              <w:rPr>
                <w:lang w:val="en-US"/>
              </w:rPr>
              <w:t xml:space="preserve">All-cause mortality, </w:t>
            </w:r>
            <w:proofErr w:type="gramStart"/>
            <w:r>
              <w:rPr>
                <w:lang w:val="en-US"/>
              </w:rPr>
              <w:t>CV</w:t>
            </w:r>
            <w:proofErr w:type="gramEnd"/>
            <w:r>
              <w:rPr>
                <w:lang w:val="en-US"/>
              </w:rPr>
              <w:t xml:space="preserve"> mortality,</w:t>
            </w:r>
          </w:p>
          <w:p w14:paraId="4BB1F79D" w14:textId="77777777" w:rsidR="004128BB" w:rsidRDefault="004128BB" w:rsidP="004631A4">
            <w:pPr>
              <w:pStyle w:val="TableText"/>
              <w:jc w:val="center"/>
              <w:rPr>
                <w:lang w:val="en-US"/>
              </w:rPr>
            </w:pPr>
            <w:proofErr w:type="gramStart"/>
            <w:r>
              <w:rPr>
                <w:lang w:val="en-US"/>
              </w:rPr>
              <w:t>CV</w:t>
            </w:r>
            <w:proofErr w:type="gramEnd"/>
            <w:r>
              <w:rPr>
                <w:lang w:val="en-US"/>
              </w:rPr>
              <w:t xml:space="preserve"> hospitalisation,</w:t>
            </w:r>
          </w:p>
          <w:p w14:paraId="0575320F" w14:textId="77777777" w:rsidR="004128BB" w:rsidRDefault="004128BB" w:rsidP="004631A4">
            <w:pPr>
              <w:pStyle w:val="TableText"/>
              <w:jc w:val="center"/>
              <w:rPr>
                <w:lang w:val="en-US"/>
              </w:rPr>
            </w:pPr>
            <w:r>
              <w:rPr>
                <w:lang w:val="en-US"/>
              </w:rPr>
              <w:t xml:space="preserve">6MWT, </w:t>
            </w:r>
          </w:p>
          <w:p w14:paraId="7C0E0BC3" w14:textId="77777777" w:rsidR="004128BB" w:rsidRDefault="004128BB" w:rsidP="004631A4">
            <w:pPr>
              <w:pStyle w:val="TableText"/>
              <w:jc w:val="center"/>
              <w:rPr>
                <w:lang w:val="en-US"/>
              </w:rPr>
            </w:pPr>
            <w:r>
              <w:rPr>
                <w:lang w:val="en-US"/>
              </w:rPr>
              <w:t>KCCQ-OS,</w:t>
            </w:r>
          </w:p>
          <w:p w14:paraId="41E63F63" w14:textId="77777777" w:rsidR="004128BB" w:rsidRPr="009E1F4E" w:rsidRDefault="004128BB" w:rsidP="004631A4">
            <w:pPr>
              <w:pStyle w:val="TableText"/>
              <w:jc w:val="center"/>
              <w:rPr>
                <w:lang w:val="en-US"/>
              </w:rPr>
            </w:pPr>
            <w:r>
              <w:rPr>
                <w:lang w:val="en-US"/>
              </w:rPr>
              <w:t>EQ-5D-3L</w:t>
            </w:r>
          </w:p>
        </w:tc>
        <w:tc>
          <w:tcPr>
            <w:tcW w:w="806" w:type="pct"/>
            <w:shd w:val="clear" w:color="auto" w:fill="auto"/>
            <w:vAlign w:val="center"/>
          </w:tcPr>
          <w:p w14:paraId="391A8312" w14:textId="77777777" w:rsidR="004128BB" w:rsidRPr="001539E3" w:rsidRDefault="004128BB" w:rsidP="004631A4">
            <w:pPr>
              <w:pStyle w:val="TableText"/>
              <w:jc w:val="center"/>
              <w:rPr>
                <w:lang w:val="en-US"/>
              </w:rPr>
            </w:pPr>
            <w:r w:rsidRPr="001539E3">
              <w:rPr>
                <w:lang w:val="en-US"/>
              </w:rPr>
              <w:t xml:space="preserve">IPD in the NYHA class I/II subgroup informed mortality, NYHA class and </w:t>
            </w:r>
            <w:r>
              <w:rPr>
                <w:lang w:val="en-US"/>
              </w:rPr>
              <w:t xml:space="preserve">CV </w:t>
            </w:r>
            <w:r w:rsidRPr="001539E3">
              <w:rPr>
                <w:lang w:val="en-US"/>
              </w:rPr>
              <w:t xml:space="preserve">hospitalisation transitions, </w:t>
            </w:r>
            <w:proofErr w:type="gramStart"/>
            <w:r w:rsidRPr="001539E3">
              <w:rPr>
                <w:lang w:val="en-US"/>
              </w:rPr>
              <w:t>utilities</w:t>
            </w:r>
            <w:proofErr w:type="gramEnd"/>
            <w:r w:rsidRPr="001539E3">
              <w:rPr>
                <w:lang w:val="en-US"/>
              </w:rPr>
              <w:t xml:space="preserve"> and treatment discontinuation</w:t>
            </w:r>
          </w:p>
        </w:tc>
      </w:tr>
      <w:tr w:rsidR="004128BB" w:rsidRPr="001539E3" w14:paraId="2780370B" w14:textId="77777777" w:rsidTr="004631A4">
        <w:trPr>
          <w:cantSplit/>
        </w:trPr>
        <w:tc>
          <w:tcPr>
            <w:tcW w:w="512" w:type="pct"/>
            <w:shd w:val="clear" w:color="auto" w:fill="auto"/>
            <w:vAlign w:val="center"/>
          </w:tcPr>
          <w:p w14:paraId="62030993" w14:textId="77777777" w:rsidR="004128BB" w:rsidRDefault="004128BB" w:rsidP="004631A4">
            <w:pPr>
              <w:pStyle w:val="TableText"/>
            </w:pPr>
            <w:r w:rsidRPr="00BB538B">
              <w:t>B3461045</w:t>
            </w:r>
            <w:r>
              <w:t xml:space="preserve"> </w:t>
            </w:r>
          </w:p>
          <w:p w14:paraId="29933F0B" w14:textId="77777777" w:rsidR="004128BB" w:rsidRPr="007C02A7" w:rsidRDefault="004128BB" w:rsidP="004631A4">
            <w:pPr>
              <w:pStyle w:val="TableText"/>
              <w:rPr>
                <w:vertAlign w:val="superscript"/>
                <w:lang w:val="en-US"/>
              </w:rPr>
            </w:pPr>
            <w:r>
              <w:t>(extension study)</w:t>
            </w:r>
          </w:p>
        </w:tc>
        <w:tc>
          <w:tcPr>
            <w:tcW w:w="980" w:type="pct"/>
            <w:shd w:val="clear" w:color="auto" w:fill="auto"/>
            <w:vAlign w:val="center"/>
          </w:tcPr>
          <w:p w14:paraId="10E65F64" w14:textId="77777777" w:rsidR="004128BB" w:rsidRDefault="004128BB" w:rsidP="004631A4">
            <w:pPr>
              <w:pStyle w:val="TableText"/>
              <w:jc w:val="center"/>
              <w:rPr>
                <w:lang w:val="en-US"/>
              </w:rPr>
            </w:pPr>
          </w:p>
          <w:p w14:paraId="70E6435C" w14:textId="77777777" w:rsidR="004128BB" w:rsidRPr="00304280" w:rsidRDefault="004128BB" w:rsidP="004631A4">
            <w:pPr>
              <w:pStyle w:val="TableText"/>
              <w:jc w:val="center"/>
              <w:rPr>
                <w:vertAlign w:val="superscript"/>
                <w:lang w:val="en-US"/>
              </w:rPr>
            </w:pPr>
            <w:r>
              <w:rPr>
                <w:lang w:val="en-US"/>
              </w:rPr>
              <w:t>Broad Cohort</w:t>
            </w:r>
          </w:p>
          <w:p w14:paraId="4CB31DED" w14:textId="49A6CA8A" w:rsidR="004128BB" w:rsidRDefault="00921C40" w:rsidP="004631A4">
            <w:pPr>
              <w:pStyle w:val="TableText"/>
              <w:jc w:val="center"/>
              <w:rPr>
                <w:lang w:val="en-US"/>
              </w:rPr>
            </w:pPr>
            <w:r>
              <w:rPr>
                <w:lang w:val="en-US"/>
              </w:rPr>
              <w:t>T</w:t>
            </w:r>
            <w:r w:rsidR="004128BB">
              <w:rPr>
                <w:lang w:val="en-US"/>
              </w:rPr>
              <w:t xml:space="preserve">afamidis 20/61 mg </w:t>
            </w:r>
          </w:p>
          <w:p w14:paraId="0E8FF088" w14:textId="77777777" w:rsidR="004128BB" w:rsidRDefault="004128BB" w:rsidP="004631A4">
            <w:pPr>
              <w:pStyle w:val="TableText"/>
              <w:jc w:val="center"/>
              <w:rPr>
                <w:lang w:val="en-US"/>
              </w:rPr>
            </w:pPr>
            <w:r>
              <w:rPr>
                <w:lang w:val="en-US"/>
              </w:rPr>
              <w:t>(N=116)</w:t>
            </w:r>
            <w:r>
              <w:rPr>
                <w:vertAlign w:val="superscript"/>
                <w:lang w:val="en-US"/>
              </w:rPr>
              <w:t>b</w:t>
            </w:r>
          </w:p>
          <w:p w14:paraId="430B464E" w14:textId="77777777" w:rsidR="004128BB" w:rsidRPr="00B92A68" w:rsidRDefault="004128BB" w:rsidP="004631A4">
            <w:pPr>
              <w:pStyle w:val="TableText"/>
              <w:jc w:val="center"/>
              <w:rPr>
                <w:vertAlign w:val="superscript"/>
                <w:lang w:val="en-US"/>
              </w:rPr>
            </w:pPr>
            <w:r>
              <w:rPr>
                <w:lang w:val="en-US"/>
              </w:rPr>
              <w:t>Tafamidis 80/61 mg (N=230)</w:t>
            </w:r>
            <w:r>
              <w:rPr>
                <w:vertAlign w:val="superscript"/>
                <w:lang w:val="en-US"/>
              </w:rPr>
              <w:t>b</w:t>
            </w:r>
          </w:p>
        </w:tc>
        <w:tc>
          <w:tcPr>
            <w:tcW w:w="629" w:type="pct"/>
            <w:shd w:val="clear" w:color="auto" w:fill="auto"/>
            <w:vAlign w:val="center"/>
          </w:tcPr>
          <w:p w14:paraId="22950151" w14:textId="17A4867D" w:rsidR="004128BB" w:rsidRDefault="00977398" w:rsidP="004631A4">
            <w:pPr>
              <w:pStyle w:val="TableText"/>
              <w:jc w:val="center"/>
              <w:rPr>
                <w:lang w:val="en-US"/>
              </w:rPr>
            </w:pPr>
            <w:r>
              <w:rPr>
                <w:lang w:val="en-US"/>
              </w:rPr>
              <w:t>~61</w:t>
            </w:r>
            <w:r w:rsidR="004128BB">
              <w:rPr>
                <w:lang w:val="en-US"/>
              </w:rPr>
              <w:t xml:space="preserve"> months</w:t>
            </w:r>
            <w:r w:rsidR="004128BB">
              <w:rPr>
                <w:vertAlign w:val="superscript"/>
                <w:lang w:val="en-US"/>
              </w:rPr>
              <w:t>c</w:t>
            </w:r>
          </w:p>
          <w:p w14:paraId="4960583E" w14:textId="77777777" w:rsidR="004128BB" w:rsidRPr="00091023" w:rsidRDefault="004128BB" w:rsidP="004631A4">
            <w:pPr>
              <w:pStyle w:val="TableText"/>
              <w:jc w:val="center"/>
              <w:rPr>
                <w:lang w:val="en-US"/>
              </w:rPr>
            </w:pPr>
            <w:r>
              <w:rPr>
                <w:lang w:val="en-US"/>
              </w:rPr>
              <w:t>(ongoing)</w:t>
            </w:r>
          </w:p>
        </w:tc>
        <w:tc>
          <w:tcPr>
            <w:tcW w:w="392" w:type="pct"/>
            <w:shd w:val="clear" w:color="auto" w:fill="auto"/>
            <w:vAlign w:val="center"/>
          </w:tcPr>
          <w:p w14:paraId="102617DF" w14:textId="77777777" w:rsidR="004128BB" w:rsidRPr="009E1F4E" w:rsidRDefault="004128BB" w:rsidP="004631A4">
            <w:pPr>
              <w:pStyle w:val="TableText"/>
              <w:jc w:val="center"/>
              <w:rPr>
                <w:lang w:val="en-US"/>
              </w:rPr>
            </w:pPr>
            <w:r>
              <w:rPr>
                <w:lang w:val="en-US"/>
              </w:rPr>
              <w:t>High</w:t>
            </w:r>
          </w:p>
        </w:tc>
        <w:tc>
          <w:tcPr>
            <w:tcW w:w="875" w:type="pct"/>
            <w:shd w:val="clear" w:color="auto" w:fill="auto"/>
            <w:vAlign w:val="center"/>
          </w:tcPr>
          <w:p w14:paraId="206E7538" w14:textId="77777777" w:rsidR="004128BB" w:rsidRDefault="004128BB" w:rsidP="004631A4">
            <w:pPr>
              <w:pStyle w:val="TableText"/>
              <w:jc w:val="center"/>
              <w:rPr>
                <w:lang w:val="en-US"/>
              </w:rPr>
            </w:pPr>
            <w:r>
              <w:rPr>
                <w:lang w:val="en-US"/>
              </w:rPr>
              <w:t>Cohort A</w:t>
            </w:r>
          </w:p>
          <w:p w14:paraId="4893A974" w14:textId="77777777" w:rsidR="004128BB" w:rsidRDefault="004128BB" w:rsidP="004631A4">
            <w:pPr>
              <w:pStyle w:val="TableText"/>
              <w:jc w:val="center"/>
              <w:rPr>
                <w:lang w:val="en-US"/>
              </w:rPr>
            </w:pPr>
            <w:r>
              <w:rPr>
                <w:lang w:val="en-US"/>
              </w:rPr>
              <w:t xml:space="preserve">Patients completing </w:t>
            </w:r>
          </w:p>
          <w:p w14:paraId="63D8A540" w14:textId="77777777" w:rsidR="004128BB" w:rsidRDefault="004128BB" w:rsidP="004631A4">
            <w:pPr>
              <w:pStyle w:val="TableText"/>
              <w:jc w:val="center"/>
              <w:rPr>
                <w:lang w:val="en-US"/>
              </w:rPr>
            </w:pPr>
            <w:r>
              <w:rPr>
                <w:lang w:val="en-US"/>
              </w:rPr>
              <w:t>30 months treatment in ATTR-ACT;</w:t>
            </w:r>
          </w:p>
          <w:p w14:paraId="0948677D" w14:textId="77777777" w:rsidR="004128BB" w:rsidRDefault="004128BB" w:rsidP="004631A4">
            <w:pPr>
              <w:pStyle w:val="TableText"/>
              <w:jc w:val="center"/>
              <w:rPr>
                <w:lang w:val="en-US"/>
              </w:rPr>
            </w:pPr>
            <w:r>
              <w:rPr>
                <w:lang w:val="en-US"/>
              </w:rPr>
              <w:t>Cohort B</w:t>
            </w:r>
          </w:p>
          <w:p w14:paraId="39B6D4B7" w14:textId="77777777" w:rsidR="004128BB" w:rsidRPr="00196F07" w:rsidRDefault="004128BB" w:rsidP="004631A4">
            <w:pPr>
              <w:pStyle w:val="TableText"/>
              <w:jc w:val="center"/>
              <w:rPr>
                <w:vertAlign w:val="superscript"/>
                <w:lang w:val="en-US"/>
              </w:rPr>
            </w:pPr>
            <w:r>
              <w:rPr>
                <w:lang w:val="en-US"/>
              </w:rPr>
              <w:t>Patients with ATTR-CM not enrolled in ATTR-ACT</w:t>
            </w:r>
            <w:r>
              <w:rPr>
                <w:vertAlign w:val="superscript"/>
                <w:lang w:val="en-US"/>
              </w:rPr>
              <w:t>d</w:t>
            </w:r>
          </w:p>
        </w:tc>
        <w:tc>
          <w:tcPr>
            <w:tcW w:w="806" w:type="pct"/>
            <w:shd w:val="clear" w:color="auto" w:fill="auto"/>
            <w:vAlign w:val="center"/>
          </w:tcPr>
          <w:p w14:paraId="360B5410" w14:textId="77777777" w:rsidR="004128BB" w:rsidRDefault="004128BB" w:rsidP="004631A4">
            <w:pPr>
              <w:pStyle w:val="TableText"/>
              <w:jc w:val="center"/>
              <w:rPr>
                <w:lang w:val="en-US"/>
              </w:rPr>
            </w:pPr>
            <w:r>
              <w:rPr>
                <w:lang w:val="en-US"/>
              </w:rPr>
              <w:t xml:space="preserve">Safety all-cause mortality and treatment emergent adverse events, </w:t>
            </w:r>
            <w:proofErr w:type="gramStart"/>
            <w:r>
              <w:rPr>
                <w:lang w:val="en-US"/>
              </w:rPr>
              <w:t>CV</w:t>
            </w:r>
            <w:proofErr w:type="gramEnd"/>
            <w:r>
              <w:rPr>
                <w:lang w:val="en-US"/>
              </w:rPr>
              <w:t xml:space="preserve"> hospitalisation</w:t>
            </w:r>
          </w:p>
        </w:tc>
        <w:tc>
          <w:tcPr>
            <w:tcW w:w="806" w:type="pct"/>
            <w:shd w:val="clear" w:color="auto" w:fill="auto"/>
            <w:vAlign w:val="center"/>
          </w:tcPr>
          <w:p w14:paraId="6BA4ACA5" w14:textId="77777777" w:rsidR="004128BB" w:rsidRPr="001539E3" w:rsidRDefault="004128BB" w:rsidP="004631A4">
            <w:pPr>
              <w:pStyle w:val="TableText"/>
              <w:jc w:val="center"/>
              <w:rPr>
                <w:lang w:val="en-US"/>
              </w:rPr>
            </w:pPr>
            <w:r w:rsidRPr="001539E3">
              <w:rPr>
                <w:lang w:val="en-US"/>
              </w:rPr>
              <w:t>Used in sensitivity analyses.</w:t>
            </w:r>
          </w:p>
        </w:tc>
      </w:tr>
    </w:tbl>
    <w:p w14:paraId="7CCC79A2" w14:textId="77777777" w:rsidR="004128BB" w:rsidRDefault="004128BB" w:rsidP="004128BB">
      <w:pPr>
        <w:pStyle w:val="TableFigureFooter"/>
      </w:pPr>
      <w:r>
        <w:t>Source: Sections 2.3 and 2.4 of the resubmission; Elliot (2019).</w:t>
      </w:r>
    </w:p>
    <w:p w14:paraId="4B63377C" w14:textId="77777777" w:rsidR="004128BB" w:rsidRDefault="004128BB" w:rsidP="004128BB">
      <w:pPr>
        <w:pStyle w:val="TableFigureFooter"/>
      </w:pPr>
      <w:r>
        <w:t xml:space="preserve">Abbreviations: </w:t>
      </w:r>
      <w:r>
        <w:rPr>
          <w:szCs w:val="18"/>
        </w:rPr>
        <w:t>6MWT, six minute walk test;</w:t>
      </w:r>
      <w:r>
        <w:t xml:space="preserve"> </w:t>
      </w:r>
      <w:r>
        <w:rPr>
          <w:szCs w:val="18"/>
        </w:rPr>
        <w:t xml:space="preserve">ATTR-CM, </w:t>
      </w:r>
      <w:r w:rsidRPr="005E4C29">
        <w:rPr>
          <w:szCs w:val="18"/>
        </w:rPr>
        <w:t xml:space="preserve">transthyretin </w:t>
      </w:r>
      <w:r>
        <w:rPr>
          <w:szCs w:val="18"/>
        </w:rPr>
        <w:t>amyloid cardiomyopathy</w:t>
      </w:r>
      <w:r>
        <w:t>; CV, cardiovascular;</w:t>
      </w:r>
      <w:r w:rsidRPr="0072416F">
        <w:t xml:space="preserve"> </w:t>
      </w:r>
      <w:r>
        <w:rPr>
          <w:szCs w:val="18"/>
        </w:rPr>
        <w:t>IPD, individual patient data;</w:t>
      </w:r>
      <w:r w:rsidRPr="0072416F">
        <w:t xml:space="preserve"> </w:t>
      </w:r>
      <w:r w:rsidRPr="00FF4D07">
        <w:rPr>
          <w:szCs w:val="18"/>
        </w:rPr>
        <w:t>KCCQ</w:t>
      </w:r>
      <w:r>
        <w:rPr>
          <w:szCs w:val="18"/>
        </w:rPr>
        <w:t>-OS</w:t>
      </w:r>
      <w:r w:rsidRPr="00FF4D07">
        <w:rPr>
          <w:szCs w:val="18"/>
        </w:rPr>
        <w:t>, Kansas City Cardiomyopathy Questionnaire</w:t>
      </w:r>
      <w:r>
        <w:rPr>
          <w:szCs w:val="18"/>
        </w:rPr>
        <w:t xml:space="preserve"> Overall Summary Score</w:t>
      </w:r>
      <w:r w:rsidRPr="0072416F">
        <w:t>.</w:t>
      </w:r>
    </w:p>
    <w:p w14:paraId="38545ECC" w14:textId="77777777" w:rsidR="004128BB" w:rsidRDefault="004128BB" w:rsidP="004128BB">
      <w:pPr>
        <w:pStyle w:val="TableFigureFooter"/>
        <w:rPr>
          <w:vertAlign w:val="superscript"/>
        </w:rPr>
      </w:pPr>
      <w:r>
        <w:rPr>
          <w:vertAlign w:val="superscript"/>
        </w:rPr>
        <w:t>a</w:t>
      </w:r>
      <w:r>
        <w:t xml:space="preserve"> E</w:t>
      </w:r>
      <w:r w:rsidRPr="00AD4B9C">
        <w:t>vidence of cardiac involvement by echocardiography with an end-diastolic interventricular septal wall thickness ≥ 12 mm</w:t>
      </w:r>
      <w:r>
        <w:t>.</w:t>
      </w:r>
    </w:p>
    <w:p w14:paraId="17C58E48" w14:textId="77777777" w:rsidR="004128BB" w:rsidRPr="00304280" w:rsidRDefault="004128BB" w:rsidP="004128BB">
      <w:pPr>
        <w:pStyle w:val="TableFigureFooter"/>
      </w:pPr>
      <w:r>
        <w:rPr>
          <w:vertAlign w:val="superscript"/>
        </w:rPr>
        <w:t>b</w:t>
      </w:r>
      <w:r>
        <w:t xml:space="preserve"> Includes patients switching from placebo.</w:t>
      </w:r>
    </w:p>
    <w:p w14:paraId="10F00F4A" w14:textId="77777777" w:rsidR="004128BB" w:rsidRPr="00091023" w:rsidRDefault="004128BB" w:rsidP="004128BB">
      <w:pPr>
        <w:pStyle w:val="TableFigureFooter"/>
      </w:pPr>
      <w:r>
        <w:rPr>
          <w:vertAlign w:val="superscript"/>
        </w:rPr>
        <w:t>c</w:t>
      </w:r>
      <w:r>
        <w:t xml:space="preserve"> ATTR-ACT treatment phase duration and extension study duration. </w:t>
      </w:r>
    </w:p>
    <w:p w14:paraId="64874706" w14:textId="77777777" w:rsidR="004128BB" w:rsidRDefault="004128BB" w:rsidP="004128BB">
      <w:pPr>
        <w:pStyle w:val="TableFigureFooter"/>
      </w:pPr>
      <w:r>
        <w:rPr>
          <w:vertAlign w:val="superscript"/>
        </w:rPr>
        <w:t>d</w:t>
      </w:r>
      <w:r>
        <w:t xml:space="preserve"> Cohort B was excluded from the resubmission.</w:t>
      </w:r>
    </w:p>
    <w:p w14:paraId="54F5CE63" w14:textId="77777777" w:rsidR="004128BB" w:rsidRDefault="004128BB" w:rsidP="004128BB">
      <w:pPr>
        <w:pStyle w:val="COMexecsumnumberedpara"/>
      </w:pPr>
      <w:r>
        <w:t xml:space="preserve">At the July 2020 meeting the PBAC considered that </w:t>
      </w:r>
      <w:r w:rsidRPr="00A71A50">
        <w:t xml:space="preserve">the ATTR-ACT trial may have </w:t>
      </w:r>
      <w:r>
        <w:t>been subject to selection bias, and that s</w:t>
      </w:r>
      <w:r w:rsidRPr="00A71A50">
        <w:t xml:space="preserve">maller proportions of patients </w:t>
      </w:r>
      <w:r>
        <w:t>with</w:t>
      </w:r>
      <w:r w:rsidRPr="00A71A50">
        <w:t xml:space="preserve"> </w:t>
      </w:r>
      <w:r>
        <w:t xml:space="preserve">baseline </w:t>
      </w:r>
      <w:r w:rsidRPr="00A71A50">
        <w:t>NYHA class III heart failure in the tafamidis 20 mg and 80 mg treatment arms, compared to the placebo arm, may have biased trial out</w:t>
      </w:r>
      <w:r>
        <w:t>comes in favour of tafamidis (para 6.10, T</w:t>
      </w:r>
      <w:r w:rsidRPr="00A71A50">
        <w:t xml:space="preserve">afamidis </w:t>
      </w:r>
      <w:r>
        <w:t xml:space="preserve">PSD, </w:t>
      </w:r>
      <w:r w:rsidRPr="00A71A50">
        <w:t xml:space="preserve">July 2020 </w:t>
      </w:r>
      <w:r>
        <w:t xml:space="preserve">PBAC </w:t>
      </w:r>
      <w:r w:rsidRPr="00A71A50">
        <w:t>meeting)</w:t>
      </w:r>
      <w:r>
        <w:t xml:space="preserve">. </w:t>
      </w:r>
    </w:p>
    <w:p w14:paraId="74FB7E15" w14:textId="77777777" w:rsidR="004128BB" w:rsidRPr="00636710" w:rsidRDefault="004128BB" w:rsidP="004128BB">
      <w:pPr>
        <w:pStyle w:val="COMexecsumnumberedpara"/>
        <w:rPr>
          <w:rFonts w:cstheme="minorHAnsi"/>
          <w:i/>
        </w:rPr>
      </w:pPr>
      <w:r>
        <w:t xml:space="preserve">The March 2021 resubmission argued that the </w:t>
      </w:r>
      <w:r w:rsidRPr="004D513C">
        <w:t>Finkelstein-Schoenfeld</w:t>
      </w:r>
      <w:r>
        <w:t xml:space="preserve"> method used in the primary analysis minimised the impact of baseline differences in NYHA class and disease severity between treatment arms, and noted that NYHA class was </w:t>
      </w:r>
      <w:r w:rsidRPr="004D513C">
        <w:t>a covariate in statistical models used to analy</w:t>
      </w:r>
      <w:r>
        <w:t>s</w:t>
      </w:r>
      <w:r w:rsidRPr="004D513C">
        <w:t>e other ATTR-ACT endpoints</w:t>
      </w:r>
      <w:r>
        <w:t xml:space="preserve">. </w:t>
      </w:r>
      <w:r w:rsidRPr="009B152B">
        <w:t xml:space="preserve">However, the PBAC considered that use of the Finkelstein-Schoenfeld methodology may not have addressed differences between treatment arms in terms of other </w:t>
      </w:r>
      <w:r w:rsidRPr="009B152B">
        <w:rPr>
          <w:rFonts w:cstheme="minorHAnsi"/>
        </w:rPr>
        <w:t>known (e.g. NT-proBNP) and unknown prognostic factors, and that the impact of differences between treatments arms on the results of the ATTR-ACT trial remained unclear (para 6.7, Tafamidis PSD, March 2021 PBAC meeting).</w:t>
      </w:r>
      <w:r w:rsidRPr="00A129FF">
        <w:rPr>
          <w:rFonts w:cstheme="minorHAnsi"/>
          <w:i/>
          <w:iCs/>
        </w:rPr>
        <w:t xml:space="preserve"> </w:t>
      </w:r>
    </w:p>
    <w:p w14:paraId="6F20EED3" w14:textId="6F6198AD" w:rsidR="004128BB" w:rsidRPr="009B152B" w:rsidRDefault="004128BB" w:rsidP="004128BB">
      <w:pPr>
        <w:pStyle w:val="COMexecsumnumberedpara"/>
      </w:pPr>
      <w:r>
        <w:rPr>
          <w:color w:val="000000" w:themeColor="text1"/>
        </w:rPr>
        <w:t>T</w:t>
      </w:r>
      <w:r w:rsidRPr="00636710">
        <w:rPr>
          <w:color w:val="000000" w:themeColor="text1"/>
        </w:rPr>
        <w:t xml:space="preserve">he </w:t>
      </w:r>
      <w:r w:rsidRPr="00636710">
        <w:rPr>
          <w:iCs/>
        </w:rPr>
        <w:t xml:space="preserve">resubmission argued that much </w:t>
      </w:r>
      <w:r w:rsidRPr="00636710">
        <w:rPr>
          <w:color w:val="000000" w:themeColor="text1"/>
        </w:rPr>
        <w:t xml:space="preserve">of this potential bias </w:t>
      </w:r>
      <w:r>
        <w:rPr>
          <w:color w:val="000000" w:themeColor="text1"/>
        </w:rPr>
        <w:t>ha</w:t>
      </w:r>
      <w:r w:rsidRPr="00636710">
        <w:rPr>
          <w:color w:val="000000" w:themeColor="text1"/>
        </w:rPr>
        <w:t xml:space="preserve">s </w:t>
      </w:r>
      <w:r>
        <w:rPr>
          <w:color w:val="000000" w:themeColor="text1"/>
        </w:rPr>
        <w:t xml:space="preserve">been </w:t>
      </w:r>
      <w:r w:rsidRPr="00636710">
        <w:rPr>
          <w:color w:val="000000" w:themeColor="text1"/>
        </w:rPr>
        <w:t>removed</w:t>
      </w:r>
      <w:r>
        <w:rPr>
          <w:color w:val="000000" w:themeColor="text1"/>
        </w:rPr>
        <w:t>,</w:t>
      </w:r>
      <w:r w:rsidRPr="00636710">
        <w:rPr>
          <w:iCs/>
        </w:rPr>
        <w:t xml:space="preserve"> </w:t>
      </w:r>
      <w:r>
        <w:rPr>
          <w:iCs/>
        </w:rPr>
        <w:t>g</w:t>
      </w:r>
      <w:r w:rsidRPr="00636710">
        <w:rPr>
          <w:iCs/>
        </w:rPr>
        <w:t xml:space="preserve">iven the amended restriction limits initiation and continuing treatment </w:t>
      </w:r>
      <w:r w:rsidRPr="00636710">
        <w:rPr>
          <w:color w:val="000000" w:themeColor="text1"/>
        </w:rPr>
        <w:t xml:space="preserve">to NYHA class I-II heart failure only. </w:t>
      </w:r>
      <w:r w:rsidRPr="009B152B">
        <w:rPr>
          <w:color w:val="000000" w:themeColor="text1"/>
        </w:rPr>
        <w:t>However, g</w:t>
      </w:r>
      <w:r w:rsidRPr="009B152B">
        <w:t>iven the differences in baseline risk and disease severity between treatment arms in the ATTR-ACT trial, and differences between treatment arms in terms of other known (NT-proBNP) and unknown prognostic factors, the impact of differences between treatment arms on the key results of the ATTR-ACT trial remains unclear.</w:t>
      </w:r>
      <w:r w:rsidR="008B0FDC" w:rsidRPr="009B152B">
        <w:t xml:space="preserve"> </w:t>
      </w:r>
    </w:p>
    <w:p w14:paraId="36487DCD" w14:textId="2DEE7BEA" w:rsidR="004128BB" w:rsidRPr="009B152B" w:rsidRDefault="004128BB" w:rsidP="009A4786">
      <w:pPr>
        <w:pStyle w:val="ExecSumBodyText"/>
        <w:numPr>
          <w:ilvl w:val="1"/>
          <w:numId w:val="1"/>
        </w:numPr>
      </w:pPr>
      <w:r>
        <w:t>Patients in the ATTR-ACT trial tafamidis treatment arms continued treatment into the B3461045 extension study, while patients in the placebo arm were randomised on a 2:1 ratio to initiate tafamidis 80 mg and 20 mg respectively. Blinding of patients and investigators was maintained</w:t>
      </w:r>
      <w:r w:rsidRPr="009A4786">
        <w:rPr>
          <w:color w:val="0066FF"/>
        </w:rPr>
        <w:t xml:space="preserve"> </w:t>
      </w:r>
      <w:r>
        <w:t>until a</w:t>
      </w:r>
      <w:r w:rsidRPr="00EA455E">
        <w:t xml:space="preserve"> July 2018 protocol </w:t>
      </w:r>
      <w:r>
        <w:t>amendment</w:t>
      </w:r>
      <w:r w:rsidRPr="00EA455E">
        <w:t xml:space="preserve"> add</w:t>
      </w:r>
      <w:r>
        <w:t>ed</w:t>
      </w:r>
      <w:r w:rsidRPr="00EA455E">
        <w:t xml:space="preserve"> </w:t>
      </w:r>
      <w:r>
        <w:t xml:space="preserve">Cohort B (patients with ATTR-CM treated with tafamidis not enrolled in ATTR-ACT) and migrated all patients in Cohorts A and B from </w:t>
      </w:r>
      <w:r w:rsidRPr="00EA455E">
        <w:t>tafamidis meglumine 20 mg or 80</w:t>
      </w:r>
      <w:r w:rsidR="00CA4A14">
        <w:t> </w:t>
      </w:r>
      <w:r w:rsidRPr="00EA455E">
        <w:t>mg</w:t>
      </w:r>
      <w:r>
        <w:t xml:space="preserve">, to the tafamidis 61 mg </w:t>
      </w:r>
      <w:r w:rsidRPr="00EA455E">
        <w:t xml:space="preserve">free acid </w:t>
      </w:r>
      <w:r>
        <w:t>formulation. The B3461045 extension study switched to a single arm study design and was unblinded</w:t>
      </w:r>
      <w:r w:rsidR="009A4786">
        <w:t xml:space="preserve"> and </w:t>
      </w:r>
      <w:r w:rsidRPr="009B152B">
        <w:t>the risk of bias in the study was high.</w:t>
      </w:r>
    </w:p>
    <w:p w14:paraId="160EEAE8" w14:textId="17C23D7A" w:rsidR="004128BB" w:rsidRPr="001F4A02" w:rsidRDefault="004128BB" w:rsidP="004128BB">
      <w:pPr>
        <w:pStyle w:val="COMexecsumnumberedpara"/>
      </w:pPr>
      <w:r w:rsidRPr="009B152B">
        <w:t>Limited data are available to assess the applicability of the ATTR-ACT trial to the Australian setting. However, age, NYHA class, TTR genotype and ATTR</w:t>
      </w:r>
      <w:r w:rsidR="007E7717" w:rsidRPr="009B152B">
        <w:t>v</w:t>
      </w:r>
      <w:r w:rsidRPr="009B152B">
        <w:t xml:space="preserve"> mutation phenotype have been identified as baseline prognostic indicators for ATTR-CM (Castano et al. 2016; Rapezzi et al. 2009; Siddiqi et al. 2018) and may affect baseline risk. Any differences between the ATTR-ACT study population and the proposed eligible Australian population in the distributions of age, NYHA class, TTR genotype and ATTRv mutation phenotype may result in differences in the absolute benefit of tafamidis.</w:t>
      </w:r>
      <w:r w:rsidR="00260E05">
        <w:t xml:space="preserve"> </w:t>
      </w:r>
      <w:r w:rsidR="00260E05" w:rsidRPr="001F4A02">
        <w:t>The ESC considered that</w:t>
      </w:r>
      <w:r w:rsidR="00957838" w:rsidRPr="001F4A02">
        <w:t>,</w:t>
      </w:r>
      <w:r w:rsidR="00260E05" w:rsidRPr="001F4A02">
        <w:t xml:space="preserve"> from the evidence available</w:t>
      </w:r>
      <w:r w:rsidR="00957838" w:rsidRPr="001F4A02">
        <w:t>,</w:t>
      </w:r>
      <w:r w:rsidR="00260E05" w:rsidRPr="001F4A02">
        <w:t xml:space="preserve"> there does not appear to be a substantial difference in baseline demographics and disease characteristics between the ATTR-ACT trial and the proposed PBS population that would </w:t>
      </w:r>
      <w:r w:rsidR="00957838" w:rsidRPr="001F4A02">
        <w:t xml:space="preserve">significantly </w:t>
      </w:r>
      <w:r w:rsidR="00260E05" w:rsidRPr="001F4A02">
        <w:t xml:space="preserve">impact on the applicability of the trial. The ESC also considered that any difference in treatment effect </w:t>
      </w:r>
      <w:r w:rsidR="000350B6" w:rsidRPr="001F4A02">
        <w:t xml:space="preserve">due to baseline differences </w:t>
      </w:r>
      <w:r w:rsidR="00260E05" w:rsidRPr="001F4A02">
        <w:t xml:space="preserve">would likely be lessened by limiting the PBS population to </w:t>
      </w:r>
      <w:r w:rsidR="000350B6" w:rsidRPr="001F4A02">
        <w:t xml:space="preserve">patients with </w:t>
      </w:r>
      <w:r w:rsidR="00260E05" w:rsidRPr="001F4A02">
        <w:t xml:space="preserve">NYHA class I-II. </w:t>
      </w:r>
    </w:p>
    <w:p w14:paraId="4A4FE085" w14:textId="1C5613CC" w:rsidR="00B60939" w:rsidRPr="00C9624D" w:rsidRDefault="00B60939" w:rsidP="00EC5836">
      <w:pPr>
        <w:pStyle w:val="COMH2-non-numbered"/>
      </w:pPr>
      <w:bookmarkStart w:id="27" w:name="_Toc22897641"/>
      <w:bookmarkStart w:id="28" w:name="_Toc134118706"/>
      <w:bookmarkStart w:id="29" w:name="_Toc135227612"/>
      <w:r w:rsidRPr="00C9624D">
        <w:t>Comparative effectiveness</w:t>
      </w:r>
      <w:bookmarkEnd w:id="27"/>
      <w:bookmarkEnd w:id="28"/>
      <w:bookmarkEnd w:id="29"/>
    </w:p>
    <w:p w14:paraId="563048FF" w14:textId="7C2E64B8" w:rsidR="004128BB" w:rsidRDefault="004128BB" w:rsidP="004128BB">
      <w:pPr>
        <w:pStyle w:val="ExecSumBodyText"/>
        <w:numPr>
          <w:ilvl w:val="1"/>
          <w:numId w:val="1"/>
        </w:numPr>
      </w:pPr>
      <w:r>
        <w:t>The results of the ATTR-ACT trial were previously presented in the July 2020, March</w:t>
      </w:r>
      <w:r w:rsidR="00CA4A14">
        <w:t> </w:t>
      </w:r>
      <w:r>
        <w:t>2021 and September 2021 submissions, and are summarised below.</w:t>
      </w:r>
    </w:p>
    <w:p w14:paraId="156D4897" w14:textId="00284780" w:rsidR="004128BB" w:rsidRDefault="004128BB" w:rsidP="004128BB">
      <w:pPr>
        <w:pStyle w:val="COMexecsumnumberedpara"/>
      </w:pPr>
      <w:r>
        <w:fldChar w:fldCharType="begin" w:fldLock="1"/>
      </w:r>
      <w:r>
        <w:instrText xml:space="preserve"> REF _Ref132561373 \h </w:instrText>
      </w:r>
      <w:r>
        <w:fldChar w:fldCharType="separate"/>
      </w:r>
      <w:r w:rsidR="0015761E">
        <w:t xml:space="preserve">Table </w:t>
      </w:r>
      <w:r w:rsidR="0015761E">
        <w:rPr>
          <w:noProof/>
        </w:rPr>
        <w:t>5</w:t>
      </w:r>
      <w:r>
        <w:fldChar w:fldCharType="end"/>
      </w:r>
      <w:r>
        <w:t xml:space="preserve"> summarises the results of the primary outcome in the ATTR-ACT trial, the </w:t>
      </w:r>
      <w:r w:rsidRPr="00A25D8F">
        <w:t xml:space="preserve">Finkelstein-Schoenfeld prioritised pairwise comparison of all-cause mortality and </w:t>
      </w:r>
      <w:r>
        <w:t>cardiovascular</w:t>
      </w:r>
      <w:r w:rsidRPr="00A25D8F">
        <w:t xml:space="preserve"> hospitalisation for tafamidis versus placebo (ITT)</w:t>
      </w:r>
      <w:r>
        <w:t>.</w:t>
      </w:r>
    </w:p>
    <w:p w14:paraId="708A9863" w14:textId="374A96E1" w:rsidR="004128BB" w:rsidRPr="0042047F" w:rsidRDefault="004128BB" w:rsidP="00CA4A14">
      <w:pPr>
        <w:pStyle w:val="COMtablefigcaption"/>
        <w:keepLines/>
      </w:pPr>
      <w:bookmarkStart w:id="30" w:name="_Ref132561373"/>
      <w:r>
        <w:t xml:space="preserve">Table </w:t>
      </w:r>
      <w:fldSimple w:instr=" SEQ Table \* ARABIC " w:fldLock="1">
        <w:r w:rsidR="0015761E">
          <w:rPr>
            <w:noProof/>
          </w:rPr>
          <w:t>5</w:t>
        </w:r>
      </w:fldSimple>
      <w:bookmarkEnd w:id="30"/>
      <w:r>
        <w:t xml:space="preserve">: </w:t>
      </w:r>
      <w:r w:rsidRPr="008C6A13">
        <w:t xml:space="preserve">Finkelstein-Schoenfeld analysis of all-cause mortality and </w:t>
      </w:r>
      <w:r>
        <w:t xml:space="preserve">frequency of </w:t>
      </w:r>
      <w:r w:rsidRPr="008C6A13">
        <w:t>cardiovascular</w:t>
      </w:r>
      <w:r>
        <w:t xml:space="preserve"> hospitalisation for t</w:t>
      </w:r>
      <w:r w:rsidRPr="008C6A13">
        <w:t>afamidis</w:t>
      </w:r>
      <w:r w:rsidRPr="0042047F">
        <w:t xml:space="preserve"> </w:t>
      </w:r>
      <w:r>
        <w:t>versus placebo for ATTR-ACT (ITT)</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Finkelstein-Schoenfeld analysis of all-cause mortality and frequency of cardiovascular hospitalisation for tafamidis versus placebo for ATTR-ACT (ITT)"/>
      </w:tblPr>
      <w:tblGrid>
        <w:gridCol w:w="2690"/>
        <w:gridCol w:w="1570"/>
        <w:gridCol w:w="1570"/>
        <w:gridCol w:w="1569"/>
        <w:gridCol w:w="1569"/>
      </w:tblGrid>
      <w:tr w:rsidR="004128BB" w:rsidRPr="00B84117" w14:paraId="48C14303" w14:textId="77777777" w:rsidTr="004631A4">
        <w:trPr>
          <w:tblHeader/>
        </w:trPr>
        <w:tc>
          <w:tcPr>
            <w:tcW w:w="1499" w:type="pct"/>
            <w:vAlign w:val="center"/>
          </w:tcPr>
          <w:p w14:paraId="1005124B" w14:textId="77777777" w:rsidR="004128BB" w:rsidRPr="001C1DAB" w:rsidRDefault="004128BB" w:rsidP="00CA4A14">
            <w:pPr>
              <w:pStyle w:val="Tableheadingrow"/>
              <w:keepLines/>
              <w:rPr>
                <w:szCs w:val="20"/>
              </w:rPr>
            </w:pPr>
          </w:p>
        </w:tc>
        <w:tc>
          <w:tcPr>
            <w:tcW w:w="875" w:type="pct"/>
            <w:vAlign w:val="center"/>
          </w:tcPr>
          <w:p w14:paraId="2D9B7255" w14:textId="77777777" w:rsidR="004128BB" w:rsidRPr="001C1DAB" w:rsidRDefault="004128BB" w:rsidP="00CA4A14">
            <w:pPr>
              <w:pStyle w:val="Tableheadingrow"/>
              <w:keepLines/>
              <w:jc w:val="center"/>
              <w:rPr>
                <w:szCs w:val="20"/>
              </w:rPr>
            </w:pPr>
            <w:r w:rsidRPr="001C1DAB">
              <w:rPr>
                <w:szCs w:val="20"/>
              </w:rPr>
              <w:t>Tafamidis</w:t>
            </w:r>
          </w:p>
          <w:p w14:paraId="3F7DEB5D" w14:textId="77777777" w:rsidR="004128BB" w:rsidRPr="001C1DAB" w:rsidRDefault="004128BB" w:rsidP="00CA4A14">
            <w:pPr>
              <w:pStyle w:val="Tableheadingrow"/>
              <w:keepLines/>
              <w:jc w:val="center"/>
              <w:rPr>
                <w:szCs w:val="20"/>
              </w:rPr>
            </w:pPr>
            <w:r w:rsidRPr="001C1DAB">
              <w:rPr>
                <w:szCs w:val="20"/>
              </w:rPr>
              <w:t>20 mg</w:t>
            </w:r>
          </w:p>
        </w:tc>
        <w:tc>
          <w:tcPr>
            <w:tcW w:w="875" w:type="pct"/>
            <w:vAlign w:val="center"/>
          </w:tcPr>
          <w:p w14:paraId="5CBB295F" w14:textId="77777777" w:rsidR="004128BB" w:rsidRPr="001C1DAB" w:rsidRDefault="004128BB" w:rsidP="00CA4A14">
            <w:pPr>
              <w:pStyle w:val="Tableheadingrow"/>
              <w:keepLines/>
              <w:jc w:val="center"/>
              <w:rPr>
                <w:szCs w:val="20"/>
              </w:rPr>
            </w:pPr>
            <w:r w:rsidRPr="001C1DAB">
              <w:rPr>
                <w:szCs w:val="20"/>
              </w:rPr>
              <w:t>Tafamidis</w:t>
            </w:r>
          </w:p>
          <w:p w14:paraId="132F1282" w14:textId="77777777" w:rsidR="004128BB" w:rsidRPr="001C1DAB" w:rsidRDefault="004128BB" w:rsidP="00CA4A14">
            <w:pPr>
              <w:pStyle w:val="Tableheadingrow"/>
              <w:keepLines/>
              <w:jc w:val="center"/>
              <w:rPr>
                <w:szCs w:val="20"/>
              </w:rPr>
            </w:pPr>
            <w:r w:rsidRPr="001C1DAB">
              <w:rPr>
                <w:szCs w:val="20"/>
              </w:rPr>
              <w:t>80 mg</w:t>
            </w:r>
          </w:p>
        </w:tc>
        <w:tc>
          <w:tcPr>
            <w:tcW w:w="875" w:type="pct"/>
            <w:vAlign w:val="center"/>
          </w:tcPr>
          <w:p w14:paraId="0FE5B569" w14:textId="77777777" w:rsidR="004128BB" w:rsidRPr="001C1DAB" w:rsidRDefault="004128BB" w:rsidP="00CA4A14">
            <w:pPr>
              <w:pStyle w:val="Tableheadingrow"/>
              <w:keepLines/>
              <w:jc w:val="center"/>
              <w:rPr>
                <w:szCs w:val="20"/>
              </w:rPr>
            </w:pPr>
            <w:r w:rsidRPr="001C1DAB">
              <w:rPr>
                <w:szCs w:val="20"/>
              </w:rPr>
              <w:t>Tafamidis pooled</w:t>
            </w:r>
          </w:p>
        </w:tc>
        <w:tc>
          <w:tcPr>
            <w:tcW w:w="875" w:type="pct"/>
            <w:vAlign w:val="center"/>
          </w:tcPr>
          <w:p w14:paraId="7A6D28C0" w14:textId="77777777" w:rsidR="004128BB" w:rsidRPr="001C1DAB" w:rsidRDefault="004128BB" w:rsidP="00CA4A14">
            <w:pPr>
              <w:pStyle w:val="Tableheadingrow"/>
              <w:keepLines/>
              <w:jc w:val="center"/>
              <w:rPr>
                <w:szCs w:val="20"/>
              </w:rPr>
            </w:pPr>
            <w:r w:rsidRPr="001C1DAB">
              <w:rPr>
                <w:szCs w:val="20"/>
              </w:rPr>
              <w:t>Placebo</w:t>
            </w:r>
          </w:p>
        </w:tc>
      </w:tr>
      <w:tr w:rsidR="004128BB" w:rsidRPr="00B1011F" w14:paraId="5C5E916E" w14:textId="77777777" w:rsidTr="004631A4">
        <w:tc>
          <w:tcPr>
            <w:tcW w:w="1499" w:type="pct"/>
            <w:vAlign w:val="center"/>
          </w:tcPr>
          <w:p w14:paraId="3934AE45" w14:textId="77777777" w:rsidR="004128BB" w:rsidRPr="00B1011F" w:rsidRDefault="004128BB" w:rsidP="00CA4A14">
            <w:pPr>
              <w:pStyle w:val="TableText"/>
              <w:keepLines/>
              <w:tabs>
                <w:tab w:val="left" w:pos="175"/>
              </w:tabs>
            </w:pPr>
            <w:r>
              <w:t>N</w:t>
            </w:r>
          </w:p>
        </w:tc>
        <w:tc>
          <w:tcPr>
            <w:tcW w:w="875" w:type="pct"/>
            <w:vAlign w:val="center"/>
          </w:tcPr>
          <w:p w14:paraId="350E6149" w14:textId="77777777" w:rsidR="004128BB" w:rsidRPr="001C1DAB" w:rsidRDefault="004128BB" w:rsidP="00CA4A14">
            <w:pPr>
              <w:pStyle w:val="TableText"/>
              <w:keepLines/>
              <w:jc w:val="center"/>
              <w:rPr>
                <w:szCs w:val="20"/>
              </w:rPr>
            </w:pPr>
            <w:r w:rsidRPr="001C1DAB">
              <w:rPr>
                <w:szCs w:val="20"/>
              </w:rPr>
              <w:t>88</w:t>
            </w:r>
          </w:p>
        </w:tc>
        <w:tc>
          <w:tcPr>
            <w:tcW w:w="875" w:type="pct"/>
            <w:vAlign w:val="center"/>
          </w:tcPr>
          <w:p w14:paraId="03B70DA8" w14:textId="77777777" w:rsidR="004128BB" w:rsidRPr="001C1DAB" w:rsidRDefault="004128BB" w:rsidP="00CA4A14">
            <w:pPr>
              <w:pStyle w:val="TableText"/>
              <w:keepLines/>
              <w:jc w:val="center"/>
              <w:rPr>
                <w:szCs w:val="20"/>
              </w:rPr>
            </w:pPr>
            <w:r w:rsidRPr="001C1DAB">
              <w:rPr>
                <w:szCs w:val="20"/>
              </w:rPr>
              <w:t>176</w:t>
            </w:r>
          </w:p>
        </w:tc>
        <w:tc>
          <w:tcPr>
            <w:tcW w:w="875" w:type="pct"/>
            <w:vAlign w:val="center"/>
          </w:tcPr>
          <w:p w14:paraId="20939B3C" w14:textId="77777777" w:rsidR="004128BB" w:rsidRPr="001C1DAB" w:rsidRDefault="004128BB" w:rsidP="00CA4A14">
            <w:pPr>
              <w:pStyle w:val="TableText"/>
              <w:keepLines/>
              <w:jc w:val="center"/>
              <w:rPr>
                <w:szCs w:val="20"/>
              </w:rPr>
            </w:pPr>
            <w:r w:rsidRPr="001C1DAB">
              <w:rPr>
                <w:szCs w:val="20"/>
              </w:rPr>
              <w:t>264</w:t>
            </w:r>
          </w:p>
        </w:tc>
        <w:tc>
          <w:tcPr>
            <w:tcW w:w="875" w:type="pct"/>
            <w:vAlign w:val="center"/>
          </w:tcPr>
          <w:p w14:paraId="59B6FEEC" w14:textId="77777777" w:rsidR="004128BB" w:rsidRPr="001C1DAB" w:rsidRDefault="004128BB" w:rsidP="00CA4A14">
            <w:pPr>
              <w:pStyle w:val="TableText"/>
              <w:keepLines/>
              <w:jc w:val="center"/>
              <w:rPr>
                <w:szCs w:val="20"/>
              </w:rPr>
            </w:pPr>
            <w:r w:rsidRPr="001C1DAB">
              <w:rPr>
                <w:szCs w:val="20"/>
              </w:rPr>
              <w:t>177</w:t>
            </w:r>
          </w:p>
        </w:tc>
      </w:tr>
      <w:tr w:rsidR="004128BB" w:rsidRPr="00B1011F" w14:paraId="1E2AD817" w14:textId="77777777" w:rsidTr="004631A4">
        <w:tc>
          <w:tcPr>
            <w:tcW w:w="1499" w:type="pct"/>
            <w:vAlign w:val="center"/>
          </w:tcPr>
          <w:p w14:paraId="32FDFFCE" w14:textId="77777777" w:rsidR="004128BB" w:rsidRDefault="004128BB" w:rsidP="00CA4A14">
            <w:pPr>
              <w:pStyle w:val="TableText"/>
              <w:keepLines/>
              <w:tabs>
                <w:tab w:val="left" w:pos="175"/>
              </w:tabs>
            </w:pPr>
            <w:r w:rsidRPr="00865D84">
              <w:t>Number of subjects alive</w:t>
            </w:r>
            <w:r>
              <w:t xml:space="preserve"> at </w:t>
            </w:r>
          </w:p>
          <w:p w14:paraId="554B4951" w14:textId="77777777" w:rsidR="004128BB" w:rsidRPr="007F799B" w:rsidRDefault="004128BB" w:rsidP="00CA4A14">
            <w:pPr>
              <w:pStyle w:val="TableText"/>
              <w:keepLines/>
              <w:tabs>
                <w:tab w:val="left" w:pos="175"/>
              </w:tabs>
            </w:pPr>
            <w:r>
              <w:t>30 months</w:t>
            </w:r>
            <w:r w:rsidRPr="00865D84">
              <w:t>, n (%)</w:t>
            </w:r>
            <w:r>
              <w:rPr>
                <w:vertAlign w:val="superscript"/>
              </w:rPr>
              <w:t>a</w:t>
            </w:r>
            <w:r>
              <w:t xml:space="preserve"> </w:t>
            </w:r>
          </w:p>
        </w:tc>
        <w:tc>
          <w:tcPr>
            <w:tcW w:w="875" w:type="pct"/>
            <w:vAlign w:val="center"/>
          </w:tcPr>
          <w:p w14:paraId="44488D34" w14:textId="77777777" w:rsidR="004128BB" w:rsidRPr="001C1DAB" w:rsidRDefault="004128BB" w:rsidP="00CA4A14">
            <w:pPr>
              <w:pStyle w:val="TableText"/>
              <w:keepLines/>
              <w:jc w:val="center"/>
              <w:rPr>
                <w:szCs w:val="20"/>
              </w:rPr>
            </w:pPr>
            <w:r>
              <w:rPr>
                <w:szCs w:val="20"/>
              </w:rPr>
              <w:t>64 (72.7%)</w:t>
            </w:r>
          </w:p>
        </w:tc>
        <w:tc>
          <w:tcPr>
            <w:tcW w:w="875" w:type="pct"/>
            <w:vAlign w:val="center"/>
          </w:tcPr>
          <w:p w14:paraId="2E5DE97F" w14:textId="77777777" w:rsidR="004128BB" w:rsidRPr="001C1DAB" w:rsidRDefault="004128BB" w:rsidP="00CA4A14">
            <w:pPr>
              <w:pStyle w:val="TableText"/>
              <w:keepLines/>
              <w:jc w:val="center"/>
              <w:rPr>
                <w:szCs w:val="20"/>
              </w:rPr>
            </w:pPr>
            <w:r>
              <w:rPr>
                <w:szCs w:val="20"/>
              </w:rPr>
              <w:t>122 (69.3%)</w:t>
            </w:r>
          </w:p>
        </w:tc>
        <w:tc>
          <w:tcPr>
            <w:tcW w:w="875" w:type="pct"/>
            <w:vAlign w:val="center"/>
          </w:tcPr>
          <w:p w14:paraId="63D36C4D" w14:textId="77777777" w:rsidR="004128BB" w:rsidRPr="001C1DAB" w:rsidRDefault="004128BB" w:rsidP="00CA4A14">
            <w:pPr>
              <w:pStyle w:val="TableText"/>
              <w:keepLines/>
              <w:jc w:val="center"/>
              <w:rPr>
                <w:szCs w:val="20"/>
              </w:rPr>
            </w:pPr>
            <w:r w:rsidRPr="00865D84">
              <w:t>186 (70.5</w:t>
            </w:r>
            <w:r>
              <w:t>%</w:t>
            </w:r>
            <w:r w:rsidRPr="00865D84">
              <w:t>)</w:t>
            </w:r>
          </w:p>
        </w:tc>
        <w:tc>
          <w:tcPr>
            <w:tcW w:w="875" w:type="pct"/>
            <w:vAlign w:val="center"/>
          </w:tcPr>
          <w:p w14:paraId="40EEA488" w14:textId="77777777" w:rsidR="004128BB" w:rsidRPr="001C1DAB" w:rsidRDefault="004128BB" w:rsidP="00CA4A14">
            <w:pPr>
              <w:pStyle w:val="TableText"/>
              <w:keepLines/>
              <w:jc w:val="center"/>
              <w:rPr>
                <w:szCs w:val="20"/>
              </w:rPr>
            </w:pPr>
            <w:r w:rsidRPr="00865D84">
              <w:t>101 (57.1</w:t>
            </w:r>
            <w:r>
              <w:t>%</w:t>
            </w:r>
            <w:r w:rsidRPr="00865D84">
              <w:t>)</w:t>
            </w:r>
          </w:p>
        </w:tc>
      </w:tr>
      <w:tr w:rsidR="004128BB" w:rsidRPr="00B1011F" w14:paraId="04FC57E8" w14:textId="77777777" w:rsidTr="004631A4">
        <w:tc>
          <w:tcPr>
            <w:tcW w:w="1499" w:type="pct"/>
            <w:vAlign w:val="center"/>
          </w:tcPr>
          <w:p w14:paraId="6CB0A64C" w14:textId="77777777" w:rsidR="004128BB" w:rsidRPr="002F7E4F" w:rsidRDefault="004128BB" w:rsidP="00CA4A14">
            <w:pPr>
              <w:pStyle w:val="TableText"/>
              <w:keepLines/>
              <w:rPr>
                <w:szCs w:val="20"/>
                <w:vertAlign w:val="superscript"/>
              </w:rPr>
            </w:pPr>
            <w:r>
              <w:t>Average number/patient/year of cardiovascular hospitalisations at 30 months</w:t>
            </w:r>
            <w:r>
              <w:rPr>
                <w:vertAlign w:val="superscript"/>
              </w:rPr>
              <w:t>b</w:t>
            </w:r>
          </w:p>
        </w:tc>
        <w:tc>
          <w:tcPr>
            <w:tcW w:w="875" w:type="pct"/>
            <w:vAlign w:val="center"/>
          </w:tcPr>
          <w:p w14:paraId="4FE89770" w14:textId="77777777" w:rsidR="004128BB" w:rsidRPr="00482237" w:rsidRDefault="004128BB" w:rsidP="00CA4A14">
            <w:pPr>
              <w:pStyle w:val="TableText"/>
              <w:keepLines/>
              <w:jc w:val="center"/>
            </w:pPr>
            <w:r w:rsidRPr="00482237">
              <w:t>0.218</w:t>
            </w:r>
          </w:p>
        </w:tc>
        <w:tc>
          <w:tcPr>
            <w:tcW w:w="875" w:type="pct"/>
            <w:vAlign w:val="center"/>
          </w:tcPr>
          <w:p w14:paraId="290677D5" w14:textId="77777777" w:rsidR="004128BB" w:rsidRPr="00482237" w:rsidRDefault="004128BB" w:rsidP="00CA4A14">
            <w:pPr>
              <w:pStyle w:val="TableText"/>
              <w:keepLines/>
              <w:jc w:val="center"/>
            </w:pPr>
            <w:r w:rsidRPr="00482237">
              <w:t>0.339</w:t>
            </w:r>
          </w:p>
        </w:tc>
        <w:tc>
          <w:tcPr>
            <w:tcW w:w="875" w:type="pct"/>
            <w:vAlign w:val="center"/>
          </w:tcPr>
          <w:p w14:paraId="782FFF8A" w14:textId="77777777" w:rsidR="004128BB" w:rsidRPr="001C1DAB" w:rsidRDefault="004128BB" w:rsidP="00CA4A14">
            <w:pPr>
              <w:pStyle w:val="TableText"/>
              <w:keepLines/>
              <w:jc w:val="center"/>
              <w:rPr>
                <w:szCs w:val="20"/>
              </w:rPr>
            </w:pPr>
            <w:r>
              <w:t>0.297</w:t>
            </w:r>
          </w:p>
        </w:tc>
        <w:tc>
          <w:tcPr>
            <w:tcW w:w="875" w:type="pct"/>
            <w:vAlign w:val="center"/>
          </w:tcPr>
          <w:p w14:paraId="646B572D" w14:textId="77777777" w:rsidR="004128BB" w:rsidRPr="001C1DAB" w:rsidRDefault="004128BB" w:rsidP="00CA4A14">
            <w:pPr>
              <w:pStyle w:val="TableText"/>
              <w:keepLines/>
              <w:jc w:val="center"/>
              <w:rPr>
                <w:szCs w:val="20"/>
              </w:rPr>
            </w:pPr>
            <w:r>
              <w:t>0.455</w:t>
            </w:r>
          </w:p>
        </w:tc>
      </w:tr>
      <w:tr w:rsidR="004128BB" w:rsidRPr="00B1011F" w14:paraId="7FB2D39D" w14:textId="77777777" w:rsidTr="004631A4">
        <w:tc>
          <w:tcPr>
            <w:tcW w:w="1499" w:type="pct"/>
            <w:vAlign w:val="center"/>
          </w:tcPr>
          <w:p w14:paraId="5FC50ABD" w14:textId="77777777" w:rsidR="004128BB" w:rsidRPr="001C1DAB" w:rsidRDefault="004128BB" w:rsidP="00CA4A14">
            <w:pPr>
              <w:pStyle w:val="TableText"/>
              <w:keepLines/>
              <w:rPr>
                <w:szCs w:val="20"/>
              </w:rPr>
            </w:pPr>
            <w:r w:rsidRPr="00630D19">
              <w:rPr>
                <w:lang w:val="de-DE"/>
              </w:rPr>
              <w:t xml:space="preserve">Finkelstein-Schoenfeld </w:t>
            </w:r>
            <w:r>
              <w:rPr>
                <w:lang w:val="de-DE"/>
              </w:rPr>
              <w:t>analysis versus placebo (</w:t>
            </w:r>
            <w:r w:rsidRPr="00630D19">
              <w:rPr>
                <w:lang w:val="de-DE"/>
              </w:rPr>
              <w:t>p-value</w:t>
            </w:r>
            <w:r>
              <w:rPr>
                <w:lang w:val="de-DE"/>
              </w:rPr>
              <w:t>)</w:t>
            </w:r>
            <w:r w:rsidRPr="00630D19">
              <w:rPr>
                <w:lang w:val="de-DE"/>
              </w:rPr>
              <w:t xml:space="preserve"> </w:t>
            </w:r>
          </w:p>
        </w:tc>
        <w:tc>
          <w:tcPr>
            <w:tcW w:w="875" w:type="pct"/>
            <w:vAlign w:val="center"/>
          </w:tcPr>
          <w:p w14:paraId="2539DBFD" w14:textId="77777777" w:rsidR="004128BB" w:rsidRPr="00482237" w:rsidRDefault="004128BB" w:rsidP="00CA4A14">
            <w:pPr>
              <w:pStyle w:val="TableText"/>
              <w:keepLines/>
              <w:jc w:val="center"/>
              <w:rPr>
                <w:b/>
              </w:rPr>
            </w:pPr>
            <w:r>
              <w:rPr>
                <w:b/>
              </w:rPr>
              <w:t xml:space="preserve">p = </w:t>
            </w:r>
            <w:r w:rsidRPr="00482237">
              <w:rPr>
                <w:b/>
              </w:rPr>
              <w:t>0.0048</w:t>
            </w:r>
          </w:p>
        </w:tc>
        <w:tc>
          <w:tcPr>
            <w:tcW w:w="875" w:type="pct"/>
            <w:vAlign w:val="center"/>
          </w:tcPr>
          <w:p w14:paraId="37B93EE5" w14:textId="77777777" w:rsidR="004128BB" w:rsidRPr="00482237" w:rsidRDefault="004128BB" w:rsidP="00CA4A14">
            <w:pPr>
              <w:pStyle w:val="TableText"/>
              <w:keepLines/>
              <w:jc w:val="center"/>
              <w:rPr>
                <w:b/>
              </w:rPr>
            </w:pPr>
            <w:r>
              <w:rPr>
                <w:b/>
              </w:rPr>
              <w:t xml:space="preserve">p = </w:t>
            </w:r>
            <w:r w:rsidRPr="00482237">
              <w:rPr>
                <w:b/>
              </w:rPr>
              <w:t>0.0030</w:t>
            </w:r>
          </w:p>
        </w:tc>
        <w:tc>
          <w:tcPr>
            <w:tcW w:w="875" w:type="pct"/>
            <w:vAlign w:val="center"/>
          </w:tcPr>
          <w:p w14:paraId="58AEA3B1" w14:textId="77777777" w:rsidR="004128BB" w:rsidRPr="00AF6D68" w:rsidRDefault="004128BB" w:rsidP="00CA4A14">
            <w:pPr>
              <w:pStyle w:val="TableText"/>
              <w:keepLines/>
              <w:jc w:val="center"/>
              <w:rPr>
                <w:b/>
                <w:szCs w:val="20"/>
              </w:rPr>
            </w:pPr>
            <w:r>
              <w:rPr>
                <w:b/>
              </w:rPr>
              <w:t xml:space="preserve">  p = </w:t>
            </w:r>
            <w:r w:rsidRPr="00AF6D68">
              <w:rPr>
                <w:b/>
              </w:rPr>
              <w:t>0.0006</w:t>
            </w:r>
          </w:p>
        </w:tc>
        <w:tc>
          <w:tcPr>
            <w:tcW w:w="875" w:type="pct"/>
            <w:vAlign w:val="center"/>
          </w:tcPr>
          <w:p w14:paraId="3ECAA899" w14:textId="77777777" w:rsidR="004128BB" w:rsidRPr="00AF6D68" w:rsidRDefault="004128BB" w:rsidP="00CA4A14">
            <w:pPr>
              <w:pStyle w:val="TableText"/>
              <w:keepLines/>
              <w:jc w:val="center"/>
              <w:rPr>
                <w:b/>
                <w:szCs w:val="20"/>
              </w:rPr>
            </w:pPr>
            <w:r>
              <w:rPr>
                <w:b/>
                <w:szCs w:val="20"/>
              </w:rPr>
              <w:t>-</w:t>
            </w:r>
          </w:p>
        </w:tc>
      </w:tr>
    </w:tbl>
    <w:p w14:paraId="0A6D2CAB" w14:textId="24EC4931" w:rsidR="004128BB" w:rsidRDefault="004128BB" w:rsidP="00CA4A14">
      <w:pPr>
        <w:pStyle w:val="COMTablefooter"/>
        <w:keepNext/>
        <w:keepLines/>
      </w:pPr>
      <w:r>
        <w:t xml:space="preserve">Source: Table 2.5.1, </w:t>
      </w:r>
      <w:r w:rsidR="00886855">
        <w:t>p</w:t>
      </w:r>
      <w:r>
        <w:t>77 of the July 2020 submission. Statistically significant results in bold.</w:t>
      </w:r>
    </w:p>
    <w:p w14:paraId="19574EB3" w14:textId="77777777" w:rsidR="004128BB" w:rsidRDefault="004128BB" w:rsidP="00CA4A14">
      <w:pPr>
        <w:pStyle w:val="COMTablefooter"/>
        <w:keepNext/>
        <w:keepLines/>
      </w:pPr>
      <w:r>
        <w:t>Abbreviations: ITT, intention-to-treat.</w:t>
      </w:r>
    </w:p>
    <w:p w14:paraId="4572F3CE" w14:textId="77777777" w:rsidR="004128BB" w:rsidRDefault="004128BB" w:rsidP="00CA4A14">
      <w:pPr>
        <w:pStyle w:val="COMTablefooter"/>
        <w:keepNext/>
        <w:keepLines/>
      </w:pPr>
      <w:r>
        <w:rPr>
          <w:vertAlign w:val="superscript"/>
        </w:rPr>
        <w:t>a</w:t>
      </w:r>
      <w:r>
        <w:t xml:space="preserve"> Heart transplant or implantation of a cardiac mechanical assist device handled as death.</w:t>
      </w:r>
    </w:p>
    <w:p w14:paraId="66000A50" w14:textId="77777777" w:rsidR="004128BB" w:rsidRPr="002F7E4F" w:rsidRDefault="004128BB" w:rsidP="004128BB">
      <w:pPr>
        <w:pStyle w:val="COMTablefooter"/>
        <w:rPr>
          <w:sz w:val="20"/>
        </w:rPr>
      </w:pPr>
      <w:r w:rsidRPr="007F799B">
        <w:rPr>
          <w:vertAlign w:val="superscript"/>
        </w:rPr>
        <w:t>b</w:t>
      </w:r>
      <w:r>
        <w:t xml:space="preserve"> </w:t>
      </w:r>
      <w:r w:rsidRPr="007F799B">
        <w:t>Calculated</w:t>
      </w:r>
      <w:r>
        <w:t xml:space="preserve"> as [patient’s number of hospitalisations] / [study duration in years] among those alive at 30 months. </w:t>
      </w:r>
    </w:p>
    <w:p w14:paraId="2A988F28" w14:textId="77777777" w:rsidR="004128BB" w:rsidRPr="00A25D8F" w:rsidRDefault="004128BB" w:rsidP="004128BB">
      <w:pPr>
        <w:pStyle w:val="COMexecsumnumberedpara"/>
      </w:pPr>
      <w:r>
        <w:t>T</w:t>
      </w:r>
      <w:r w:rsidRPr="00A25D8F">
        <w:t xml:space="preserve">he Finkelstein-Schoenfeld prioritised pairwise comparison of all-cause mortality and </w:t>
      </w:r>
      <w:r>
        <w:t>cardiovascular</w:t>
      </w:r>
      <w:r w:rsidRPr="00A25D8F">
        <w:t xml:space="preserve"> hospitalisations showed statistically significant results in favour of tafamidis 20 mg, tafamidis 80 mg and the pooled tafamidis treatment arm, versus placebo, suggesting a statistically significant difference between tafamidis and placebo in at least one or both outcomes. The average number of </w:t>
      </w:r>
      <w:r>
        <w:t>CV</w:t>
      </w:r>
      <w:r w:rsidRPr="00A25D8F">
        <w:t>-related hospitalisations per patient per year amongst those alive at 30 months was lowest in patients treated with tafamidis 20 mg (0.218), compared to tafamidis 80 mg (0.339) and placebo (0.455). Similarly, the proportion of patients alive at 30 months was larger in the tafamidis 20 mg treatment arm (72.7%) compared to tafamidis 80 mg (69.3%) and placebo (57.1%).</w:t>
      </w:r>
    </w:p>
    <w:p w14:paraId="39B8C12E" w14:textId="70DF8577" w:rsidR="004128BB" w:rsidRPr="00054C24" w:rsidRDefault="004128BB" w:rsidP="004128BB">
      <w:pPr>
        <w:pStyle w:val="ExecSumBodyText"/>
        <w:numPr>
          <w:ilvl w:val="1"/>
          <w:numId w:val="1"/>
        </w:numPr>
        <w:rPr>
          <w:iCs/>
        </w:rPr>
      </w:pPr>
      <w:r w:rsidRPr="00054C24">
        <w:rPr>
          <w:iCs/>
        </w:rPr>
        <w:t xml:space="preserve">The </w:t>
      </w:r>
      <w:r w:rsidRPr="00A25D8F">
        <w:t xml:space="preserve">Finkelstein-Schoenfeld </w:t>
      </w:r>
      <w:r w:rsidRPr="00054C24">
        <w:rPr>
          <w:iCs/>
        </w:rPr>
        <w:t xml:space="preserve">results are consistent with those for individual outcomes. Tafamidis 80 mg demonstrated statistically significant reductions in both all-cause mortality </w:t>
      </w:r>
      <w:r>
        <w:rPr>
          <w:iCs/>
        </w:rPr>
        <w:t xml:space="preserve">(HR 0.690, 95% CI 0.487, 0.979) </w:t>
      </w:r>
      <w:r w:rsidRPr="00054C24">
        <w:rPr>
          <w:iCs/>
        </w:rPr>
        <w:t xml:space="preserve">and </w:t>
      </w:r>
      <w:r>
        <w:rPr>
          <w:iCs/>
        </w:rPr>
        <w:t>cardiovascular</w:t>
      </w:r>
      <w:r w:rsidRPr="00054C24">
        <w:rPr>
          <w:iCs/>
        </w:rPr>
        <w:t xml:space="preserve"> hospitalisations </w:t>
      </w:r>
      <w:r>
        <w:rPr>
          <w:iCs/>
        </w:rPr>
        <w:t xml:space="preserve">(RR 0.699; 95% CI 0.572, 0.855) </w:t>
      </w:r>
      <w:r w:rsidRPr="00054C24">
        <w:rPr>
          <w:iCs/>
        </w:rPr>
        <w:t>compared to placebo.</w:t>
      </w:r>
      <w:r>
        <w:rPr>
          <w:iCs/>
        </w:rPr>
        <w:t xml:space="preserve"> </w:t>
      </w:r>
      <w:r w:rsidRPr="00054C24">
        <w:rPr>
          <w:iCs/>
        </w:rPr>
        <w:t xml:space="preserve">Results for tafamidis 20 mg showed </w:t>
      </w:r>
      <w:r w:rsidR="00957838" w:rsidRPr="00D24899">
        <w:rPr>
          <w:iCs/>
        </w:rPr>
        <w:t>a trend but</w:t>
      </w:r>
      <w:r w:rsidR="00957838" w:rsidRPr="009A4786">
        <w:rPr>
          <w:i/>
        </w:rPr>
        <w:t xml:space="preserve"> </w:t>
      </w:r>
      <w:r w:rsidRPr="00054C24">
        <w:rPr>
          <w:iCs/>
        </w:rPr>
        <w:t>no statistically significant difference in all-cause mortality</w:t>
      </w:r>
      <w:r>
        <w:rPr>
          <w:iCs/>
        </w:rPr>
        <w:t xml:space="preserve"> (HR 0.715; 95% CI 0.450, 1.137)</w:t>
      </w:r>
      <w:r w:rsidRPr="00054C24">
        <w:rPr>
          <w:iCs/>
        </w:rPr>
        <w:t xml:space="preserve">, but a statistically significant reduction in </w:t>
      </w:r>
      <w:r>
        <w:rPr>
          <w:iCs/>
        </w:rPr>
        <w:t>cardiovascular</w:t>
      </w:r>
      <w:r w:rsidRPr="00054C24">
        <w:rPr>
          <w:iCs/>
        </w:rPr>
        <w:t xml:space="preserve"> hospitalisations </w:t>
      </w:r>
      <w:r>
        <w:rPr>
          <w:iCs/>
        </w:rPr>
        <w:t xml:space="preserve">(RR 0.661; 95% CI 0.511, 0.856) </w:t>
      </w:r>
      <w:r w:rsidRPr="00054C24">
        <w:rPr>
          <w:iCs/>
        </w:rPr>
        <w:t xml:space="preserve">compared to placebo. </w:t>
      </w:r>
    </w:p>
    <w:p w14:paraId="7FD7DEC5" w14:textId="7EFDFEC5" w:rsidR="004128BB" w:rsidRPr="009B152B" w:rsidRDefault="004128BB" w:rsidP="004128BB">
      <w:pPr>
        <w:pStyle w:val="ExecSumBodyText"/>
        <w:numPr>
          <w:ilvl w:val="1"/>
          <w:numId w:val="1"/>
        </w:numPr>
      </w:pPr>
      <w:r w:rsidRPr="00A25D8F">
        <w:t xml:space="preserve">For the </w:t>
      </w:r>
      <w:r>
        <w:t>6-minute walk test (</w:t>
      </w:r>
      <w:r w:rsidRPr="00A25D8F">
        <w:t>6MWT</w:t>
      </w:r>
      <w:r>
        <w:t>)</w:t>
      </w:r>
      <w:r w:rsidRPr="00A25D8F">
        <w:t xml:space="preserve">, tafamidis was associated with statistically significantly smaller decreases in distance walked from baseline to 30 months, compared to placebo). </w:t>
      </w:r>
      <w:r w:rsidRPr="009B152B">
        <w:t>However, there were larger proportions of placebo patients with incomplete or not properly administered 6MWTs in the ATTR-ACT trial and differences between treatment arms may not reflect differences in patient functional capacity.</w:t>
      </w:r>
    </w:p>
    <w:p w14:paraId="178A1C56" w14:textId="6DCAB6EC" w:rsidR="004128BB" w:rsidRDefault="004128BB" w:rsidP="004128BB">
      <w:pPr>
        <w:pStyle w:val="ExecSumBodyText"/>
        <w:numPr>
          <w:ilvl w:val="1"/>
          <w:numId w:val="1"/>
        </w:numPr>
      </w:pPr>
      <w:r w:rsidRPr="00A25D8F">
        <w:t>Patients treated with tafamidis reported statistically significantly smaller mean reductions in the Kansas City Cardiomyopathy Questionnaire-overall score (KCCQ-OS) compared to placebo. However, scores were not consistent across all domains, and mean domain scores reported for symptom-stability and self-efficacy were not statistically significant. Similarly, patients treated with tafamidis reported smaller mean reductions in EQ-5D-3L compared to placebo.</w:t>
      </w:r>
    </w:p>
    <w:p w14:paraId="286DD0F5" w14:textId="65D3A7EC" w:rsidR="004128BB" w:rsidRDefault="004128BB" w:rsidP="004128BB">
      <w:pPr>
        <w:pStyle w:val="ExecSumBodyText"/>
        <w:numPr>
          <w:ilvl w:val="1"/>
          <w:numId w:val="1"/>
        </w:numPr>
      </w:pPr>
      <w:r w:rsidRPr="00B10B95">
        <w:t xml:space="preserve">The resubmission presented subgroup analyses by pre-specified subgroups stratified at randomisation of the ATTR-ACT trial (NYHA classification; TTR genotype). Tests for treatment effect interaction indicated that NYHA class is a treatment effect modifier for cardiovascular hospitalisation, with results indicating an increased risk of hospitalisation in patients with NYHA class III treated with tafamidis versus placebo. </w:t>
      </w:r>
      <w:r w:rsidR="00F35810">
        <w:t>T</w:t>
      </w:r>
      <w:r w:rsidRPr="00B10B95">
        <w:t>here was no statistically significant difference in all-cause mortality or cardiovascular mortality between patients treated with tafamidis versus placebo, in the NYHA III subgroup.</w:t>
      </w:r>
      <w:r>
        <w:t xml:space="preserve"> Additional </w:t>
      </w:r>
      <w:r w:rsidRPr="00A76581">
        <w:rPr>
          <w:i/>
          <w:iCs/>
        </w:rPr>
        <w:t>post hoc</w:t>
      </w:r>
      <w:r>
        <w:t xml:space="preserve"> subgroup analyses showed a consistent pattern of </w:t>
      </w:r>
      <w:r w:rsidRPr="0046360F">
        <w:t>decreased tafamidis treatment effect with increasing disease severity stratified by NYHA class and 6MWT quartiles</w:t>
      </w:r>
      <w:r>
        <w:t>.</w:t>
      </w:r>
      <w:r w:rsidR="0068459C">
        <w:t xml:space="preserve"> </w:t>
      </w:r>
      <w:r w:rsidR="0068459C" w:rsidRPr="001F4A02">
        <w:t>The ESC considered this are</w:t>
      </w:r>
      <w:r w:rsidR="00957838" w:rsidRPr="001F4A02">
        <w:t>a</w:t>
      </w:r>
      <w:r w:rsidR="0068459C" w:rsidRPr="001F4A02">
        <w:t xml:space="preserve"> of uncertainty was appropriately addressed with the revised PBS restrictions proposing to exclude patients with NYHA class III.</w:t>
      </w:r>
      <w:r w:rsidR="0068459C">
        <w:t xml:space="preserve"> </w:t>
      </w:r>
    </w:p>
    <w:p w14:paraId="544EDE91" w14:textId="5427112F" w:rsidR="004128BB" w:rsidRDefault="004128BB" w:rsidP="004128BB">
      <w:pPr>
        <w:pStyle w:val="COMexecsumnumberedpara"/>
      </w:pPr>
      <w:r w:rsidRPr="00352C84">
        <w:rPr>
          <w:i/>
          <w:iCs/>
        </w:rPr>
        <w:t>P</w:t>
      </w:r>
      <w:r w:rsidRPr="003E50E3">
        <w:rPr>
          <w:i/>
          <w:iCs/>
        </w:rPr>
        <w:t>ost hoc</w:t>
      </w:r>
      <w:r w:rsidRPr="003E50E3">
        <w:t xml:space="preserve"> analys</w:t>
      </w:r>
      <w:r>
        <w:t>e</w:t>
      </w:r>
      <w:r w:rsidRPr="003E50E3">
        <w:t>s of the ATTR-ACT and B3461045 long term extension data for all-cause mortality by NYHA baseline class (NYHA class I/II and III) for the August</w:t>
      </w:r>
      <w:r w:rsidR="00CA4A14">
        <w:t> </w:t>
      </w:r>
      <w:r w:rsidRPr="003E50E3">
        <w:t xml:space="preserve">2019 and March 2020 data cuts (previously considered by the PBAC at the March </w:t>
      </w:r>
      <w:r w:rsidR="00F35810">
        <w:t xml:space="preserve">2021 and September </w:t>
      </w:r>
      <w:r w:rsidRPr="003E50E3">
        <w:t>2021 meeting</w:t>
      </w:r>
      <w:r w:rsidR="00F35810">
        <w:t>s</w:t>
      </w:r>
      <w:r w:rsidRPr="003E50E3">
        <w:t>) and updated August 2021 data cut</w:t>
      </w:r>
      <w:r>
        <w:t xml:space="preserve"> showed statistically significant reduction in all-cause mortality for patients with baseline NYHA class I/II in the tafamidis 80/61 mg treatment arm </w:t>
      </w:r>
      <w:r w:rsidR="001348AD">
        <w:t>compared to the placebo/tafamidis arm (HR: 0.502; 95%CI: 0.346, 0.727, August 2021 data cut).</w:t>
      </w:r>
    </w:p>
    <w:p w14:paraId="70BD4FB8" w14:textId="006C594F" w:rsidR="004128BB" w:rsidRDefault="004128BB" w:rsidP="004128BB">
      <w:pPr>
        <w:pStyle w:val="COMexecsumnumberedpara"/>
        <w:rPr>
          <w:rFonts w:eastAsia="OTNEJMQuadraat"/>
        </w:rPr>
      </w:pPr>
      <w:r w:rsidRPr="009B152B">
        <w:rPr>
          <w:rFonts w:eastAsia="OTNEJMQuadraat"/>
        </w:rPr>
        <w:t xml:space="preserve">The tafamidis 80/61 mg treatment arm excluded patients randomised to tafamidis 20 mg, while the placebo/tafamidis treatment arm included patients switching to tafamidis 20 mg or 80 mg from placebo. The flow of patients through the B3461045 study was not adequately reported, and it is unclear whether patients in the placebo/tafamidis treatment arms received </w:t>
      </w:r>
      <w:r w:rsidRPr="009B152B">
        <w:rPr>
          <w:rFonts w:eastAsia="OTNEJMQuadraat" w:cs="Calibri"/>
        </w:rPr>
        <w:t>≥</w:t>
      </w:r>
      <w:r w:rsidRPr="009B152B">
        <w:rPr>
          <w:rFonts w:eastAsia="OTNEJMQuadraat"/>
        </w:rPr>
        <w:t xml:space="preserve">18 months of treatment, </w:t>
      </w:r>
      <w:r w:rsidR="0015034C" w:rsidRPr="009B152B">
        <w:rPr>
          <w:rFonts w:eastAsia="OTNEJMQuadraat"/>
        </w:rPr>
        <w:t xml:space="preserve">which was </w:t>
      </w:r>
      <w:r w:rsidRPr="009B152B">
        <w:rPr>
          <w:rFonts w:eastAsia="OTNEJMQuadraat"/>
        </w:rPr>
        <w:t xml:space="preserve">the duration of tafamidis treatment before differences in all-cause mortality were observed in Kaplan-Meier plots of all-cause mortality in the ATTR-ACT trial. Given the differences in mixed tafamidis dose intensity, duration of treatment and drug exposure, the results of the </w:t>
      </w:r>
      <w:r w:rsidRPr="002B16B1">
        <w:rPr>
          <w:rFonts w:eastAsia="OTNEJMQuadraat"/>
          <w:i/>
          <w:iCs/>
        </w:rPr>
        <w:t>post hoc</w:t>
      </w:r>
      <w:r w:rsidRPr="009B152B">
        <w:rPr>
          <w:rFonts w:eastAsia="OTNEJMQuadraat"/>
        </w:rPr>
        <w:t xml:space="preserve"> subgroup analyses should be interpreted with caution.</w:t>
      </w:r>
    </w:p>
    <w:p w14:paraId="6521E821" w14:textId="7D276F89" w:rsidR="001A33F3" w:rsidRPr="001F4A02" w:rsidRDefault="001A33F3" w:rsidP="004128BB">
      <w:pPr>
        <w:pStyle w:val="COMexecsumnumberedpara"/>
        <w:rPr>
          <w:rFonts w:eastAsia="OTNEJMQuadraat"/>
        </w:rPr>
      </w:pPr>
      <w:r w:rsidRPr="001F4A02">
        <w:rPr>
          <w:rFonts w:eastAsia="OTNEJMQuadraat"/>
        </w:rPr>
        <w:t xml:space="preserve">The ESC noted that </w:t>
      </w:r>
      <w:r w:rsidR="003839A3" w:rsidRPr="001F4A02">
        <w:rPr>
          <w:rFonts w:eastAsia="OTNEJMQuadraat"/>
        </w:rPr>
        <w:t xml:space="preserve">longer-term data from the extension study provided in the submission </w:t>
      </w:r>
      <w:r w:rsidR="003D7EBC" w:rsidRPr="001F4A02">
        <w:rPr>
          <w:rFonts w:eastAsia="OTNEJMQuadraat"/>
        </w:rPr>
        <w:t xml:space="preserve">appeared to support a small superiority in </w:t>
      </w:r>
      <w:r w:rsidR="003839A3" w:rsidRPr="001F4A02">
        <w:rPr>
          <w:rFonts w:eastAsia="OTNEJMQuadraat"/>
        </w:rPr>
        <w:t xml:space="preserve">efficacy of the tafamidis meglumine 80 mg dose over the 20 mg dose. </w:t>
      </w:r>
    </w:p>
    <w:p w14:paraId="2ED6BB3E" w14:textId="77777777" w:rsidR="00840557" w:rsidRPr="00F02C3F" w:rsidRDefault="00840557" w:rsidP="00994F36">
      <w:pPr>
        <w:pStyle w:val="COMH4"/>
      </w:pPr>
      <w:r w:rsidRPr="00F02C3F">
        <w:t>Nonrandomised studies</w:t>
      </w:r>
    </w:p>
    <w:p w14:paraId="7ED9F52A" w14:textId="0AF29257" w:rsidR="00840557" w:rsidRPr="009B152B" w:rsidRDefault="00840557" w:rsidP="00840557">
      <w:pPr>
        <w:pStyle w:val="COMexecsumnumberedpara"/>
      </w:pPr>
      <w:r>
        <w:t>The resubmission presented the results of 11 nonrandomised studies to provide</w:t>
      </w:r>
      <w:r w:rsidRPr="007D232E">
        <w:t xml:space="preserve"> evidence of the observed benefit of tafamidis in clinical practice, including measures </w:t>
      </w:r>
      <w:r>
        <w:t>of</w:t>
      </w:r>
      <w:r w:rsidRPr="007D232E">
        <w:t xml:space="preserve"> functional capacity, cardiovascular markers, cardiovascular outcomes and mortality as well as tafamidis usage patterns and adherence.</w:t>
      </w:r>
      <w:r w:rsidR="00F35810">
        <w:t xml:space="preserve"> </w:t>
      </w:r>
      <w:r w:rsidR="00F35810" w:rsidRPr="009B152B">
        <w:t>A literature search for the nonrandomised studies was not presented and details of how the studies were selected were not provided.</w:t>
      </w:r>
    </w:p>
    <w:p w14:paraId="0A9F3C94" w14:textId="69B48326" w:rsidR="00840557" w:rsidRPr="009B152B" w:rsidRDefault="00840557" w:rsidP="00840557">
      <w:pPr>
        <w:pStyle w:val="COMexecsumnumberedpara"/>
      </w:pPr>
      <w:r>
        <w:t xml:space="preserve">The results of the nonrandomised studies generally showed that patients treated with tafamidis experienced some benefit compared to patients not treated with tafamidis. </w:t>
      </w:r>
      <w:r w:rsidRPr="009B152B">
        <w:t xml:space="preserve">However, given the lack of a control group in the single arm studies (Fx1B-201/303), the allocation bias strongly favouring tafamidis identified in all studies reporting comparative analyses (Amaka 2022, Bezard 2021, Hussain 2022, Ochi 2022, Sarkar 2022), the lack of reporting or use of the lower tafamidis dose strength in </w:t>
      </w:r>
      <w:r w:rsidR="0015034C" w:rsidRPr="009B152B">
        <w:t xml:space="preserve">7 </w:t>
      </w:r>
      <w:r w:rsidRPr="009B152B">
        <w:t xml:space="preserve">studies (Fx1B-201/303, Amaka 2022, Bezard 2021, Hussain 2022, Korczyk 2022, Sarkar 2022), and the lack of sufficient data for evaluation in </w:t>
      </w:r>
      <w:r w:rsidR="0015034C" w:rsidRPr="009B152B">
        <w:t xml:space="preserve">2 </w:t>
      </w:r>
      <w:r w:rsidRPr="009B152B">
        <w:t xml:space="preserve">studies (Korczyk 2022, Rettl 2021), the results of the nonrandomised studies </w:t>
      </w:r>
      <w:r w:rsidR="003D7EBC">
        <w:t xml:space="preserve">should be interpreted with caution.  </w:t>
      </w:r>
      <w:r w:rsidR="003D7EBC" w:rsidRPr="001F4A02">
        <w:t xml:space="preserve">The ESC </w:t>
      </w:r>
      <w:r w:rsidR="009A4786" w:rsidRPr="001F4A02">
        <w:t>considered</w:t>
      </w:r>
      <w:r w:rsidR="003D7EBC" w:rsidRPr="001F4A02">
        <w:t xml:space="preserve"> that these nonrandomised studies </w:t>
      </w:r>
      <w:r w:rsidRPr="001F4A02">
        <w:t xml:space="preserve">may </w:t>
      </w:r>
      <w:r w:rsidR="003D7EBC" w:rsidRPr="001F4A02">
        <w:t xml:space="preserve">be unreliable and </w:t>
      </w:r>
      <w:r w:rsidRPr="001F4A02">
        <w:t>not applicable to the eligible Australian population.</w:t>
      </w:r>
      <w:r w:rsidRPr="009B152B">
        <w:t xml:space="preserve"> </w:t>
      </w:r>
    </w:p>
    <w:p w14:paraId="1452C351" w14:textId="0D19F1B0" w:rsidR="00B60939" w:rsidRPr="00C9624D" w:rsidRDefault="00B60939" w:rsidP="00D86231">
      <w:pPr>
        <w:pStyle w:val="COMH2-non-numbered"/>
      </w:pPr>
      <w:bookmarkStart w:id="31" w:name="_Toc22897642"/>
      <w:bookmarkStart w:id="32" w:name="_Toc134118707"/>
      <w:bookmarkStart w:id="33" w:name="_Toc135227613"/>
      <w:r w:rsidRPr="00C9624D">
        <w:t>Comparative harms</w:t>
      </w:r>
      <w:bookmarkEnd w:id="31"/>
      <w:bookmarkEnd w:id="32"/>
      <w:bookmarkEnd w:id="33"/>
    </w:p>
    <w:p w14:paraId="7FC127D5" w14:textId="77777777" w:rsidR="00840557" w:rsidRPr="009B152B" w:rsidRDefault="00840557" w:rsidP="00840557">
      <w:pPr>
        <w:pStyle w:val="COMexecsumnumberedpara"/>
      </w:pPr>
      <w:bookmarkStart w:id="34" w:name="_Toc22897643"/>
      <w:r>
        <w:t>Safety data for the ATTR-ACT trial are unchanged from the previous submissions.</w:t>
      </w:r>
      <w:r w:rsidRPr="004E3261">
        <w:rPr>
          <w:i/>
          <w:iCs/>
        </w:rPr>
        <w:t xml:space="preserve"> </w:t>
      </w:r>
      <w:r w:rsidRPr="009B152B">
        <w:t>Safety outcomes for treatment emergent adverse events in the B3461045 long-term extension study were not reported.</w:t>
      </w:r>
    </w:p>
    <w:p w14:paraId="30221622" w14:textId="71F00D25" w:rsidR="00840557" w:rsidRPr="00A25D8F" w:rsidRDefault="00840557" w:rsidP="00840557">
      <w:pPr>
        <w:pStyle w:val="ExecSumBodyText"/>
        <w:numPr>
          <w:ilvl w:val="1"/>
          <w:numId w:val="1"/>
        </w:numPr>
      </w:pPr>
      <w:r>
        <w:fldChar w:fldCharType="begin" w:fldLock="1"/>
      </w:r>
      <w:r>
        <w:instrText xml:space="preserve"> REF _Ref132562770 \h </w:instrText>
      </w:r>
      <w:r>
        <w:fldChar w:fldCharType="separate"/>
      </w:r>
      <w:r w:rsidR="0015761E" w:rsidRPr="0061435E">
        <w:t xml:space="preserve">Table </w:t>
      </w:r>
      <w:r w:rsidR="0015761E">
        <w:rPr>
          <w:noProof/>
        </w:rPr>
        <w:t>6</w:t>
      </w:r>
      <w:r>
        <w:fldChar w:fldCharType="end"/>
      </w:r>
      <w:r>
        <w:t xml:space="preserve"> </w:t>
      </w:r>
      <w:r w:rsidRPr="00A25D8F">
        <w:t>summarises the proportions of patients experiencing key treatment emergent adverse events in the ATTR-ACT trial.</w:t>
      </w:r>
    </w:p>
    <w:p w14:paraId="26B7E4A7" w14:textId="5E5E56F1" w:rsidR="00840557" w:rsidRPr="00E103EB" w:rsidRDefault="00840557" w:rsidP="00840557">
      <w:pPr>
        <w:pStyle w:val="TableFigureCaption"/>
        <w:rPr>
          <w:szCs w:val="20"/>
        </w:rPr>
      </w:pPr>
      <w:bookmarkStart w:id="35" w:name="_Ref132562770"/>
      <w:r w:rsidRPr="0061435E">
        <w:t xml:space="preserve">Table </w:t>
      </w:r>
      <w:r w:rsidRPr="0061435E">
        <w:fldChar w:fldCharType="begin" w:fldLock="1"/>
      </w:r>
      <w:r w:rsidRPr="0061435E">
        <w:instrText>SEQ Table \* ARABIC</w:instrText>
      </w:r>
      <w:r w:rsidRPr="0061435E">
        <w:fldChar w:fldCharType="separate"/>
      </w:r>
      <w:r w:rsidR="0015761E">
        <w:rPr>
          <w:noProof/>
        </w:rPr>
        <w:t>6</w:t>
      </w:r>
      <w:r w:rsidRPr="0061435E">
        <w:fldChar w:fldCharType="end"/>
      </w:r>
      <w:bookmarkEnd w:id="35"/>
      <w:r w:rsidRPr="0061435E">
        <w:t xml:space="preserve">: Summary of key adverse </w:t>
      </w:r>
      <w:r w:rsidRPr="009A1DAA">
        <w:rPr>
          <w:szCs w:val="20"/>
        </w:rPr>
        <w:t>treatment emergent adverse events in the ATTR-ACT trial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key adverse treatment emergent adverse events in the ATTR-ACT trial (safety population)"/>
      </w:tblPr>
      <w:tblGrid>
        <w:gridCol w:w="2689"/>
        <w:gridCol w:w="1582"/>
        <w:gridCol w:w="1582"/>
        <w:gridCol w:w="1582"/>
        <w:gridCol w:w="1582"/>
      </w:tblGrid>
      <w:tr w:rsidR="00840557" w:rsidRPr="009A1DAA" w14:paraId="79359B2B" w14:textId="77777777" w:rsidTr="004631A4">
        <w:trPr>
          <w:tblHeader/>
        </w:trPr>
        <w:tc>
          <w:tcPr>
            <w:tcW w:w="2689" w:type="dxa"/>
            <w:vAlign w:val="center"/>
          </w:tcPr>
          <w:p w14:paraId="77CBAD63" w14:textId="77777777" w:rsidR="00840557" w:rsidRPr="009A1DAA" w:rsidRDefault="00840557" w:rsidP="004631A4">
            <w:pPr>
              <w:pStyle w:val="Tableheadingrow"/>
              <w:rPr>
                <w:szCs w:val="20"/>
              </w:rPr>
            </w:pPr>
            <w:r w:rsidRPr="009A1DAA">
              <w:rPr>
                <w:szCs w:val="20"/>
              </w:rPr>
              <w:t>Patients with events</w:t>
            </w:r>
          </w:p>
        </w:tc>
        <w:tc>
          <w:tcPr>
            <w:tcW w:w="1582" w:type="dxa"/>
            <w:vAlign w:val="center"/>
          </w:tcPr>
          <w:p w14:paraId="5BC79D2F" w14:textId="77777777" w:rsidR="00840557" w:rsidRPr="009A1DAA" w:rsidRDefault="00840557" w:rsidP="004631A4">
            <w:pPr>
              <w:pStyle w:val="Tableheadingrow"/>
              <w:ind w:left="-95" w:right="-81"/>
              <w:jc w:val="center"/>
              <w:rPr>
                <w:szCs w:val="20"/>
              </w:rPr>
            </w:pPr>
            <w:r w:rsidRPr="009A1DAA">
              <w:rPr>
                <w:szCs w:val="20"/>
              </w:rPr>
              <w:t xml:space="preserve">Tafamidis </w:t>
            </w:r>
          </w:p>
          <w:p w14:paraId="13E5F569" w14:textId="77777777" w:rsidR="00840557" w:rsidRPr="009A1DAA" w:rsidRDefault="00840557" w:rsidP="004631A4">
            <w:pPr>
              <w:pStyle w:val="Tableheadingrow"/>
              <w:jc w:val="center"/>
              <w:rPr>
                <w:szCs w:val="20"/>
              </w:rPr>
            </w:pPr>
            <w:r w:rsidRPr="009A1DAA">
              <w:rPr>
                <w:szCs w:val="20"/>
              </w:rPr>
              <w:t>20 mg</w:t>
            </w:r>
          </w:p>
        </w:tc>
        <w:tc>
          <w:tcPr>
            <w:tcW w:w="1582" w:type="dxa"/>
            <w:vAlign w:val="center"/>
          </w:tcPr>
          <w:p w14:paraId="78046EBE" w14:textId="77777777" w:rsidR="00840557" w:rsidRPr="009A1DAA" w:rsidRDefault="00840557" w:rsidP="004631A4">
            <w:pPr>
              <w:pStyle w:val="Tableheadingrow"/>
              <w:ind w:left="-95" w:right="-81"/>
              <w:jc w:val="center"/>
              <w:rPr>
                <w:szCs w:val="20"/>
              </w:rPr>
            </w:pPr>
            <w:r w:rsidRPr="009A1DAA">
              <w:rPr>
                <w:szCs w:val="20"/>
              </w:rPr>
              <w:t xml:space="preserve">Tafamidis </w:t>
            </w:r>
          </w:p>
          <w:p w14:paraId="5D1978AA" w14:textId="77777777" w:rsidR="00840557" w:rsidRPr="009A1DAA" w:rsidRDefault="00840557" w:rsidP="004631A4">
            <w:pPr>
              <w:pStyle w:val="Tableheadingrow"/>
              <w:jc w:val="center"/>
              <w:rPr>
                <w:szCs w:val="20"/>
              </w:rPr>
            </w:pPr>
            <w:r w:rsidRPr="009A1DAA">
              <w:rPr>
                <w:szCs w:val="20"/>
              </w:rPr>
              <w:t>80 mg</w:t>
            </w:r>
          </w:p>
        </w:tc>
        <w:tc>
          <w:tcPr>
            <w:tcW w:w="1582" w:type="dxa"/>
            <w:vAlign w:val="center"/>
          </w:tcPr>
          <w:p w14:paraId="35370586" w14:textId="77777777" w:rsidR="00840557" w:rsidRPr="009A1DAA" w:rsidRDefault="00840557" w:rsidP="004631A4">
            <w:pPr>
              <w:pStyle w:val="Tableheadingrow"/>
              <w:jc w:val="center"/>
              <w:rPr>
                <w:szCs w:val="20"/>
              </w:rPr>
            </w:pPr>
            <w:r w:rsidRPr="009A1DAA">
              <w:rPr>
                <w:szCs w:val="20"/>
              </w:rPr>
              <w:t>Tafamidis pooled</w:t>
            </w:r>
          </w:p>
        </w:tc>
        <w:tc>
          <w:tcPr>
            <w:tcW w:w="1582" w:type="dxa"/>
            <w:vAlign w:val="center"/>
          </w:tcPr>
          <w:p w14:paraId="1ADBB182" w14:textId="77777777" w:rsidR="00840557" w:rsidRPr="009A1DAA" w:rsidRDefault="00840557" w:rsidP="004631A4">
            <w:pPr>
              <w:pStyle w:val="Tableheadingrow"/>
              <w:jc w:val="center"/>
              <w:rPr>
                <w:szCs w:val="20"/>
              </w:rPr>
            </w:pPr>
            <w:r w:rsidRPr="009A1DAA">
              <w:rPr>
                <w:szCs w:val="20"/>
              </w:rPr>
              <w:t>Placebo</w:t>
            </w:r>
          </w:p>
        </w:tc>
      </w:tr>
      <w:tr w:rsidR="00840557" w:rsidRPr="009A1DAA" w14:paraId="265F4C70" w14:textId="77777777" w:rsidTr="004631A4">
        <w:trPr>
          <w:tblHeader/>
        </w:trPr>
        <w:tc>
          <w:tcPr>
            <w:tcW w:w="2689" w:type="dxa"/>
            <w:vAlign w:val="center"/>
          </w:tcPr>
          <w:p w14:paraId="188EC3C0" w14:textId="77777777" w:rsidR="00840557" w:rsidRPr="009A1DAA" w:rsidRDefault="00840557" w:rsidP="004631A4">
            <w:pPr>
              <w:pStyle w:val="Tableheadingrow"/>
              <w:rPr>
                <w:b w:val="0"/>
                <w:szCs w:val="20"/>
              </w:rPr>
            </w:pPr>
            <w:r w:rsidRPr="009A1DAA">
              <w:rPr>
                <w:b w:val="0"/>
                <w:szCs w:val="20"/>
              </w:rPr>
              <w:t>N</w:t>
            </w:r>
          </w:p>
        </w:tc>
        <w:tc>
          <w:tcPr>
            <w:tcW w:w="1582" w:type="dxa"/>
            <w:vAlign w:val="center"/>
          </w:tcPr>
          <w:p w14:paraId="37F84B6E" w14:textId="77777777" w:rsidR="00840557" w:rsidRPr="009A1DAA" w:rsidRDefault="00840557" w:rsidP="004631A4">
            <w:pPr>
              <w:pStyle w:val="Tableheadingrow"/>
              <w:ind w:left="-95" w:right="-81"/>
              <w:jc w:val="center"/>
              <w:rPr>
                <w:b w:val="0"/>
                <w:szCs w:val="20"/>
              </w:rPr>
            </w:pPr>
            <w:r w:rsidRPr="009A1DAA">
              <w:rPr>
                <w:b w:val="0"/>
                <w:szCs w:val="20"/>
              </w:rPr>
              <w:t>88</w:t>
            </w:r>
          </w:p>
        </w:tc>
        <w:tc>
          <w:tcPr>
            <w:tcW w:w="1582" w:type="dxa"/>
            <w:vAlign w:val="center"/>
          </w:tcPr>
          <w:p w14:paraId="4B729B05" w14:textId="77777777" w:rsidR="00840557" w:rsidRPr="009A1DAA" w:rsidRDefault="00840557" w:rsidP="004631A4">
            <w:pPr>
              <w:pStyle w:val="Tableheadingrow"/>
              <w:ind w:left="-95" w:right="-81"/>
              <w:jc w:val="center"/>
              <w:rPr>
                <w:b w:val="0"/>
                <w:szCs w:val="20"/>
              </w:rPr>
            </w:pPr>
            <w:r w:rsidRPr="009A1DAA">
              <w:rPr>
                <w:b w:val="0"/>
                <w:szCs w:val="20"/>
              </w:rPr>
              <w:t>176</w:t>
            </w:r>
          </w:p>
        </w:tc>
        <w:tc>
          <w:tcPr>
            <w:tcW w:w="1582" w:type="dxa"/>
            <w:vAlign w:val="center"/>
          </w:tcPr>
          <w:p w14:paraId="06B1E36A" w14:textId="77777777" w:rsidR="00840557" w:rsidRPr="009A1DAA" w:rsidRDefault="00840557" w:rsidP="004631A4">
            <w:pPr>
              <w:pStyle w:val="Tableheadingrow"/>
              <w:jc w:val="center"/>
              <w:rPr>
                <w:b w:val="0"/>
                <w:szCs w:val="20"/>
              </w:rPr>
            </w:pPr>
            <w:r w:rsidRPr="009A1DAA">
              <w:rPr>
                <w:b w:val="0"/>
                <w:szCs w:val="20"/>
              </w:rPr>
              <w:t>264</w:t>
            </w:r>
          </w:p>
        </w:tc>
        <w:tc>
          <w:tcPr>
            <w:tcW w:w="1582" w:type="dxa"/>
            <w:vAlign w:val="center"/>
          </w:tcPr>
          <w:p w14:paraId="716E0FC1" w14:textId="77777777" w:rsidR="00840557" w:rsidRPr="009A1DAA" w:rsidRDefault="00840557" w:rsidP="004631A4">
            <w:pPr>
              <w:pStyle w:val="Tableheadingrow"/>
              <w:jc w:val="center"/>
              <w:rPr>
                <w:b w:val="0"/>
                <w:szCs w:val="20"/>
              </w:rPr>
            </w:pPr>
            <w:r w:rsidRPr="009A1DAA">
              <w:rPr>
                <w:b w:val="0"/>
                <w:szCs w:val="20"/>
              </w:rPr>
              <w:t>177</w:t>
            </w:r>
          </w:p>
        </w:tc>
      </w:tr>
      <w:tr w:rsidR="00840557" w:rsidRPr="009A1DAA" w14:paraId="19A34337" w14:textId="77777777" w:rsidTr="004631A4">
        <w:tc>
          <w:tcPr>
            <w:tcW w:w="2689" w:type="dxa"/>
            <w:vAlign w:val="center"/>
          </w:tcPr>
          <w:p w14:paraId="310418C4" w14:textId="77777777" w:rsidR="00840557" w:rsidRPr="009A1DAA" w:rsidRDefault="00840557" w:rsidP="004631A4">
            <w:pPr>
              <w:pStyle w:val="TableText"/>
              <w:rPr>
                <w:szCs w:val="20"/>
              </w:rPr>
            </w:pPr>
            <w:r w:rsidRPr="009A1DAA">
              <w:rPr>
                <w:szCs w:val="20"/>
              </w:rPr>
              <w:t>Number of events</w:t>
            </w:r>
          </w:p>
        </w:tc>
        <w:tc>
          <w:tcPr>
            <w:tcW w:w="1582" w:type="dxa"/>
          </w:tcPr>
          <w:p w14:paraId="0536D3E6" w14:textId="77777777" w:rsidR="00840557" w:rsidRPr="009A1DAA" w:rsidRDefault="00840557" w:rsidP="004631A4">
            <w:pPr>
              <w:pStyle w:val="TableText"/>
              <w:jc w:val="center"/>
              <w:rPr>
                <w:szCs w:val="20"/>
              </w:rPr>
            </w:pPr>
            <w:r w:rsidRPr="009A1DAA">
              <w:rPr>
                <w:spacing w:val="1"/>
                <w:szCs w:val="20"/>
              </w:rPr>
              <w:t>1036</w:t>
            </w:r>
          </w:p>
        </w:tc>
        <w:tc>
          <w:tcPr>
            <w:tcW w:w="1582" w:type="dxa"/>
          </w:tcPr>
          <w:p w14:paraId="236BD6FA" w14:textId="77777777" w:rsidR="00840557" w:rsidRPr="009A1DAA" w:rsidRDefault="00840557" w:rsidP="004631A4">
            <w:pPr>
              <w:pStyle w:val="TableText"/>
              <w:jc w:val="center"/>
              <w:rPr>
                <w:szCs w:val="20"/>
              </w:rPr>
            </w:pPr>
            <w:r w:rsidRPr="009A1DAA">
              <w:rPr>
                <w:spacing w:val="1"/>
                <w:szCs w:val="20"/>
              </w:rPr>
              <w:t>2138</w:t>
            </w:r>
          </w:p>
        </w:tc>
        <w:tc>
          <w:tcPr>
            <w:tcW w:w="1582" w:type="dxa"/>
          </w:tcPr>
          <w:p w14:paraId="7B23060A" w14:textId="77777777" w:rsidR="00840557" w:rsidRPr="009A1DAA" w:rsidRDefault="00840557" w:rsidP="004631A4">
            <w:pPr>
              <w:pStyle w:val="TableText"/>
              <w:jc w:val="center"/>
              <w:rPr>
                <w:szCs w:val="20"/>
              </w:rPr>
            </w:pPr>
            <w:r w:rsidRPr="009A1DAA">
              <w:rPr>
                <w:spacing w:val="1"/>
                <w:szCs w:val="20"/>
              </w:rPr>
              <w:t>3174</w:t>
            </w:r>
          </w:p>
        </w:tc>
        <w:tc>
          <w:tcPr>
            <w:tcW w:w="1582" w:type="dxa"/>
          </w:tcPr>
          <w:p w14:paraId="09ABA9F1" w14:textId="77777777" w:rsidR="00840557" w:rsidRPr="009A1DAA" w:rsidRDefault="00840557" w:rsidP="004631A4">
            <w:pPr>
              <w:pStyle w:val="TableText"/>
              <w:jc w:val="center"/>
              <w:rPr>
                <w:szCs w:val="20"/>
              </w:rPr>
            </w:pPr>
            <w:r w:rsidRPr="009A1DAA">
              <w:rPr>
                <w:spacing w:val="1"/>
                <w:szCs w:val="20"/>
              </w:rPr>
              <w:t>2463</w:t>
            </w:r>
          </w:p>
        </w:tc>
      </w:tr>
      <w:tr w:rsidR="00840557" w:rsidRPr="009A1DAA" w14:paraId="387EF021" w14:textId="77777777" w:rsidTr="004631A4">
        <w:tc>
          <w:tcPr>
            <w:tcW w:w="9017" w:type="dxa"/>
            <w:gridSpan w:val="5"/>
            <w:vAlign w:val="center"/>
          </w:tcPr>
          <w:p w14:paraId="27566575" w14:textId="77777777" w:rsidR="00840557" w:rsidRPr="009A1DAA" w:rsidRDefault="00840557" w:rsidP="004631A4">
            <w:pPr>
              <w:pStyle w:val="TableText"/>
              <w:rPr>
                <w:b/>
                <w:spacing w:val="1"/>
                <w:szCs w:val="20"/>
              </w:rPr>
            </w:pPr>
            <w:r w:rsidRPr="009A1DAA">
              <w:rPr>
                <w:b/>
                <w:spacing w:val="1"/>
                <w:szCs w:val="20"/>
              </w:rPr>
              <w:t>Patients reporting ≥ 1 treatment emergent adverse events</w:t>
            </w:r>
          </w:p>
        </w:tc>
      </w:tr>
      <w:tr w:rsidR="00840557" w:rsidRPr="009A1DAA" w14:paraId="27DEF373" w14:textId="77777777" w:rsidTr="004631A4">
        <w:tc>
          <w:tcPr>
            <w:tcW w:w="2689" w:type="dxa"/>
            <w:vAlign w:val="center"/>
          </w:tcPr>
          <w:p w14:paraId="78CEE56C" w14:textId="77777777" w:rsidR="00840557" w:rsidRPr="009A1DAA" w:rsidRDefault="00840557" w:rsidP="004631A4">
            <w:pPr>
              <w:pStyle w:val="TableText"/>
              <w:rPr>
                <w:szCs w:val="20"/>
              </w:rPr>
            </w:pPr>
            <w:r w:rsidRPr="009A1DAA">
              <w:rPr>
                <w:szCs w:val="20"/>
              </w:rPr>
              <w:t>Any adverse events (AEs)</w:t>
            </w:r>
          </w:p>
        </w:tc>
        <w:tc>
          <w:tcPr>
            <w:tcW w:w="1582" w:type="dxa"/>
          </w:tcPr>
          <w:p w14:paraId="34444C5B" w14:textId="77777777" w:rsidR="00840557" w:rsidRPr="009A1DAA" w:rsidRDefault="00840557" w:rsidP="004631A4">
            <w:pPr>
              <w:pStyle w:val="TableText"/>
              <w:jc w:val="center"/>
              <w:rPr>
                <w:szCs w:val="20"/>
              </w:rPr>
            </w:pPr>
            <w:r w:rsidRPr="009A1DAA">
              <w:rPr>
                <w:szCs w:val="20"/>
              </w:rPr>
              <w:t>87</w:t>
            </w:r>
            <w:r w:rsidRPr="009A1DAA">
              <w:rPr>
                <w:spacing w:val="-6"/>
                <w:szCs w:val="20"/>
              </w:rPr>
              <w:t xml:space="preserve"> </w:t>
            </w:r>
            <w:r w:rsidRPr="009A1DAA">
              <w:rPr>
                <w:szCs w:val="20"/>
              </w:rPr>
              <w:t>(98.9%)</w:t>
            </w:r>
          </w:p>
        </w:tc>
        <w:tc>
          <w:tcPr>
            <w:tcW w:w="1582" w:type="dxa"/>
          </w:tcPr>
          <w:p w14:paraId="3B321D18" w14:textId="77777777" w:rsidR="00840557" w:rsidRPr="009A1DAA" w:rsidRDefault="00840557" w:rsidP="004631A4">
            <w:pPr>
              <w:pStyle w:val="TableText"/>
              <w:jc w:val="center"/>
              <w:rPr>
                <w:szCs w:val="20"/>
              </w:rPr>
            </w:pPr>
            <w:r w:rsidRPr="009A1DAA">
              <w:rPr>
                <w:szCs w:val="20"/>
              </w:rPr>
              <w:t>173</w:t>
            </w:r>
            <w:r w:rsidRPr="009A1DAA">
              <w:rPr>
                <w:spacing w:val="-8"/>
                <w:szCs w:val="20"/>
              </w:rPr>
              <w:t xml:space="preserve"> </w:t>
            </w:r>
            <w:r w:rsidRPr="009A1DAA">
              <w:rPr>
                <w:szCs w:val="20"/>
              </w:rPr>
              <w:t>(98.3%)</w:t>
            </w:r>
          </w:p>
        </w:tc>
        <w:tc>
          <w:tcPr>
            <w:tcW w:w="1582" w:type="dxa"/>
          </w:tcPr>
          <w:p w14:paraId="0C92F9FD" w14:textId="77777777" w:rsidR="00840557" w:rsidRPr="009A1DAA" w:rsidRDefault="00840557" w:rsidP="004631A4">
            <w:pPr>
              <w:pStyle w:val="TableText"/>
              <w:jc w:val="center"/>
              <w:rPr>
                <w:szCs w:val="20"/>
              </w:rPr>
            </w:pPr>
            <w:r w:rsidRPr="009A1DAA">
              <w:rPr>
                <w:szCs w:val="20"/>
              </w:rPr>
              <w:t>260</w:t>
            </w:r>
            <w:r w:rsidRPr="009A1DAA">
              <w:rPr>
                <w:spacing w:val="-8"/>
                <w:szCs w:val="20"/>
              </w:rPr>
              <w:t xml:space="preserve"> </w:t>
            </w:r>
            <w:r w:rsidRPr="009A1DAA">
              <w:rPr>
                <w:szCs w:val="20"/>
              </w:rPr>
              <w:t>(98.5%)</w:t>
            </w:r>
          </w:p>
        </w:tc>
        <w:tc>
          <w:tcPr>
            <w:tcW w:w="1582" w:type="dxa"/>
          </w:tcPr>
          <w:p w14:paraId="7D8D1155" w14:textId="77777777" w:rsidR="00840557" w:rsidRPr="009A1DAA" w:rsidRDefault="00840557" w:rsidP="004631A4">
            <w:pPr>
              <w:pStyle w:val="TableText"/>
              <w:jc w:val="center"/>
              <w:rPr>
                <w:szCs w:val="20"/>
              </w:rPr>
            </w:pPr>
            <w:r w:rsidRPr="009A1DAA">
              <w:rPr>
                <w:szCs w:val="20"/>
              </w:rPr>
              <w:t>175</w:t>
            </w:r>
            <w:r w:rsidRPr="009A1DAA">
              <w:rPr>
                <w:spacing w:val="-8"/>
                <w:szCs w:val="20"/>
              </w:rPr>
              <w:t xml:space="preserve"> </w:t>
            </w:r>
            <w:r w:rsidRPr="009A1DAA">
              <w:rPr>
                <w:szCs w:val="20"/>
              </w:rPr>
              <w:t>(98.9%)</w:t>
            </w:r>
          </w:p>
        </w:tc>
      </w:tr>
      <w:tr w:rsidR="00840557" w:rsidRPr="009A1DAA" w14:paraId="20D3C79B" w14:textId="77777777" w:rsidTr="004631A4">
        <w:tc>
          <w:tcPr>
            <w:tcW w:w="2689" w:type="dxa"/>
            <w:vAlign w:val="center"/>
          </w:tcPr>
          <w:p w14:paraId="2F2E4923" w14:textId="77777777" w:rsidR="00840557" w:rsidRPr="009A1DAA" w:rsidRDefault="00840557" w:rsidP="004631A4">
            <w:pPr>
              <w:pStyle w:val="TableText"/>
              <w:rPr>
                <w:szCs w:val="20"/>
              </w:rPr>
            </w:pPr>
            <w:r w:rsidRPr="009A1DAA">
              <w:rPr>
                <w:szCs w:val="20"/>
              </w:rPr>
              <w:t>Treatment related adverse events</w:t>
            </w:r>
          </w:p>
        </w:tc>
        <w:tc>
          <w:tcPr>
            <w:tcW w:w="1582" w:type="dxa"/>
          </w:tcPr>
          <w:p w14:paraId="1DB88CB3" w14:textId="77777777" w:rsidR="00840557" w:rsidRPr="009A1DAA" w:rsidRDefault="00840557" w:rsidP="004631A4">
            <w:pPr>
              <w:pStyle w:val="TableText"/>
              <w:jc w:val="center"/>
              <w:rPr>
                <w:szCs w:val="20"/>
              </w:rPr>
            </w:pPr>
            <w:r w:rsidRPr="009A1DAA">
              <w:rPr>
                <w:szCs w:val="20"/>
              </w:rPr>
              <w:t>34</w:t>
            </w:r>
            <w:r w:rsidRPr="009A1DAA">
              <w:rPr>
                <w:spacing w:val="-6"/>
                <w:szCs w:val="20"/>
              </w:rPr>
              <w:t xml:space="preserve"> </w:t>
            </w:r>
            <w:r w:rsidRPr="009A1DAA">
              <w:rPr>
                <w:szCs w:val="20"/>
              </w:rPr>
              <w:t>(38.6%)</w:t>
            </w:r>
          </w:p>
        </w:tc>
        <w:tc>
          <w:tcPr>
            <w:tcW w:w="1582" w:type="dxa"/>
          </w:tcPr>
          <w:p w14:paraId="4BFA5F5B" w14:textId="77777777" w:rsidR="00840557" w:rsidRPr="009A1DAA" w:rsidRDefault="00840557" w:rsidP="004631A4">
            <w:pPr>
              <w:pStyle w:val="TableText"/>
              <w:jc w:val="center"/>
              <w:rPr>
                <w:szCs w:val="20"/>
              </w:rPr>
            </w:pPr>
            <w:r w:rsidRPr="009A1DAA">
              <w:rPr>
                <w:szCs w:val="20"/>
              </w:rPr>
              <w:t>79</w:t>
            </w:r>
            <w:r w:rsidRPr="009A1DAA">
              <w:rPr>
                <w:spacing w:val="-6"/>
                <w:szCs w:val="20"/>
              </w:rPr>
              <w:t xml:space="preserve"> </w:t>
            </w:r>
            <w:r w:rsidRPr="009A1DAA">
              <w:rPr>
                <w:szCs w:val="20"/>
              </w:rPr>
              <w:t>(44.9%)</w:t>
            </w:r>
          </w:p>
        </w:tc>
        <w:tc>
          <w:tcPr>
            <w:tcW w:w="1582" w:type="dxa"/>
          </w:tcPr>
          <w:p w14:paraId="5F2905F7" w14:textId="77777777" w:rsidR="00840557" w:rsidRPr="009A1DAA" w:rsidRDefault="00840557" w:rsidP="004631A4">
            <w:pPr>
              <w:pStyle w:val="TableText"/>
              <w:jc w:val="center"/>
              <w:rPr>
                <w:szCs w:val="20"/>
              </w:rPr>
            </w:pPr>
            <w:r w:rsidRPr="009A1DAA">
              <w:rPr>
                <w:szCs w:val="20"/>
              </w:rPr>
              <w:t>113</w:t>
            </w:r>
            <w:r w:rsidRPr="009A1DAA">
              <w:rPr>
                <w:spacing w:val="-8"/>
                <w:szCs w:val="20"/>
              </w:rPr>
              <w:t xml:space="preserve"> </w:t>
            </w:r>
            <w:r w:rsidRPr="009A1DAA">
              <w:rPr>
                <w:szCs w:val="20"/>
              </w:rPr>
              <w:t>(42.8%)</w:t>
            </w:r>
          </w:p>
        </w:tc>
        <w:tc>
          <w:tcPr>
            <w:tcW w:w="1582" w:type="dxa"/>
          </w:tcPr>
          <w:p w14:paraId="43D6C1C0" w14:textId="77777777" w:rsidR="00840557" w:rsidRPr="009A1DAA" w:rsidRDefault="00840557" w:rsidP="004631A4">
            <w:pPr>
              <w:pStyle w:val="TableText"/>
              <w:jc w:val="center"/>
              <w:rPr>
                <w:szCs w:val="20"/>
              </w:rPr>
            </w:pPr>
            <w:r w:rsidRPr="009A1DAA">
              <w:rPr>
                <w:szCs w:val="20"/>
              </w:rPr>
              <w:t>90</w:t>
            </w:r>
            <w:r w:rsidRPr="009A1DAA">
              <w:rPr>
                <w:spacing w:val="-6"/>
                <w:szCs w:val="20"/>
              </w:rPr>
              <w:t xml:space="preserve"> </w:t>
            </w:r>
            <w:r w:rsidRPr="009A1DAA">
              <w:rPr>
                <w:szCs w:val="20"/>
              </w:rPr>
              <w:t>(50.8%)</w:t>
            </w:r>
          </w:p>
        </w:tc>
      </w:tr>
      <w:tr w:rsidR="00840557" w:rsidRPr="009A1DAA" w14:paraId="651879C5" w14:textId="77777777" w:rsidTr="004631A4">
        <w:tc>
          <w:tcPr>
            <w:tcW w:w="2689" w:type="dxa"/>
            <w:vAlign w:val="center"/>
          </w:tcPr>
          <w:p w14:paraId="779D4B83" w14:textId="77777777" w:rsidR="00840557" w:rsidRPr="009A1DAA" w:rsidRDefault="00840557" w:rsidP="004631A4">
            <w:pPr>
              <w:pStyle w:val="TableText"/>
              <w:rPr>
                <w:szCs w:val="20"/>
              </w:rPr>
            </w:pPr>
            <w:r w:rsidRPr="009A1DAA">
              <w:rPr>
                <w:szCs w:val="20"/>
              </w:rPr>
              <w:t>Serious adverse events (SAEs)</w:t>
            </w:r>
          </w:p>
        </w:tc>
        <w:tc>
          <w:tcPr>
            <w:tcW w:w="1582" w:type="dxa"/>
          </w:tcPr>
          <w:p w14:paraId="6866E85C" w14:textId="77777777" w:rsidR="00840557" w:rsidRPr="009A1DAA" w:rsidRDefault="00840557" w:rsidP="004631A4">
            <w:pPr>
              <w:pStyle w:val="TableText"/>
              <w:jc w:val="center"/>
              <w:rPr>
                <w:szCs w:val="20"/>
              </w:rPr>
            </w:pPr>
            <w:r w:rsidRPr="009A1DAA">
              <w:rPr>
                <w:szCs w:val="20"/>
              </w:rPr>
              <w:t>54</w:t>
            </w:r>
            <w:r w:rsidRPr="009A1DAA">
              <w:rPr>
                <w:spacing w:val="-6"/>
                <w:szCs w:val="20"/>
              </w:rPr>
              <w:t xml:space="preserve"> </w:t>
            </w:r>
            <w:r w:rsidRPr="009A1DAA">
              <w:rPr>
                <w:szCs w:val="20"/>
              </w:rPr>
              <w:t>(61.4%)</w:t>
            </w:r>
          </w:p>
        </w:tc>
        <w:tc>
          <w:tcPr>
            <w:tcW w:w="1582" w:type="dxa"/>
          </w:tcPr>
          <w:p w14:paraId="4EECF05B" w14:textId="77777777" w:rsidR="00840557" w:rsidRPr="009A1DAA" w:rsidRDefault="00840557" w:rsidP="004631A4">
            <w:pPr>
              <w:pStyle w:val="TableText"/>
              <w:jc w:val="center"/>
              <w:rPr>
                <w:szCs w:val="20"/>
              </w:rPr>
            </w:pPr>
            <w:r w:rsidRPr="009A1DAA">
              <w:rPr>
                <w:szCs w:val="20"/>
              </w:rPr>
              <w:t>110</w:t>
            </w:r>
            <w:r w:rsidRPr="009A1DAA">
              <w:rPr>
                <w:spacing w:val="-8"/>
                <w:szCs w:val="20"/>
              </w:rPr>
              <w:t xml:space="preserve"> </w:t>
            </w:r>
            <w:r w:rsidRPr="009A1DAA">
              <w:rPr>
                <w:szCs w:val="20"/>
              </w:rPr>
              <w:t>(62.5%)</w:t>
            </w:r>
          </w:p>
        </w:tc>
        <w:tc>
          <w:tcPr>
            <w:tcW w:w="1582" w:type="dxa"/>
          </w:tcPr>
          <w:p w14:paraId="72CDB237" w14:textId="77777777" w:rsidR="00840557" w:rsidRPr="009A1DAA" w:rsidRDefault="00840557" w:rsidP="004631A4">
            <w:pPr>
              <w:pStyle w:val="TableText"/>
              <w:jc w:val="center"/>
              <w:rPr>
                <w:szCs w:val="20"/>
              </w:rPr>
            </w:pPr>
            <w:r w:rsidRPr="009A1DAA">
              <w:rPr>
                <w:szCs w:val="20"/>
              </w:rPr>
              <w:t>164</w:t>
            </w:r>
            <w:r w:rsidRPr="009A1DAA">
              <w:rPr>
                <w:spacing w:val="-8"/>
                <w:szCs w:val="20"/>
              </w:rPr>
              <w:t xml:space="preserve"> </w:t>
            </w:r>
            <w:r w:rsidRPr="009A1DAA">
              <w:rPr>
                <w:szCs w:val="20"/>
              </w:rPr>
              <w:t>(62.1%)</w:t>
            </w:r>
          </w:p>
        </w:tc>
        <w:tc>
          <w:tcPr>
            <w:tcW w:w="1582" w:type="dxa"/>
          </w:tcPr>
          <w:p w14:paraId="583ADC0B" w14:textId="77777777" w:rsidR="00840557" w:rsidRPr="009A1DAA" w:rsidRDefault="00840557" w:rsidP="004631A4">
            <w:pPr>
              <w:pStyle w:val="TableText"/>
              <w:jc w:val="center"/>
              <w:rPr>
                <w:szCs w:val="20"/>
              </w:rPr>
            </w:pPr>
            <w:r w:rsidRPr="009A1DAA">
              <w:rPr>
                <w:szCs w:val="20"/>
              </w:rPr>
              <w:t>114</w:t>
            </w:r>
            <w:r w:rsidRPr="009A1DAA">
              <w:rPr>
                <w:spacing w:val="-8"/>
                <w:szCs w:val="20"/>
              </w:rPr>
              <w:t xml:space="preserve"> </w:t>
            </w:r>
            <w:r w:rsidRPr="009A1DAA">
              <w:rPr>
                <w:szCs w:val="20"/>
              </w:rPr>
              <w:t>(64.4%)</w:t>
            </w:r>
          </w:p>
        </w:tc>
      </w:tr>
      <w:tr w:rsidR="00840557" w:rsidRPr="009A1DAA" w14:paraId="4FA7C6F7" w14:textId="77777777" w:rsidTr="004631A4">
        <w:tc>
          <w:tcPr>
            <w:tcW w:w="2689" w:type="dxa"/>
            <w:vAlign w:val="center"/>
          </w:tcPr>
          <w:p w14:paraId="77046A5B" w14:textId="77777777" w:rsidR="00840557" w:rsidRPr="009A1DAA" w:rsidRDefault="00840557" w:rsidP="004631A4">
            <w:pPr>
              <w:pStyle w:val="TableText"/>
              <w:rPr>
                <w:szCs w:val="20"/>
              </w:rPr>
            </w:pPr>
            <w:r w:rsidRPr="009A1DAA">
              <w:rPr>
                <w:szCs w:val="20"/>
              </w:rPr>
              <w:t>Treatment related SAEs</w:t>
            </w:r>
          </w:p>
        </w:tc>
        <w:tc>
          <w:tcPr>
            <w:tcW w:w="1582" w:type="dxa"/>
            <w:vAlign w:val="center"/>
          </w:tcPr>
          <w:p w14:paraId="7F71258F" w14:textId="77777777" w:rsidR="00840557" w:rsidRPr="009A1DAA" w:rsidRDefault="00840557" w:rsidP="004631A4">
            <w:pPr>
              <w:pStyle w:val="TableText"/>
              <w:jc w:val="center"/>
              <w:rPr>
                <w:szCs w:val="20"/>
              </w:rPr>
            </w:pPr>
            <w:r w:rsidRPr="009A1DAA">
              <w:rPr>
                <w:szCs w:val="20"/>
              </w:rPr>
              <w:t>2</w:t>
            </w:r>
            <w:r w:rsidRPr="009A1DAA">
              <w:rPr>
                <w:spacing w:val="-5"/>
                <w:szCs w:val="20"/>
              </w:rPr>
              <w:t xml:space="preserve"> </w:t>
            </w:r>
            <w:r w:rsidRPr="009A1DAA">
              <w:rPr>
                <w:szCs w:val="20"/>
              </w:rPr>
              <w:t>(2.3%)</w:t>
            </w:r>
          </w:p>
        </w:tc>
        <w:tc>
          <w:tcPr>
            <w:tcW w:w="1582" w:type="dxa"/>
            <w:vAlign w:val="center"/>
          </w:tcPr>
          <w:p w14:paraId="32BACC92" w14:textId="77777777" w:rsidR="00840557" w:rsidRPr="009A1DAA" w:rsidRDefault="00840557" w:rsidP="004631A4">
            <w:pPr>
              <w:pStyle w:val="TableText"/>
              <w:jc w:val="center"/>
              <w:rPr>
                <w:szCs w:val="20"/>
              </w:rPr>
            </w:pPr>
            <w:r w:rsidRPr="009A1DAA">
              <w:rPr>
                <w:szCs w:val="20"/>
              </w:rPr>
              <w:t>3</w:t>
            </w:r>
            <w:r w:rsidRPr="009A1DAA">
              <w:rPr>
                <w:spacing w:val="-5"/>
                <w:szCs w:val="20"/>
              </w:rPr>
              <w:t xml:space="preserve"> </w:t>
            </w:r>
            <w:r w:rsidRPr="009A1DAA">
              <w:rPr>
                <w:szCs w:val="20"/>
              </w:rPr>
              <w:t>(1.7%)</w:t>
            </w:r>
          </w:p>
        </w:tc>
        <w:tc>
          <w:tcPr>
            <w:tcW w:w="1582" w:type="dxa"/>
            <w:vAlign w:val="center"/>
          </w:tcPr>
          <w:p w14:paraId="4346CCFD" w14:textId="77777777" w:rsidR="00840557" w:rsidRPr="009A1DAA" w:rsidRDefault="00840557" w:rsidP="004631A4">
            <w:pPr>
              <w:pStyle w:val="TableText"/>
              <w:jc w:val="center"/>
              <w:rPr>
                <w:szCs w:val="20"/>
              </w:rPr>
            </w:pPr>
            <w:r w:rsidRPr="009A1DAA">
              <w:rPr>
                <w:szCs w:val="20"/>
              </w:rPr>
              <w:t>5</w:t>
            </w:r>
            <w:r w:rsidRPr="009A1DAA">
              <w:rPr>
                <w:spacing w:val="-5"/>
                <w:szCs w:val="20"/>
              </w:rPr>
              <w:t xml:space="preserve"> </w:t>
            </w:r>
            <w:r w:rsidRPr="009A1DAA">
              <w:rPr>
                <w:szCs w:val="20"/>
              </w:rPr>
              <w:t>(1.9%)</w:t>
            </w:r>
          </w:p>
        </w:tc>
        <w:tc>
          <w:tcPr>
            <w:tcW w:w="1582" w:type="dxa"/>
            <w:vAlign w:val="center"/>
          </w:tcPr>
          <w:p w14:paraId="0E32D87C" w14:textId="77777777" w:rsidR="00840557" w:rsidRPr="009A1DAA" w:rsidRDefault="00840557" w:rsidP="004631A4">
            <w:pPr>
              <w:pStyle w:val="TableText"/>
              <w:jc w:val="center"/>
              <w:rPr>
                <w:szCs w:val="20"/>
              </w:rPr>
            </w:pPr>
            <w:r w:rsidRPr="009A1DAA">
              <w:rPr>
                <w:szCs w:val="20"/>
              </w:rPr>
              <w:t>4</w:t>
            </w:r>
            <w:r w:rsidRPr="009A1DAA">
              <w:rPr>
                <w:spacing w:val="-5"/>
                <w:szCs w:val="20"/>
              </w:rPr>
              <w:t xml:space="preserve"> </w:t>
            </w:r>
            <w:r w:rsidRPr="009A1DAA">
              <w:rPr>
                <w:szCs w:val="20"/>
              </w:rPr>
              <w:t>(2.3%)</w:t>
            </w:r>
          </w:p>
        </w:tc>
      </w:tr>
      <w:tr w:rsidR="00840557" w:rsidRPr="009A1DAA" w14:paraId="698492D1" w14:textId="77777777" w:rsidTr="004631A4">
        <w:tc>
          <w:tcPr>
            <w:tcW w:w="2689" w:type="dxa"/>
            <w:vAlign w:val="center"/>
          </w:tcPr>
          <w:p w14:paraId="7288DB3A" w14:textId="77777777" w:rsidR="00840557" w:rsidRPr="009A1DAA" w:rsidRDefault="00840557" w:rsidP="004631A4">
            <w:pPr>
              <w:pStyle w:val="TableText"/>
              <w:rPr>
                <w:szCs w:val="20"/>
              </w:rPr>
            </w:pPr>
            <w:r w:rsidRPr="009A1DAA">
              <w:rPr>
                <w:szCs w:val="20"/>
              </w:rPr>
              <w:t>Discontinuations related to AEs</w:t>
            </w:r>
          </w:p>
        </w:tc>
        <w:tc>
          <w:tcPr>
            <w:tcW w:w="1582" w:type="dxa"/>
          </w:tcPr>
          <w:p w14:paraId="074F36B0" w14:textId="77777777" w:rsidR="00840557" w:rsidRPr="009A1DAA" w:rsidRDefault="00840557" w:rsidP="004631A4">
            <w:pPr>
              <w:pStyle w:val="TableText"/>
              <w:jc w:val="center"/>
              <w:rPr>
                <w:szCs w:val="20"/>
              </w:rPr>
            </w:pPr>
            <w:r w:rsidRPr="009A1DAA">
              <w:rPr>
                <w:szCs w:val="20"/>
              </w:rPr>
              <w:t>16</w:t>
            </w:r>
            <w:r w:rsidRPr="009A1DAA">
              <w:rPr>
                <w:spacing w:val="-6"/>
                <w:szCs w:val="20"/>
              </w:rPr>
              <w:t xml:space="preserve"> </w:t>
            </w:r>
            <w:r w:rsidRPr="009A1DAA">
              <w:rPr>
                <w:szCs w:val="20"/>
              </w:rPr>
              <w:t>(18.2%)</w:t>
            </w:r>
          </w:p>
        </w:tc>
        <w:tc>
          <w:tcPr>
            <w:tcW w:w="1582" w:type="dxa"/>
          </w:tcPr>
          <w:p w14:paraId="04F19FBC" w14:textId="77777777" w:rsidR="00840557" w:rsidRPr="009A1DAA" w:rsidRDefault="00840557" w:rsidP="004631A4">
            <w:pPr>
              <w:pStyle w:val="TableText"/>
              <w:jc w:val="center"/>
              <w:rPr>
                <w:szCs w:val="20"/>
              </w:rPr>
            </w:pPr>
            <w:r w:rsidRPr="009A1DAA">
              <w:rPr>
                <w:szCs w:val="20"/>
              </w:rPr>
              <w:t>40</w:t>
            </w:r>
            <w:r w:rsidRPr="009A1DAA">
              <w:rPr>
                <w:spacing w:val="-6"/>
                <w:szCs w:val="20"/>
              </w:rPr>
              <w:t xml:space="preserve"> </w:t>
            </w:r>
            <w:r w:rsidRPr="009A1DAA">
              <w:rPr>
                <w:szCs w:val="20"/>
              </w:rPr>
              <w:t>(22.7%)</w:t>
            </w:r>
          </w:p>
        </w:tc>
        <w:tc>
          <w:tcPr>
            <w:tcW w:w="1582" w:type="dxa"/>
          </w:tcPr>
          <w:p w14:paraId="44899FB3" w14:textId="77777777" w:rsidR="00840557" w:rsidRPr="009A1DAA" w:rsidRDefault="00840557" w:rsidP="004631A4">
            <w:pPr>
              <w:pStyle w:val="TableText"/>
              <w:jc w:val="center"/>
              <w:rPr>
                <w:szCs w:val="20"/>
              </w:rPr>
            </w:pPr>
            <w:r w:rsidRPr="009A1DAA">
              <w:rPr>
                <w:szCs w:val="20"/>
              </w:rPr>
              <w:t>56</w:t>
            </w:r>
            <w:r w:rsidRPr="009A1DAA">
              <w:rPr>
                <w:spacing w:val="-6"/>
                <w:szCs w:val="20"/>
              </w:rPr>
              <w:t xml:space="preserve"> </w:t>
            </w:r>
            <w:r w:rsidRPr="009A1DAA">
              <w:rPr>
                <w:szCs w:val="20"/>
              </w:rPr>
              <w:t>(21.2%)</w:t>
            </w:r>
          </w:p>
        </w:tc>
        <w:tc>
          <w:tcPr>
            <w:tcW w:w="1582" w:type="dxa"/>
          </w:tcPr>
          <w:p w14:paraId="6EC07CE7" w14:textId="77777777" w:rsidR="00840557" w:rsidRPr="009A1DAA" w:rsidRDefault="00840557" w:rsidP="004631A4">
            <w:pPr>
              <w:pStyle w:val="TableText"/>
              <w:jc w:val="center"/>
              <w:rPr>
                <w:szCs w:val="20"/>
              </w:rPr>
            </w:pPr>
            <w:r w:rsidRPr="009A1DAA">
              <w:rPr>
                <w:szCs w:val="20"/>
              </w:rPr>
              <w:t>51</w:t>
            </w:r>
            <w:r w:rsidRPr="009A1DAA">
              <w:rPr>
                <w:spacing w:val="-6"/>
                <w:szCs w:val="20"/>
              </w:rPr>
              <w:t xml:space="preserve"> </w:t>
            </w:r>
            <w:r w:rsidRPr="009A1DAA">
              <w:rPr>
                <w:szCs w:val="20"/>
              </w:rPr>
              <w:t>(28.8%)</w:t>
            </w:r>
          </w:p>
        </w:tc>
      </w:tr>
      <w:tr w:rsidR="00840557" w:rsidRPr="009A1DAA" w14:paraId="53E6653C" w14:textId="77777777" w:rsidTr="004631A4">
        <w:tc>
          <w:tcPr>
            <w:tcW w:w="2689" w:type="dxa"/>
          </w:tcPr>
          <w:p w14:paraId="1E014128" w14:textId="77777777" w:rsidR="00840557" w:rsidRPr="009A1DAA" w:rsidRDefault="00840557" w:rsidP="004631A4">
            <w:pPr>
              <w:pStyle w:val="TableText"/>
              <w:tabs>
                <w:tab w:val="left" w:pos="165"/>
              </w:tabs>
              <w:rPr>
                <w:szCs w:val="20"/>
              </w:rPr>
            </w:pPr>
            <w:r w:rsidRPr="009A1DAA">
              <w:rPr>
                <w:rFonts w:eastAsia="Times New Roman"/>
                <w:color w:val="000000" w:themeColor="text1"/>
                <w:szCs w:val="20"/>
              </w:rPr>
              <w:t>Deaths during study period</w:t>
            </w:r>
          </w:p>
        </w:tc>
        <w:tc>
          <w:tcPr>
            <w:tcW w:w="1582" w:type="dxa"/>
          </w:tcPr>
          <w:p w14:paraId="312D5E38" w14:textId="77777777" w:rsidR="00840557" w:rsidRPr="009A1DAA" w:rsidRDefault="00840557" w:rsidP="004631A4">
            <w:pPr>
              <w:pStyle w:val="TableText"/>
              <w:jc w:val="center"/>
              <w:rPr>
                <w:szCs w:val="20"/>
              </w:rPr>
            </w:pPr>
            <w:r w:rsidRPr="009A1DAA">
              <w:rPr>
                <w:rFonts w:eastAsia="Times New Roman"/>
                <w:color w:val="000000" w:themeColor="text1"/>
                <w:szCs w:val="20"/>
              </w:rPr>
              <w:t>14 (15.9%)</w:t>
            </w:r>
          </w:p>
        </w:tc>
        <w:tc>
          <w:tcPr>
            <w:tcW w:w="1582" w:type="dxa"/>
          </w:tcPr>
          <w:p w14:paraId="34845725" w14:textId="77777777" w:rsidR="00840557" w:rsidRPr="009A1DAA" w:rsidRDefault="00840557" w:rsidP="004631A4">
            <w:pPr>
              <w:pStyle w:val="TableText"/>
              <w:jc w:val="center"/>
              <w:rPr>
                <w:szCs w:val="20"/>
              </w:rPr>
            </w:pPr>
            <w:r w:rsidRPr="009A1DAA">
              <w:rPr>
                <w:rFonts w:eastAsia="Times New Roman"/>
                <w:color w:val="000000" w:themeColor="text1"/>
                <w:szCs w:val="20"/>
              </w:rPr>
              <w:t>25 (14.2%)</w:t>
            </w:r>
          </w:p>
        </w:tc>
        <w:tc>
          <w:tcPr>
            <w:tcW w:w="1582" w:type="dxa"/>
          </w:tcPr>
          <w:p w14:paraId="5410073F" w14:textId="77777777" w:rsidR="00840557" w:rsidRPr="009A1DAA" w:rsidRDefault="00840557" w:rsidP="004631A4">
            <w:pPr>
              <w:pStyle w:val="TableText"/>
              <w:jc w:val="center"/>
              <w:rPr>
                <w:szCs w:val="20"/>
              </w:rPr>
            </w:pPr>
            <w:r w:rsidRPr="009A1DAA">
              <w:rPr>
                <w:rFonts w:eastAsia="Times New Roman"/>
                <w:color w:val="000000" w:themeColor="text1"/>
                <w:szCs w:val="20"/>
              </w:rPr>
              <w:t>39 (14.8%)</w:t>
            </w:r>
          </w:p>
        </w:tc>
        <w:tc>
          <w:tcPr>
            <w:tcW w:w="1582" w:type="dxa"/>
          </w:tcPr>
          <w:p w14:paraId="05F2EFCE" w14:textId="77777777" w:rsidR="00840557" w:rsidRPr="009A1DAA" w:rsidRDefault="00840557" w:rsidP="004631A4">
            <w:pPr>
              <w:pStyle w:val="TableText"/>
              <w:jc w:val="center"/>
              <w:rPr>
                <w:szCs w:val="20"/>
              </w:rPr>
            </w:pPr>
            <w:r w:rsidRPr="009A1DAA">
              <w:rPr>
                <w:rFonts w:eastAsia="Times New Roman"/>
                <w:color w:val="000000" w:themeColor="text1"/>
                <w:szCs w:val="20"/>
              </w:rPr>
              <w:t>38 (21.5%)</w:t>
            </w:r>
          </w:p>
        </w:tc>
      </w:tr>
    </w:tbl>
    <w:p w14:paraId="48C69FDD" w14:textId="5252797B" w:rsidR="00840557" w:rsidRDefault="00840557" w:rsidP="00840557">
      <w:pPr>
        <w:pStyle w:val="TableFigureFooter"/>
      </w:pPr>
      <w:r>
        <w:t>Source: Tables 2.5.1 and 2.5.2, p</w:t>
      </w:r>
      <w:r w:rsidR="00886855">
        <w:t>p</w:t>
      </w:r>
      <w:r>
        <w:t>69-70 of the resubmission; Tables 2.5.</w:t>
      </w:r>
      <w:r w:rsidR="00994F36">
        <w:t>16, p113</w:t>
      </w:r>
      <w:r>
        <w:t xml:space="preserve"> and 2.5.</w:t>
      </w:r>
      <w:r w:rsidR="00994F36">
        <w:t>17</w:t>
      </w:r>
      <w:r>
        <w:t xml:space="preserve">, </w:t>
      </w:r>
      <w:r w:rsidR="00994F36">
        <w:t>pp114-116</w:t>
      </w:r>
      <w:r>
        <w:t xml:space="preserve"> of the July 2020 </w:t>
      </w:r>
      <w:r w:rsidR="00994F36">
        <w:t>submission</w:t>
      </w:r>
      <w:r>
        <w:t>.</w:t>
      </w:r>
    </w:p>
    <w:p w14:paraId="06EFBECD" w14:textId="77777777" w:rsidR="00840557" w:rsidRDefault="00840557" w:rsidP="00840557">
      <w:pPr>
        <w:pStyle w:val="TableFigureFooter"/>
      </w:pPr>
      <w:r>
        <w:t xml:space="preserve">Abbreviations: AEs, adverse events; </w:t>
      </w:r>
      <w:r>
        <w:rPr>
          <w:szCs w:val="18"/>
        </w:rPr>
        <w:t>ATTRv, variant (</w:t>
      </w:r>
      <w:r w:rsidRPr="005E4C29">
        <w:rPr>
          <w:szCs w:val="18"/>
        </w:rPr>
        <w:t>mutated) transthyretin amyloidosis</w:t>
      </w:r>
      <w:r>
        <w:rPr>
          <w:szCs w:val="18"/>
        </w:rPr>
        <w:t>;</w:t>
      </w:r>
      <w:r w:rsidRPr="009851F8">
        <w:rPr>
          <w:szCs w:val="18"/>
        </w:rPr>
        <w:t xml:space="preserve"> </w:t>
      </w:r>
      <w:r>
        <w:rPr>
          <w:szCs w:val="18"/>
        </w:rPr>
        <w:t>ATTRwt, wild-type</w:t>
      </w:r>
      <w:r w:rsidRPr="005E4C29">
        <w:rPr>
          <w:szCs w:val="18"/>
        </w:rPr>
        <w:t xml:space="preserve"> transthyretin amyloidosis</w:t>
      </w:r>
      <w:r>
        <w:rPr>
          <w:szCs w:val="18"/>
        </w:rPr>
        <w:t xml:space="preserve">; </w:t>
      </w:r>
      <w:r>
        <w:t>SAEs serious adverse events.</w:t>
      </w:r>
    </w:p>
    <w:p w14:paraId="1D8F5DA5" w14:textId="77777777" w:rsidR="00840557" w:rsidRDefault="00840557" w:rsidP="00840557">
      <w:pPr>
        <w:pStyle w:val="ExecSumBodyText"/>
        <w:numPr>
          <w:ilvl w:val="1"/>
          <w:numId w:val="1"/>
        </w:numPr>
      </w:pPr>
      <w:r w:rsidRPr="00A25D8F">
        <w:t>The proportions of patients reporting events was similar between the tafamidis and placebo treatment arms. Smaller proportions of patients reported treatment related adverse events in the tafamidis 20 mg treatment arm (38.6%) compared to tafamidis 80 mg (44.9%) and placebo (50.8%). Larger proportions of patients receiving placebo (28.8%) reported adverse events resulting in discontinuation compared to tafamidis (18.2-22.7%). Death due to unknown causes or unrelated to ATTR-CM were similar between treatment arms.</w:t>
      </w:r>
    </w:p>
    <w:p w14:paraId="20083D2A" w14:textId="4E8B14ED" w:rsidR="00840557" w:rsidRDefault="00840557" w:rsidP="00840557">
      <w:pPr>
        <w:pStyle w:val="ExecSumBodyText"/>
        <w:numPr>
          <w:ilvl w:val="1"/>
          <w:numId w:val="1"/>
        </w:numPr>
      </w:pPr>
      <w:r w:rsidRPr="006D6DAE">
        <w:t xml:space="preserve">The most common treatment related adverse events reported </w:t>
      </w:r>
      <w:r>
        <w:t>in the tafamidis 80</w:t>
      </w:r>
      <w:r w:rsidR="00CA4A14">
        <w:t> </w:t>
      </w:r>
      <w:r>
        <w:t>mg or placebo treatment arms</w:t>
      </w:r>
      <w:r w:rsidRPr="006D6DAE">
        <w:t xml:space="preserve"> were gastrointestinal </w:t>
      </w:r>
      <w:r>
        <w:t>disorders (d</w:t>
      </w:r>
      <w:r w:rsidRPr="006D6DAE">
        <w:t xml:space="preserve">iarrhoea </w:t>
      </w:r>
      <w:r>
        <w:t>and nausea), infections and infestations, and urinary tract infections. The most commonly reported treatment emergent adverse events reported by patients treated with tafamidis 20</w:t>
      </w:r>
      <w:r w:rsidR="00674A09">
        <w:t> </w:t>
      </w:r>
      <w:r>
        <w:t xml:space="preserve">mg and tafamidis 80 mg were cardiac failure (34.1%; 26.1%), falls (30.7%; 24.4%), atrial fibrillation </w:t>
      </w:r>
      <w:r w:rsidRPr="008346C1">
        <w:t>(18.2%; 19.9%)</w:t>
      </w:r>
      <w:r>
        <w:t xml:space="preserve">, dyspnoea (23.9%; 16.5%), peripheral oedema (19.3%; 17.0%), fatigue (18.2%; 16.5%), and pain in extremity (6.8%; 15.3%). </w:t>
      </w:r>
    </w:p>
    <w:p w14:paraId="771F2CE7" w14:textId="75632FAD" w:rsidR="00840557" w:rsidRDefault="00840557" w:rsidP="00840557">
      <w:pPr>
        <w:pStyle w:val="ExecSumBodyText"/>
        <w:numPr>
          <w:ilvl w:val="1"/>
          <w:numId w:val="1"/>
        </w:numPr>
        <w:rPr>
          <w:iCs/>
        </w:rPr>
      </w:pPr>
      <w:r w:rsidRPr="00A25D8F">
        <w:rPr>
          <w:lang w:val="en-US"/>
        </w:rPr>
        <w:t xml:space="preserve">No </w:t>
      </w:r>
      <w:r w:rsidRPr="00A25D8F">
        <w:t xml:space="preserve">new important identified or potential safety risks </w:t>
      </w:r>
      <w:proofErr w:type="gramStart"/>
      <w:r w:rsidRPr="00A25D8F">
        <w:t>were identified</w:t>
      </w:r>
      <w:proofErr w:type="gramEnd"/>
      <w:r w:rsidRPr="00A25D8F">
        <w:t xml:space="preserve"> in the most recent tafamidis periodic safety update report (PSUR) for the period 16 May 20</w:t>
      </w:r>
      <w:r>
        <w:t>22</w:t>
      </w:r>
      <w:r w:rsidRPr="00A25D8F">
        <w:t xml:space="preserve"> to 15 </w:t>
      </w:r>
      <w:r>
        <w:t xml:space="preserve">November </w:t>
      </w:r>
      <w:r w:rsidRPr="00A25D8F">
        <w:t>202</w:t>
      </w:r>
      <w:r>
        <w:t>2</w:t>
      </w:r>
      <w:r w:rsidRPr="00A25D8F">
        <w:t xml:space="preserve">, and no new safety risks identified in ongoing longer-term safety studies. </w:t>
      </w:r>
      <w:r w:rsidRPr="009B152B">
        <w:rPr>
          <w:iCs/>
        </w:rPr>
        <w:t>Interim results of pre-specified safety outcomes for treatment emergent adverse events in the B3461045 long-term extension study were not reported.</w:t>
      </w:r>
      <w:r w:rsidR="0068459C">
        <w:rPr>
          <w:iCs/>
        </w:rPr>
        <w:t xml:space="preserve"> </w:t>
      </w:r>
    </w:p>
    <w:p w14:paraId="7928E5BF" w14:textId="4633D482" w:rsidR="0068459C" w:rsidRPr="001F4A02" w:rsidRDefault="0068459C" w:rsidP="00840557">
      <w:pPr>
        <w:pStyle w:val="ExecSumBodyText"/>
        <w:numPr>
          <w:ilvl w:val="1"/>
          <w:numId w:val="1"/>
        </w:numPr>
        <w:rPr>
          <w:iCs/>
        </w:rPr>
      </w:pPr>
      <w:r w:rsidRPr="001F4A02">
        <w:rPr>
          <w:iCs/>
        </w:rPr>
        <w:t xml:space="preserve">The ESC noted that the safety </w:t>
      </w:r>
      <w:r w:rsidR="00F370B4" w:rsidRPr="001F4A02">
        <w:rPr>
          <w:iCs/>
        </w:rPr>
        <w:t>data for tafamidis were still based on relatively few patients.</w:t>
      </w:r>
    </w:p>
    <w:p w14:paraId="020A800D" w14:textId="77777777" w:rsidR="00840557" w:rsidRPr="0061435E" w:rsidRDefault="00840557" w:rsidP="00840557">
      <w:pPr>
        <w:pStyle w:val="COMH2-non-numbered"/>
      </w:pPr>
      <w:bookmarkStart w:id="36" w:name="_Toc132552505"/>
      <w:bookmarkStart w:id="37" w:name="_Toc134118708"/>
      <w:bookmarkStart w:id="38" w:name="_Toc135227614"/>
      <w:r w:rsidRPr="0061435E">
        <w:t>Benefits/harms</w:t>
      </w:r>
      <w:bookmarkEnd w:id="36"/>
      <w:bookmarkEnd w:id="37"/>
      <w:bookmarkEnd w:id="38"/>
    </w:p>
    <w:p w14:paraId="67DF1603" w14:textId="335016ED" w:rsidR="00840557" w:rsidRPr="009B152B" w:rsidRDefault="00840557" w:rsidP="00840557">
      <w:pPr>
        <w:pStyle w:val="ExecSumBodyText"/>
        <w:numPr>
          <w:ilvl w:val="1"/>
          <w:numId w:val="1"/>
        </w:numPr>
        <w:rPr>
          <w:iCs/>
        </w:rPr>
      </w:pPr>
      <w:r w:rsidRPr="009B152B">
        <w:rPr>
          <w:iCs/>
          <w:lang w:val="en-US"/>
        </w:rPr>
        <w:t xml:space="preserve">Benefits and harms based on the results of the direct ATTR-ACT trial are unchanged from the previous submissions. Insufficient information was available to assess benefits and harms in the </w:t>
      </w:r>
      <w:r w:rsidR="003D7EBC">
        <w:rPr>
          <w:iCs/>
          <w:lang w:val="en-US"/>
        </w:rPr>
        <w:t xml:space="preserve">relevant </w:t>
      </w:r>
      <w:r w:rsidRPr="009B152B">
        <w:rPr>
          <w:iCs/>
          <w:lang w:val="en-US"/>
        </w:rPr>
        <w:t>subgroup of patients with NYHA class I/II at baseline.</w:t>
      </w:r>
    </w:p>
    <w:p w14:paraId="745C6022" w14:textId="77777777" w:rsidR="00840557" w:rsidRPr="00A25D8F" w:rsidRDefault="00840557" w:rsidP="00CA4A14">
      <w:pPr>
        <w:pStyle w:val="ExecSumBodyText"/>
        <w:numPr>
          <w:ilvl w:val="1"/>
          <w:numId w:val="1"/>
        </w:numPr>
      </w:pPr>
      <w:r w:rsidRPr="00A25D8F">
        <w:t>On the basis of direct comparison evidence presented in the submission, for every 100 patients treated for 30 months with tafamidis meglumine 80 mg in combination with standard treatment, in comparison with standard treatment alone:</w:t>
      </w:r>
    </w:p>
    <w:p w14:paraId="16E0F08A" w14:textId="02916935" w:rsidR="00840557" w:rsidRPr="00A25D8F" w:rsidRDefault="00840557" w:rsidP="00A9171C">
      <w:pPr>
        <w:pStyle w:val="Bulletpoints"/>
        <w:numPr>
          <w:ilvl w:val="0"/>
          <w:numId w:val="10"/>
        </w:numPr>
        <w:ind w:left="1077" w:hanging="357"/>
        <w:contextualSpacing w:val="0"/>
      </w:pPr>
      <w:r w:rsidRPr="00A25D8F">
        <w:t xml:space="preserve">Approximately 12 </w:t>
      </w:r>
      <w:r w:rsidR="00D371F6">
        <w:t>additional</w:t>
      </w:r>
      <w:r w:rsidR="00D371F6" w:rsidRPr="00A25D8F">
        <w:t xml:space="preserve"> </w:t>
      </w:r>
      <w:r w:rsidRPr="00A25D8F">
        <w:t xml:space="preserve">patients will </w:t>
      </w:r>
      <w:r w:rsidR="00D371F6">
        <w:t>be alive at 30 months</w:t>
      </w:r>
      <w:r w:rsidRPr="00A25D8F">
        <w:t>.</w:t>
      </w:r>
    </w:p>
    <w:p w14:paraId="047C4812" w14:textId="77777777" w:rsidR="00840557" w:rsidRPr="00A25D8F" w:rsidRDefault="00840557" w:rsidP="00A9171C">
      <w:pPr>
        <w:pStyle w:val="Bulletpoints"/>
        <w:numPr>
          <w:ilvl w:val="0"/>
          <w:numId w:val="10"/>
        </w:numPr>
        <w:ind w:left="1077" w:hanging="357"/>
        <w:contextualSpacing w:val="0"/>
      </w:pPr>
      <w:r w:rsidRPr="00A25D8F">
        <w:t xml:space="preserve">Approximately 6 fewer patients will experience </w:t>
      </w:r>
      <w:r>
        <w:t>cardiovascular</w:t>
      </w:r>
      <w:r w:rsidRPr="00A25D8F">
        <w:t xml:space="preserve"> related hospitalisation.</w:t>
      </w:r>
    </w:p>
    <w:p w14:paraId="2EE580AE" w14:textId="77777777" w:rsidR="00840557" w:rsidRPr="00A25D8F" w:rsidRDefault="00840557" w:rsidP="00A9171C">
      <w:pPr>
        <w:pStyle w:val="Bulletpoints"/>
        <w:numPr>
          <w:ilvl w:val="0"/>
          <w:numId w:val="10"/>
        </w:numPr>
        <w:ind w:left="1077" w:hanging="357"/>
        <w:contextualSpacing w:val="0"/>
      </w:pPr>
      <w:r w:rsidRPr="00A25D8F">
        <w:t>Approximately 6 fewer patients will experience a treatment related adverse event.</w:t>
      </w:r>
    </w:p>
    <w:p w14:paraId="35865825" w14:textId="77777777" w:rsidR="00840557" w:rsidRDefault="00840557" w:rsidP="00A9171C">
      <w:pPr>
        <w:pStyle w:val="Bulletpoints"/>
        <w:numPr>
          <w:ilvl w:val="0"/>
          <w:numId w:val="10"/>
        </w:numPr>
        <w:ind w:left="1077" w:hanging="357"/>
        <w:contextualSpacing w:val="0"/>
      </w:pPr>
      <w:r w:rsidRPr="00A25D8F">
        <w:t>Approximately 2 fewer patients will experience a serious adverse event.</w:t>
      </w:r>
    </w:p>
    <w:p w14:paraId="7A1772B6" w14:textId="23BB3145" w:rsidR="00B60939" w:rsidRPr="00C9624D" w:rsidRDefault="00B60939" w:rsidP="00E9094A">
      <w:pPr>
        <w:pStyle w:val="COMH2-non-numbered"/>
      </w:pPr>
      <w:bookmarkStart w:id="39" w:name="_Toc22897644"/>
      <w:bookmarkStart w:id="40" w:name="_Toc134118709"/>
      <w:bookmarkStart w:id="41" w:name="_Toc135227615"/>
      <w:bookmarkEnd w:id="34"/>
      <w:r w:rsidRPr="00C9624D">
        <w:t>Clinical claim</w:t>
      </w:r>
      <w:bookmarkEnd w:id="39"/>
      <w:bookmarkEnd w:id="40"/>
      <w:bookmarkEnd w:id="41"/>
    </w:p>
    <w:p w14:paraId="07F3C31F" w14:textId="645AD3A3" w:rsidR="003B77E9" w:rsidRDefault="00840557" w:rsidP="003B77E9">
      <w:pPr>
        <w:pStyle w:val="ExecSumBodyText"/>
        <w:numPr>
          <w:ilvl w:val="1"/>
          <w:numId w:val="1"/>
        </w:numPr>
      </w:pPr>
      <w:bookmarkStart w:id="42" w:name="_Toc22897645"/>
      <w:r w:rsidRPr="00A25D8F">
        <w:t xml:space="preserve">The resubmission described tafamidis 61 mg </w:t>
      </w:r>
      <w:r>
        <w:t>(equivalent to tafamidis meglumine 80</w:t>
      </w:r>
      <w:r w:rsidR="00CA4A14">
        <w:t> </w:t>
      </w:r>
      <w:r>
        <w:t xml:space="preserve">mg), </w:t>
      </w:r>
      <w:r w:rsidRPr="00123908">
        <w:t>as superior in terms of effectiveness an</w:t>
      </w:r>
      <w:r w:rsidRPr="00A25D8F">
        <w:t xml:space="preserve">d inferior in terms of safety, compared to standard management </w:t>
      </w:r>
      <w:r>
        <w:t>of ATTR-CM heart failure</w:t>
      </w:r>
      <w:r w:rsidR="003B77E9">
        <w:t>.</w:t>
      </w:r>
    </w:p>
    <w:p w14:paraId="4A7C248D" w14:textId="4D6C54A5" w:rsidR="003B77E9" w:rsidRDefault="00B22902" w:rsidP="003B77E9">
      <w:pPr>
        <w:pStyle w:val="ExecSumBodyText"/>
        <w:numPr>
          <w:ilvl w:val="1"/>
          <w:numId w:val="1"/>
        </w:numPr>
      </w:pPr>
      <w:r w:rsidRPr="009B152B">
        <w:t xml:space="preserve">The PBAC previously accepted the clinical claim that tafamidis is superior in terms of efficacy and inferior in terms of safety compared with </w:t>
      </w:r>
      <w:r w:rsidR="004B3559" w:rsidRPr="009B152B">
        <w:t xml:space="preserve">standard </w:t>
      </w:r>
      <w:r w:rsidRPr="009B152B">
        <w:t xml:space="preserve">management (paras 7.7-7.9, Tafamidis PSD, March 2021 PBAC meeting). The PBAC considered that previous concerns regarding the magnitude of benefit in the Australian PBS population were lessened by the revised restriction limiting initiation of tafamidis to NYHA class I/II, as well as additional data presented in the March 2021 submission; and that although a moderate amount of uncertainty remained, the PBAC recognised that tafamidis provided a substantial and clinically relevant improvement in efficacy overall (para 7.8 Tafamidis PSD, March 2021 PBAC meeting). </w:t>
      </w:r>
    </w:p>
    <w:p w14:paraId="4FF81A7A" w14:textId="7522EDCE" w:rsidR="00F370B4" w:rsidRDefault="00F370B4" w:rsidP="003B77E9">
      <w:pPr>
        <w:pStyle w:val="ExecSumBodyText"/>
        <w:numPr>
          <w:ilvl w:val="1"/>
          <w:numId w:val="1"/>
        </w:numPr>
      </w:pPr>
      <w:r w:rsidRPr="001F4A02">
        <w:t>The ESC considered that the clinical claim of superior efficacy and inferior safety for tafamidis compared with standard management of ATTR-CM heart failure remained supported.</w:t>
      </w:r>
    </w:p>
    <w:p w14:paraId="46063C81" w14:textId="3546D86A" w:rsidR="00A9171C" w:rsidRPr="00CE42B4" w:rsidRDefault="00A9171C" w:rsidP="00A9171C">
      <w:pPr>
        <w:widowControl w:val="0"/>
        <w:numPr>
          <w:ilvl w:val="1"/>
          <w:numId w:val="1"/>
        </w:numPr>
        <w:spacing w:after="120"/>
        <w:ind w:left="720" w:hanging="720"/>
        <w:rPr>
          <w:rFonts w:asciiTheme="minorHAnsi" w:hAnsiTheme="minorHAnsi"/>
          <w:snapToGrid w:val="0"/>
          <w:szCs w:val="20"/>
        </w:rPr>
      </w:pPr>
      <w:bookmarkStart w:id="43"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superior comparative effectiveness was reasonable.</w:t>
      </w:r>
    </w:p>
    <w:p w14:paraId="5809E60E" w14:textId="42F5FC81" w:rsidR="00A9171C" w:rsidRPr="00CA4A14" w:rsidRDefault="00A9171C" w:rsidP="00CA4A14">
      <w:pPr>
        <w:widowControl w:val="0"/>
        <w:numPr>
          <w:ilvl w:val="1"/>
          <w:numId w:val="1"/>
        </w:numPr>
        <w:spacing w:after="120"/>
        <w:ind w:left="720" w:hanging="720"/>
        <w:rPr>
          <w:rFonts w:asciiTheme="minorHAnsi" w:hAnsiTheme="minorHAnsi"/>
          <w:snapToGrid w:val="0"/>
          <w:szCs w:val="20"/>
        </w:rPr>
      </w:pPr>
      <w:r w:rsidRPr="00CE42B4">
        <w:rPr>
          <w:rFonts w:asciiTheme="minorHAnsi" w:hAnsiTheme="minorHAnsi"/>
          <w:snapToGrid w:val="0"/>
          <w:szCs w:val="20"/>
        </w:rPr>
        <w:t>The PBAC considered that the claim of inferior comparative safety was reasonable.</w:t>
      </w:r>
      <w:bookmarkEnd w:id="43"/>
    </w:p>
    <w:p w14:paraId="74A1172E" w14:textId="128C170E" w:rsidR="00B60939" w:rsidRPr="00C9624D" w:rsidRDefault="00B60939" w:rsidP="00E9094A">
      <w:pPr>
        <w:pStyle w:val="COMH2-non-numbered"/>
      </w:pPr>
      <w:bookmarkStart w:id="44" w:name="_Toc134118710"/>
      <w:bookmarkStart w:id="45" w:name="_Toc135227616"/>
      <w:r w:rsidRPr="00C9624D">
        <w:t>Economic analysis</w:t>
      </w:r>
      <w:bookmarkEnd w:id="42"/>
      <w:bookmarkEnd w:id="44"/>
      <w:bookmarkEnd w:id="45"/>
      <w:r w:rsidR="00491B3A" w:rsidRPr="00C9624D">
        <w:t xml:space="preserve"> </w:t>
      </w:r>
    </w:p>
    <w:p w14:paraId="111AA61D" w14:textId="77777777" w:rsidR="00840557" w:rsidRPr="0061435E" w:rsidRDefault="00840557" w:rsidP="00840557">
      <w:pPr>
        <w:pStyle w:val="COMexecsumnumberedpara"/>
        <w:rPr>
          <w:b/>
          <w:bCs/>
        </w:rPr>
      </w:pPr>
      <w:bookmarkStart w:id="46" w:name="_Toc22897646"/>
      <w:r w:rsidRPr="0061435E">
        <w:t xml:space="preserve">The resubmission presented a modelled economic evaluation of tafamidis added to standard management compared to standard management alone for the treatment of ATTR-CM. The economic evaluation was based on the ATTR-ACT trial with additional modelled data. The economic evaluation was presented as a cost-effectiveness/cost-utility analysis. </w:t>
      </w:r>
    </w:p>
    <w:p w14:paraId="4663700A" w14:textId="06B4E327" w:rsidR="00840557" w:rsidRPr="0061435E" w:rsidRDefault="007C2B92" w:rsidP="00CA4A14">
      <w:pPr>
        <w:pStyle w:val="COMexecsumnumberedpara"/>
      </w:pPr>
      <w:r>
        <w:t>For the September 2021 Early Resolution submission, a</w:t>
      </w:r>
      <w:r w:rsidR="00840557" w:rsidRPr="0061435E">
        <w:t xml:space="preserve"> number of changes </w:t>
      </w:r>
      <w:r>
        <w:t>had been</w:t>
      </w:r>
      <w:r w:rsidRPr="0061435E">
        <w:t xml:space="preserve"> </w:t>
      </w:r>
      <w:r w:rsidR="00840557" w:rsidRPr="0061435E">
        <w:t>made to the model presented in the March 2021 submission:</w:t>
      </w:r>
    </w:p>
    <w:p w14:paraId="6FCE10BD" w14:textId="77777777" w:rsidR="00840557" w:rsidRPr="0061435E" w:rsidRDefault="00840557" w:rsidP="00CA4A14">
      <w:pPr>
        <w:pStyle w:val="COMexecsummbulletlist"/>
      </w:pPr>
      <w:r w:rsidRPr="0061435E">
        <w:t>Corrections to errors in hospitalisation costs, health state costs, and diagnosis costs, identified during the March 2021 evaluation.</w:t>
      </w:r>
    </w:p>
    <w:p w14:paraId="4F650C15" w14:textId="70CF868F" w:rsidR="00840557" w:rsidRPr="0061435E" w:rsidRDefault="00840557" w:rsidP="00CA4A14">
      <w:pPr>
        <w:pStyle w:val="COMexecsummbulletlist"/>
      </w:pPr>
      <w:r w:rsidRPr="0061435E">
        <w:t>Allowing for increasing mortality over time and a reduced treatment effect for tafamidis on mortality (</w:t>
      </w:r>
      <w:r w:rsidR="00FF0DF6">
        <w:t xml:space="preserve">composite outcome of </w:t>
      </w:r>
      <w:r w:rsidRPr="0061435E">
        <w:t>death/transplant/VAD) to</w:t>
      </w:r>
      <w:r w:rsidR="0023299C">
        <w:t xml:space="preserve"> attempt to</w:t>
      </w:r>
      <w:r w:rsidRPr="0061435E">
        <w:t xml:space="preserve"> account for treatment-related discontinuation, presented in the March</w:t>
      </w:r>
      <w:r w:rsidR="00CA4A14">
        <w:t> </w:t>
      </w:r>
      <w:r w:rsidRPr="0061435E">
        <w:t>2021 pre-PBAC response.</w:t>
      </w:r>
    </w:p>
    <w:p w14:paraId="728D7158" w14:textId="77777777" w:rsidR="00840557" w:rsidRPr="0061435E" w:rsidRDefault="00840557" w:rsidP="00CA4A14">
      <w:pPr>
        <w:pStyle w:val="COMexecsummbulletlist"/>
        <w:ind w:hanging="357"/>
      </w:pPr>
      <w:r w:rsidRPr="0061435E">
        <w:t xml:space="preserve">Incorporating treatment discontinuation for patients in the tafamidis arm with persistent NYHA class III/IV (i.e. in NYHA class III/IV for more than one consecutive cycle). </w:t>
      </w:r>
    </w:p>
    <w:p w14:paraId="37423681" w14:textId="4E28CD72" w:rsidR="00840557" w:rsidRPr="0061435E" w:rsidRDefault="00840557" w:rsidP="00CA4A14">
      <w:pPr>
        <w:pStyle w:val="COMexecsummbulletlist"/>
      </w:pPr>
      <w:r w:rsidRPr="0061435E">
        <w:t>A reduction in the effective DPMQ for tafamidis (from $</w:t>
      </w:r>
      <w:r w:rsidR="00B474C2" w:rsidRPr="004826FD">
        <w:rPr>
          <w:color w:val="000000"/>
          <w:w w:val="15"/>
          <w:shd w:val="solid" w:color="000000" w:fill="000000"/>
          <w:fitText w:val="-20" w:id="-1168367355"/>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55"/>
          <w14:textFill>
            <w14:solidFill>
              <w14:srgbClr w14:val="000000">
                <w14:alpha w14:val="100000"/>
              </w14:srgbClr>
            </w14:solidFill>
          </w14:textFill>
        </w:rPr>
        <w:t>|</w:t>
      </w:r>
      <w:r w:rsidRPr="0061435E">
        <w:t xml:space="preserve"> to $</w:t>
      </w:r>
      <w:r w:rsidR="00B474C2" w:rsidRPr="004826FD">
        <w:rPr>
          <w:color w:val="000000"/>
          <w:w w:val="15"/>
          <w:shd w:val="solid" w:color="000000" w:fill="000000"/>
          <w:fitText w:val="-20" w:id="-1168367354"/>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54"/>
          <w14:textFill>
            <w14:solidFill>
              <w14:srgbClr w14:val="000000">
                <w14:alpha w14:val="100000"/>
              </w14:srgbClr>
            </w14:solidFill>
          </w14:textFill>
        </w:rPr>
        <w:t>|</w:t>
      </w:r>
      <w:r w:rsidRPr="0061435E">
        <w:t xml:space="preserve"> for the first 3 years and $</w:t>
      </w:r>
      <w:r w:rsidR="00B474C2" w:rsidRPr="004826FD">
        <w:rPr>
          <w:color w:val="000000"/>
          <w:w w:val="15"/>
          <w:shd w:val="solid" w:color="000000" w:fill="000000"/>
          <w:fitText w:val="-20" w:id="-1168367353"/>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53"/>
          <w14:textFill>
            <w14:solidFill>
              <w14:srgbClr w14:val="000000">
                <w14:alpha w14:val="100000"/>
              </w14:srgbClr>
            </w14:solidFill>
          </w14:textFill>
        </w:rPr>
        <w:t>|</w:t>
      </w:r>
      <w:r w:rsidRPr="0061435E">
        <w:t xml:space="preserve"> for subsequent years).</w:t>
      </w:r>
    </w:p>
    <w:p w14:paraId="0231BE52" w14:textId="77777777" w:rsidR="00840557" w:rsidRPr="0061435E" w:rsidRDefault="00840557" w:rsidP="00CA4A14">
      <w:pPr>
        <w:pStyle w:val="COMexecsumnumberedpara"/>
        <w:keepNext/>
      </w:pPr>
      <w:r w:rsidRPr="0061435E">
        <w:t>The key changes to the economic model between the September 2021 and the current resubmissions are:</w:t>
      </w:r>
    </w:p>
    <w:p w14:paraId="495EFFE5" w14:textId="77777777" w:rsidR="00840557" w:rsidRPr="0061435E" w:rsidRDefault="00840557" w:rsidP="00CA4A14">
      <w:pPr>
        <w:pStyle w:val="COMexecsummbulletlist"/>
      </w:pPr>
      <w:r w:rsidRPr="0061435E">
        <w:t>Updated data were used to inform the time to treatment discontinuation curve (based on the ATTR-ACT long-term extension study).</w:t>
      </w:r>
    </w:p>
    <w:p w14:paraId="5C8BBF32" w14:textId="3B864E66" w:rsidR="00840557" w:rsidRPr="0061435E" w:rsidRDefault="00840557" w:rsidP="00CA4A14">
      <w:pPr>
        <w:pStyle w:val="COMexecsummbulletlist"/>
      </w:pPr>
      <w:r w:rsidRPr="0061435E">
        <w:t>Hospitalisation costs were updated using more recent AR-DRG</w:t>
      </w:r>
      <w:r w:rsidR="007A6435">
        <w:t xml:space="preserve"> cost weight</w:t>
      </w:r>
      <w:r w:rsidRPr="0061435E">
        <w:t>s.</w:t>
      </w:r>
    </w:p>
    <w:p w14:paraId="7832CB2F" w14:textId="77777777" w:rsidR="00840557" w:rsidRPr="0061435E" w:rsidRDefault="00840557" w:rsidP="00CA4A14">
      <w:pPr>
        <w:pStyle w:val="COMexecsummbulletlist"/>
      </w:pPr>
      <w:r w:rsidRPr="0061435E">
        <w:t>Diagnosis costs were applied to both the tafamidis and standard management arms (previously only applied to the tafamidis arm), to reflect increased awareness of ATTR-CM.</w:t>
      </w:r>
    </w:p>
    <w:p w14:paraId="4FA9CB1A" w14:textId="306B5ED0" w:rsidR="00840557" w:rsidRPr="0061435E" w:rsidRDefault="00840557" w:rsidP="00CA4A14">
      <w:pPr>
        <w:pStyle w:val="COMexecsummbulletlist"/>
      </w:pPr>
      <w:r w:rsidRPr="0061435E">
        <w:t>A reduction in the effective DPMQ for tafamidis ($</w:t>
      </w:r>
      <w:r w:rsidR="00B474C2" w:rsidRPr="004826FD">
        <w:rPr>
          <w:color w:val="000000"/>
          <w:w w:val="15"/>
          <w:shd w:val="solid" w:color="000000" w:fill="000000"/>
          <w:fitText w:val="-20" w:id="-1168367352"/>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52"/>
          <w14:textFill>
            <w14:solidFill>
              <w14:srgbClr w14:val="000000">
                <w14:alpha w14:val="100000"/>
              </w14:srgbClr>
            </w14:solidFill>
          </w14:textFill>
        </w:rPr>
        <w:t>|</w:t>
      </w:r>
      <w:r w:rsidRPr="0061435E">
        <w:t xml:space="preserve"> for the first 3 years and $</w:t>
      </w:r>
      <w:r w:rsidR="00B474C2" w:rsidRPr="004826FD">
        <w:rPr>
          <w:color w:val="000000"/>
          <w:w w:val="15"/>
          <w:shd w:val="solid" w:color="000000" w:fill="000000"/>
          <w:fitText w:val="-20" w:id="-1168367351"/>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51"/>
          <w14:textFill>
            <w14:solidFill>
              <w14:srgbClr w14:val="000000">
                <w14:alpha w14:val="100000"/>
              </w14:srgbClr>
            </w14:solidFill>
          </w14:textFill>
        </w:rPr>
        <w:t>|</w:t>
      </w:r>
      <w:r w:rsidRPr="0061435E">
        <w:t xml:space="preserve"> for subsequent years).</w:t>
      </w:r>
    </w:p>
    <w:p w14:paraId="3FE17631" w14:textId="61089F5B" w:rsidR="00840557" w:rsidRPr="0061435E" w:rsidRDefault="00840557" w:rsidP="00CA4A14">
      <w:pPr>
        <w:pStyle w:val="COMexecsummbulletlist"/>
      </w:pPr>
      <w:r w:rsidRPr="0061435E">
        <w:t>A dose intensity of 97.67% was applied to account for non-adherence with tafamidis treatment (previous submissions assumed perfect adherence</w:t>
      </w:r>
      <w:r w:rsidR="0023299C">
        <w:t>)</w:t>
      </w:r>
      <w:r w:rsidRPr="0061435E">
        <w:t>.</w:t>
      </w:r>
    </w:p>
    <w:p w14:paraId="47801629" w14:textId="51F70DD1" w:rsidR="00840557" w:rsidRPr="0061435E" w:rsidRDefault="00840557" w:rsidP="00840557">
      <w:pPr>
        <w:pStyle w:val="COMexecsumnumberedpara"/>
      </w:pPr>
      <w:r w:rsidRPr="0061435E">
        <w:fldChar w:fldCharType="begin" w:fldLock="1"/>
      </w:r>
      <w:r w:rsidRPr="0061435E">
        <w:instrText xml:space="preserve"> REF _Ref132378073 \h </w:instrText>
      </w:r>
      <w:r w:rsidRPr="0061435E">
        <w:fldChar w:fldCharType="separate"/>
      </w:r>
      <w:r w:rsidR="0015761E" w:rsidRPr="0061435E">
        <w:t xml:space="preserve">Table </w:t>
      </w:r>
      <w:r w:rsidR="0015761E">
        <w:rPr>
          <w:noProof/>
        </w:rPr>
        <w:t>7</w:t>
      </w:r>
      <w:r w:rsidRPr="0061435E">
        <w:fldChar w:fldCharType="end"/>
      </w:r>
      <w:r w:rsidRPr="0061435E">
        <w:t xml:space="preserve"> summarises the key components of the economic evaluation.</w:t>
      </w:r>
    </w:p>
    <w:p w14:paraId="17DEED00" w14:textId="72FA44D9" w:rsidR="00840557" w:rsidRPr="0061435E" w:rsidRDefault="00840557" w:rsidP="00CA4A14">
      <w:pPr>
        <w:pStyle w:val="COMTableheadingrow"/>
        <w:keepLines/>
      </w:pPr>
      <w:bookmarkStart w:id="47" w:name="_Ref132378073"/>
      <w:r w:rsidRPr="0061435E">
        <w:t xml:space="preserve">Table </w:t>
      </w:r>
      <w:r w:rsidR="006412A5">
        <w:fldChar w:fldCharType="begin" w:fldLock="1"/>
      </w:r>
      <w:r w:rsidR="006412A5">
        <w:instrText xml:space="preserve"> SEQ Table \* ARABIC </w:instrText>
      </w:r>
      <w:r w:rsidR="006412A5">
        <w:fldChar w:fldCharType="separate"/>
      </w:r>
      <w:r w:rsidR="0015761E">
        <w:rPr>
          <w:noProof/>
        </w:rPr>
        <w:t>7</w:t>
      </w:r>
      <w:r w:rsidR="006412A5">
        <w:rPr>
          <w:noProof/>
        </w:rPr>
        <w:fldChar w:fldCharType="end"/>
      </w:r>
      <w:bookmarkEnd w:id="47"/>
      <w:r w:rsidRPr="0061435E">
        <w:t>: 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7: Key components of the economic evaluation"/>
      </w:tblPr>
      <w:tblGrid>
        <w:gridCol w:w="1834"/>
        <w:gridCol w:w="7181"/>
      </w:tblGrid>
      <w:tr w:rsidR="00840557" w:rsidRPr="0061435E" w14:paraId="6D5540B0" w14:textId="77777777" w:rsidTr="004631A4">
        <w:trPr>
          <w:tblHeader/>
        </w:trPr>
        <w:tc>
          <w:tcPr>
            <w:tcW w:w="1017" w:type="pct"/>
            <w:shd w:val="clear" w:color="auto" w:fill="auto"/>
          </w:tcPr>
          <w:p w14:paraId="5E36E520" w14:textId="77777777" w:rsidR="00840557" w:rsidRPr="0061435E" w:rsidRDefault="00840557" w:rsidP="00CA4A14">
            <w:pPr>
              <w:pStyle w:val="TableText"/>
              <w:keepLines/>
              <w:rPr>
                <w:b/>
              </w:rPr>
            </w:pPr>
            <w:r w:rsidRPr="0061435E">
              <w:rPr>
                <w:b/>
              </w:rPr>
              <w:t xml:space="preserve">Component </w:t>
            </w:r>
          </w:p>
        </w:tc>
        <w:tc>
          <w:tcPr>
            <w:tcW w:w="3983" w:type="pct"/>
            <w:shd w:val="clear" w:color="auto" w:fill="auto"/>
          </w:tcPr>
          <w:p w14:paraId="7B00EB71" w14:textId="77777777" w:rsidR="00840557" w:rsidRPr="0061435E" w:rsidRDefault="00840557" w:rsidP="00CA4A14">
            <w:pPr>
              <w:pStyle w:val="TableText"/>
              <w:keepLines/>
              <w:rPr>
                <w:b/>
              </w:rPr>
            </w:pPr>
            <w:r w:rsidRPr="0061435E">
              <w:rPr>
                <w:b/>
              </w:rPr>
              <w:t>Description</w:t>
            </w:r>
          </w:p>
        </w:tc>
      </w:tr>
      <w:tr w:rsidR="00840557" w:rsidRPr="0061435E" w14:paraId="312889E6" w14:textId="77777777" w:rsidTr="004631A4">
        <w:tc>
          <w:tcPr>
            <w:tcW w:w="1017" w:type="pct"/>
            <w:shd w:val="clear" w:color="auto" w:fill="auto"/>
            <w:vAlign w:val="center"/>
          </w:tcPr>
          <w:p w14:paraId="7A9F9CD7" w14:textId="77777777" w:rsidR="00840557" w:rsidRPr="0061435E" w:rsidRDefault="00840557" w:rsidP="00CA4A14">
            <w:pPr>
              <w:pStyle w:val="TableText"/>
              <w:keepLines/>
            </w:pPr>
            <w:r w:rsidRPr="0061435E">
              <w:t>Treatments</w:t>
            </w:r>
          </w:p>
        </w:tc>
        <w:tc>
          <w:tcPr>
            <w:tcW w:w="3983" w:type="pct"/>
            <w:shd w:val="clear" w:color="auto" w:fill="auto"/>
            <w:vAlign w:val="center"/>
          </w:tcPr>
          <w:p w14:paraId="5850DC84" w14:textId="77777777" w:rsidR="00840557" w:rsidRPr="0061435E" w:rsidRDefault="00840557" w:rsidP="00CA4A14">
            <w:pPr>
              <w:pStyle w:val="TableText"/>
              <w:keepLines/>
              <w:rPr>
                <w:rFonts w:eastAsia="Times New Roman" w:cs="Times New Roman"/>
                <w:szCs w:val="20"/>
              </w:rPr>
            </w:pPr>
            <w:r w:rsidRPr="0061435E">
              <w:rPr>
                <w:rFonts w:eastAsia="Times New Roman" w:cs="Times New Roman"/>
                <w:szCs w:val="20"/>
              </w:rPr>
              <w:t>Tafamidis plus standard management; standard management alone</w:t>
            </w:r>
          </w:p>
        </w:tc>
      </w:tr>
      <w:tr w:rsidR="00840557" w:rsidRPr="0061435E" w14:paraId="61B3DF1C" w14:textId="77777777" w:rsidTr="004631A4">
        <w:tc>
          <w:tcPr>
            <w:tcW w:w="1017" w:type="pct"/>
            <w:shd w:val="clear" w:color="auto" w:fill="auto"/>
            <w:vAlign w:val="center"/>
          </w:tcPr>
          <w:p w14:paraId="7B3EFD24" w14:textId="77777777" w:rsidR="00840557" w:rsidRPr="0061435E" w:rsidRDefault="00840557" w:rsidP="00CA4A14">
            <w:pPr>
              <w:pStyle w:val="TableText"/>
              <w:keepLines/>
              <w:rPr>
                <w:rFonts w:eastAsia="Times New Roman" w:cs="Times New Roman"/>
                <w:szCs w:val="20"/>
              </w:rPr>
            </w:pPr>
            <w:r w:rsidRPr="0061435E">
              <w:t>Time horizon</w:t>
            </w:r>
          </w:p>
        </w:tc>
        <w:tc>
          <w:tcPr>
            <w:tcW w:w="3983" w:type="pct"/>
            <w:shd w:val="clear" w:color="auto" w:fill="auto"/>
            <w:vAlign w:val="center"/>
          </w:tcPr>
          <w:p w14:paraId="318F4E19" w14:textId="3F508B72" w:rsidR="00840557" w:rsidRPr="0061435E" w:rsidRDefault="00840557" w:rsidP="00CA4A14">
            <w:pPr>
              <w:pStyle w:val="TableText"/>
              <w:keepLines/>
              <w:rPr>
                <w:rFonts w:cs="Times New Roman"/>
                <w:bCs w:val="0"/>
                <w:szCs w:val="20"/>
              </w:rPr>
            </w:pPr>
            <w:r w:rsidRPr="0061435E">
              <w:rPr>
                <w:rFonts w:eastAsia="Times New Roman" w:cs="Times New Roman"/>
                <w:szCs w:val="20"/>
              </w:rPr>
              <w:t>20 years versus 2.5 years in the ATTR-ACT trial.</w:t>
            </w:r>
          </w:p>
        </w:tc>
      </w:tr>
      <w:tr w:rsidR="00840557" w:rsidRPr="0061435E" w14:paraId="15F72B6E" w14:textId="77777777" w:rsidTr="004631A4">
        <w:tc>
          <w:tcPr>
            <w:tcW w:w="1017" w:type="pct"/>
            <w:shd w:val="clear" w:color="auto" w:fill="auto"/>
            <w:vAlign w:val="center"/>
          </w:tcPr>
          <w:p w14:paraId="4C8320B2" w14:textId="77777777" w:rsidR="00840557" w:rsidRPr="0061435E" w:rsidRDefault="00840557" w:rsidP="00CA4A14">
            <w:pPr>
              <w:pStyle w:val="TableText"/>
              <w:keepLines/>
            </w:pPr>
            <w:r w:rsidRPr="0061435E">
              <w:t>Outcomes</w:t>
            </w:r>
          </w:p>
        </w:tc>
        <w:tc>
          <w:tcPr>
            <w:tcW w:w="3983" w:type="pct"/>
            <w:shd w:val="clear" w:color="auto" w:fill="auto"/>
          </w:tcPr>
          <w:p w14:paraId="5D8A193D" w14:textId="77777777" w:rsidR="00840557" w:rsidRPr="0061435E" w:rsidRDefault="00840557" w:rsidP="00CA4A14">
            <w:pPr>
              <w:pStyle w:val="TableText"/>
              <w:keepLines/>
            </w:pPr>
            <w:r w:rsidRPr="0061435E">
              <w:t>Life years; quality adjusted life years</w:t>
            </w:r>
          </w:p>
        </w:tc>
      </w:tr>
      <w:tr w:rsidR="00840557" w:rsidRPr="0061435E" w14:paraId="2706BCB4" w14:textId="77777777" w:rsidTr="004631A4">
        <w:tc>
          <w:tcPr>
            <w:tcW w:w="1017" w:type="pct"/>
            <w:shd w:val="clear" w:color="auto" w:fill="auto"/>
            <w:vAlign w:val="center"/>
          </w:tcPr>
          <w:p w14:paraId="4649CE83" w14:textId="77777777" w:rsidR="00840557" w:rsidRPr="0061435E" w:rsidRDefault="00840557" w:rsidP="00CA4A14">
            <w:pPr>
              <w:pStyle w:val="TableText"/>
              <w:keepLines/>
              <w:rPr>
                <w:rFonts w:eastAsia="Times New Roman" w:cs="Times New Roman"/>
                <w:szCs w:val="20"/>
              </w:rPr>
            </w:pPr>
            <w:r w:rsidRPr="0061435E">
              <w:t>Methods used to generate results</w:t>
            </w:r>
          </w:p>
        </w:tc>
        <w:tc>
          <w:tcPr>
            <w:tcW w:w="3983" w:type="pct"/>
            <w:shd w:val="clear" w:color="auto" w:fill="auto"/>
          </w:tcPr>
          <w:p w14:paraId="1884503C" w14:textId="77777777" w:rsidR="00840557" w:rsidRPr="0061435E" w:rsidRDefault="00840557" w:rsidP="00CA4A14">
            <w:pPr>
              <w:pStyle w:val="TableText"/>
              <w:keepLines/>
            </w:pPr>
            <w:r w:rsidRPr="0061435E">
              <w:t>Markov state transition model</w:t>
            </w:r>
          </w:p>
        </w:tc>
      </w:tr>
      <w:tr w:rsidR="00840557" w:rsidRPr="0061435E" w14:paraId="277B763A" w14:textId="77777777" w:rsidTr="004631A4">
        <w:tc>
          <w:tcPr>
            <w:tcW w:w="1017" w:type="pct"/>
            <w:shd w:val="clear" w:color="auto" w:fill="auto"/>
            <w:vAlign w:val="center"/>
          </w:tcPr>
          <w:p w14:paraId="488213FD" w14:textId="77777777" w:rsidR="00840557" w:rsidRPr="0061435E" w:rsidRDefault="00840557" w:rsidP="00CA4A14">
            <w:pPr>
              <w:pStyle w:val="TableText"/>
              <w:keepLines/>
              <w:rPr>
                <w:rFonts w:eastAsia="Times New Roman" w:cs="Times New Roman"/>
                <w:szCs w:val="20"/>
              </w:rPr>
            </w:pPr>
            <w:r w:rsidRPr="0061435E">
              <w:t>Health states</w:t>
            </w:r>
          </w:p>
        </w:tc>
        <w:tc>
          <w:tcPr>
            <w:tcW w:w="3983" w:type="pct"/>
            <w:shd w:val="clear" w:color="auto" w:fill="auto"/>
            <w:vAlign w:val="center"/>
          </w:tcPr>
          <w:p w14:paraId="4145BF81" w14:textId="77777777" w:rsidR="00840557" w:rsidRPr="0061435E" w:rsidRDefault="00840557" w:rsidP="00CA4A14">
            <w:pPr>
              <w:pStyle w:val="TableText"/>
              <w:keepLines/>
              <w:rPr>
                <w:rFonts w:eastAsia="Times New Roman" w:cs="Arial"/>
                <w:bCs w:val="0"/>
                <w:snapToGrid w:val="0"/>
                <w:szCs w:val="20"/>
              </w:rPr>
            </w:pPr>
            <w:r w:rsidRPr="0061435E">
              <w:rPr>
                <w:rFonts w:eastAsia="Times New Roman" w:cs="Arial"/>
                <w:bCs w:val="0"/>
                <w:snapToGrid w:val="0"/>
                <w:szCs w:val="20"/>
              </w:rPr>
              <w:t>9 health states</w:t>
            </w:r>
          </w:p>
          <w:p w14:paraId="2BD0959A" w14:textId="77777777" w:rsidR="00840557" w:rsidRPr="0061435E" w:rsidRDefault="00840557" w:rsidP="00CA4A14">
            <w:pPr>
              <w:pStyle w:val="ListParagraph"/>
              <w:keepNext/>
              <w:keepLines/>
              <w:numPr>
                <w:ilvl w:val="0"/>
                <w:numId w:val="18"/>
              </w:numPr>
              <w:spacing w:after="0"/>
              <w:ind w:left="142" w:hanging="142"/>
              <w:jc w:val="left"/>
              <w:rPr>
                <w:rFonts w:ascii="Arial Narrow" w:hAnsi="Arial Narrow"/>
                <w:sz w:val="20"/>
                <w:szCs w:val="20"/>
              </w:rPr>
            </w:pPr>
            <w:r w:rsidRPr="0061435E">
              <w:rPr>
                <w:rFonts w:ascii="Arial Narrow" w:hAnsi="Arial Narrow"/>
                <w:sz w:val="20"/>
                <w:szCs w:val="20"/>
              </w:rPr>
              <w:t>NYHA class I/II, no CV hospitalisation (on treatment)</w:t>
            </w:r>
          </w:p>
          <w:p w14:paraId="7C07F156" w14:textId="77777777" w:rsidR="00840557" w:rsidRPr="0061435E" w:rsidRDefault="00840557" w:rsidP="00CA4A14">
            <w:pPr>
              <w:pStyle w:val="ListParagraph"/>
              <w:keepNext/>
              <w:keepLines/>
              <w:numPr>
                <w:ilvl w:val="0"/>
                <w:numId w:val="18"/>
              </w:numPr>
              <w:spacing w:after="0"/>
              <w:ind w:left="142" w:hanging="142"/>
              <w:jc w:val="left"/>
              <w:rPr>
                <w:rFonts w:ascii="Arial Narrow" w:hAnsi="Arial Narrow"/>
                <w:sz w:val="20"/>
                <w:szCs w:val="20"/>
              </w:rPr>
            </w:pPr>
            <w:r w:rsidRPr="0061435E">
              <w:rPr>
                <w:rFonts w:ascii="Arial Narrow" w:hAnsi="Arial Narrow"/>
                <w:sz w:val="20"/>
                <w:szCs w:val="20"/>
              </w:rPr>
              <w:t>NYHA class I/II, CV hospitalisation (on treatment)</w:t>
            </w:r>
          </w:p>
          <w:p w14:paraId="57C25984" w14:textId="77777777" w:rsidR="00840557" w:rsidRPr="0061435E" w:rsidRDefault="00840557" w:rsidP="00CA4A14">
            <w:pPr>
              <w:pStyle w:val="ListParagraph"/>
              <w:keepNext/>
              <w:keepLines/>
              <w:numPr>
                <w:ilvl w:val="0"/>
                <w:numId w:val="18"/>
              </w:numPr>
              <w:spacing w:after="0"/>
              <w:ind w:left="142" w:hanging="142"/>
              <w:jc w:val="left"/>
              <w:rPr>
                <w:rFonts w:ascii="Arial Narrow" w:hAnsi="Arial Narrow"/>
                <w:sz w:val="20"/>
                <w:szCs w:val="20"/>
              </w:rPr>
            </w:pPr>
            <w:r w:rsidRPr="0061435E">
              <w:rPr>
                <w:rFonts w:ascii="Arial Narrow" w:hAnsi="Arial Narrow"/>
                <w:sz w:val="20"/>
                <w:szCs w:val="20"/>
              </w:rPr>
              <w:t>NYHA class I/II, no CV hospitalisation (off treatment)</w:t>
            </w:r>
          </w:p>
          <w:p w14:paraId="55F0FEBC" w14:textId="77777777" w:rsidR="00840557" w:rsidRPr="0061435E" w:rsidRDefault="00840557" w:rsidP="00CA4A14">
            <w:pPr>
              <w:pStyle w:val="ListParagraph"/>
              <w:keepNext/>
              <w:keepLines/>
              <w:numPr>
                <w:ilvl w:val="0"/>
                <w:numId w:val="18"/>
              </w:numPr>
              <w:spacing w:after="0"/>
              <w:ind w:left="142" w:hanging="142"/>
              <w:jc w:val="left"/>
              <w:rPr>
                <w:rFonts w:ascii="Arial Narrow" w:hAnsi="Arial Narrow"/>
                <w:sz w:val="20"/>
                <w:szCs w:val="20"/>
              </w:rPr>
            </w:pPr>
            <w:r w:rsidRPr="0061435E">
              <w:rPr>
                <w:rFonts w:ascii="Arial Narrow" w:hAnsi="Arial Narrow"/>
                <w:sz w:val="20"/>
                <w:szCs w:val="20"/>
              </w:rPr>
              <w:t>NYHA class I/II, CV hospitalisation (off treatment)</w:t>
            </w:r>
          </w:p>
          <w:p w14:paraId="19694DB6" w14:textId="77777777" w:rsidR="00840557" w:rsidRPr="0061435E" w:rsidRDefault="00840557" w:rsidP="00CA4A14">
            <w:pPr>
              <w:pStyle w:val="ListParagraph"/>
              <w:keepNext/>
              <w:keepLines/>
              <w:numPr>
                <w:ilvl w:val="0"/>
                <w:numId w:val="18"/>
              </w:numPr>
              <w:spacing w:after="0"/>
              <w:ind w:left="142" w:hanging="142"/>
              <w:jc w:val="left"/>
              <w:rPr>
                <w:rFonts w:ascii="Arial Narrow" w:hAnsi="Arial Narrow"/>
                <w:sz w:val="20"/>
                <w:szCs w:val="20"/>
              </w:rPr>
            </w:pPr>
            <w:r w:rsidRPr="0061435E">
              <w:rPr>
                <w:rFonts w:ascii="Arial Narrow" w:hAnsi="Arial Narrow"/>
                <w:sz w:val="20"/>
                <w:szCs w:val="20"/>
              </w:rPr>
              <w:t>NYHA class III/IV, no CV hospitalisation (on treatment)</w:t>
            </w:r>
          </w:p>
          <w:p w14:paraId="77D709AB" w14:textId="77777777" w:rsidR="00840557" w:rsidRPr="0061435E" w:rsidRDefault="00840557" w:rsidP="00CA4A14">
            <w:pPr>
              <w:pStyle w:val="ListParagraph"/>
              <w:keepNext/>
              <w:keepLines/>
              <w:numPr>
                <w:ilvl w:val="0"/>
                <w:numId w:val="18"/>
              </w:numPr>
              <w:spacing w:after="0"/>
              <w:ind w:left="142" w:hanging="142"/>
              <w:jc w:val="left"/>
              <w:rPr>
                <w:rFonts w:ascii="Arial Narrow" w:hAnsi="Arial Narrow"/>
                <w:sz w:val="20"/>
                <w:szCs w:val="20"/>
              </w:rPr>
            </w:pPr>
            <w:r w:rsidRPr="0061435E">
              <w:rPr>
                <w:rFonts w:ascii="Arial Narrow" w:hAnsi="Arial Narrow"/>
                <w:sz w:val="20"/>
                <w:szCs w:val="20"/>
              </w:rPr>
              <w:t>NYHA class III/IV, CV hospitalisation (on treatment)</w:t>
            </w:r>
          </w:p>
          <w:p w14:paraId="0F9ADB10" w14:textId="77777777" w:rsidR="00840557" w:rsidRPr="0061435E" w:rsidRDefault="00840557" w:rsidP="00CA4A14">
            <w:pPr>
              <w:pStyle w:val="ListParagraph"/>
              <w:keepNext/>
              <w:keepLines/>
              <w:numPr>
                <w:ilvl w:val="0"/>
                <w:numId w:val="18"/>
              </w:numPr>
              <w:spacing w:after="0"/>
              <w:ind w:left="142" w:hanging="142"/>
              <w:jc w:val="left"/>
              <w:rPr>
                <w:rFonts w:ascii="Arial Narrow" w:hAnsi="Arial Narrow"/>
                <w:sz w:val="20"/>
                <w:szCs w:val="20"/>
              </w:rPr>
            </w:pPr>
            <w:r w:rsidRPr="0061435E">
              <w:rPr>
                <w:rFonts w:ascii="Arial Narrow" w:hAnsi="Arial Narrow"/>
                <w:sz w:val="20"/>
                <w:szCs w:val="20"/>
              </w:rPr>
              <w:t>NYHA class III/IV, no CV hospitalisation (off treatment)</w:t>
            </w:r>
          </w:p>
          <w:p w14:paraId="42D2A4B1" w14:textId="77777777" w:rsidR="00840557" w:rsidRPr="0061435E" w:rsidRDefault="00840557" w:rsidP="00CA4A14">
            <w:pPr>
              <w:pStyle w:val="ListParagraph"/>
              <w:keepNext/>
              <w:keepLines/>
              <w:numPr>
                <w:ilvl w:val="0"/>
                <w:numId w:val="18"/>
              </w:numPr>
              <w:spacing w:after="0"/>
              <w:ind w:left="142" w:hanging="142"/>
              <w:jc w:val="left"/>
              <w:rPr>
                <w:rFonts w:ascii="Arial Narrow" w:hAnsi="Arial Narrow"/>
                <w:sz w:val="20"/>
                <w:szCs w:val="20"/>
              </w:rPr>
            </w:pPr>
            <w:r w:rsidRPr="0061435E">
              <w:rPr>
                <w:rFonts w:ascii="Arial Narrow" w:hAnsi="Arial Narrow"/>
                <w:sz w:val="20"/>
                <w:szCs w:val="20"/>
              </w:rPr>
              <w:t>NYHA class III/IV, CV hospitalisation (off treatment)</w:t>
            </w:r>
          </w:p>
          <w:p w14:paraId="2604F6C4" w14:textId="4E2F9157" w:rsidR="00840557" w:rsidRPr="0061435E" w:rsidRDefault="00840557" w:rsidP="00CA4A14">
            <w:pPr>
              <w:pStyle w:val="ListParagraph"/>
              <w:keepNext/>
              <w:keepLines/>
              <w:numPr>
                <w:ilvl w:val="0"/>
                <w:numId w:val="18"/>
              </w:numPr>
              <w:spacing w:after="0"/>
              <w:ind w:left="142" w:hanging="142"/>
              <w:jc w:val="left"/>
              <w:rPr>
                <w:rFonts w:ascii="Arial Narrow" w:hAnsi="Arial Narrow"/>
                <w:sz w:val="20"/>
                <w:szCs w:val="20"/>
              </w:rPr>
            </w:pPr>
            <w:r w:rsidRPr="0061435E">
              <w:rPr>
                <w:rFonts w:ascii="Arial Narrow" w:hAnsi="Arial Narrow"/>
                <w:sz w:val="20"/>
                <w:szCs w:val="20"/>
              </w:rPr>
              <w:t>Dead</w:t>
            </w:r>
          </w:p>
        </w:tc>
      </w:tr>
      <w:tr w:rsidR="00840557" w:rsidRPr="0061435E" w14:paraId="07178E02" w14:textId="77777777" w:rsidTr="004631A4">
        <w:tc>
          <w:tcPr>
            <w:tcW w:w="1017" w:type="pct"/>
            <w:shd w:val="clear" w:color="auto" w:fill="auto"/>
            <w:vAlign w:val="center"/>
          </w:tcPr>
          <w:p w14:paraId="46734B50" w14:textId="77777777" w:rsidR="00840557" w:rsidRPr="0061435E" w:rsidRDefault="00840557" w:rsidP="00CA4A14">
            <w:pPr>
              <w:pStyle w:val="TableText"/>
              <w:keepLines/>
              <w:rPr>
                <w:rFonts w:eastAsia="Times New Roman" w:cs="Times New Roman"/>
                <w:szCs w:val="20"/>
              </w:rPr>
            </w:pPr>
            <w:r w:rsidRPr="0061435E">
              <w:t>Cycle length</w:t>
            </w:r>
          </w:p>
        </w:tc>
        <w:tc>
          <w:tcPr>
            <w:tcW w:w="3983" w:type="pct"/>
            <w:shd w:val="clear" w:color="auto" w:fill="auto"/>
            <w:vAlign w:val="center"/>
          </w:tcPr>
          <w:p w14:paraId="501D1766" w14:textId="77777777" w:rsidR="00840557" w:rsidRPr="0061435E" w:rsidRDefault="00840557" w:rsidP="00CA4A14">
            <w:pPr>
              <w:pStyle w:val="TableText"/>
              <w:keepLines/>
            </w:pPr>
            <w:r w:rsidRPr="0061435E">
              <w:t>6 months</w:t>
            </w:r>
          </w:p>
        </w:tc>
      </w:tr>
      <w:tr w:rsidR="00840557" w:rsidRPr="0061435E" w14:paraId="35CEC4D1" w14:textId="77777777" w:rsidTr="004631A4">
        <w:tc>
          <w:tcPr>
            <w:tcW w:w="1017" w:type="pct"/>
            <w:shd w:val="clear" w:color="auto" w:fill="auto"/>
            <w:vAlign w:val="center"/>
          </w:tcPr>
          <w:p w14:paraId="2DAF900F" w14:textId="77777777" w:rsidR="00840557" w:rsidRPr="0061435E" w:rsidRDefault="00840557" w:rsidP="00CA4A14">
            <w:pPr>
              <w:pStyle w:val="TableText"/>
              <w:keepLines/>
            </w:pPr>
            <w:r w:rsidRPr="0061435E">
              <w:t xml:space="preserve">Transition probabilities </w:t>
            </w:r>
          </w:p>
        </w:tc>
        <w:tc>
          <w:tcPr>
            <w:tcW w:w="3983" w:type="pct"/>
            <w:shd w:val="clear" w:color="auto" w:fill="auto"/>
          </w:tcPr>
          <w:p w14:paraId="4336652B" w14:textId="4BEB0D74" w:rsidR="00840557" w:rsidRPr="0061435E" w:rsidRDefault="00840557" w:rsidP="00CA4A14">
            <w:pPr>
              <w:pStyle w:val="TableText"/>
              <w:keepLines/>
              <w:spacing w:after="60"/>
            </w:pPr>
            <w:r w:rsidRPr="0061435E">
              <w:t>Individual patient data from the ATTR-ACT trial were used to derive transition probabilities for movement between NYHA classes I/II and II/IV, CV-related hospitalisations, and death over the first five 6-month cycles.</w:t>
            </w:r>
          </w:p>
          <w:p w14:paraId="18D3F4AC" w14:textId="089359DD" w:rsidR="00840557" w:rsidRPr="0061435E" w:rsidRDefault="00840557" w:rsidP="00CA4A14">
            <w:pPr>
              <w:pStyle w:val="TableText"/>
              <w:keepLines/>
              <w:spacing w:after="60"/>
            </w:pPr>
            <w:r w:rsidRPr="0061435E">
              <w:t>Transition probabilities beyond the 30-month duration of the ATTR-ACT trial were based on weighted averages of the first five 6-month cycles</w:t>
            </w:r>
            <w:r w:rsidR="009C5199">
              <w:t>. D</w:t>
            </w:r>
            <w:r w:rsidRPr="0061435E">
              <w:t xml:space="preserve">eath transitions </w:t>
            </w:r>
            <w:r w:rsidR="009C5199">
              <w:t xml:space="preserve">were </w:t>
            </w:r>
            <w:r w:rsidRPr="0061435E">
              <w:t>assumed to increase by 5.3% per 6-month cycle from cycle 7</w:t>
            </w:r>
            <w:r w:rsidR="009C5199">
              <w:t>, consistent with the sensitivity analysis presented in the March 2021 pre-PBAC response</w:t>
            </w:r>
            <w:r w:rsidRPr="0061435E">
              <w:t>.</w:t>
            </w:r>
          </w:p>
          <w:p w14:paraId="165E19FE" w14:textId="77777777" w:rsidR="00840557" w:rsidRPr="0061435E" w:rsidRDefault="00840557" w:rsidP="00CA4A14">
            <w:pPr>
              <w:pStyle w:val="TableText"/>
              <w:keepLines/>
              <w:spacing w:after="60"/>
            </w:pPr>
            <w:r w:rsidRPr="0061435E">
              <w:t>The number of hospitalisations per hospitalised patient was derived for each treatment arm based on the average annual hospitalisations per patient for those alive at Month 30 from the ATTR-ACT trial, adjusted for the likelihood of being hospitalised for NYHA class I/II versus class I/II/III patients, adjusted for the 6-monthly cycle length, and divided by the proportion of patients hospitalised.</w:t>
            </w:r>
          </w:p>
          <w:p w14:paraId="3317DEE5" w14:textId="0FA37608" w:rsidR="00840557" w:rsidRPr="0061435E" w:rsidRDefault="00840557" w:rsidP="00CA4A14">
            <w:pPr>
              <w:pStyle w:val="TableText"/>
              <w:keepLines/>
              <w:rPr>
                <w:szCs w:val="20"/>
              </w:rPr>
            </w:pPr>
            <w:r w:rsidRPr="0061435E">
              <w:rPr>
                <w:szCs w:val="20"/>
              </w:rPr>
              <w:t>The probability of discontinuation in the tafamidis arm was estimated by fitting an exponential curve to ATTR-ACT data for the subset of patients with NYHA class I/II at baseline. The relative benefit of tafamidis in reducing the risk of death was reduced from cycle 7 proportional to treatment-related discontinuation</w:t>
            </w:r>
            <w:r w:rsidR="009C5199">
              <w:t>, consistent with the sensitivity analysis presented in the March 2021 pre-PBAC response</w:t>
            </w:r>
            <w:r w:rsidRPr="0061435E">
              <w:rPr>
                <w:szCs w:val="20"/>
              </w:rPr>
              <w:t>.</w:t>
            </w:r>
          </w:p>
        </w:tc>
      </w:tr>
      <w:tr w:rsidR="00840557" w:rsidRPr="0061435E" w14:paraId="70DE0D15" w14:textId="77777777" w:rsidTr="004631A4">
        <w:tc>
          <w:tcPr>
            <w:tcW w:w="1017" w:type="pct"/>
            <w:shd w:val="clear" w:color="auto" w:fill="auto"/>
            <w:vAlign w:val="center"/>
          </w:tcPr>
          <w:p w14:paraId="586166A8" w14:textId="77777777" w:rsidR="00840557" w:rsidRPr="0061435E" w:rsidRDefault="00840557" w:rsidP="00CA4A14">
            <w:pPr>
              <w:pStyle w:val="TableText"/>
              <w:keepLines/>
            </w:pPr>
            <w:r w:rsidRPr="0061435E">
              <w:t>Utility values</w:t>
            </w:r>
          </w:p>
        </w:tc>
        <w:tc>
          <w:tcPr>
            <w:tcW w:w="3983" w:type="pct"/>
            <w:shd w:val="clear" w:color="auto" w:fill="auto"/>
            <w:vAlign w:val="center"/>
          </w:tcPr>
          <w:p w14:paraId="2BAC27FB" w14:textId="77777777" w:rsidR="00840557" w:rsidRPr="0061435E" w:rsidRDefault="00840557" w:rsidP="00CA4A14">
            <w:pPr>
              <w:pStyle w:val="Tabletext1"/>
              <w:keepNext/>
              <w:keepLines/>
              <w:spacing w:after="60"/>
              <w:rPr>
                <w:rFonts w:eastAsia="Calibri"/>
              </w:rPr>
            </w:pPr>
            <w:r w:rsidRPr="0061435E">
              <w:rPr>
                <w:rFonts w:eastAsia="Calibri"/>
              </w:rPr>
              <w:t xml:space="preserve">Utilities were based on a </w:t>
            </w:r>
            <w:r w:rsidRPr="0061435E">
              <w:rPr>
                <w:rFonts w:eastAsia="Calibri"/>
                <w:i/>
                <w:iCs/>
              </w:rPr>
              <w:t xml:space="preserve">post hoc </w:t>
            </w:r>
            <w:r w:rsidRPr="0061435E">
              <w:rPr>
                <w:rFonts w:eastAsia="Calibri"/>
              </w:rPr>
              <w:t>reanalysis of EQ-5D-3L data (UK value set) from the ATTR-ACT trial by treatment arm and NHYA class.</w:t>
            </w:r>
          </w:p>
          <w:p w14:paraId="06867FB6" w14:textId="77777777" w:rsidR="00840557" w:rsidRPr="0061435E" w:rsidRDefault="00840557" w:rsidP="00CA4A14">
            <w:pPr>
              <w:pStyle w:val="TableText"/>
              <w:keepLines/>
              <w:rPr>
                <w:szCs w:val="20"/>
              </w:rPr>
            </w:pPr>
            <w:r w:rsidRPr="0061435E">
              <w:rPr>
                <w:rFonts w:eastAsia="Calibri"/>
              </w:rPr>
              <w:t xml:space="preserve">No additional disutility assumed for cardiovascular hospitalisation. </w:t>
            </w:r>
          </w:p>
        </w:tc>
      </w:tr>
      <w:tr w:rsidR="00840557" w:rsidRPr="0061435E" w14:paraId="61B4DDC6" w14:textId="77777777" w:rsidTr="004631A4">
        <w:tc>
          <w:tcPr>
            <w:tcW w:w="1017" w:type="pct"/>
            <w:shd w:val="clear" w:color="auto" w:fill="auto"/>
            <w:vAlign w:val="center"/>
          </w:tcPr>
          <w:p w14:paraId="11A8BFAA" w14:textId="77777777" w:rsidR="00840557" w:rsidRPr="0061435E" w:rsidRDefault="00840557" w:rsidP="00CA4A14">
            <w:pPr>
              <w:pStyle w:val="TableText"/>
              <w:keepLines/>
            </w:pPr>
            <w:r w:rsidRPr="0061435E">
              <w:t>Costs</w:t>
            </w:r>
          </w:p>
        </w:tc>
        <w:tc>
          <w:tcPr>
            <w:tcW w:w="3983" w:type="pct"/>
            <w:shd w:val="clear" w:color="auto" w:fill="auto"/>
            <w:vAlign w:val="center"/>
          </w:tcPr>
          <w:p w14:paraId="11CD98EE" w14:textId="77777777" w:rsidR="00840557" w:rsidRPr="0061435E" w:rsidRDefault="00840557" w:rsidP="00CA4A14">
            <w:pPr>
              <w:pStyle w:val="Tabletext1"/>
              <w:keepNext/>
              <w:keepLines/>
              <w:spacing w:after="60"/>
              <w:rPr>
                <w:rFonts w:eastAsia="Calibri"/>
              </w:rPr>
            </w:pPr>
            <w:r w:rsidRPr="0061435E">
              <w:rPr>
                <w:rFonts w:eastAsia="Calibri"/>
              </w:rPr>
              <w:t>Diagnostic costs were estimated based on expert advice on health resource use from a sponsor-commissioned physician survey and costings based on MBS and AR-DRG items. Costs were applied to both the tafamidis and standard management arms.</w:t>
            </w:r>
          </w:p>
          <w:p w14:paraId="17709078" w14:textId="77777777" w:rsidR="00840557" w:rsidRPr="0061435E" w:rsidRDefault="00840557" w:rsidP="00CA4A14">
            <w:pPr>
              <w:pStyle w:val="Tabletext1"/>
              <w:keepNext/>
              <w:keepLines/>
              <w:spacing w:after="60"/>
              <w:rPr>
                <w:rFonts w:eastAsia="Calibri"/>
              </w:rPr>
            </w:pPr>
            <w:r w:rsidRPr="0061435E">
              <w:rPr>
                <w:rFonts w:eastAsia="Calibri"/>
              </w:rPr>
              <w:t>Tafamidis drug costs estimated based on proposed effective DPMQs.</w:t>
            </w:r>
          </w:p>
          <w:p w14:paraId="5463134D" w14:textId="77777777" w:rsidR="00840557" w:rsidRPr="0061435E" w:rsidRDefault="00840557" w:rsidP="00CA4A14">
            <w:pPr>
              <w:pStyle w:val="Tabletext1"/>
              <w:keepNext/>
              <w:keepLines/>
              <w:spacing w:after="60"/>
              <w:rPr>
                <w:rFonts w:eastAsia="Calibri"/>
              </w:rPr>
            </w:pPr>
            <w:r w:rsidRPr="0061435E">
              <w:rPr>
                <w:rFonts w:eastAsia="Calibri"/>
              </w:rPr>
              <w:t>Cardiovascular hospitalisation costs estimated as the weighted average of 93 cardiovascular-related AR-DRG items. Cost estimates inflated using the AIHW Total Health Price Index.</w:t>
            </w:r>
          </w:p>
          <w:p w14:paraId="77E8444A" w14:textId="77777777" w:rsidR="00840557" w:rsidRPr="0061435E" w:rsidRDefault="00840557" w:rsidP="00CA4A14">
            <w:pPr>
              <w:pStyle w:val="Tabletext1"/>
              <w:keepNext/>
              <w:keepLines/>
              <w:spacing w:after="60"/>
              <w:rPr>
                <w:rFonts w:eastAsia="Calibri"/>
              </w:rPr>
            </w:pPr>
            <w:r w:rsidRPr="0061435E">
              <w:rPr>
                <w:rFonts w:eastAsia="Calibri"/>
              </w:rPr>
              <w:t>Disease management costs were estimated from published studies (Ademi 2014, Ford 2012). Cost estimates inflated using the AIHW Total Health Price Index.</w:t>
            </w:r>
          </w:p>
          <w:p w14:paraId="2490CA7D" w14:textId="77777777" w:rsidR="00840557" w:rsidRPr="0061435E" w:rsidRDefault="00840557" w:rsidP="00CA4A14">
            <w:pPr>
              <w:pStyle w:val="TableText"/>
              <w:keepLines/>
              <w:rPr>
                <w:szCs w:val="20"/>
              </w:rPr>
            </w:pPr>
            <w:r w:rsidRPr="0061435E">
              <w:rPr>
                <w:rFonts w:eastAsia="Calibri"/>
              </w:rPr>
              <w:t>Terminal care costs were estimated based on the assumption that half of all deaths would be preceded by a cardiovascular-related hospitalisation.</w:t>
            </w:r>
          </w:p>
        </w:tc>
      </w:tr>
    </w:tbl>
    <w:p w14:paraId="72ACCFE4" w14:textId="13E2EE51" w:rsidR="00840557" w:rsidRPr="0061435E" w:rsidRDefault="00840557" w:rsidP="00CA4A14">
      <w:pPr>
        <w:pStyle w:val="COMTablefooter"/>
        <w:keepNext/>
        <w:keepLines/>
      </w:pPr>
      <w:r w:rsidRPr="0061435E">
        <w:t xml:space="preserve">Source: Table 3.1.4, </w:t>
      </w:r>
      <w:r w:rsidR="00886855">
        <w:t>p</w:t>
      </w:r>
      <w:r w:rsidRPr="0061435E">
        <w:t>221 and Section 3 of the current resubmission</w:t>
      </w:r>
      <w:r w:rsidR="00EB0B28">
        <w:t>.</w:t>
      </w:r>
    </w:p>
    <w:p w14:paraId="6AB04B4C" w14:textId="7F257372" w:rsidR="00840557" w:rsidRPr="0061435E" w:rsidRDefault="00840557" w:rsidP="00840557">
      <w:pPr>
        <w:pStyle w:val="COMTablefooter"/>
      </w:pPr>
      <w:r w:rsidRPr="0061435E">
        <w:t>Abbreviations: AIHW, Australian Institute of Health and Welfare; AR-DRG, Australian Refined Diagnosis Related Groups; CV, cardiovascular; DPMQ, dispensed price for maximum quantity; MBS, Medicare Benefits Schedule; NYHA, New York Heart Association</w:t>
      </w:r>
    </w:p>
    <w:p w14:paraId="08458AFD" w14:textId="3047AF15" w:rsidR="00840557" w:rsidRPr="0061435E" w:rsidRDefault="00840557" w:rsidP="00840557">
      <w:pPr>
        <w:pStyle w:val="COMexecsumnumberedpara"/>
      </w:pPr>
      <w:r w:rsidRPr="0061435E">
        <w:rPr>
          <w:lang w:eastAsia="en-US"/>
        </w:rPr>
        <w:t>The model structure was revised in the current resubmission (and in the September</w:t>
      </w:r>
      <w:r w:rsidR="00CA4A14">
        <w:rPr>
          <w:lang w:eastAsia="en-US"/>
        </w:rPr>
        <w:t> </w:t>
      </w:r>
      <w:r w:rsidRPr="0061435E">
        <w:rPr>
          <w:lang w:eastAsia="en-US"/>
        </w:rPr>
        <w:t xml:space="preserve">2021 resubmission) to incorporate tafamidis treatment discontinuation for patients with persistent NYHA class III heart failure. </w:t>
      </w:r>
      <w:r w:rsidRPr="0061435E">
        <w:t>This necessitated the inclusion of additional health states to track the number of cycles in NYHA III/IV health states, and on/off treatment.</w:t>
      </w:r>
    </w:p>
    <w:p w14:paraId="6EF1C05C" w14:textId="3AEAAD0B" w:rsidR="00840557" w:rsidRPr="0061435E" w:rsidRDefault="00840557" w:rsidP="00840557">
      <w:pPr>
        <w:pStyle w:val="COMexecsumnumberedpara"/>
        <w:rPr>
          <w:lang w:eastAsia="en-US"/>
        </w:rPr>
      </w:pPr>
      <w:r w:rsidRPr="0061435E">
        <w:rPr>
          <w:lang w:eastAsia="en-US"/>
        </w:rPr>
        <w:t xml:space="preserve">The revised model structure is illustrated in </w:t>
      </w:r>
      <w:r w:rsidRPr="0061435E">
        <w:rPr>
          <w:lang w:eastAsia="en-US"/>
        </w:rPr>
        <w:fldChar w:fldCharType="begin" w:fldLock="1"/>
      </w:r>
      <w:r w:rsidRPr="0061435E">
        <w:rPr>
          <w:lang w:eastAsia="en-US"/>
        </w:rPr>
        <w:instrText xml:space="preserve"> REF _Ref132378286 \h </w:instrText>
      </w:r>
      <w:r w:rsidRPr="0061435E">
        <w:rPr>
          <w:lang w:eastAsia="en-US"/>
        </w:rPr>
      </w:r>
      <w:r w:rsidRPr="0061435E">
        <w:rPr>
          <w:lang w:eastAsia="en-US"/>
        </w:rPr>
        <w:fldChar w:fldCharType="separate"/>
      </w:r>
      <w:r w:rsidR="0015761E" w:rsidRPr="0061435E">
        <w:rPr>
          <w:noProof/>
        </w:rPr>
        <w:t xml:space="preserve">Figure </w:t>
      </w:r>
      <w:r w:rsidR="0015761E">
        <w:rPr>
          <w:noProof/>
        </w:rPr>
        <w:t>1</w:t>
      </w:r>
      <w:r w:rsidRPr="0061435E">
        <w:rPr>
          <w:lang w:eastAsia="en-US"/>
        </w:rPr>
        <w:fldChar w:fldCharType="end"/>
      </w:r>
      <w:r w:rsidRPr="0061435E">
        <w:rPr>
          <w:lang w:eastAsia="en-US"/>
        </w:rPr>
        <w:t xml:space="preserve"> below.</w:t>
      </w:r>
    </w:p>
    <w:p w14:paraId="4B6D68F5" w14:textId="2C0A74D1" w:rsidR="00840557" w:rsidRPr="0061435E" w:rsidRDefault="00840557" w:rsidP="00375E99">
      <w:pPr>
        <w:pStyle w:val="COMTableheadingrow"/>
        <w:rPr>
          <w:noProof/>
        </w:rPr>
      </w:pPr>
      <w:bookmarkStart w:id="48" w:name="_Ref132378286"/>
      <w:bookmarkStart w:id="49" w:name="_Ref132378281"/>
      <w:r w:rsidRPr="0061435E">
        <w:rPr>
          <w:noProof/>
        </w:rPr>
        <w:t xml:space="preserve">Figure </w:t>
      </w:r>
      <w:r w:rsidRPr="0061435E">
        <w:rPr>
          <w:noProof/>
        </w:rPr>
        <w:fldChar w:fldCharType="begin" w:fldLock="1"/>
      </w:r>
      <w:r w:rsidRPr="0061435E">
        <w:rPr>
          <w:noProof/>
        </w:rPr>
        <w:instrText xml:space="preserve"> SEQ Figure \* ARABIC </w:instrText>
      </w:r>
      <w:r w:rsidRPr="0061435E">
        <w:rPr>
          <w:noProof/>
        </w:rPr>
        <w:fldChar w:fldCharType="separate"/>
      </w:r>
      <w:r w:rsidR="0015761E">
        <w:rPr>
          <w:noProof/>
        </w:rPr>
        <w:t>1</w:t>
      </w:r>
      <w:r w:rsidRPr="0061435E">
        <w:rPr>
          <w:noProof/>
        </w:rPr>
        <w:fldChar w:fldCharType="end"/>
      </w:r>
      <w:bookmarkEnd w:id="48"/>
      <w:r w:rsidRPr="0061435E">
        <w:rPr>
          <w:noProof/>
        </w:rPr>
        <w:t>: Model structure diagram</w:t>
      </w:r>
      <w:bookmarkEnd w:id="49"/>
    </w:p>
    <w:p w14:paraId="3F604942" w14:textId="5E3D702C" w:rsidR="00840557" w:rsidRPr="0061435E" w:rsidRDefault="00840557" w:rsidP="00840557">
      <w:pPr>
        <w:pStyle w:val="COMTablefooter"/>
        <w:rPr>
          <w:rStyle w:val="COMTablefooterChar"/>
        </w:rPr>
      </w:pPr>
      <w:r w:rsidRPr="0061435E">
        <w:rPr>
          <w:noProof/>
          <w:snapToGrid/>
        </w:rPr>
        <w:drawing>
          <wp:inline distT="0" distB="0" distL="0" distR="0" wp14:anchorId="65B1B9D9" wp14:editId="5A4AFD0F">
            <wp:extent cx="5753100" cy="4827776"/>
            <wp:effectExtent l="0" t="0" r="0" b="0"/>
            <wp:docPr id="5174" name="Picture 5174" descr="Figure 1: Model struc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 name="Picture 5174" descr="Figure 1: Model structure diagram"/>
                    <pic:cNvPicPr/>
                  </pic:nvPicPr>
                  <pic:blipFill rotWithShape="1">
                    <a:blip r:embed="rId8"/>
                    <a:srcRect l="1329" r="3622"/>
                    <a:stretch/>
                  </pic:blipFill>
                  <pic:spPr bwMode="auto">
                    <a:xfrm>
                      <a:off x="0" y="0"/>
                      <a:ext cx="5756830" cy="4830906"/>
                    </a:xfrm>
                    <a:prstGeom prst="rect">
                      <a:avLst/>
                    </a:prstGeom>
                    <a:ln>
                      <a:noFill/>
                    </a:ln>
                    <a:extLst>
                      <a:ext uri="{53640926-AAD7-44D8-BBD7-CCE9431645EC}">
                        <a14:shadowObscured xmlns:a14="http://schemas.microsoft.com/office/drawing/2010/main"/>
                      </a:ext>
                    </a:extLst>
                  </pic:spPr>
                </pic:pic>
              </a:graphicData>
            </a:graphic>
          </wp:inline>
        </w:drawing>
      </w:r>
      <w:r w:rsidRPr="0061435E">
        <w:rPr>
          <w:rStyle w:val="COMTablefooterChar"/>
        </w:rPr>
        <w:t xml:space="preserve">Source: Constructed during the evaluation, based on Figure 3.1.2, </w:t>
      </w:r>
      <w:r w:rsidR="00886855">
        <w:rPr>
          <w:rStyle w:val="COMTablefooterChar"/>
        </w:rPr>
        <w:t>p</w:t>
      </w:r>
      <w:r w:rsidRPr="0061435E">
        <w:rPr>
          <w:rStyle w:val="COMTablefooterChar"/>
        </w:rPr>
        <w:t>223 of the resubmission</w:t>
      </w:r>
      <w:r w:rsidR="00EB0B28">
        <w:rPr>
          <w:rStyle w:val="COMTablefooterChar"/>
        </w:rPr>
        <w:t>.</w:t>
      </w:r>
    </w:p>
    <w:p w14:paraId="6BE7430A" w14:textId="4E670E7C" w:rsidR="00840557" w:rsidRPr="0061435E" w:rsidRDefault="00840557" w:rsidP="00840557">
      <w:pPr>
        <w:pStyle w:val="COMTablefooter"/>
        <w:rPr>
          <w:rStyle w:val="COMTablefooterChar"/>
        </w:rPr>
      </w:pPr>
      <w:r w:rsidRPr="0061435E">
        <w:rPr>
          <w:rStyle w:val="COMTablefooterChar"/>
        </w:rPr>
        <w:t>Abbreviations: CV, cardiovascular; hosp, hospitalisation; NYHA, New York Heart Association; persist, persistent; prev, previous; tx, treatment.</w:t>
      </w:r>
    </w:p>
    <w:p w14:paraId="2203BD36" w14:textId="0AABD3E2" w:rsidR="00840557" w:rsidRPr="0061435E" w:rsidRDefault="00840557" w:rsidP="00840557">
      <w:pPr>
        <w:pStyle w:val="COMexecsumnumberedpara"/>
      </w:pPr>
      <w:r w:rsidRPr="0061435E">
        <w:t xml:space="preserve">Patients begin the model in the ‘NYHA class I/II, no </w:t>
      </w:r>
      <w:r>
        <w:t>cardiovascular</w:t>
      </w:r>
      <w:r w:rsidRPr="0061435E">
        <w:t xml:space="preserve"> hospitalisation’ health state. During each 6</w:t>
      </w:r>
      <w:r w:rsidRPr="0061435E">
        <w:noBreakHyphen/>
        <w:t xml:space="preserve">month cycle, patients can transition to another NYHA class and/or experience hospitalisation, or die.  </w:t>
      </w:r>
    </w:p>
    <w:p w14:paraId="047E8DB9" w14:textId="3360B222" w:rsidR="00840557" w:rsidRPr="0061435E" w:rsidRDefault="00840557" w:rsidP="00840557">
      <w:pPr>
        <w:pStyle w:val="COMexecsumnumberedpara"/>
        <w:rPr>
          <w:i/>
          <w:iCs/>
        </w:rPr>
      </w:pPr>
      <w:r w:rsidRPr="0061435E">
        <w:t>The underlying transition probabilities for movement between NYHA class I/II and III/IV, cardiovascular-related hospitalisation and death used in the resubmission were unchanged from the March 2021 resubmission, with transition probabilities for the first five 6-monthly cycles based on individual patient data from the subgroup of patients from the ATTR-ACT trial with NYHA class I/II at baseline; and transition probabilities beyond 30 months based on weighted average estimates of the first 5</w:t>
      </w:r>
      <w:r w:rsidR="00CA4A14">
        <w:t> </w:t>
      </w:r>
      <w:r w:rsidRPr="0061435E">
        <w:t>cycles of transitions from the ATTR-ACT trial. The resubmission assumed that the composite outcome of death, cardiac transplant, or VAD insertion was composed of deaths only, given advice from the sponsor’s expert panel indicating that the target PBS population is highly unlikely to undergo cardiac transplantation or insertion of a VAD.</w:t>
      </w:r>
    </w:p>
    <w:p w14:paraId="060FA22A" w14:textId="77777777" w:rsidR="00840557" w:rsidRPr="009B152B" w:rsidRDefault="00840557" w:rsidP="00840557">
      <w:pPr>
        <w:pStyle w:val="COMexecsumnumberedpara"/>
      </w:pPr>
      <w:r w:rsidRPr="009B152B">
        <w:t>The use of composite NYHA class/hospitalisation health states, combined with individual cycle transitions over the first five 6-monthly model cycles, resulted in data sparseness issues. The ESC previously considered that it may be more appropriate to apply state-specific cardiovascular hospitalisation rates to inform the estimation of health state costs (including exploration of cardiovascular hospitalisation rates increasing over time), rather than specifying separate cardiovascular hospitalisation states (para 6.57, Tafamidis PSD, March 2021 PBAC meeting).</w:t>
      </w:r>
    </w:p>
    <w:p w14:paraId="28E75111" w14:textId="3F885C1C" w:rsidR="00CE4F96" w:rsidRPr="009B152B" w:rsidRDefault="00840557" w:rsidP="00C61417">
      <w:pPr>
        <w:pStyle w:val="COMexecsumnumberedpara"/>
      </w:pPr>
      <w:r w:rsidRPr="0061435E">
        <w:t>Consistent with the requested restriction, patients in the tafamidis arm with persistent NYHA class III/IV hear</w:t>
      </w:r>
      <w:r w:rsidR="004A1CEA">
        <w:t>t</w:t>
      </w:r>
      <w:r w:rsidRPr="0061435E">
        <w:t xml:space="preserve"> failure (i.e. patients who remain in a NYHA class III/IV health state for more than 1 consecutive cycle) discontinue treatment. The resubmission stated that patients who discontinue tafamidis due to persistent NYHA class III/IV heart failure were assumed to have the same transition probabilities as patients in the standard management arm. </w:t>
      </w:r>
      <w:r w:rsidR="00DE30BD" w:rsidRPr="009B152B">
        <w:t>However, t</w:t>
      </w:r>
      <w:r w:rsidR="00CE4F96" w:rsidRPr="009B152B">
        <w:t xml:space="preserve">he discontinuation of patients with disease progression to </w:t>
      </w:r>
      <w:r w:rsidR="00DE30BD" w:rsidRPr="009B152B">
        <w:t xml:space="preserve">persistent </w:t>
      </w:r>
      <w:r w:rsidR="00CE4F96" w:rsidRPr="009B152B">
        <w:t>NYHA III</w:t>
      </w:r>
      <w:r w:rsidR="00DE30BD" w:rsidRPr="009B152B">
        <w:t>/IV,</w:t>
      </w:r>
      <w:r w:rsidR="00CE4F96" w:rsidRPr="009B152B">
        <w:t xml:space="preserve"> that was first implemented in the September 2021 submission</w:t>
      </w:r>
      <w:r w:rsidR="00DE30BD" w:rsidRPr="009B152B">
        <w:t>,</w:t>
      </w:r>
      <w:r w:rsidR="00CE4F96" w:rsidRPr="009B152B">
        <w:t xml:space="preserve"> was incorrectly applied in the economic model. When corrected, the discontinuation of these patients has a minimal impact on the model.</w:t>
      </w:r>
    </w:p>
    <w:p w14:paraId="6F13656A" w14:textId="1F17E0CD" w:rsidR="00840557" w:rsidRPr="001F4A02" w:rsidRDefault="00840557" w:rsidP="00840557">
      <w:pPr>
        <w:pStyle w:val="COMexecsumnumberedpara"/>
      </w:pPr>
      <w:bookmarkStart w:id="50" w:name="_Ref137922911"/>
      <w:r w:rsidRPr="0061435E">
        <w:t>The use of average transition probabilities for cycles 6+ of the model resulted in constant transition probabilities over time for death, NYHA class transitions, and hospitalisation</w:t>
      </w:r>
      <w:r w:rsidRPr="009B152B">
        <w:t>; which was previously considered inappropriate, as disease progression/cardiovascular hospitalisations and mortality would generally be expected to increase with age and duration of disease (para 6.53, Tafamidis PSD, March 2021 PBAC meeting). The current model incorporates a 5.3% increase in mortality per 6-monthly cycle from cycle 7 onwards, based on mortality data from the 2018 AIHW GRIM books. No adjustments were made to other transition probabilities. The 5.3% mortality adjustment was previously incorporated into a sensitivity analysis presented in the March 2021 pre-PBAC response and the September</w:t>
      </w:r>
      <w:r w:rsidR="00CA4A14">
        <w:t> </w:t>
      </w:r>
      <w:r w:rsidRPr="009B152B">
        <w:t xml:space="preserve">2021 submission’s base case model. The PBAC </w:t>
      </w:r>
      <w:r w:rsidR="00682F5E">
        <w:t xml:space="preserve">previously </w:t>
      </w:r>
      <w:r w:rsidRPr="009B152B">
        <w:t>considered that, while this analysis represented a crude adjustment for mortality, it may be reasonable in the absence of better data (para 7.10, Tafamidis PSD, March 2021 PBAC meeting).</w:t>
      </w:r>
      <w:r w:rsidRPr="0061435E">
        <w:rPr>
          <w:i/>
          <w:iCs/>
        </w:rPr>
        <w:t xml:space="preserve"> </w:t>
      </w:r>
      <w:r w:rsidR="00E51FD4" w:rsidRPr="001F4A02">
        <w:t xml:space="preserve">The ESC considered that although mortality was adjusted, constant NYHA class transitions and hospitalisations over the </w:t>
      </w:r>
      <w:r w:rsidR="003E0E5D" w:rsidRPr="001F4A02">
        <w:t>2</w:t>
      </w:r>
      <w:r w:rsidR="00E51FD4" w:rsidRPr="001F4A02">
        <w:t>0 year time horizon may not be plausible and this favours tafamidis.</w:t>
      </w:r>
      <w:bookmarkEnd w:id="50"/>
      <w:r w:rsidR="00D56807">
        <w:t xml:space="preserve"> The pre-PBAC response provided a </w:t>
      </w:r>
      <w:r w:rsidR="008F65B0">
        <w:t xml:space="preserve">revised model including a </w:t>
      </w:r>
      <w:r w:rsidR="00DA230C">
        <w:t>sensitivity analysis which</w:t>
      </w:r>
      <w:r w:rsidR="00794175">
        <w:t xml:space="preserve"> </w:t>
      </w:r>
      <w:r w:rsidR="00FB7AE9">
        <w:t>applied</w:t>
      </w:r>
      <w:r w:rsidR="00794175">
        <w:t xml:space="preserve"> waning of treatment effect to hospitalisations and NYHA progression. </w:t>
      </w:r>
      <w:r w:rsidR="008F65B0">
        <w:t xml:space="preserve">Using the revised model provided with the pre-PBAC response the </w:t>
      </w:r>
      <w:r w:rsidR="00FB7AE9">
        <w:t>ICER increased</w:t>
      </w:r>
      <w:r w:rsidR="008F65B0">
        <w:t xml:space="preserve"> by 9%</w:t>
      </w:r>
      <w:r w:rsidR="00FB7AE9">
        <w:t xml:space="preserve"> to </w:t>
      </w:r>
      <w:r w:rsidR="00C4500C" w:rsidRPr="00C4500C">
        <w:t>$135,000 to &lt; $155,000</w:t>
      </w:r>
      <w:r w:rsidR="00FB7AE9">
        <w:t>/QALY</w:t>
      </w:r>
      <w:r w:rsidR="008F65B0">
        <w:t xml:space="preserve"> (with the revised price for years 4 onwards applied)</w:t>
      </w:r>
      <w:r w:rsidR="00794175">
        <w:t>.</w:t>
      </w:r>
      <w:r w:rsidR="008F65B0">
        <w:t xml:space="preserve"> </w:t>
      </w:r>
    </w:p>
    <w:p w14:paraId="5626767D" w14:textId="2C1B39F6" w:rsidR="00840557" w:rsidRPr="001F4A02" w:rsidRDefault="00840557" w:rsidP="00840557">
      <w:pPr>
        <w:pStyle w:val="COMexecsumnumberedpara"/>
      </w:pPr>
      <w:bookmarkStart w:id="51" w:name="_Ref137922913"/>
      <w:r w:rsidRPr="0061435E">
        <w:t xml:space="preserve">In the March 2021 model, treatment discontinuation rates were applied to drug costs only, with no impact on survival, NYHA class, or </w:t>
      </w:r>
      <w:r>
        <w:t>cardiovascular</w:t>
      </w:r>
      <w:r w:rsidRPr="0061435E">
        <w:t xml:space="preserve"> hospitalisations</w:t>
      </w:r>
      <w:r w:rsidRPr="009B152B">
        <w:t>. The PBAC considered maintenance of the tafamidis treatment effect following treatment-related discontinuation was inappropriate, given increasing proportions of patients discontinuing over time, with longer durations without therapy (para 6.56, Tafamidis PSD, March 2021 PBAC meeting). To address this issue, the current model adjusts the risk of death in the tafamidis arm by applying standard management arm risks to the proportion of patients who discontinued tafamidis treatment from cycle 7</w:t>
      </w:r>
      <w:r w:rsidR="00883CB7">
        <w:t xml:space="preserve"> (as in</w:t>
      </w:r>
      <w:r w:rsidRPr="009B152B">
        <w:t xml:space="preserve"> the September 2021 submission’s base case model</w:t>
      </w:r>
      <w:r w:rsidR="00883CB7">
        <w:t>)</w:t>
      </w:r>
      <w:r w:rsidRPr="009B152B">
        <w:t>. The PBAC previously considered that this adjustment did not fully correct the issue, as no adjustment was made to any other transition probabilities, and tafamidis-treated patients who discontinued treatment maintained a treatment benefit in terms of hospitalisation and NYHA progression/regression, which generated an indirect mortality benefit (paras 6.56, 7.10, Tafamidis PSD, March 2021 PBAC meeting). Given that on/off treatment health states were included in the resubmission’s model to incorporate patients discontinuing tafamidis due to persistent NYHA class III/IV heart failure, it is unclear why a different approach was used for tafamidis patients with treatment-related discontinuation</w:t>
      </w:r>
      <w:r w:rsidRPr="001F4A02">
        <w:t>.</w:t>
      </w:r>
      <w:r w:rsidR="00E51FD4" w:rsidRPr="001F4A02">
        <w:t xml:space="preserve"> </w:t>
      </w:r>
      <w:r w:rsidR="003E0E5D" w:rsidRPr="001F4A02">
        <w:t xml:space="preserve">The PSCR argued that the modelled economic evaluation drew ITT data directly from the pivotal studies and therefore treatment effects (changes to the risks of death, hospitalisation and movement among NYHA classes) already accounted for treatment discontinuation. However, the ESC considered that use of the 2.5 years of trial data would not capture treatment effects over the full 20-year time horizon in the model and </w:t>
      </w:r>
      <w:r w:rsidR="00E51FD4" w:rsidRPr="001F4A02">
        <w:t>noted that this remained an issue in the resubmission.</w:t>
      </w:r>
      <w:bookmarkEnd w:id="51"/>
    </w:p>
    <w:p w14:paraId="1C9C714E" w14:textId="3E9E4F83" w:rsidR="00840557" w:rsidRPr="009B152B" w:rsidRDefault="00840557" w:rsidP="00840557">
      <w:pPr>
        <w:pStyle w:val="COMexecsumnumberedpara"/>
      </w:pPr>
      <w:r w:rsidRPr="0061435E">
        <w:t xml:space="preserve">The transition probabilities include transitions from NYHA class III/IV to NYHA class I/II over the duration of the model. </w:t>
      </w:r>
      <w:r w:rsidRPr="009B152B">
        <w:t xml:space="preserve">At the March 2021 meeting, the PBAC considered that a proportion of patients may experience an improvement from NYHA class III/IV to class I/II initially, but this was unlikely to continue for the duration of the model (para 6.55, Tafamidis PSD, March 2021 PBAC meeting). A sensitivity analysis was conducted during the evaluation removing transitions from NYHA class III/IV to I/II after 2.5 years (see </w:t>
      </w:r>
      <w:r w:rsidR="007842CC" w:rsidRPr="009B152B">
        <w:fldChar w:fldCharType="begin" w:fldLock="1"/>
      </w:r>
      <w:r w:rsidR="007842CC" w:rsidRPr="009B152B">
        <w:instrText xml:space="preserve"> REF _Ref132380324 \h  \* MERGEFORMAT </w:instrText>
      </w:r>
      <w:r w:rsidR="007842CC" w:rsidRPr="009B152B">
        <w:fldChar w:fldCharType="separate"/>
      </w:r>
      <w:r w:rsidR="0015761E" w:rsidRPr="009B152B">
        <w:t>Table 9</w:t>
      </w:r>
      <w:r w:rsidR="007842CC" w:rsidRPr="009B152B">
        <w:fldChar w:fldCharType="end"/>
      </w:r>
      <w:r w:rsidR="007842CC" w:rsidRPr="009B152B">
        <w:t xml:space="preserve"> </w:t>
      </w:r>
      <w:r w:rsidRPr="009B152B">
        <w:t>below).</w:t>
      </w:r>
    </w:p>
    <w:p w14:paraId="41CD98E8" w14:textId="51B0C91D" w:rsidR="00236F1D" w:rsidRPr="00236F1D" w:rsidRDefault="00236F1D" w:rsidP="00840557">
      <w:pPr>
        <w:pStyle w:val="COMexecsumnumberedpara"/>
        <w:rPr>
          <w:i/>
          <w:iCs/>
        </w:rPr>
      </w:pPr>
      <w:r w:rsidRPr="00236F1D">
        <w:t xml:space="preserve">The March 2021 and September 2021 submissions assumed that diagnostic costs would only be incurred due to the availability of tafamidis, and costs were not applied to the standard management arm. The current resubmission argued that awareness of ATTR-CM has increased over time, as has diagnosis of the condition; and that, even in the absence of a disease-modifying treatment, diagnosis is important, as optimisation of a patient’s standard management will result in improvement of their condition. As a result, the same diagnostic costs are applied to the tafamidis and standard treatment arms of the model. </w:t>
      </w:r>
    </w:p>
    <w:p w14:paraId="432C3C4B" w14:textId="4279FFA7" w:rsidR="00840557" w:rsidRPr="009B152B" w:rsidRDefault="00840557" w:rsidP="00840557">
      <w:pPr>
        <w:pStyle w:val="COMexecsumnumberedpara"/>
      </w:pPr>
      <w:r w:rsidRPr="009B152B">
        <w:t>Compared with the March 2021 model base case, allowing for increased mortality over time and introducing a waning treatment effect on mortality</w:t>
      </w:r>
      <w:r w:rsidR="002D3957" w:rsidRPr="009B152B">
        <w:t xml:space="preserve"> </w:t>
      </w:r>
      <w:r w:rsidRPr="009B152B">
        <w:t xml:space="preserve">to account for tafamidis treatment-related discontinuation (which both increased the ICER), introducing tafamidis discontinuation for patients with persistent NYHA class III/IV and reducing the proposed effective price of tafamidis (which both decreased the ICER), had the largest impact on the September 2021 model base case. </w:t>
      </w:r>
      <w:r w:rsidR="007B3F24">
        <w:t>However,</w:t>
      </w:r>
      <w:r w:rsidRPr="009B152B">
        <w:t xml:space="preserve"> discontinuation of tafamidis patients with persistent NYHA stage III/IV heart failure was not correctly implemented in </w:t>
      </w:r>
      <w:r w:rsidR="00D8027A" w:rsidRPr="009B152B">
        <w:t xml:space="preserve">either </w:t>
      </w:r>
      <w:r w:rsidRPr="009B152B">
        <w:t xml:space="preserve">the September 2021 model </w:t>
      </w:r>
      <w:r w:rsidR="00D8027A" w:rsidRPr="009B152B">
        <w:t xml:space="preserve">or in </w:t>
      </w:r>
      <w:r w:rsidRPr="009B152B">
        <w:t>the current submission</w:t>
      </w:r>
      <w:r w:rsidR="00D41AE3" w:rsidRPr="009B152B">
        <w:t>.</w:t>
      </w:r>
    </w:p>
    <w:p w14:paraId="1311E4D0" w14:textId="77777777" w:rsidR="00840557" w:rsidRPr="009B152B" w:rsidRDefault="00840557" w:rsidP="00840557">
      <w:pPr>
        <w:pStyle w:val="COMexecsumnumberedpara"/>
      </w:pPr>
      <w:r w:rsidRPr="009B152B">
        <w:t>Compared with the September 2021 model base case, applying diagnosis costs to both treatment arms rather than the tafamidis arm alone (which reduced the ICER) and correcting the resubmission’s error in the implementation of treatment discontinuation for patients with persistent NYHA class III/IV heart failure during the evaluation (which increased the ICER), had the largest impact on the current resubmission’s model.</w:t>
      </w:r>
    </w:p>
    <w:p w14:paraId="3083B1B1" w14:textId="15D29CA2" w:rsidR="00840557" w:rsidRPr="0061435E" w:rsidRDefault="00840557" w:rsidP="00840557">
      <w:pPr>
        <w:pStyle w:val="COMexecsumnumberedpara"/>
      </w:pPr>
      <w:r w:rsidRPr="0061435E">
        <w:t xml:space="preserve">The results of the </w:t>
      </w:r>
      <w:r w:rsidR="00FA6D4F">
        <w:t xml:space="preserve">corrected </w:t>
      </w:r>
      <w:r w:rsidRPr="0061435E">
        <w:t xml:space="preserve">modelled economic evaluation are summarised in </w:t>
      </w:r>
      <w:r w:rsidRPr="0061435E">
        <w:fldChar w:fldCharType="begin" w:fldLock="1"/>
      </w:r>
      <w:r w:rsidRPr="0061435E">
        <w:instrText xml:space="preserve"> REF _Ref104805181 \h  \* MERGEFORMAT </w:instrText>
      </w:r>
      <w:r w:rsidRPr="0061435E">
        <w:fldChar w:fldCharType="separate"/>
      </w:r>
      <w:r w:rsidR="0015761E" w:rsidRPr="0061435E">
        <w:t>Table</w:t>
      </w:r>
      <w:r w:rsidR="00CA4A14">
        <w:t> </w:t>
      </w:r>
      <w:r w:rsidR="0015761E">
        <w:t>8</w:t>
      </w:r>
      <w:r w:rsidRPr="0061435E">
        <w:fldChar w:fldCharType="end"/>
      </w:r>
      <w:r w:rsidRPr="0061435E">
        <w:t>.</w:t>
      </w:r>
    </w:p>
    <w:p w14:paraId="47449AA2" w14:textId="43B1F28D" w:rsidR="00840557" w:rsidRPr="0061435E" w:rsidRDefault="00840557" w:rsidP="00840557">
      <w:pPr>
        <w:pStyle w:val="COMtablefigcaption"/>
      </w:pPr>
      <w:bookmarkStart w:id="52" w:name="_Ref104805181"/>
      <w:r w:rsidRPr="0061435E">
        <w:t xml:space="preserve">Table </w:t>
      </w:r>
      <w:r w:rsidRPr="0061435E">
        <w:fldChar w:fldCharType="begin" w:fldLock="1"/>
      </w:r>
      <w:r w:rsidRPr="0061435E">
        <w:instrText>SEQ Table \* ARABIC</w:instrText>
      </w:r>
      <w:r w:rsidRPr="0061435E">
        <w:fldChar w:fldCharType="separate"/>
      </w:r>
      <w:r w:rsidR="0015761E">
        <w:rPr>
          <w:noProof/>
        </w:rPr>
        <w:t>8</w:t>
      </w:r>
      <w:r w:rsidRPr="0061435E">
        <w:fldChar w:fldCharType="end"/>
      </w:r>
      <w:bookmarkEnd w:id="52"/>
      <w:r w:rsidRPr="0061435E">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8: Results of the economic evaluation"/>
      </w:tblPr>
      <w:tblGrid>
        <w:gridCol w:w="2755"/>
        <w:gridCol w:w="2087"/>
        <w:gridCol w:w="2099"/>
        <w:gridCol w:w="2076"/>
      </w:tblGrid>
      <w:tr w:rsidR="00840557" w:rsidRPr="009B152B" w14:paraId="3EE70150" w14:textId="77777777" w:rsidTr="004631A4">
        <w:trPr>
          <w:tblHeader/>
        </w:trPr>
        <w:tc>
          <w:tcPr>
            <w:tcW w:w="1528" w:type="pct"/>
            <w:vAlign w:val="center"/>
          </w:tcPr>
          <w:p w14:paraId="2DED0FB2" w14:textId="77777777" w:rsidR="00840557" w:rsidRPr="009B152B" w:rsidRDefault="00840557" w:rsidP="004631A4">
            <w:pPr>
              <w:pStyle w:val="Tableheadingrow"/>
              <w:rPr>
                <w:lang w:val="en-AU"/>
              </w:rPr>
            </w:pPr>
            <w:r w:rsidRPr="009B152B">
              <w:rPr>
                <w:lang w:val="en-AU"/>
              </w:rPr>
              <w:t>Component</w:t>
            </w:r>
          </w:p>
        </w:tc>
        <w:tc>
          <w:tcPr>
            <w:tcW w:w="1157" w:type="pct"/>
            <w:vAlign w:val="center"/>
          </w:tcPr>
          <w:p w14:paraId="7A7FE724" w14:textId="77777777" w:rsidR="00840557" w:rsidRPr="009B152B" w:rsidRDefault="00840557" w:rsidP="004631A4">
            <w:pPr>
              <w:pStyle w:val="Tableheadingrow"/>
              <w:jc w:val="center"/>
              <w:rPr>
                <w:lang w:val="en-AU"/>
              </w:rPr>
            </w:pPr>
            <w:r w:rsidRPr="009B152B">
              <w:rPr>
                <w:lang w:val="en-AU"/>
              </w:rPr>
              <w:t>Tafamidis</w:t>
            </w:r>
          </w:p>
        </w:tc>
        <w:tc>
          <w:tcPr>
            <w:tcW w:w="1164" w:type="pct"/>
            <w:vAlign w:val="center"/>
          </w:tcPr>
          <w:p w14:paraId="17D35B39" w14:textId="77777777" w:rsidR="00840557" w:rsidRPr="009B152B" w:rsidRDefault="00840557" w:rsidP="004631A4">
            <w:pPr>
              <w:pStyle w:val="Tableheadingrow"/>
              <w:jc w:val="center"/>
              <w:rPr>
                <w:lang w:val="en-AU"/>
              </w:rPr>
            </w:pPr>
            <w:r w:rsidRPr="009B152B">
              <w:rPr>
                <w:lang w:val="en-AU"/>
              </w:rPr>
              <w:t>Standard management</w:t>
            </w:r>
          </w:p>
        </w:tc>
        <w:tc>
          <w:tcPr>
            <w:tcW w:w="1151" w:type="pct"/>
            <w:vAlign w:val="center"/>
          </w:tcPr>
          <w:p w14:paraId="225F5906" w14:textId="77777777" w:rsidR="00840557" w:rsidRPr="009B152B" w:rsidRDefault="00840557" w:rsidP="004631A4">
            <w:pPr>
              <w:pStyle w:val="Tableheadingrow"/>
              <w:jc w:val="center"/>
              <w:rPr>
                <w:lang w:val="en-AU"/>
              </w:rPr>
            </w:pPr>
            <w:r w:rsidRPr="009B152B">
              <w:rPr>
                <w:lang w:val="en-AU"/>
              </w:rPr>
              <w:t>Increment</w:t>
            </w:r>
          </w:p>
        </w:tc>
      </w:tr>
      <w:tr w:rsidR="00840557" w:rsidRPr="009B152B" w14:paraId="7A115A3D" w14:textId="77777777" w:rsidTr="004631A4">
        <w:tc>
          <w:tcPr>
            <w:tcW w:w="1528" w:type="pct"/>
            <w:vAlign w:val="center"/>
          </w:tcPr>
          <w:p w14:paraId="3F2A3480" w14:textId="77777777" w:rsidR="00840557" w:rsidRPr="009B152B" w:rsidRDefault="00840557" w:rsidP="004631A4">
            <w:pPr>
              <w:pStyle w:val="TableText"/>
            </w:pPr>
            <w:r w:rsidRPr="009B152B">
              <w:t>Costs</w:t>
            </w:r>
          </w:p>
        </w:tc>
        <w:tc>
          <w:tcPr>
            <w:tcW w:w="1157" w:type="pct"/>
            <w:vAlign w:val="center"/>
          </w:tcPr>
          <w:p w14:paraId="512CF58E" w14:textId="159A99E3" w:rsidR="00840557" w:rsidRPr="00C4500C" w:rsidRDefault="00840557" w:rsidP="004631A4">
            <w:pPr>
              <w:pStyle w:val="TableText"/>
              <w:jc w:val="center"/>
              <w:rPr>
                <w:rFonts w:cs="Times New Roman"/>
                <w:bCs w:val="0"/>
                <w:szCs w:val="20"/>
                <w:vertAlign w:val="superscript"/>
              </w:rPr>
            </w:pPr>
            <w:r w:rsidRPr="009B152B">
              <w:rPr>
                <w:rFonts w:cs="Calibri"/>
                <w:szCs w:val="20"/>
              </w:rPr>
              <w:t>$</w:t>
            </w:r>
            <w:r w:rsidR="00B474C2" w:rsidRPr="00B474C2">
              <w:rPr>
                <w:rFonts w:cs="Calibri"/>
                <w:color w:val="000000"/>
                <w:szCs w:val="20"/>
                <w:shd w:val="solid" w:color="000000" w:fill="000000"/>
                <w14:textFill>
                  <w14:solidFill>
                    <w14:srgbClr w14:val="000000">
                      <w14:alpha w14:val="100000"/>
                    </w14:srgbClr>
                  </w14:solidFill>
                </w14:textFill>
              </w:rPr>
              <w:t>|</w:t>
            </w:r>
            <w:r w:rsidR="00C4500C">
              <w:rPr>
                <w:rFonts w:cs="Calibri"/>
                <w:szCs w:val="20"/>
                <w:vertAlign w:val="superscript"/>
              </w:rPr>
              <w:t>1</w:t>
            </w:r>
          </w:p>
        </w:tc>
        <w:tc>
          <w:tcPr>
            <w:tcW w:w="1164" w:type="pct"/>
            <w:vAlign w:val="center"/>
          </w:tcPr>
          <w:p w14:paraId="44D5275F" w14:textId="77777777" w:rsidR="00840557" w:rsidRPr="009B152B" w:rsidRDefault="00840557" w:rsidP="004631A4">
            <w:pPr>
              <w:pStyle w:val="TableText"/>
              <w:jc w:val="center"/>
              <w:rPr>
                <w:rFonts w:cs="Times New Roman"/>
                <w:bCs w:val="0"/>
                <w:szCs w:val="20"/>
              </w:rPr>
            </w:pPr>
            <w:r w:rsidRPr="009B152B">
              <w:rPr>
                <w:rFonts w:cs="Calibri"/>
                <w:szCs w:val="20"/>
              </w:rPr>
              <w:t>$51,684</w:t>
            </w:r>
          </w:p>
        </w:tc>
        <w:tc>
          <w:tcPr>
            <w:tcW w:w="1151" w:type="pct"/>
            <w:vAlign w:val="center"/>
          </w:tcPr>
          <w:p w14:paraId="405438BC" w14:textId="30EBA375" w:rsidR="00840557" w:rsidRPr="00C4500C" w:rsidRDefault="00840557" w:rsidP="004631A4">
            <w:pPr>
              <w:pStyle w:val="TableText"/>
              <w:jc w:val="center"/>
              <w:rPr>
                <w:rFonts w:cs="Times New Roman"/>
                <w:bCs w:val="0"/>
                <w:szCs w:val="20"/>
                <w:vertAlign w:val="superscript"/>
              </w:rPr>
            </w:pPr>
            <w:r w:rsidRPr="009B152B">
              <w:rPr>
                <w:rFonts w:cs="Calibri"/>
                <w:szCs w:val="20"/>
              </w:rPr>
              <w:t>$</w:t>
            </w:r>
            <w:r w:rsidR="00B474C2" w:rsidRPr="00B474C2">
              <w:rPr>
                <w:rFonts w:cs="Calibri"/>
                <w:color w:val="000000"/>
                <w:szCs w:val="20"/>
                <w:shd w:val="solid" w:color="000000" w:fill="000000"/>
                <w14:textFill>
                  <w14:solidFill>
                    <w14:srgbClr w14:val="000000">
                      <w14:alpha w14:val="100000"/>
                    </w14:srgbClr>
                  </w14:solidFill>
                </w14:textFill>
              </w:rPr>
              <w:t>|</w:t>
            </w:r>
            <w:r w:rsidR="00C4500C">
              <w:rPr>
                <w:rFonts w:cs="Calibri"/>
                <w:szCs w:val="20"/>
                <w:vertAlign w:val="superscript"/>
              </w:rPr>
              <w:t>2</w:t>
            </w:r>
          </w:p>
        </w:tc>
      </w:tr>
      <w:tr w:rsidR="00840557" w:rsidRPr="009B152B" w14:paraId="512ED8AD" w14:textId="77777777" w:rsidTr="004631A4">
        <w:tc>
          <w:tcPr>
            <w:tcW w:w="1528" w:type="pct"/>
            <w:vAlign w:val="center"/>
          </w:tcPr>
          <w:p w14:paraId="06BFBD1E" w14:textId="77777777" w:rsidR="00840557" w:rsidRPr="009B152B" w:rsidRDefault="00840557" w:rsidP="004631A4">
            <w:pPr>
              <w:pStyle w:val="TableText"/>
            </w:pPr>
            <w:r w:rsidRPr="009B152B">
              <w:t>Life years</w:t>
            </w:r>
          </w:p>
        </w:tc>
        <w:tc>
          <w:tcPr>
            <w:tcW w:w="1157" w:type="pct"/>
          </w:tcPr>
          <w:p w14:paraId="04C6CB32" w14:textId="77777777" w:rsidR="00840557" w:rsidRPr="009B152B" w:rsidRDefault="00840557" w:rsidP="004631A4">
            <w:pPr>
              <w:pStyle w:val="TableText"/>
              <w:jc w:val="center"/>
              <w:rPr>
                <w:rFonts w:cs="Times New Roman"/>
                <w:szCs w:val="20"/>
              </w:rPr>
            </w:pPr>
            <w:r w:rsidRPr="009B152B">
              <w:rPr>
                <w:szCs w:val="20"/>
              </w:rPr>
              <w:t>5.6735</w:t>
            </w:r>
          </w:p>
        </w:tc>
        <w:tc>
          <w:tcPr>
            <w:tcW w:w="1164" w:type="pct"/>
          </w:tcPr>
          <w:p w14:paraId="596DDF7B" w14:textId="77777777" w:rsidR="00840557" w:rsidRPr="009B152B" w:rsidRDefault="00840557" w:rsidP="004631A4">
            <w:pPr>
              <w:pStyle w:val="TableText"/>
              <w:jc w:val="center"/>
              <w:rPr>
                <w:rFonts w:cs="Times New Roman"/>
                <w:szCs w:val="20"/>
              </w:rPr>
            </w:pPr>
            <w:r w:rsidRPr="009B152B">
              <w:rPr>
                <w:szCs w:val="20"/>
              </w:rPr>
              <w:t>4.6241</w:t>
            </w:r>
          </w:p>
        </w:tc>
        <w:tc>
          <w:tcPr>
            <w:tcW w:w="1151" w:type="pct"/>
          </w:tcPr>
          <w:p w14:paraId="672352DD" w14:textId="77777777" w:rsidR="00840557" w:rsidRPr="009B152B" w:rsidRDefault="00840557" w:rsidP="004631A4">
            <w:pPr>
              <w:pStyle w:val="TableText"/>
              <w:jc w:val="center"/>
              <w:rPr>
                <w:rFonts w:cs="Times New Roman"/>
                <w:szCs w:val="20"/>
              </w:rPr>
            </w:pPr>
            <w:r w:rsidRPr="009B152B">
              <w:rPr>
                <w:szCs w:val="20"/>
              </w:rPr>
              <w:t>1.0494</w:t>
            </w:r>
          </w:p>
        </w:tc>
      </w:tr>
      <w:tr w:rsidR="00840557" w:rsidRPr="009B152B" w14:paraId="0E31D779" w14:textId="77777777" w:rsidTr="004631A4">
        <w:tc>
          <w:tcPr>
            <w:tcW w:w="1528" w:type="pct"/>
            <w:vAlign w:val="center"/>
          </w:tcPr>
          <w:p w14:paraId="0D3B5060" w14:textId="77777777" w:rsidR="00840557" w:rsidRPr="009B152B" w:rsidRDefault="00840557" w:rsidP="004631A4">
            <w:pPr>
              <w:pStyle w:val="TableText"/>
            </w:pPr>
            <w:r w:rsidRPr="009B152B">
              <w:t>QALYs</w:t>
            </w:r>
          </w:p>
        </w:tc>
        <w:tc>
          <w:tcPr>
            <w:tcW w:w="1157" w:type="pct"/>
            <w:vAlign w:val="center"/>
          </w:tcPr>
          <w:p w14:paraId="37871917" w14:textId="77777777" w:rsidR="00840557" w:rsidRPr="009B152B" w:rsidRDefault="00840557" w:rsidP="004631A4">
            <w:pPr>
              <w:pStyle w:val="TableText"/>
              <w:jc w:val="center"/>
              <w:rPr>
                <w:rFonts w:cs="Times New Roman"/>
                <w:szCs w:val="20"/>
              </w:rPr>
            </w:pPr>
            <w:r w:rsidRPr="009B152B">
              <w:rPr>
                <w:rFonts w:cs="Calibri"/>
                <w:szCs w:val="20"/>
              </w:rPr>
              <w:t>4.1630</w:t>
            </w:r>
          </w:p>
        </w:tc>
        <w:tc>
          <w:tcPr>
            <w:tcW w:w="1164" w:type="pct"/>
            <w:vAlign w:val="center"/>
          </w:tcPr>
          <w:p w14:paraId="54DA5342" w14:textId="77777777" w:rsidR="00840557" w:rsidRPr="009B152B" w:rsidRDefault="00840557" w:rsidP="004631A4">
            <w:pPr>
              <w:pStyle w:val="TableText"/>
              <w:jc w:val="center"/>
              <w:rPr>
                <w:rFonts w:cs="Times New Roman"/>
                <w:szCs w:val="20"/>
              </w:rPr>
            </w:pPr>
            <w:r w:rsidRPr="009B152B">
              <w:rPr>
                <w:rFonts w:cs="Calibri"/>
                <w:szCs w:val="20"/>
              </w:rPr>
              <w:t>3.1923</w:t>
            </w:r>
          </w:p>
        </w:tc>
        <w:tc>
          <w:tcPr>
            <w:tcW w:w="1151" w:type="pct"/>
            <w:vAlign w:val="center"/>
          </w:tcPr>
          <w:p w14:paraId="56B8E4E4" w14:textId="77777777" w:rsidR="00840557" w:rsidRPr="009B152B" w:rsidRDefault="00840557" w:rsidP="004631A4">
            <w:pPr>
              <w:pStyle w:val="TableText"/>
              <w:jc w:val="center"/>
              <w:rPr>
                <w:rFonts w:cs="Times New Roman"/>
                <w:szCs w:val="20"/>
              </w:rPr>
            </w:pPr>
            <w:r w:rsidRPr="009B152B">
              <w:rPr>
                <w:rFonts w:cs="Calibri"/>
                <w:szCs w:val="20"/>
              </w:rPr>
              <w:t>0.9708</w:t>
            </w:r>
          </w:p>
        </w:tc>
      </w:tr>
      <w:tr w:rsidR="00840557" w:rsidRPr="009B152B" w14:paraId="72980BB1" w14:textId="77777777" w:rsidTr="004631A4">
        <w:tc>
          <w:tcPr>
            <w:tcW w:w="3849" w:type="pct"/>
            <w:gridSpan w:val="3"/>
            <w:vAlign w:val="center"/>
          </w:tcPr>
          <w:p w14:paraId="2923EBDD" w14:textId="77777777" w:rsidR="00840557" w:rsidRPr="009B152B" w:rsidRDefault="00840557" w:rsidP="004631A4">
            <w:pPr>
              <w:pStyle w:val="TableText"/>
              <w:rPr>
                <w:rFonts w:cs="Times New Roman"/>
                <w:szCs w:val="20"/>
              </w:rPr>
            </w:pPr>
            <w:r w:rsidRPr="009B152B">
              <w:rPr>
                <w:b/>
                <w:bCs w:val="0"/>
              </w:rPr>
              <w:t>Incremental cost per life year gained</w:t>
            </w:r>
          </w:p>
        </w:tc>
        <w:tc>
          <w:tcPr>
            <w:tcW w:w="1151" w:type="pct"/>
          </w:tcPr>
          <w:p w14:paraId="621C4BE2" w14:textId="5FEE6808" w:rsidR="00840557" w:rsidRPr="00C4500C" w:rsidRDefault="00840557" w:rsidP="004631A4">
            <w:pPr>
              <w:pStyle w:val="TableText"/>
              <w:jc w:val="center"/>
              <w:rPr>
                <w:rFonts w:cs="Times New Roman"/>
                <w:b/>
                <w:bCs w:val="0"/>
                <w:szCs w:val="20"/>
                <w:vertAlign w:val="superscript"/>
              </w:rPr>
            </w:pPr>
            <w:r w:rsidRPr="009B152B">
              <w:rPr>
                <w:b/>
                <w:bCs w:val="0"/>
                <w:szCs w:val="20"/>
              </w:rPr>
              <w:t>$</w:t>
            </w:r>
            <w:r w:rsidR="00B474C2" w:rsidRPr="00B474C2">
              <w:rPr>
                <w:b/>
                <w:bCs w:val="0"/>
                <w:color w:val="000000"/>
                <w:szCs w:val="20"/>
                <w:shd w:val="solid" w:color="000000" w:fill="000000"/>
                <w14:textFill>
                  <w14:solidFill>
                    <w14:srgbClr w14:val="000000">
                      <w14:alpha w14:val="100000"/>
                    </w14:srgbClr>
                  </w14:solidFill>
                </w14:textFill>
              </w:rPr>
              <w:t>|</w:t>
            </w:r>
            <w:r w:rsidR="00C4500C">
              <w:rPr>
                <w:b/>
                <w:bCs w:val="0"/>
                <w:szCs w:val="20"/>
                <w:vertAlign w:val="superscript"/>
              </w:rPr>
              <w:t>2</w:t>
            </w:r>
          </w:p>
        </w:tc>
      </w:tr>
      <w:tr w:rsidR="00840557" w:rsidRPr="009B152B" w14:paraId="3249FE58" w14:textId="77777777" w:rsidTr="004631A4">
        <w:tc>
          <w:tcPr>
            <w:tcW w:w="3849" w:type="pct"/>
            <w:gridSpan w:val="3"/>
            <w:tcBorders>
              <w:bottom w:val="single" w:sz="4" w:space="0" w:color="auto"/>
            </w:tcBorders>
            <w:vAlign w:val="center"/>
          </w:tcPr>
          <w:p w14:paraId="4E058966" w14:textId="77777777" w:rsidR="00840557" w:rsidRPr="009B152B" w:rsidRDefault="00840557" w:rsidP="004631A4">
            <w:pPr>
              <w:pStyle w:val="TableText"/>
              <w:rPr>
                <w:rFonts w:cs="Times New Roman"/>
                <w:szCs w:val="20"/>
              </w:rPr>
            </w:pPr>
            <w:r w:rsidRPr="009B152B">
              <w:rPr>
                <w:b/>
              </w:rPr>
              <w:t>Incremental cost/QALY gained</w:t>
            </w:r>
          </w:p>
        </w:tc>
        <w:tc>
          <w:tcPr>
            <w:tcW w:w="1151" w:type="pct"/>
            <w:tcBorders>
              <w:bottom w:val="single" w:sz="4" w:space="0" w:color="auto"/>
            </w:tcBorders>
          </w:tcPr>
          <w:p w14:paraId="4574F0E3" w14:textId="3B33DB6B" w:rsidR="00840557" w:rsidRPr="00C4500C" w:rsidRDefault="00840557" w:rsidP="004631A4">
            <w:pPr>
              <w:pStyle w:val="TableText"/>
              <w:jc w:val="center"/>
              <w:rPr>
                <w:rFonts w:cs="Times New Roman"/>
                <w:b/>
                <w:bCs w:val="0"/>
                <w:szCs w:val="20"/>
                <w:vertAlign w:val="superscript"/>
              </w:rPr>
            </w:pPr>
            <w:r w:rsidRPr="009B152B">
              <w:rPr>
                <w:rFonts w:cs="Calibri"/>
                <w:b/>
                <w:bCs w:val="0"/>
                <w:szCs w:val="20"/>
              </w:rPr>
              <w:t>$</w:t>
            </w:r>
            <w:r w:rsidR="00B474C2" w:rsidRPr="00B474C2">
              <w:rPr>
                <w:rFonts w:cs="Calibri"/>
                <w:b/>
                <w:bCs w:val="0"/>
                <w:color w:val="000000"/>
                <w:szCs w:val="20"/>
                <w:shd w:val="solid" w:color="000000" w:fill="000000"/>
                <w14:textFill>
                  <w14:solidFill>
                    <w14:srgbClr w14:val="000000">
                      <w14:alpha w14:val="100000"/>
                    </w14:srgbClr>
                  </w14:solidFill>
                </w14:textFill>
              </w:rPr>
              <w:t>|</w:t>
            </w:r>
            <w:r w:rsidR="00C4500C">
              <w:rPr>
                <w:rFonts w:cs="Calibri"/>
                <w:b/>
                <w:bCs w:val="0"/>
                <w:szCs w:val="20"/>
                <w:vertAlign w:val="superscript"/>
              </w:rPr>
              <w:t>3</w:t>
            </w:r>
          </w:p>
        </w:tc>
      </w:tr>
    </w:tbl>
    <w:p w14:paraId="5BAF538E" w14:textId="77777777" w:rsidR="00840557" w:rsidRPr="0061435E" w:rsidRDefault="00840557" w:rsidP="00840557">
      <w:pPr>
        <w:pStyle w:val="COMTablefooter"/>
      </w:pPr>
      <w:r w:rsidRPr="0061435E">
        <w:t>Source: Constructed during the evaluation using the ‘Tafamidis Economic Model March 2023’ spreadsheet provided with the resubmission</w:t>
      </w:r>
    </w:p>
    <w:p w14:paraId="70254367" w14:textId="77777777" w:rsidR="00840557" w:rsidRPr="006F0884" w:rsidRDefault="00840557" w:rsidP="00840557">
      <w:pPr>
        <w:pStyle w:val="COMTablefooter"/>
      </w:pPr>
      <w:r w:rsidRPr="006F0884">
        <w:t>Abbreviation: QALY, quality adjusted life year.</w:t>
      </w:r>
    </w:p>
    <w:p w14:paraId="6097B7EF" w14:textId="5F9EAB2B" w:rsidR="00840557" w:rsidRDefault="00840557" w:rsidP="00CA4A14">
      <w:pPr>
        <w:pStyle w:val="COMTablefooter"/>
        <w:spacing w:after="0"/>
      </w:pPr>
      <w:r w:rsidRPr="009B152B">
        <w:t>Note: Results were updated during the evaluation to correct for the misapplication of diagnosis costs (based on costs in the September 2021 model, with half of the costs attributed to the tafamidis arm and half to the standard management arm; this does not affect the ICER, as costs were applied to both treatment arms), and transitions from NYHA class I/II off-treatment were corrected to be based on standard management probabilities, rather than tafamidis on-treatment probabilities.</w:t>
      </w:r>
    </w:p>
    <w:p w14:paraId="49981FD7" w14:textId="77777777" w:rsidR="00C4500C" w:rsidRPr="009A6D58" w:rsidRDefault="00C4500C" w:rsidP="00C4500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C0A5B16" w14:textId="595B8EBE" w:rsidR="00C4500C" w:rsidRPr="009A6D58" w:rsidRDefault="00C4500C" w:rsidP="00C4500C">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4500C">
        <w:rPr>
          <w:rFonts w:ascii="Arial Narrow" w:hAnsi="Arial Narrow"/>
          <w:i/>
          <w:sz w:val="18"/>
          <w:szCs w:val="18"/>
        </w:rPr>
        <w:t>$155,000 to &lt; $255,000</w:t>
      </w:r>
    </w:p>
    <w:p w14:paraId="652B0F09" w14:textId="77777777" w:rsidR="00C4500C" w:rsidRDefault="00C4500C" w:rsidP="00C4500C">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C4500C">
        <w:rPr>
          <w:rFonts w:ascii="Arial Narrow" w:hAnsi="Arial Narrow"/>
          <w:i/>
          <w:sz w:val="18"/>
          <w:szCs w:val="18"/>
        </w:rPr>
        <w:t>$115,000 to &lt; $135,000</w:t>
      </w:r>
    </w:p>
    <w:p w14:paraId="37C3D3EB" w14:textId="64D79F7A" w:rsidR="00C4500C" w:rsidRDefault="00C4500C" w:rsidP="00CA4A14">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C4500C">
        <w:rPr>
          <w:rFonts w:ascii="Arial Narrow" w:hAnsi="Arial Narrow"/>
          <w:i/>
          <w:sz w:val="18"/>
          <w:szCs w:val="18"/>
        </w:rPr>
        <w:t>$135,000 to &lt; $155,000</w:t>
      </w:r>
    </w:p>
    <w:p w14:paraId="37782CDB" w14:textId="1F32FC93" w:rsidR="00840557" w:rsidRPr="009B152B" w:rsidRDefault="00840557" w:rsidP="00840557">
      <w:pPr>
        <w:pStyle w:val="COMexecsumnumberedpara"/>
      </w:pPr>
      <w:r w:rsidRPr="009B152B">
        <w:t xml:space="preserve">Based on the economic model presented in the resubmission, treatment with tafamidis was associated with an incremental cost per QALY gained of </w:t>
      </w:r>
      <w:r w:rsidR="00C4500C" w:rsidRPr="00C4500C">
        <w:t>$135,000</w:t>
      </w:r>
      <w:r w:rsidR="00CA4A14">
        <w:t> </w:t>
      </w:r>
      <w:r w:rsidR="00C4500C" w:rsidRPr="00C4500C">
        <w:t>to</w:t>
      </w:r>
      <w:r w:rsidR="00CA4A14">
        <w:t> </w:t>
      </w:r>
      <w:r w:rsidR="00C4500C" w:rsidRPr="00C4500C">
        <w:t>&lt;</w:t>
      </w:r>
      <w:r w:rsidR="00CA4A14">
        <w:t> </w:t>
      </w:r>
      <w:r w:rsidR="00C4500C" w:rsidRPr="00C4500C">
        <w:t>$155,000</w:t>
      </w:r>
      <w:r w:rsidR="00C4500C" w:rsidRPr="00C4500C" w:rsidDel="00C4500C">
        <w:t xml:space="preserve"> </w:t>
      </w:r>
      <w:r w:rsidRPr="009B152B">
        <w:t xml:space="preserve">(uncorrected estimate </w:t>
      </w:r>
      <w:r w:rsidR="00C4500C" w:rsidRPr="00C4500C">
        <w:t>$95,000</w:t>
      </w:r>
      <w:r w:rsidR="00CA4A14">
        <w:t> </w:t>
      </w:r>
      <w:r w:rsidR="00C4500C" w:rsidRPr="00C4500C">
        <w:t>to</w:t>
      </w:r>
      <w:r w:rsidR="00CA4A14">
        <w:t> </w:t>
      </w:r>
      <w:r w:rsidR="00C4500C" w:rsidRPr="00C4500C">
        <w:t>&lt;</w:t>
      </w:r>
      <w:r w:rsidR="00CA4A14">
        <w:t> </w:t>
      </w:r>
      <w:r w:rsidR="00C4500C" w:rsidRPr="00C4500C">
        <w:t>$115,000</w:t>
      </w:r>
      <w:r w:rsidRPr="009B152B">
        <w:t xml:space="preserve">) compared to standard management for the treatment of patients with ATTR-CM. This compares with an incremental cost per QALY gained of </w:t>
      </w:r>
      <w:r w:rsidR="00C4500C" w:rsidRPr="00C4500C">
        <w:t>$135,000</w:t>
      </w:r>
      <w:r w:rsidR="00CA4A14">
        <w:t> </w:t>
      </w:r>
      <w:r w:rsidR="00C4500C" w:rsidRPr="00C4500C">
        <w:t>to</w:t>
      </w:r>
      <w:r w:rsidR="00CA4A14">
        <w:t> </w:t>
      </w:r>
      <w:r w:rsidR="00C4500C" w:rsidRPr="00C4500C">
        <w:t>&lt;</w:t>
      </w:r>
      <w:r w:rsidR="00CA4A14">
        <w:t> </w:t>
      </w:r>
      <w:r w:rsidR="00C4500C" w:rsidRPr="00C4500C">
        <w:t>$155,000</w:t>
      </w:r>
      <w:r w:rsidR="00C4500C" w:rsidRPr="00C4500C" w:rsidDel="00C4500C">
        <w:t xml:space="preserve"> </w:t>
      </w:r>
      <w:r w:rsidR="009C5199" w:rsidRPr="009B152B">
        <w:t>(</w:t>
      </w:r>
      <w:r w:rsidR="00D43CBB" w:rsidRPr="009B152B">
        <w:t>unevaluated/</w:t>
      </w:r>
      <w:r w:rsidR="009C5199" w:rsidRPr="009B152B">
        <w:t xml:space="preserve">uncorrected) </w:t>
      </w:r>
      <w:r w:rsidRPr="009B152B">
        <w:t xml:space="preserve">in the September 2021 resubmission and </w:t>
      </w:r>
      <w:r w:rsidR="00C4500C" w:rsidRPr="00C4500C">
        <w:t>$155,000</w:t>
      </w:r>
      <w:r w:rsidR="00CA4A14">
        <w:t> </w:t>
      </w:r>
      <w:r w:rsidR="00C4500C" w:rsidRPr="00C4500C">
        <w:t>to</w:t>
      </w:r>
      <w:r w:rsidR="00CA4A14">
        <w:t> </w:t>
      </w:r>
      <w:r w:rsidR="00C4500C" w:rsidRPr="00C4500C">
        <w:t>&lt;</w:t>
      </w:r>
      <w:r w:rsidR="00CA4A14">
        <w:t> </w:t>
      </w:r>
      <w:r w:rsidR="00C4500C" w:rsidRPr="00C4500C">
        <w:t>$255,000</w:t>
      </w:r>
      <w:r w:rsidR="00C4500C" w:rsidRPr="00C4500C" w:rsidDel="00C4500C">
        <w:t xml:space="preserve"> </w:t>
      </w:r>
      <w:r w:rsidRPr="009B152B">
        <w:t xml:space="preserve">(uncorrected estimate </w:t>
      </w:r>
      <w:r w:rsidR="00C4500C" w:rsidRPr="00C4500C">
        <w:t>$155,000</w:t>
      </w:r>
      <w:r w:rsidR="00CA4A14">
        <w:t> </w:t>
      </w:r>
      <w:r w:rsidR="00C4500C" w:rsidRPr="00C4500C">
        <w:t>to</w:t>
      </w:r>
      <w:r w:rsidR="00CA4A14">
        <w:t> </w:t>
      </w:r>
      <w:r w:rsidR="00C4500C" w:rsidRPr="00C4500C">
        <w:t>&lt;</w:t>
      </w:r>
      <w:r w:rsidR="00CA4A14">
        <w:t> </w:t>
      </w:r>
      <w:r w:rsidR="00C4500C" w:rsidRPr="00C4500C">
        <w:t>$255,000</w:t>
      </w:r>
      <w:r w:rsidRPr="009B152B">
        <w:t>) in the March</w:t>
      </w:r>
      <w:r w:rsidR="00CA4A14">
        <w:t> </w:t>
      </w:r>
      <w:r w:rsidRPr="009B152B">
        <w:t>2021 resubmission.</w:t>
      </w:r>
    </w:p>
    <w:p w14:paraId="185DB004" w14:textId="11B1A691" w:rsidR="00840557" w:rsidRPr="009B152B" w:rsidRDefault="00840557" w:rsidP="00840557">
      <w:pPr>
        <w:pStyle w:val="COMexecsumnumberedpara"/>
      </w:pPr>
      <w:r w:rsidRPr="0061435E">
        <w:t xml:space="preserve">The incremental cost per QALY gained of </w:t>
      </w:r>
      <w:r w:rsidR="00D80841" w:rsidRPr="00C4500C">
        <w:t>$135,000</w:t>
      </w:r>
      <w:r w:rsidR="00CA4A14">
        <w:t> </w:t>
      </w:r>
      <w:r w:rsidR="00D80841" w:rsidRPr="00C4500C">
        <w:t>to</w:t>
      </w:r>
      <w:r w:rsidR="00CA4A14">
        <w:t> </w:t>
      </w:r>
      <w:r w:rsidR="00D80841" w:rsidRPr="00C4500C">
        <w:t>&lt;</w:t>
      </w:r>
      <w:r w:rsidR="00CA4A14">
        <w:t> </w:t>
      </w:r>
      <w:r w:rsidR="00D80841" w:rsidRPr="00C4500C">
        <w:t>$155,000</w:t>
      </w:r>
      <w:r w:rsidR="00D80841" w:rsidRPr="00C4500C" w:rsidDel="00C4500C">
        <w:t xml:space="preserve"> </w:t>
      </w:r>
      <w:r w:rsidRPr="0061435E">
        <w:t>was based on a tafamidis price of $</w:t>
      </w:r>
      <w:r w:rsidR="00B474C2" w:rsidRPr="004826FD">
        <w:rPr>
          <w:color w:val="000000"/>
          <w:w w:val="15"/>
          <w:shd w:val="solid" w:color="000000" w:fill="000000"/>
          <w:fitText w:val="-20" w:id="-1168367350"/>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50"/>
          <w14:textFill>
            <w14:solidFill>
              <w14:srgbClr w14:val="000000">
                <w14:alpha w14:val="100000"/>
              </w14:srgbClr>
            </w14:solidFill>
          </w14:textFill>
        </w:rPr>
        <w:t>|</w:t>
      </w:r>
      <w:r w:rsidRPr="0061435E">
        <w:t xml:space="preserve"> for the first 3 years, and $</w:t>
      </w:r>
      <w:r w:rsidR="00B474C2" w:rsidRPr="004826FD">
        <w:rPr>
          <w:color w:val="000000"/>
          <w:w w:val="15"/>
          <w:shd w:val="solid" w:color="000000" w:fill="000000"/>
          <w:fitText w:val="-20" w:id="-1168367349"/>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49"/>
          <w14:textFill>
            <w14:solidFill>
              <w14:srgbClr w14:val="000000">
                <w14:alpha w14:val="100000"/>
              </w14:srgbClr>
            </w14:solidFill>
          </w14:textFill>
        </w:rPr>
        <w:t>|</w:t>
      </w:r>
      <w:r w:rsidRPr="0061435E">
        <w:t xml:space="preserve"> for subsequent years</w:t>
      </w:r>
      <w:r w:rsidRPr="009B152B">
        <w:t xml:space="preserve">. </w:t>
      </w:r>
      <w:r w:rsidR="008F65B0">
        <w:t xml:space="preserve">Using the pre-PBAC proposed price for years 4 and onwards the ICER decreased to </w:t>
      </w:r>
      <w:r w:rsidR="00D80841" w:rsidRPr="00D80841">
        <w:t>$115,000</w:t>
      </w:r>
      <w:r w:rsidR="00CA4A14">
        <w:t> </w:t>
      </w:r>
      <w:r w:rsidR="00D80841" w:rsidRPr="00D80841">
        <w:t>to</w:t>
      </w:r>
      <w:r w:rsidR="00CA4A14">
        <w:t> </w:t>
      </w:r>
      <w:r w:rsidR="00D80841" w:rsidRPr="00D80841">
        <w:t>&lt;</w:t>
      </w:r>
      <w:r w:rsidR="00CA4A14">
        <w:t> </w:t>
      </w:r>
      <w:r w:rsidR="00D80841" w:rsidRPr="00D80841">
        <w:t>$135,000</w:t>
      </w:r>
      <w:r w:rsidR="008F65B0">
        <w:t>/</w:t>
      </w:r>
      <w:r w:rsidR="000658D7">
        <w:t>Q</w:t>
      </w:r>
      <w:r w:rsidR="008F65B0">
        <w:t xml:space="preserve">ALY gained. </w:t>
      </w:r>
      <w:r w:rsidRPr="009B152B">
        <w:t xml:space="preserve">This cost-effectiveness reflects a cohort who begin treatment with tafamidis when first listed on the PBS. The </w:t>
      </w:r>
      <w:r w:rsidR="00EA3909" w:rsidRPr="009B152B">
        <w:t>ICER</w:t>
      </w:r>
      <w:r w:rsidRPr="009B152B">
        <w:t xml:space="preserve"> of a cohort of patients who begin treatment at a later time point would be lower, with less (or no) treatment at the higher price. Sensitivity analyses using the higher and lower proposed prices over the entire model duration are presented in </w:t>
      </w:r>
      <w:r w:rsidRPr="009B152B">
        <w:fldChar w:fldCharType="begin" w:fldLock="1"/>
      </w:r>
      <w:r w:rsidRPr="009B152B">
        <w:instrText xml:space="preserve"> REF _Ref132380324 \h  \* MERGEFORMAT </w:instrText>
      </w:r>
      <w:r w:rsidRPr="009B152B">
        <w:fldChar w:fldCharType="separate"/>
      </w:r>
      <w:r w:rsidR="0015761E" w:rsidRPr="009B152B">
        <w:t xml:space="preserve">Table </w:t>
      </w:r>
      <w:r w:rsidR="0015761E" w:rsidRPr="009B152B">
        <w:rPr>
          <w:noProof/>
        </w:rPr>
        <w:t>9</w:t>
      </w:r>
      <w:r w:rsidRPr="009B152B">
        <w:fldChar w:fldCharType="end"/>
      </w:r>
      <w:r w:rsidRPr="009B152B">
        <w:t xml:space="preserve"> below. </w:t>
      </w:r>
    </w:p>
    <w:p w14:paraId="5D3656DA" w14:textId="674FD0FB" w:rsidR="00840557" w:rsidRPr="00FA6D4F" w:rsidRDefault="00840557">
      <w:pPr>
        <w:pStyle w:val="COMexecsumnumberedpara"/>
        <w:rPr>
          <w:i/>
          <w:iCs/>
        </w:rPr>
      </w:pPr>
      <w:r w:rsidRPr="009B152B">
        <w:t xml:space="preserve">The PBAC previously considered that an ICER of $80,000 per QALY gained for tafamidis versus standard management would be more acceptable (paras 7.11, 7.13, Tafamidis PBAC </w:t>
      </w:r>
      <w:r w:rsidR="003D028B">
        <w:t>PSD</w:t>
      </w:r>
      <w:r w:rsidRPr="009B152B">
        <w:t xml:space="preserve">, March 2021 PBAC meeting; para 10.4, Tafamidis PBAC </w:t>
      </w:r>
      <w:r w:rsidR="003D028B">
        <w:t>PSD</w:t>
      </w:r>
      <w:r w:rsidRPr="009B152B">
        <w:t>, March 2021 PBAC meeting with September 2021 addendum).</w:t>
      </w:r>
      <w:r w:rsidRPr="0061435E">
        <w:t xml:space="preserve"> The resubmission stated that the sponsor is unable to meet the $80,000 ICER, but noted that reductions in the published and effective prices for tafamidis were proposed in the resubmission, which are the lowest prices proposed to date.</w:t>
      </w:r>
      <w:r w:rsidR="00443541" w:rsidRPr="00443541">
        <w:t xml:space="preserve"> </w:t>
      </w:r>
      <w:r w:rsidR="00443541" w:rsidRPr="009B152B">
        <w:t xml:space="preserve">The proposed effective prices represent reductions of </w:t>
      </w:r>
      <w:r w:rsidR="00B474C2" w:rsidRPr="004826FD">
        <w:rPr>
          <w:color w:val="000000"/>
          <w:w w:val="15"/>
          <w:shd w:val="solid" w:color="000000" w:fill="000000"/>
          <w:fitText w:val="-20" w:id="-1168367348"/>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48"/>
          <w14:textFill>
            <w14:solidFill>
              <w14:srgbClr w14:val="000000">
                <w14:alpha w14:val="100000"/>
              </w14:srgbClr>
            </w14:solidFill>
          </w14:textFill>
        </w:rPr>
        <w:t>|</w:t>
      </w:r>
      <w:r w:rsidR="00443541" w:rsidRPr="009B152B">
        <w:t xml:space="preserve">% (for the first 3 years of listing) and </w:t>
      </w:r>
      <w:r w:rsidR="00B474C2" w:rsidRPr="004826FD">
        <w:rPr>
          <w:color w:val="000000"/>
          <w:w w:val="15"/>
          <w:shd w:val="solid" w:color="000000" w:fill="000000"/>
          <w:fitText w:val="-20" w:id="-1168367347"/>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47"/>
          <w14:textFill>
            <w14:solidFill>
              <w14:srgbClr w14:val="000000">
                <w14:alpha w14:val="100000"/>
              </w14:srgbClr>
            </w14:solidFill>
          </w14:textFill>
        </w:rPr>
        <w:t>|</w:t>
      </w:r>
      <w:r w:rsidR="00443541" w:rsidRPr="009B152B">
        <w:t>% (for subsequent years) compared to the effective prices proposed in the September 2021 submission</w:t>
      </w:r>
      <w:r w:rsidR="00443541">
        <w:rPr>
          <w:i/>
          <w:iCs/>
        </w:rPr>
        <w:t>.</w:t>
      </w:r>
      <w:r w:rsidR="00360D9D" w:rsidRPr="00360D9D">
        <w:t xml:space="preserve"> </w:t>
      </w:r>
      <w:r w:rsidR="00360D9D" w:rsidRPr="00EE5DB2">
        <w:t>The resubmission also noted that a number of treatments for rare diseases have received positive recommendations with higher ICERs (for example, $155,000 to &lt;$255,000 per QALY gained, $</w:t>
      </w:r>
      <w:r w:rsidR="00360D9D" w:rsidRPr="00FA6D4F">
        <w:t>255,000 to &lt;</w:t>
      </w:r>
      <w:r w:rsidR="00CA4A14">
        <w:t> </w:t>
      </w:r>
      <w:r w:rsidR="00360D9D" w:rsidRPr="00FA6D4F">
        <w:t>$355,000 per QALY gained).</w:t>
      </w:r>
      <w:r w:rsidR="00360D9D" w:rsidRPr="001F4A02">
        <w:t xml:space="preserve"> The </w:t>
      </w:r>
      <w:r w:rsidR="00FA6D4F" w:rsidRPr="001F4A02">
        <w:t>PSCR</w:t>
      </w:r>
      <w:r w:rsidR="00D80841">
        <w:t xml:space="preserve"> </w:t>
      </w:r>
      <w:r w:rsidR="00FA6D4F" w:rsidRPr="001F4A02">
        <w:t xml:space="preserve">stated that </w:t>
      </w:r>
      <w:r w:rsidR="003E0E5D" w:rsidRPr="001F4A02">
        <w:t>t</w:t>
      </w:r>
      <w:r w:rsidR="00FA6D4F" w:rsidRPr="001F4A02">
        <w:t xml:space="preserve">he ICERs achieved </w:t>
      </w:r>
      <w:r w:rsidR="003E0E5D" w:rsidRPr="001F4A02">
        <w:t>for tafamidis a</w:t>
      </w:r>
      <w:r w:rsidR="00FA6D4F" w:rsidRPr="001F4A02">
        <w:t xml:space="preserve">re in the order </w:t>
      </w:r>
      <w:r w:rsidR="003E0E5D" w:rsidRPr="001F4A02">
        <w:t xml:space="preserve">of those </w:t>
      </w:r>
      <w:r w:rsidR="00FA6D4F" w:rsidRPr="001F4A02">
        <w:t>for cystic fibrosis, recommended by the PBAC and PBS-listed in 2021 and 2022</w:t>
      </w:r>
      <w:r w:rsidR="00360D9D" w:rsidRPr="001F4A02">
        <w:t>.</w:t>
      </w:r>
    </w:p>
    <w:p w14:paraId="08AEDB64" w14:textId="5A80826C" w:rsidR="00840557" w:rsidRPr="009B152B" w:rsidRDefault="00840557">
      <w:pPr>
        <w:pStyle w:val="COMexecsumnumberedpara"/>
      </w:pPr>
      <w:r w:rsidRPr="00FA6D4F">
        <w:t>The price of tafamidis would have to be</w:t>
      </w:r>
      <w:r w:rsidRPr="009B152B">
        <w:t xml:space="preserve"> $</w:t>
      </w:r>
      <w:r w:rsidR="00B474C2" w:rsidRPr="00DD34BF">
        <w:rPr>
          <w:color w:val="000000"/>
          <w:w w:val="60"/>
          <w:shd w:val="solid" w:color="000000" w:fill="000000"/>
          <w:fitText w:val="465" w:id="-1168367346"/>
          <w14:textFill>
            <w14:solidFill>
              <w14:srgbClr w14:val="000000">
                <w14:alpha w14:val="100000"/>
              </w14:srgbClr>
            </w14:solidFill>
          </w14:textFill>
        </w:rPr>
        <w:t>|||  ||</w:t>
      </w:r>
      <w:r w:rsidR="00B474C2" w:rsidRPr="00DD34BF">
        <w:rPr>
          <w:color w:val="000000"/>
          <w:spacing w:val="1"/>
          <w:w w:val="60"/>
          <w:shd w:val="solid" w:color="000000" w:fill="000000"/>
          <w:fitText w:val="465" w:id="-1168367346"/>
          <w14:textFill>
            <w14:solidFill>
              <w14:srgbClr w14:val="000000">
                <w14:alpha w14:val="100000"/>
              </w14:srgbClr>
            </w14:solidFill>
          </w14:textFill>
        </w:rPr>
        <w:t>|</w:t>
      </w:r>
      <w:r w:rsidRPr="009B152B">
        <w:t xml:space="preserve"> over the model duration to achieve an ICER of $80,000 per QALY gained, assuming no other changes to the model. This represents a </w:t>
      </w:r>
      <w:r w:rsidR="00B474C2" w:rsidRPr="004826FD">
        <w:rPr>
          <w:color w:val="000000"/>
          <w:w w:val="15"/>
          <w:shd w:val="solid" w:color="000000" w:fill="000000"/>
          <w:fitText w:val="-20" w:id="-1168367345"/>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45"/>
          <w14:textFill>
            <w14:solidFill>
              <w14:srgbClr w14:val="000000">
                <w14:alpha w14:val="100000"/>
              </w14:srgbClr>
            </w14:solidFill>
          </w14:textFill>
        </w:rPr>
        <w:t>|</w:t>
      </w:r>
      <w:r w:rsidRPr="009B152B">
        <w:t xml:space="preserve">% reduction on the proposed effective DPMQ for the first 3 years and a </w:t>
      </w:r>
      <w:r w:rsidR="00B474C2" w:rsidRPr="004826FD">
        <w:rPr>
          <w:color w:val="000000"/>
          <w:w w:val="15"/>
          <w:shd w:val="solid" w:color="000000" w:fill="000000"/>
          <w:fitText w:val="-20" w:id="-1168367344"/>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44"/>
          <w14:textFill>
            <w14:solidFill>
              <w14:srgbClr w14:val="000000">
                <w14:alpha w14:val="100000"/>
              </w14:srgbClr>
            </w14:solidFill>
          </w14:textFill>
        </w:rPr>
        <w:t>|</w:t>
      </w:r>
      <w:r w:rsidRPr="009B152B">
        <w:t>% reduction on the proposed effective DPMQ for subsequent years.</w:t>
      </w:r>
    </w:p>
    <w:p w14:paraId="28B89D24" w14:textId="6ABF45B5" w:rsidR="007D70C9" w:rsidRPr="009B152B" w:rsidRDefault="007D70C9" w:rsidP="007D70C9">
      <w:pPr>
        <w:pStyle w:val="COMexecsumnumberedpara"/>
      </w:pPr>
      <w:r w:rsidRPr="009B152B">
        <w:t>In the corrected model, 36.0% of incremental costs and 82.1% of incremental QALYs are accrued in the extrapolated period.</w:t>
      </w:r>
    </w:p>
    <w:p w14:paraId="372337E9" w14:textId="77777777" w:rsidR="00840557" w:rsidRPr="00691335" w:rsidRDefault="00840557" w:rsidP="00CA4A14">
      <w:pPr>
        <w:pStyle w:val="COMexecsumnumberedpara"/>
      </w:pPr>
      <w:r w:rsidRPr="00691335">
        <w:t xml:space="preserve">For every patient treated with </w:t>
      </w:r>
      <w:r>
        <w:t>tafamidis</w:t>
      </w:r>
      <w:r w:rsidRPr="00691335">
        <w:t xml:space="preserve"> versus </w:t>
      </w:r>
      <w:r>
        <w:t xml:space="preserve">standard management </w:t>
      </w:r>
      <w:r w:rsidRPr="00691335">
        <w:t xml:space="preserve">and followed up for </w:t>
      </w:r>
      <w:r>
        <w:t>20</w:t>
      </w:r>
      <w:r w:rsidRPr="00691335">
        <w:t xml:space="preserve"> years, the economic evaluation </w:t>
      </w:r>
      <w:r>
        <w:t xml:space="preserve">revised during the evaluation </w:t>
      </w:r>
      <w:r w:rsidRPr="00691335">
        <w:t xml:space="preserve">(without discounting) estimated that there would be: </w:t>
      </w:r>
    </w:p>
    <w:p w14:paraId="5D24C268" w14:textId="7380DE3F" w:rsidR="00840557" w:rsidRDefault="00840557" w:rsidP="00CA4A14">
      <w:pPr>
        <w:pStyle w:val="COMexecsummbulletlist"/>
        <w:ind w:left="1077" w:hanging="357"/>
      </w:pPr>
      <w:r>
        <w:t>Additional tafamidis drug costs of $</w:t>
      </w:r>
      <w:r w:rsidR="00B474C2" w:rsidRPr="004826FD">
        <w:rPr>
          <w:color w:val="000000"/>
          <w:w w:val="15"/>
          <w:shd w:val="solid" w:color="000000" w:fill="000000"/>
          <w:fitText w:val="-20" w:id="-1168367360"/>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60"/>
          <w14:textFill>
            <w14:solidFill>
              <w14:srgbClr w14:val="000000">
                <w14:alpha w14:val="100000"/>
              </w14:srgbClr>
            </w14:solidFill>
          </w14:textFill>
        </w:rPr>
        <w:t>|</w:t>
      </w:r>
      <w:r w:rsidRPr="009C43AD">
        <w:t xml:space="preserve"> </w:t>
      </w:r>
      <w:r>
        <w:t xml:space="preserve">with additional disease management costs </w:t>
      </w:r>
      <w:r w:rsidRPr="005E431C">
        <w:t>of $1,385.</w:t>
      </w:r>
    </w:p>
    <w:p w14:paraId="6642E4AC" w14:textId="77777777" w:rsidR="00840557" w:rsidRDefault="00840557" w:rsidP="00CA4A14">
      <w:pPr>
        <w:pStyle w:val="COMexecsummbulletlist"/>
        <w:ind w:left="1077" w:hanging="357"/>
      </w:pPr>
      <w:r>
        <w:t>Additional survival of 1.4 years, with more time spent in NYHA class I/II.</w:t>
      </w:r>
    </w:p>
    <w:p w14:paraId="2F4B92F8" w14:textId="77777777" w:rsidR="00840557" w:rsidRPr="005E431C" w:rsidRDefault="00840557" w:rsidP="00CA4A14">
      <w:pPr>
        <w:pStyle w:val="COMexecsummbulletlist"/>
        <w:ind w:left="1077" w:hanging="357"/>
      </w:pPr>
      <w:r>
        <w:t xml:space="preserve">1.1 fewer cardiovascular </w:t>
      </w:r>
      <w:r w:rsidRPr="005E431C">
        <w:t>hospitalisations.</w:t>
      </w:r>
    </w:p>
    <w:p w14:paraId="015210EF" w14:textId="77777777" w:rsidR="00840557" w:rsidRPr="005E431C" w:rsidRDefault="00840557" w:rsidP="00CA4A14">
      <w:pPr>
        <w:pStyle w:val="COMexecsummbulletlist"/>
        <w:ind w:left="1077" w:hanging="357"/>
      </w:pPr>
      <w:r w:rsidRPr="005E431C">
        <w:t>Decreased costs for hospitalisation ($11,286) and terminal care ($217).</w:t>
      </w:r>
    </w:p>
    <w:p w14:paraId="44605653" w14:textId="3CBD58E0" w:rsidR="00840557" w:rsidRPr="009B152B" w:rsidRDefault="00840557" w:rsidP="00840557">
      <w:pPr>
        <w:pStyle w:val="COMexecsumnumberedpara"/>
      </w:pPr>
      <w:r w:rsidRPr="0061435E">
        <w:t xml:space="preserve">The results of key sensitivity analyses presented in the </w:t>
      </w:r>
      <w:r w:rsidRPr="009B152B">
        <w:t xml:space="preserve">resubmission and conducted during the evaluation are summarised in </w:t>
      </w:r>
      <w:r w:rsidRPr="009B152B">
        <w:fldChar w:fldCharType="begin" w:fldLock="1"/>
      </w:r>
      <w:r w:rsidRPr="009B152B">
        <w:instrText xml:space="preserve"> REF _Ref132380324 \h </w:instrText>
      </w:r>
      <w:r w:rsidR="009B152B" w:rsidRPr="009B152B">
        <w:instrText xml:space="preserve"> \* MERGEFORMAT </w:instrText>
      </w:r>
      <w:r w:rsidRPr="009B152B">
        <w:fldChar w:fldCharType="separate"/>
      </w:r>
      <w:r w:rsidR="0015761E" w:rsidRPr="009B152B">
        <w:t xml:space="preserve">Table </w:t>
      </w:r>
      <w:r w:rsidR="0015761E" w:rsidRPr="009B152B">
        <w:rPr>
          <w:noProof/>
        </w:rPr>
        <w:t>9</w:t>
      </w:r>
      <w:r w:rsidRPr="009B152B">
        <w:fldChar w:fldCharType="end"/>
      </w:r>
      <w:r w:rsidRPr="009B152B">
        <w:t>.</w:t>
      </w:r>
    </w:p>
    <w:p w14:paraId="3EDC7C27" w14:textId="56EBE14F" w:rsidR="00840557" w:rsidRPr="0061435E" w:rsidRDefault="00840557" w:rsidP="00EB0B28">
      <w:pPr>
        <w:pStyle w:val="COMtablefigcaption"/>
      </w:pPr>
      <w:bookmarkStart w:id="53" w:name="_Ref132380324"/>
      <w:r w:rsidRPr="0061435E">
        <w:t xml:space="preserve">Table </w:t>
      </w:r>
      <w:fldSimple w:instr=" SEQ Table \* ARABIC " w:fldLock="1">
        <w:r w:rsidR="0015761E">
          <w:rPr>
            <w:noProof/>
          </w:rPr>
          <w:t>9</w:t>
        </w:r>
      </w:fldSimple>
      <w:bookmarkEnd w:id="53"/>
      <w:r w:rsidRPr="0061435E">
        <w:t>: Results of key sensitivity analyses</w:t>
      </w:r>
    </w:p>
    <w:tbl>
      <w:tblPr>
        <w:tblStyle w:val="TableGrid"/>
        <w:tblW w:w="0" w:type="auto"/>
        <w:tblCellMar>
          <w:left w:w="28" w:type="dxa"/>
          <w:right w:w="28" w:type="dxa"/>
        </w:tblCellMar>
        <w:tblLook w:val="04A0" w:firstRow="1" w:lastRow="0" w:firstColumn="1" w:lastColumn="0" w:noHBand="0" w:noVBand="1"/>
        <w:tblCaption w:val="Table 9: Results of key sensitivity analyses"/>
      </w:tblPr>
      <w:tblGrid>
        <w:gridCol w:w="4105"/>
        <w:gridCol w:w="1227"/>
        <w:gridCol w:w="1228"/>
        <w:gridCol w:w="1090"/>
        <w:gridCol w:w="1366"/>
      </w:tblGrid>
      <w:tr w:rsidR="00840557" w:rsidRPr="009B152B" w14:paraId="5B201455" w14:textId="77777777" w:rsidTr="00934AB0">
        <w:trPr>
          <w:tblHeader/>
        </w:trPr>
        <w:tc>
          <w:tcPr>
            <w:tcW w:w="4105" w:type="dxa"/>
          </w:tcPr>
          <w:p w14:paraId="2B93CCD8" w14:textId="77777777" w:rsidR="00840557" w:rsidRPr="009B152B" w:rsidRDefault="00840557" w:rsidP="004631A4">
            <w:pPr>
              <w:pStyle w:val="COMTabletext"/>
            </w:pPr>
          </w:p>
        </w:tc>
        <w:tc>
          <w:tcPr>
            <w:tcW w:w="1227" w:type="dxa"/>
            <w:tcBorders>
              <w:bottom w:val="single" w:sz="4" w:space="0" w:color="auto"/>
            </w:tcBorders>
            <w:vAlign w:val="center"/>
          </w:tcPr>
          <w:p w14:paraId="60264ACA" w14:textId="77777777" w:rsidR="00840557" w:rsidRPr="009B152B" w:rsidRDefault="00840557" w:rsidP="004631A4">
            <w:pPr>
              <w:pStyle w:val="COMTabletext"/>
              <w:jc w:val="center"/>
            </w:pPr>
            <w:r w:rsidRPr="009B152B">
              <w:rPr>
                <w:b/>
              </w:rPr>
              <w:t>Incremental cost</w:t>
            </w:r>
          </w:p>
        </w:tc>
        <w:tc>
          <w:tcPr>
            <w:tcW w:w="1228" w:type="dxa"/>
            <w:vAlign w:val="center"/>
          </w:tcPr>
          <w:p w14:paraId="38101CCC" w14:textId="77777777" w:rsidR="00840557" w:rsidRPr="009B152B" w:rsidRDefault="00840557" w:rsidP="004631A4">
            <w:pPr>
              <w:pStyle w:val="COMTabletext"/>
              <w:jc w:val="center"/>
            </w:pPr>
            <w:r w:rsidRPr="009B152B">
              <w:rPr>
                <w:b/>
              </w:rPr>
              <w:t>Incremental QALYs</w:t>
            </w:r>
          </w:p>
        </w:tc>
        <w:tc>
          <w:tcPr>
            <w:tcW w:w="1090" w:type="dxa"/>
            <w:vAlign w:val="center"/>
          </w:tcPr>
          <w:p w14:paraId="5D2D89C9" w14:textId="77777777" w:rsidR="00840557" w:rsidRPr="009B152B" w:rsidRDefault="00840557" w:rsidP="004631A4">
            <w:pPr>
              <w:pStyle w:val="COMTabletext"/>
              <w:jc w:val="center"/>
            </w:pPr>
            <w:r w:rsidRPr="009B152B">
              <w:rPr>
                <w:b/>
              </w:rPr>
              <w:t>ICER</w:t>
            </w:r>
          </w:p>
        </w:tc>
        <w:tc>
          <w:tcPr>
            <w:tcW w:w="1366" w:type="dxa"/>
            <w:vAlign w:val="center"/>
          </w:tcPr>
          <w:p w14:paraId="370BCF65" w14:textId="77777777" w:rsidR="00840557" w:rsidRPr="009B152B" w:rsidRDefault="00840557" w:rsidP="004631A4">
            <w:pPr>
              <w:pStyle w:val="COMTabletext"/>
              <w:jc w:val="center"/>
              <w:rPr>
                <w:b/>
                <w:bCs w:val="0"/>
              </w:rPr>
            </w:pPr>
            <w:r w:rsidRPr="009B152B">
              <w:rPr>
                <w:b/>
                <w:bCs w:val="0"/>
              </w:rPr>
              <w:t>% change from base case</w:t>
            </w:r>
          </w:p>
        </w:tc>
      </w:tr>
      <w:tr w:rsidR="00840557" w:rsidRPr="009B152B" w14:paraId="4A6A54DD" w14:textId="77777777" w:rsidTr="00934AB0">
        <w:tc>
          <w:tcPr>
            <w:tcW w:w="4105" w:type="dxa"/>
          </w:tcPr>
          <w:p w14:paraId="78B8D505" w14:textId="77777777" w:rsidR="00840557" w:rsidRPr="009B152B" w:rsidRDefault="00840557" w:rsidP="004631A4">
            <w:pPr>
              <w:pStyle w:val="COMTabletext"/>
            </w:pPr>
            <w:r w:rsidRPr="009B152B">
              <w:rPr>
                <w:b/>
              </w:rPr>
              <w:t>Base case</w:t>
            </w:r>
          </w:p>
        </w:tc>
        <w:tc>
          <w:tcPr>
            <w:tcW w:w="1227" w:type="dxa"/>
            <w:shd w:val="solid" w:color="000000" w:fill="000000"/>
            <w:vAlign w:val="center"/>
          </w:tcPr>
          <w:p w14:paraId="65D12058" w14:textId="308DAD80" w:rsidR="00840557" w:rsidRPr="00B474C2" w:rsidRDefault="00B474C2" w:rsidP="004631A4">
            <w:pPr>
              <w:pStyle w:val="COMTabletext"/>
              <w:jc w:val="center"/>
              <w:rPr>
                <w:vertAlign w:val="superscript"/>
              </w:rPr>
            </w:pPr>
            <w:r w:rsidRPr="00B474C2">
              <w:rPr>
                <w:color w:val="000000"/>
                <w14:textFill>
                  <w14:solidFill>
                    <w14:srgbClr w14:val="000000">
                      <w14:alpha w14:val="100000"/>
                    </w14:srgbClr>
                  </w14:solidFill>
                </w14:textFill>
              </w:rPr>
              <w:t>|</w:t>
            </w:r>
          </w:p>
        </w:tc>
        <w:tc>
          <w:tcPr>
            <w:tcW w:w="1228" w:type="dxa"/>
            <w:vAlign w:val="center"/>
          </w:tcPr>
          <w:p w14:paraId="22D2AFCE" w14:textId="77777777" w:rsidR="00840557" w:rsidRPr="009B152B" w:rsidRDefault="00840557" w:rsidP="004631A4">
            <w:pPr>
              <w:pStyle w:val="COMTabletext"/>
              <w:jc w:val="center"/>
            </w:pPr>
            <w:r w:rsidRPr="009B152B">
              <w:t>0.9708</w:t>
            </w:r>
          </w:p>
        </w:tc>
        <w:tc>
          <w:tcPr>
            <w:tcW w:w="1090" w:type="dxa"/>
            <w:vAlign w:val="center"/>
          </w:tcPr>
          <w:p w14:paraId="07AF3187" w14:textId="0DFA3C8F" w:rsidR="00840557" w:rsidRPr="00E7247A" w:rsidRDefault="00B474C2" w:rsidP="004631A4">
            <w:pPr>
              <w:pStyle w:val="COMTabletext"/>
              <w:jc w:val="center"/>
              <w:rPr>
                <w:highlight w:val="lightGray"/>
              </w:rPr>
            </w:pPr>
            <w:r w:rsidRPr="00B474C2">
              <w:rPr>
                <w:color w:val="000000"/>
                <w:shd w:val="solid" w:color="000000" w:fill="000000"/>
                <w14:textFill>
                  <w14:solidFill>
                    <w14:srgbClr w14:val="000000">
                      <w14:alpha w14:val="100000"/>
                    </w14:srgbClr>
                  </w14:solidFill>
                </w14:textFill>
              </w:rPr>
              <w:t>|</w:t>
            </w:r>
            <w:r w:rsidR="00E7247A" w:rsidRPr="00E7247A">
              <w:rPr>
                <w:rFonts w:cs="Calibri"/>
                <w:szCs w:val="20"/>
                <w:vertAlign w:val="superscript"/>
              </w:rPr>
              <w:t>2</w:t>
            </w:r>
          </w:p>
        </w:tc>
        <w:tc>
          <w:tcPr>
            <w:tcW w:w="1366" w:type="dxa"/>
            <w:vAlign w:val="center"/>
          </w:tcPr>
          <w:p w14:paraId="670BCAA7" w14:textId="77777777" w:rsidR="00840557" w:rsidRPr="009B152B" w:rsidRDefault="00840557" w:rsidP="004631A4">
            <w:pPr>
              <w:pStyle w:val="COMTabletext"/>
              <w:jc w:val="center"/>
            </w:pPr>
            <w:r w:rsidRPr="009B152B">
              <w:t>-</w:t>
            </w:r>
          </w:p>
        </w:tc>
      </w:tr>
      <w:tr w:rsidR="00840557" w:rsidRPr="009B152B" w14:paraId="68BE1628" w14:textId="77777777" w:rsidTr="004631A4">
        <w:tc>
          <w:tcPr>
            <w:tcW w:w="9016" w:type="dxa"/>
            <w:gridSpan w:val="5"/>
          </w:tcPr>
          <w:p w14:paraId="6C468736" w14:textId="77777777" w:rsidR="00840557" w:rsidRPr="009B152B" w:rsidRDefault="00840557" w:rsidP="004631A4">
            <w:pPr>
              <w:pStyle w:val="COMTabletext"/>
            </w:pPr>
            <w:r w:rsidRPr="009B152B">
              <w:rPr>
                <w:b/>
                <w:szCs w:val="20"/>
              </w:rPr>
              <w:t>Discount rate (base case: 5% for benefits and costs)</w:t>
            </w:r>
          </w:p>
        </w:tc>
      </w:tr>
      <w:tr w:rsidR="00840557" w:rsidRPr="009B152B" w14:paraId="21E2BA77" w14:textId="77777777" w:rsidTr="00934AB0">
        <w:tc>
          <w:tcPr>
            <w:tcW w:w="4105" w:type="dxa"/>
          </w:tcPr>
          <w:p w14:paraId="5F64D9F7" w14:textId="77777777" w:rsidR="00840557" w:rsidRPr="009B152B" w:rsidRDefault="00840557" w:rsidP="004631A4">
            <w:pPr>
              <w:pStyle w:val="COMTabletext"/>
            </w:pPr>
            <w:r w:rsidRPr="009B152B">
              <w:t>3.5% for costs and benefits</w:t>
            </w:r>
          </w:p>
        </w:tc>
        <w:tc>
          <w:tcPr>
            <w:tcW w:w="1227" w:type="dxa"/>
            <w:tcBorders>
              <w:bottom w:val="single" w:sz="4" w:space="0" w:color="auto"/>
            </w:tcBorders>
            <w:shd w:val="solid" w:color="000000" w:fill="000000"/>
            <w:vAlign w:val="center"/>
          </w:tcPr>
          <w:p w14:paraId="3B0AC5FA" w14:textId="76067E7D" w:rsidR="00840557" w:rsidRPr="00B474C2" w:rsidRDefault="00B474C2" w:rsidP="004631A4">
            <w:pPr>
              <w:pStyle w:val="COMTabletext"/>
              <w:jc w:val="center"/>
              <w:rPr>
                <w:vertAlign w:val="superscript"/>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2759DB38" w14:textId="77777777" w:rsidR="00840557" w:rsidRPr="009B152B" w:rsidRDefault="00840557" w:rsidP="004631A4">
            <w:pPr>
              <w:pStyle w:val="COMTabletext"/>
              <w:jc w:val="center"/>
            </w:pPr>
            <w:r w:rsidRPr="009B152B">
              <w:rPr>
                <w:rFonts w:cs="Calibri"/>
                <w:szCs w:val="20"/>
              </w:rPr>
              <w:t>1.0440</w:t>
            </w:r>
          </w:p>
        </w:tc>
        <w:tc>
          <w:tcPr>
            <w:tcW w:w="1090" w:type="dxa"/>
            <w:vAlign w:val="center"/>
          </w:tcPr>
          <w:p w14:paraId="3D3BAD30" w14:textId="72253E1D" w:rsidR="00840557" w:rsidRPr="00E7247A" w:rsidRDefault="00B474C2" w:rsidP="004631A4">
            <w:pPr>
              <w:pStyle w:val="COMTabletext"/>
              <w:jc w:val="center"/>
              <w:rPr>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vertAlign w:val="superscript"/>
              </w:rPr>
              <w:t>1</w:t>
            </w:r>
          </w:p>
        </w:tc>
        <w:tc>
          <w:tcPr>
            <w:tcW w:w="1366" w:type="dxa"/>
            <w:vAlign w:val="center"/>
          </w:tcPr>
          <w:p w14:paraId="356FECF8" w14:textId="77777777" w:rsidR="00840557" w:rsidRPr="009B152B" w:rsidRDefault="00840557" w:rsidP="004631A4">
            <w:pPr>
              <w:pStyle w:val="COMTabletext"/>
              <w:jc w:val="center"/>
            </w:pPr>
            <w:r w:rsidRPr="009B152B">
              <w:t>-4.3%</w:t>
            </w:r>
          </w:p>
        </w:tc>
      </w:tr>
      <w:tr w:rsidR="00840557" w:rsidRPr="009B152B" w14:paraId="492A2B62" w14:textId="77777777" w:rsidTr="00934AB0">
        <w:tc>
          <w:tcPr>
            <w:tcW w:w="4105" w:type="dxa"/>
          </w:tcPr>
          <w:p w14:paraId="12182EF1" w14:textId="77777777" w:rsidR="00840557" w:rsidRPr="009B152B" w:rsidRDefault="00840557" w:rsidP="004631A4">
            <w:pPr>
              <w:pStyle w:val="COMTabletext"/>
            </w:pPr>
            <w:r w:rsidRPr="009B152B">
              <w:rPr>
                <w:szCs w:val="20"/>
              </w:rPr>
              <w:t>0% for costs and benefits</w:t>
            </w:r>
          </w:p>
        </w:tc>
        <w:tc>
          <w:tcPr>
            <w:tcW w:w="1227" w:type="dxa"/>
            <w:shd w:val="solid" w:color="000000" w:fill="000000"/>
            <w:vAlign w:val="center"/>
          </w:tcPr>
          <w:p w14:paraId="44CD8082" w14:textId="6FAE6A68" w:rsidR="00840557" w:rsidRPr="00B474C2" w:rsidRDefault="00B474C2" w:rsidP="004631A4">
            <w:pPr>
              <w:pStyle w:val="COMTabletext"/>
              <w:jc w:val="center"/>
            </w:pPr>
            <w:r w:rsidRPr="00B474C2">
              <w:rPr>
                <w:rFonts w:cs="Calibri"/>
                <w:color w:val="000000"/>
                <w:szCs w:val="20"/>
                <w14:textFill>
                  <w14:solidFill>
                    <w14:srgbClr w14:val="000000">
                      <w14:alpha w14:val="100000"/>
                    </w14:srgbClr>
                  </w14:solidFill>
                </w14:textFill>
              </w:rPr>
              <w:t>|</w:t>
            </w:r>
          </w:p>
        </w:tc>
        <w:tc>
          <w:tcPr>
            <w:tcW w:w="1228" w:type="dxa"/>
            <w:vAlign w:val="center"/>
          </w:tcPr>
          <w:p w14:paraId="1AC7D478" w14:textId="77777777" w:rsidR="00840557" w:rsidRPr="009B152B" w:rsidRDefault="00840557" w:rsidP="004631A4">
            <w:pPr>
              <w:pStyle w:val="COMTabletext"/>
              <w:jc w:val="center"/>
            </w:pPr>
            <w:r w:rsidRPr="009B152B">
              <w:rPr>
                <w:rFonts w:cs="Calibri"/>
                <w:szCs w:val="20"/>
              </w:rPr>
              <w:t>1.2534</w:t>
            </w:r>
          </w:p>
        </w:tc>
        <w:tc>
          <w:tcPr>
            <w:tcW w:w="1090" w:type="dxa"/>
            <w:vAlign w:val="center"/>
          </w:tcPr>
          <w:p w14:paraId="7F2EBFE1" w14:textId="15F841D9" w:rsidR="00840557" w:rsidRPr="00E7247A" w:rsidRDefault="00B474C2" w:rsidP="004631A4">
            <w:pPr>
              <w:pStyle w:val="COMTabletext"/>
              <w:jc w:val="center"/>
              <w:rPr>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vertAlign w:val="superscript"/>
              </w:rPr>
              <w:t>1</w:t>
            </w:r>
          </w:p>
        </w:tc>
        <w:tc>
          <w:tcPr>
            <w:tcW w:w="1366" w:type="dxa"/>
            <w:vAlign w:val="center"/>
          </w:tcPr>
          <w:p w14:paraId="3F841519" w14:textId="77777777" w:rsidR="00840557" w:rsidRPr="009B152B" w:rsidRDefault="00840557" w:rsidP="004631A4">
            <w:pPr>
              <w:pStyle w:val="COMTabletext"/>
              <w:jc w:val="center"/>
            </w:pPr>
            <w:r w:rsidRPr="009B152B">
              <w:t>-14.1%</w:t>
            </w:r>
          </w:p>
        </w:tc>
      </w:tr>
      <w:tr w:rsidR="00840557" w:rsidRPr="009B152B" w14:paraId="36770462" w14:textId="77777777" w:rsidTr="004631A4">
        <w:tc>
          <w:tcPr>
            <w:tcW w:w="9016" w:type="dxa"/>
            <w:gridSpan w:val="5"/>
          </w:tcPr>
          <w:p w14:paraId="71CF3D7E" w14:textId="77777777" w:rsidR="00840557" w:rsidRPr="009B152B" w:rsidRDefault="00840557" w:rsidP="004631A4">
            <w:pPr>
              <w:pStyle w:val="COMTabletext"/>
            </w:pPr>
            <w:r w:rsidRPr="009B152B">
              <w:rPr>
                <w:b/>
              </w:rPr>
              <w:t>Time horizon (base case: 20 years)</w:t>
            </w:r>
          </w:p>
        </w:tc>
      </w:tr>
      <w:tr w:rsidR="00840557" w:rsidRPr="009B152B" w14:paraId="1B846FFA" w14:textId="77777777" w:rsidTr="00934AB0">
        <w:tc>
          <w:tcPr>
            <w:tcW w:w="4105" w:type="dxa"/>
          </w:tcPr>
          <w:p w14:paraId="0EEFF5F3" w14:textId="77777777" w:rsidR="00840557" w:rsidRPr="009B152B" w:rsidRDefault="00840557" w:rsidP="004631A4">
            <w:pPr>
              <w:pStyle w:val="COMTabletext"/>
            </w:pPr>
            <w:r w:rsidRPr="009B152B">
              <w:rPr>
                <w:szCs w:val="20"/>
              </w:rPr>
              <w:t xml:space="preserve">10 years </w:t>
            </w:r>
          </w:p>
        </w:tc>
        <w:tc>
          <w:tcPr>
            <w:tcW w:w="1227" w:type="dxa"/>
            <w:tcBorders>
              <w:bottom w:val="single" w:sz="4" w:space="0" w:color="auto"/>
            </w:tcBorders>
            <w:shd w:val="solid" w:color="000000" w:fill="000000"/>
            <w:vAlign w:val="center"/>
          </w:tcPr>
          <w:p w14:paraId="26BB36A8" w14:textId="075E4CFB" w:rsidR="00840557" w:rsidRPr="00B474C2" w:rsidRDefault="00B474C2" w:rsidP="004631A4">
            <w:pPr>
              <w:pStyle w:val="COMTabletext"/>
              <w:jc w:val="center"/>
            </w:pPr>
            <w:r w:rsidRPr="00B474C2">
              <w:rPr>
                <w:rFonts w:cs="Calibri"/>
                <w:color w:val="000000"/>
                <w:szCs w:val="20"/>
                <w14:textFill>
                  <w14:solidFill>
                    <w14:srgbClr w14:val="000000">
                      <w14:alpha w14:val="100000"/>
                    </w14:srgbClr>
                  </w14:solidFill>
                </w14:textFill>
              </w:rPr>
              <w:t>|</w:t>
            </w:r>
          </w:p>
        </w:tc>
        <w:tc>
          <w:tcPr>
            <w:tcW w:w="1228" w:type="dxa"/>
            <w:vAlign w:val="center"/>
          </w:tcPr>
          <w:p w14:paraId="772C9A87" w14:textId="77777777" w:rsidR="00840557" w:rsidRPr="009B152B" w:rsidRDefault="00840557" w:rsidP="004631A4">
            <w:pPr>
              <w:pStyle w:val="COMTabletext"/>
              <w:jc w:val="center"/>
            </w:pPr>
            <w:r w:rsidRPr="009B152B">
              <w:rPr>
                <w:rFonts w:cs="Calibri"/>
                <w:szCs w:val="20"/>
              </w:rPr>
              <w:t>0.8775</w:t>
            </w:r>
          </w:p>
        </w:tc>
        <w:tc>
          <w:tcPr>
            <w:tcW w:w="1090" w:type="dxa"/>
            <w:vAlign w:val="center"/>
          </w:tcPr>
          <w:p w14:paraId="05312289" w14:textId="50D663D3" w:rsidR="00840557" w:rsidRPr="00E7247A" w:rsidRDefault="00B474C2" w:rsidP="004631A4">
            <w:pPr>
              <w:pStyle w:val="COMTabletext"/>
              <w:jc w:val="center"/>
              <w:rPr>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2</w:t>
            </w:r>
          </w:p>
        </w:tc>
        <w:tc>
          <w:tcPr>
            <w:tcW w:w="1366" w:type="dxa"/>
            <w:vAlign w:val="center"/>
          </w:tcPr>
          <w:p w14:paraId="49068E0D" w14:textId="77777777" w:rsidR="00840557" w:rsidRPr="009B152B" w:rsidRDefault="00840557" w:rsidP="004631A4">
            <w:pPr>
              <w:pStyle w:val="COMTabletext"/>
              <w:jc w:val="center"/>
            </w:pPr>
            <w:r w:rsidRPr="009B152B">
              <w:t>+9.1%</w:t>
            </w:r>
          </w:p>
        </w:tc>
      </w:tr>
      <w:tr w:rsidR="00840557" w:rsidRPr="009B152B" w14:paraId="702803F4" w14:textId="77777777" w:rsidTr="00934AB0">
        <w:tc>
          <w:tcPr>
            <w:tcW w:w="4105" w:type="dxa"/>
          </w:tcPr>
          <w:p w14:paraId="42C888D6" w14:textId="77777777" w:rsidR="00840557" w:rsidRPr="009B152B" w:rsidRDefault="00840557" w:rsidP="004631A4">
            <w:pPr>
              <w:pStyle w:val="COMTabletext"/>
            </w:pPr>
            <w:r w:rsidRPr="009B152B">
              <w:rPr>
                <w:szCs w:val="20"/>
              </w:rPr>
              <w:t>15 years</w:t>
            </w:r>
          </w:p>
        </w:tc>
        <w:tc>
          <w:tcPr>
            <w:tcW w:w="1227" w:type="dxa"/>
            <w:shd w:val="solid" w:color="000000" w:fill="000000"/>
            <w:vAlign w:val="center"/>
          </w:tcPr>
          <w:p w14:paraId="22364A5E" w14:textId="4A116934" w:rsidR="00840557" w:rsidRPr="00B474C2" w:rsidRDefault="00B474C2" w:rsidP="004631A4">
            <w:pPr>
              <w:pStyle w:val="COMTabletext"/>
              <w:jc w:val="center"/>
            </w:pPr>
            <w:r w:rsidRPr="00B474C2">
              <w:rPr>
                <w:rFonts w:cs="Calibri"/>
                <w:color w:val="000000"/>
                <w:szCs w:val="20"/>
                <w14:textFill>
                  <w14:solidFill>
                    <w14:srgbClr w14:val="000000">
                      <w14:alpha w14:val="100000"/>
                    </w14:srgbClr>
                  </w14:solidFill>
                </w14:textFill>
              </w:rPr>
              <w:t>|</w:t>
            </w:r>
          </w:p>
        </w:tc>
        <w:tc>
          <w:tcPr>
            <w:tcW w:w="1228" w:type="dxa"/>
            <w:vAlign w:val="center"/>
          </w:tcPr>
          <w:p w14:paraId="17CFBCB6" w14:textId="77777777" w:rsidR="00840557" w:rsidRPr="009B152B" w:rsidRDefault="00840557" w:rsidP="004631A4">
            <w:pPr>
              <w:pStyle w:val="COMTabletext"/>
              <w:jc w:val="center"/>
            </w:pPr>
            <w:r w:rsidRPr="009B152B">
              <w:rPr>
                <w:rFonts w:cs="Calibri"/>
                <w:szCs w:val="20"/>
              </w:rPr>
              <w:t>0.9636</w:t>
            </w:r>
          </w:p>
        </w:tc>
        <w:tc>
          <w:tcPr>
            <w:tcW w:w="1090" w:type="dxa"/>
            <w:vAlign w:val="center"/>
          </w:tcPr>
          <w:p w14:paraId="17874D50" w14:textId="089FAE5B" w:rsidR="00840557" w:rsidRPr="00E7247A" w:rsidRDefault="00B474C2" w:rsidP="004631A4">
            <w:pPr>
              <w:pStyle w:val="COMTabletext"/>
              <w:jc w:val="center"/>
              <w:rPr>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2</w:t>
            </w:r>
          </w:p>
        </w:tc>
        <w:tc>
          <w:tcPr>
            <w:tcW w:w="1366" w:type="dxa"/>
            <w:vAlign w:val="center"/>
          </w:tcPr>
          <w:p w14:paraId="3CADBC92" w14:textId="77777777" w:rsidR="00840557" w:rsidRPr="009B152B" w:rsidRDefault="00840557" w:rsidP="004631A4">
            <w:pPr>
              <w:pStyle w:val="COMTabletext"/>
              <w:jc w:val="center"/>
            </w:pPr>
            <w:r w:rsidRPr="009B152B">
              <w:t>+0.7%</w:t>
            </w:r>
          </w:p>
        </w:tc>
      </w:tr>
      <w:tr w:rsidR="00840557" w:rsidRPr="009B152B" w14:paraId="2C7AEEE0" w14:textId="77777777" w:rsidTr="004631A4">
        <w:tc>
          <w:tcPr>
            <w:tcW w:w="9016" w:type="dxa"/>
            <w:gridSpan w:val="5"/>
          </w:tcPr>
          <w:p w14:paraId="4A2C9C74" w14:textId="77777777" w:rsidR="00840557" w:rsidRPr="009B152B" w:rsidRDefault="00840557" w:rsidP="004631A4">
            <w:pPr>
              <w:pStyle w:val="COMTabletext"/>
            </w:pPr>
            <w:r w:rsidRPr="009B152B">
              <w:rPr>
                <w:b/>
                <w:szCs w:val="20"/>
              </w:rPr>
              <w:t>Diagnostic phase (base case: 92.246 patients treated per 1,000 patients identified based on 2021 utilisation estimates; availability of tafamidis has no impact on diagnosis – costs applied to both treatment arms)</w:t>
            </w:r>
          </w:p>
        </w:tc>
      </w:tr>
      <w:tr w:rsidR="00840557" w:rsidRPr="009B152B" w14:paraId="639CAA66" w14:textId="77777777" w:rsidTr="00934AB0">
        <w:tc>
          <w:tcPr>
            <w:tcW w:w="4105" w:type="dxa"/>
          </w:tcPr>
          <w:p w14:paraId="032ACDF6" w14:textId="77777777" w:rsidR="00840557" w:rsidRPr="009B152B" w:rsidRDefault="00840557" w:rsidP="004631A4">
            <w:pPr>
              <w:pStyle w:val="COMTabletext"/>
              <w:rPr>
                <w:szCs w:val="20"/>
              </w:rPr>
            </w:pPr>
            <w:r w:rsidRPr="009B152B">
              <w:rPr>
                <w:szCs w:val="20"/>
              </w:rPr>
              <w:t>Diagnosis costs applied to tafamidis arm only</w:t>
            </w:r>
          </w:p>
        </w:tc>
        <w:tc>
          <w:tcPr>
            <w:tcW w:w="1227" w:type="dxa"/>
            <w:tcBorders>
              <w:bottom w:val="single" w:sz="4" w:space="0" w:color="auto"/>
            </w:tcBorders>
            <w:shd w:val="solid" w:color="000000" w:fill="000000"/>
            <w:vAlign w:val="center"/>
          </w:tcPr>
          <w:p w14:paraId="1C2C0DE4" w14:textId="53B00E4E" w:rsidR="00840557" w:rsidRPr="00B474C2" w:rsidRDefault="00B474C2" w:rsidP="004631A4">
            <w:pPr>
              <w:pStyle w:val="COMTabletext"/>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611DAE28" w14:textId="77777777" w:rsidR="00840557" w:rsidRPr="009B152B" w:rsidRDefault="00840557" w:rsidP="004631A4">
            <w:pPr>
              <w:pStyle w:val="COMTabletext"/>
              <w:jc w:val="center"/>
              <w:rPr>
                <w:rFonts w:cs="Calibri"/>
                <w:szCs w:val="20"/>
              </w:rPr>
            </w:pPr>
            <w:r w:rsidRPr="009B152B">
              <w:rPr>
                <w:rFonts w:cs="Calibri"/>
                <w:szCs w:val="20"/>
              </w:rPr>
              <w:t>0.9708</w:t>
            </w:r>
          </w:p>
        </w:tc>
        <w:tc>
          <w:tcPr>
            <w:tcW w:w="1090" w:type="dxa"/>
            <w:vAlign w:val="center"/>
          </w:tcPr>
          <w:p w14:paraId="4AAF2C91" w14:textId="28D2F8D2" w:rsidR="00840557" w:rsidRPr="00E7247A" w:rsidRDefault="00B474C2" w:rsidP="004631A4">
            <w:pPr>
              <w:pStyle w:val="COMTabletext"/>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2</w:t>
            </w:r>
          </w:p>
        </w:tc>
        <w:tc>
          <w:tcPr>
            <w:tcW w:w="1366" w:type="dxa"/>
            <w:vAlign w:val="center"/>
          </w:tcPr>
          <w:p w14:paraId="3D4D9011" w14:textId="77777777" w:rsidR="00840557" w:rsidRPr="009B152B" w:rsidRDefault="00840557" w:rsidP="004631A4">
            <w:pPr>
              <w:pStyle w:val="COMTabletext"/>
              <w:jc w:val="center"/>
            </w:pPr>
            <w:r w:rsidRPr="009B152B">
              <w:t>+11.5%</w:t>
            </w:r>
          </w:p>
        </w:tc>
      </w:tr>
      <w:tr w:rsidR="00840557" w:rsidRPr="009B152B" w14:paraId="7487B6B1" w14:textId="77777777" w:rsidTr="00934AB0">
        <w:tc>
          <w:tcPr>
            <w:tcW w:w="4105" w:type="dxa"/>
          </w:tcPr>
          <w:p w14:paraId="0C41FD2D" w14:textId="77777777" w:rsidR="00840557" w:rsidRPr="009B152B" w:rsidRDefault="00840557" w:rsidP="004631A4">
            <w:pPr>
              <w:pStyle w:val="COMTabletext"/>
              <w:rPr>
                <w:szCs w:val="20"/>
              </w:rPr>
            </w:pPr>
            <w:r w:rsidRPr="009B152B">
              <w:rPr>
                <w:szCs w:val="20"/>
              </w:rPr>
              <w:t>100% diagnosis costs tafamidis; 50% placebo</w:t>
            </w:r>
          </w:p>
        </w:tc>
        <w:tc>
          <w:tcPr>
            <w:tcW w:w="1227" w:type="dxa"/>
            <w:shd w:val="solid" w:color="000000" w:fill="000000"/>
            <w:vAlign w:val="center"/>
          </w:tcPr>
          <w:p w14:paraId="5A9A4CF6" w14:textId="1A9983D0" w:rsidR="00840557" w:rsidRPr="00B474C2" w:rsidRDefault="00B474C2" w:rsidP="004631A4">
            <w:pPr>
              <w:pStyle w:val="COMTabletext"/>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6C875A3F" w14:textId="77777777" w:rsidR="00840557" w:rsidRPr="009B152B" w:rsidRDefault="00840557" w:rsidP="004631A4">
            <w:pPr>
              <w:pStyle w:val="COMTabletext"/>
              <w:jc w:val="center"/>
              <w:rPr>
                <w:rFonts w:cs="Calibri"/>
                <w:szCs w:val="20"/>
              </w:rPr>
            </w:pPr>
            <w:r w:rsidRPr="009B152B">
              <w:rPr>
                <w:rFonts w:cs="Calibri"/>
                <w:szCs w:val="20"/>
              </w:rPr>
              <w:t>0.9708</w:t>
            </w:r>
          </w:p>
        </w:tc>
        <w:tc>
          <w:tcPr>
            <w:tcW w:w="1090" w:type="dxa"/>
            <w:vAlign w:val="center"/>
          </w:tcPr>
          <w:p w14:paraId="1F9E1DC5" w14:textId="09BF8933" w:rsidR="00840557" w:rsidRPr="00E7247A" w:rsidRDefault="00B474C2" w:rsidP="004631A4">
            <w:pPr>
              <w:pStyle w:val="COMTabletext"/>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2</w:t>
            </w:r>
          </w:p>
        </w:tc>
        <w:tc>
          <w:tcPr>
            <w:tcW w:w="1366" w:type="dxa"/>
            <w:vAlign w:val="center"/>
          </w:tcPr>
          <w:p w14:paraId="0FE8E436" w14:textId="77777777" w:rsidR="00840557" w:rsidRPr="009B152B" w:rsidRDefault="00840557" w:rsidP="004631A4">
            <w:pPr>
              <w:pStyle w:val="COMTabletext"/>
              <w:jc w:val="center"/>
            </w:pPr>
            <w:r w:rsidRPr="009B152B">
              <w:t>+5.8%</w:t>
            </w:r>
          </w:p>
        </w:tc>
      </w:tr>
      <w:tr w:rsidR="00840557" w:rsidRPr="009B152B" w14:paraId="50517A5A" w14:textId="77777777" w:rsidTr="004631A4">
        <w:tc>
          <w:tcPr>
            <w:tcW w:w="9016" w:type="dxa"/>
            <w:gridSpan w:val="5"/>
          </w:tcPr>
          <w:p w14:paraId="1578A4A8" w14:textId="77777777" w:rsidR="00840557" w:rsidRPr="009B152B" w:rsidRDefault="00840557" w:rsidP="004631A4">
            <w:pPr>
              <w:pStyle w:val="COMTabletext"/>
            </w:pPr>
            <w:r w:rsidRPr="009B152B">
              <w:rPr>
                <w:b/>
              </w:rPr>
              <w:t>Patient population (base case: 100% NYHA class I/II at baseline)</w:t>
            </w:r>
          </w:p>
        </w:tc>
      </w:tr>
      <w:tr w:rsidR="00840557" w:rsidRPr="009B152B" w14:paraId="524D94FD" w14:textId="77777777" w:rsidTr="00934AB0">
        <w:tc>
          <w:tcPr>
            <w:tcW w:w="4105" w:type="dxa"/>
          </w:tcPr>
          <w:p w14:paraId="60CFA6CF" w14:textId="77777777" w:rsidR="00840557" w:rsidRPr="009B152B" w:rsidRDefault="00840557" w:rsidP="004631A4">
            <w:pPr>
              <w:pStyle w:val="COMTabletext"/>
              <w:rPr>
                <w:szCs w:val="20"/>
              </w:rPr>
            </w:pPr>
            <w:r w:rsidRPr="009B152B">
              <w:t>68% NYHA class I/II; 32% NYHA class III/IV at baseline</w:t>
            </w:r>
          </w:p>
        </w:tc>
        <w:tc>
          <w:tcPr>
            <w:tcW w:w="1227" w:type="dxa"/>
            <w:shd w:val="solid" w:color="000000" w:fill="000000"/>
            <w:vAlign w:val="center"/>
          </w:tcPr>
          <w:p w14:paraId="193F446B" w14:textId="6CAE5091" w:rsidR="00840557" w:rsidRPr="00B474C2" w:rsidRDefault="00B474C2" w:rsidP="004631A4">
            <w:pPr>
              <w:pStyle w:val="COMTabletext"/>
              <w:jc w:val="center"/>
              <w:rPr>
                <w:rFonts w:cs="Calibri"/>
                <w:szCs w:val="20"/>
                <w:vertAlign w:val="superscript"/>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2B3081F5" w14:textId="77777777" w:rsidR="00840557" w:rsidRPr="009B152B" w:rsidRDefault="00840557" w:rsidP="004631A4">
            <w:pPr>
              <w:pStyle w:val="COMTabletext"/>
              <w:jc w:val="center"/>
              <w:rPr>
                <w:rFonts w:cs="Calibri"/>
                <w:szCs w:val="20"/>
              </w:rPr>
            </w:pPr>
            <w:r w:rsidRPr="009B152B">
              <w:rPr>
                <w:rFonts w:cs="Calibri"/>
                <w:szCs w:val="20"/>
              </w:rPr>
              <w:t>0.5499</w:t>
            </w:r>
          </w:p>
        </w:tc>
        <w:tc>
          <w:tcPr>
            <w:tcW w:w="1090" w:type="dxa"/>
            <w:vAlign w:val="center"/>
          </w:tcPr>
          <w:p w14:paraId="7EF6599C" w14:textId="262AC8A5" w:rsidR="00840557" w:rsidRPr="00E7247A" w:rsidRDefault="00B474C2" w:rsidP="004631A4">
            <w:pPr>
              <w:pStyle w:val="COMTabletext"/>
              <w:jc w:val="center"/>
              <w:rPr>
                <w:rFonts w:cs="Calibri"/>
                <w:szCs w:val="20"/>
                <w:highlight w:val="lightGray"/>
                <w:vertAlign w:val="superscript"/>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3</w:t>
            </w:r>
          </w:p>
        </w:tc>
        <w:tc>
          <w:tcPr>
            <w:tcW w:w="1366" w:type="dxa"/>
            <w:vAlign w:val="center"/>
          </w:tcPr>
          <w:p w14:paraId="4BD8AC0F" w14:textId="77777777" w:rsidR="00840557" w:rsidRPr="009B152B" w:rsidRDefault="00840557" w:rsidP="004631A4">
            <w:pPr>
              <w:pStyle w:val="COMTabletext"/>
              <w:jc w:val="center"/>
            </w:pPr>
            <w:r w:rsidRPr="009B152B">
              <w:t>+20.1%</w:t>
            </w:r>
          </w:p>
        </w:tc>
      </w:tr>
      <w:tr w:rsidR="00840557" w:rsidRPr="009B152B" w14:paraId="5712BE69" w14:textId="77777777" w:rsidTr="004631A4">
        <w:tc>
          <w:tcPr>
            <w:tcW w:w="9016" w:type="dxa"/>
            <w:gridSpan w:val="5"/>
          </w:tcPr>
          <w:p w14:paraId="05598A13" w14:textId="77777777" w:rsidR="00840557" w:rsidRPr="009B152B" w:rsidRDefault="00840557" w:rsidP="004631A4">
            <w:pPr>
              <w:pStyle w:val="COMTabletext"/>
            </w:pPr>
            <w:r w:rsidRPr="009B152B">
              <w:rPr>
                <w:b/>
              </w:rPr>
              <w:t>Underlying transition probabilities (base case: six-monthly transitions derived using IPD from ATTR-ACT trial; missing data deleted; beyond trial duration based on weighted average of the 5 trial-based 6-monthly cycles)</w:t>
            </w:r>
          </w:p>
        </w:tc>
      </w:tr>
      <w:tr w:rsidR="00840557" w:rsidRPr="009B152B" w14:paraId="221280C6" w14:textId="77777777" w:rsidTr="00934AB0">
        <w:tc>
          <w:tcPr>
            <w:tcW w:w="4105" w:type="dxa"/>
          </w:tcPr>
          <w:p w14:paraId="051FB53D" w14:textId="77777777" w:rsidR="00840557" w:rsidRPr="009B152B" w:rsidRDefault="00840557" w:rsidP="004631A4">
            <w:pPr>
              <w:pStyle w:val="COMTabletext"/>
              <w:rPr>
                <w:szCs w:val="20"/>
              </w:rPr>
            </w:pPr>
            <w:r w:rsidRPr="009B152B">
              <w:t>Cycles 1-5, 6+: weighted average of cycles 1-5; missing data deleted</w:t>
            </w:r>
          </w:p>
        </w:tc>
        <w:tc>
          <w:tcPr>
            <w:tcW w:w="1227" w:type="dxa"/>
            <w:tcBorders>
              <w:bottom w:val="single" w:sz="4" w:space="0" w:color="auto"/>
            </w:tcBorders>
            <w:shd w:val="solid" w:color="000000" w:fill="000000"/>
            <w:vAlign w:val="center"/>
          </w:tcPr>
          <w:p w14:paraId="2C7898A3" w14:textId="78ECBFC3" w:rsidR="00840557" w:rsidRPr="00B474C2" w:rsidRDefault="00B474C2" w:rsidP="004631A4">
            <w:pPr>
              <w:pStyle w:val="COMTabletext"/>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298476E3" w14:textId="77777777" w:rsidR="00840557" w:rsidRPr="009B152B" w:rsidRDefault="00840557" w:rsidP="004631A4">
            <w:pPr>
              <w:pStyle w:val="COMTabletext"/>
              <w:jc w:val="center"/>
              <w:rPr>
                <w:rFonts w:cs="Calibri"/>
                <w:szCs w:val="20"/>
              </w:rPr>
            </w:pPr>
            <w:r w:rsidRPr="009B152B">
              <w:rPr>
                <w:rFonts w:cs="Calibri"/>
                <w:szCs w:val="20"/>
              </w:rPr>
              <w:t>0.9332</w:t>
            </w:r>
          </w:p>
        </w:tc>
        <w:tc>
          <w:tcPr>
            <w:tcW w:w="1090" w:type="dxa"/>
            <w:vAlign w:val="center"/>
          </w:tcPr>
          <w:p w14:paraId="59D1BBDA" w14:textId="3CB41EB7" w:rsidR="00840557" w:rsidRPr="00E7247A" w:rsidRDefault="00B474C2" w:rsidP="004631A4">
            <w:pPr>
              <w:pStyle w:val="COMTabletext"/>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2</w:t>
            </w:r>
          </w:p>
        </w:tc>
        <w:tc>
          <w:tcPr>
            <w:tcW w:w="1366" w:type="dxa"/>
            <w:vAlign w:val="center"/>
          </w:tcPr>
          <w:p w14:paraId="5E208EC8" w14:textId="77777777" w:rsidR="00840557" w:rsidRPr="009B152B" w:rsidRDefault="00840557" w:rsidP="004631A4">
            <w:pPr>
              <w:pStyle w:val="COMTabletext"/>
              <w:jc w:val="center"/>
            </w:pPr>
            <w:r w:rsidRPr="009B152B">
              <w:t>+2.1%</w:t>
            </w:r>
          </w:p>
        </w:tc>
      </w:tr>
      <w:tr w:rsidR="00840557" w:rsidRPr="009B152B" w14:paraId="38C49ED8" w14:textId="77777777" w:rsidTr="00934AB0">
        <w:tc>
          <w:tcPr>
            <w:tcW w:w="4105" w:type="dxa"/>
          </w:tcPr>
          <w:p w14:paraId="3AE2F7E8" w14:textId="77777777" w:rsidR="00840557" w:rsidRPr="009B152B" w:rsidRDefault="00840557" w:rsidP="004631A4">
            <w:pPr>
              <w:pStyle w:val="COMTabletext"/>
              <w:rPr>
                <w:szCs w:val="20"/>
              </w:rPr>
            </w:pPr>
            <w:r w:rsidRPr="009B152B">
              <w:t>Cycles 1-5, IPD; cycles 6+: weighted average of cycles 1-5; LOCF to impute missing data</w:t>
            </w:r>
          </w:p>
        </w:tc>
        <w:tc>
          <w:tcPr>
            <w:tcW w:w="1227" w:type="dxa"/>
            <w:tcBorders>
              <w:bottom w:val="single" w:sz="4" w:space="0" w:color="auto"/>
            </w:tcBorders>
            <w:shd w:val="solid" w:color="000000" w:fill="000000"/>
            <w:vAlign w:val="center"/>
          </w:tcPr>
          <w:p w14:paraId="304D602A" w14:textId="47483534" w:rsidR="00840557" w:rsidRPr="00B474C2" w:rsidRDefault="00B474C2" w:rsidP="004631A4">
            <w:pPr>
              <w:pStyle w:val="COMTabletext"/>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236EFFC7" w14:textId="77777777" w:rsidR="00840557" w:rsidRPr="009B152B" w:rsidRDefault="00840557" w:rsidP="004631A4">
            <w:pPr>
              <w:pStyle w:val="COMTabletext"/>
              <w:jc w:val="center"/>
              <w:rPr>
                <w:rFonts w:cs="Calibri"/>
                <w:szCs w:val="20"/>
              </w:rPr>
            </w:pPr>
            <w:r w:rsidRPr="009B152B">
              <w:rPr>
                <w:rFonts w:cs="Calibri"/>
                <w:szCs w:val="20"/>
              </w:rPr>
              <w:t>0.8507</w:t>
            </w:r>
          </w:p>
        </w:tc>
        <w:tc>
          <w:tcPr>
            <w:tcW w:w="1090" w:type="dxa"/>
            <w:vAlign w:val="center"/>
          </w:tcPr>
          <w:p w14:paraId="74574AEF" w14:textId="595DEB08" w:rsidR="00840557" w:rsidRPr="00E7247A" w:rsidRDefault="00B474C2" w:rsidP="004631A4">
            <w:pPr>
              <w:pStyle w:val="COMTabletext"/>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2</w:t>
            </w:r>
          </w:p>
        </w:tc>
        <w:tc>
          <w:tcPr>
            <w:tcW w:w="1366" w:type="dxa"/>
            <w:vAlign w:val="center"/>
          </w:tcPr>
          <w:p w14:paraId="53E2A444" w14:textId="77777777" w:rsidR="00840557" w:rsidRPr="009B152B" w:rsidRDefault="00840557" w:rsidP="004631A4">
            <w:pPr>
              <w:pStyle w:val="COMTabletext"/>
              <w:jc w:val="center"/>
            </w:pPr>
            <w:r w:rsidRPr="009B152B">
              <w:t>+9.0%</w:t>
            </w:r>
          </w:p>
        </w:tc>
      </w:tr>
      <w:tr w:rsidR="00840557" w:rsidRPr="009B152B" w14:paraId="06617471" w14:textId="77777777" w:rsidTr="00934AB0">
        <w:tc>
          <w:tcPr>
            <w:tcW w:w="4105" w:type="dxa"/>
          </w:tcPr>
          <w:p w14:paraId="6A0E8BA6" w14:textId="77777777" w:rsidR="00840557" w:rsidRPr="009B152B" w:rsidRDefault="00840557" w:rsidP="004631A4">
            <w:pPr>
              <w:pStyle w:val="COMTabletext"/>
              <w:rPr>
                <w:szCs w:val="20"/>
              </w:rPr>
            </w:pPr>
            <w:r w:rsidRPr="009B152B">
              <w:t>Cycles 6+: based on data from extension study</w:t>
            </w:r>
          </w:p>
        </w:tc>
        <w:tc>
          <w:tcPr>
            <w:tcW w:w="1227" w:type="dxa"/>
            <w:shd w:val="solid" w:color="000000" w:fill="000000"/>
            <w:vAlign w:val="center"/>
          </w:tcPr>
          <w:p w14:paraId="4B104E93" w14:textId="0922D763" w:rsidR="00840557" w:rsidRPr="00B474C2" w:rsidRDefault="00B474C2" w:rsidP="004631A4">
            <w:pPr>
              <w:pStyle w:val="COMTabletext"/>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4BA32D20" w14:textId="77777777" w:rsidR="00840557" w:rsidRPr="009B152B" w:rsidRDefault="00840557" w:rsidP="004631A4">
            <w:pPr>
              <w:pStyle w:val="COMTabletext"/>
              <w:jc w:val="center"/>
              <w:rPr>
                <w:rFonts w:cs="Calibri"/>
                <w:szCs w:val="20"/>
              </w:rPr>
            </w:pPr>
            <w:r w:rsidRPr="009B152B">
              <w:rPr>
                <w:rFonts w:cs="Calibri"/>
                <w:szCs w:val="20"/>
              </w:rPr>
              <w:t>0.7020</w:t>
            </w:r>
          </w:p>
        </w:tc>
        <w:tc>
          <w:tcPr>
            <w:tcW w:w="1090" w:type="dxa"/>
            <w:vAlign w:val="center"/>
          </w:tcPr>
          <w:p w14:paraId="4E0708A7" w14:textId="71F45F6F" w:rsidR="00840557" w:rsidRPr="00E7247A" w:rsidRDefault="00B474C2" w:rsidP="004631A4">
            <w:pPr>
              <w:pStyle w:val="COMTabletext"/>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2</w:t>
            </w:r>
          </w:p>
        </w:tc>
        <w:tc>
          <w:tcPr>
            <w:tcW w:w="1366" w:type="dxa"/>
            <w:vAlign w:val="center"/>
          </w:tcPr>
          <w:p w14:paraId="7EE3DB4F" w14:textId="77777777" w:rsidR="00840557" w:rsidRPr="009B152B" w:rsidRDefault="00840557" w:rsidP="004631A4">
            <w:pPr>
              <w:pStyle w:val="COMTabletext"/>
              <w:jc w:val="center"/>
            </w:pPr>
            <w:r w:rsidRPr="009B152B">
              <w:t>+10.3%</w:t>
            </w:r>
          </w:p>
        </w:tc>
      </w:tr>
      <w:tr w:rsidR="00840557" w:rsidRPr="009B152B" w14:paraId="5C4138E7" w14:textId="77777777" w:rsidTr="004631A4">
        <w:tc>
          <w:tcPr>
            <w:tcW w:w="9016" w:type="dxa"/>
            <w:gridSpan w:val="5"/>
          </w:tcPr>
          <w:p w14:paraId="63BCC793" w14:textId="6E1B689D" w:rsidR="00840557" w:rsidRPr="009B152B" w:rsidRDefault="00840557" w:rsidP="004631A4">
            <w:pPr>
              <w:pStyle w:val="COMTabletext"/>
            </w:pPr>
            <w:r w:rsidRPr="009B152B">
              <w:rPr>
                <w:b/>
                <w:bCs w:val="0"/>
              </w:rPr>
              <w:t>Adjustments to underlying transition probabilities (base case: transitions from NYHA class III/IV to NYHA class I/II occur over the model duration; risk of death assumed to increase by 5.3% per 6-month cycle from cycle 7; a waning tafamidis treatment effect is applied from cycle 7 to account for tafamidis treatment-related discontinuation)</w:t>
            </w:r>
          </w:p>
        </w:tc>
      </w:tr>
      <w:tr w:rsidR="00840557" w:rsidRPr="009B152B" w14:paraId="470B9468" w14:textId="77777777" w:rsidTr="00934AB0">
        <w:tc>
          <w:tcPr>
            <w:tcW w:w="4105" w:type="dxa"/>
          </w:tcPr>
          <w:p w14:paraId="4D30E257" w14:textId="63F50F79" w:rsidR="00840557" w:rsidRPr="009B152B" w:rsidRDefault="00840557" w:rsidP="004631A4">
            <w:pPr>
              <w:pStyle w:val="COMTabletext"/>
            </w:pPr>
            <w:r w:rsidRPr="009B152B">
              <w:t>No transitions from NYHA class III/IV to NYHA class I/II from cycle 6</w:t>
            </w:r>
            <w:r w:rsidR="00952238" w:rsidRPr="009B152B">
              <w:rPr>
                <w:vertAlign w:val="superscript"/>
              </w:rPr>
              <w:t>a</w:t>
            </w:r>
          </w:p>
        </w:tc>
        <w:tc>
          <w:tcPr>
            <w:tcW w:w="1227" w:type="dxa"/>
            <w:tcBorders>
              <w:bottom w:val="single" w:sz="4" w:space="0" w:color="auto"/>
            </w:tcBorders>
            <w:shd w:val="solid" w:color="000000" w:fill="000000"/>
            <w:vAlign w:val="center"/>
          </w:tcPr>
          <w:p w14:paraId="6767F713" w14:textId="1287407F" w:rsidR="00840557" w:rsidRPr="00B474C2" w:rsidRDefault="00B474C2" w:rsidP="004631A4">
            <w:pPr>
              <w:pStyle w:val="COMTabletext"/>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1A7E7B15" w14:textId="77777777" w:rsidR="00840557" w:rsidRPr="009B152B" w:rsidRDefault="00840557" w:rsidP="004631A4">
            <w:pPr>
              <w:pStyle w:val="COMTabletext"/>
              <w:jc w:val="center"/>
              <w:rPr>
                <w:rFonts w:cs="Calibri"/>
                <w:szCs w:val="20"/>
              </w:rPr>
            </w:pPr>
            <w:r w:rsidRPr="009B152B">
              <w:rPr>
                <w:rFonts w:cs="Calibri"/>
                <w:szCs w:val="20"/>
              </w:rPr>
              <w:t>0.8260</w:t>
            </w:r>
          </w:p>
        </w:tc>
        <w:tc>
          <w:tcPr>
            <w:tcW w:w="1090" w:type="dxa"/>
            <w:vAlign w:val="center"/>
          </w:tcPr>
          <w:p w14:paraId="01448CAE" w14:textId="2E6BBA04" w:rsidR="00840557" w:rsidRPr="00E7247A" w:rsidRDefault="00B474C2" w:rsidP="004631A4">
            <w:pPr>
              <w:pStyle w:val="COMTabletext"/>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2</w:t>
            </w:r>
          </w:p>
        </w:tc>
        <w:tc>
          <w:tcPr>
            <w:tcW w:w="1366" w:type="dxa"/>
            <w:vAlign w:val="center"/>
          </w:tcPr>
          <w:p w14:paraId="3DD59D98" w14:textId="77777777" w:rsidR="00840557" w:rsidRPr="009B152B" w:rsidRDefault="00840557" w:rsidP="004631A4">
            <w:pPr>
              <w:pStyle w:val="COMTabletext"/>
              <w:jc w:val="center"/>
            </w:pPr>
            <w:r w:rsidRPr="009B152B">
              <w:t>+7.6%</w:t>
            </w:r>
          </w:p>
        </w:tc>
      </w:tr>
      <w:tr w:rsidR="00840557" w:rsidRPr="009B152B" w14:paraId="369EE3C3" w14:textId="77777777" w:rsidTr="00934AB0">
        <w:tc>
          <w:tcPr>
            <w:tcW w:w="4105" w:type="dxa"/>
          </w:tcPr>
          <w:p w14:paraId="224923F6" w14:textId="77777777" w:rsidR="00840557" w:rsidRPr="009B152B" w:rsidRDefault="00840557" w:rsidP="004631A4">
            <w:pPr>
              <w:pStyle w:val="COMTabletext"/>
            </w:pPr>
            <w:r w:rsidRPr="009B152B">
              <w:t>Remove increasing mortality over time</w:t>
            </w:r>
          </w:p>
        </w:tc>
        <w:tc>
          <w:tcPr>
            <w:tcW w:w="1227" w:type="dxa"/>
            <w:tcBorders>
              <w:bottom w:val="single" w:sz="4" w:space="0" w:color="auto"/>
            </w:tcBorders>
            <w:shd w:val="solid" w:color="000000" w:fill="000000"/>
            <w:vAlign w:val="center"/>
          </w:tcPr>
          <w:p w14:paraId="6AF56776" w14:textId="24908941" w:rsidR="00840557" w:rsidRPr="00B474C2" w:rsidRDefault="00B474C2" w:rsidP="004631A4">
            <w:pPr>
              <w:pStyle w:val="COMTabletext"/>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638F0490" w14:textId="77777777" w:rsidR="00840557" w:rsidRPr="009B152B" w:rsidRDefault="00840557" w:rsidP="004631A4">
            <w:pPr>
              <w:pStyle w:val="COMTabletext"/>
              <w:jc w:val="center"/>
              <w:rPr>
                <w:rFonts w:cs="Calibri"/>
                <w:szCs w:val="20"/>
              </w:rPr>
            </w:pPr>
            <w:r w:rsidRPr="009B152B">
              <w:rPr>
                <w:rFonts w:cs="Calibri"/>
                <w:szCs w:val="20"/>
              </w:rPr>
              <w:t>1.1477</w:t>
            </w:r>
          </w:p>
        </w:tc>
        <w:tc>
          <w:tcPr>
            <w:tcW w:w="1090" w:type="dxa"/>
            <w:vAlign w:val="center"/>
          </w:tcPr>
          <w:p w14:paraId="00AEFB55" w14:textId="7523E30D" w:rsidR="00840557" w:rsidRPr="00E7247A" w:rsidRDefault="00B474C2" w:rsidP="004631A4">
            <w:pPr>
              <w:pStyle w:val="COMTabletext"/>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vertAlign w:val="superscript"/>
              </w:rPr>
              <w:t>1</w:t>
            </w:r>
          </w:p>
        </w:tc>
        <w:tc>
          <w:tcPr>
            <w:tcW w:w="1366" w:type="dxa"/>
            <w:vAlign w:val="center"/>
          </w:tcPr>
          <w:p w14:paraId="53EC9863" w14:textId="77777777" w:rsidR="00840557" w:rsidRPr="009B152B" w:rsidRDefault="00840557" w:rsidP="004631A4">
            <w:pPr>
              <w:pStyle w:val="COMTabletext"/>
              <w:jc w:val="center"/>
            </w:pPr>
            <w:r w:rsidRPr="009B152B">
              <w:t>-13.8%</w:t>
            </w:r>
          </w:p>
        </w:tc>
      </w:tr>
      <w:tr w:rsidR="00840557" w:rsidRPr="009B152B" w14:paraId="02783F74" w14:textId="77777777" w:rsidTr="00934AB0">
        <w:tc>
          <w:tcPr>
            <w:tcW w:w="4105" w:type="dxa"/>
          </w:tcPr>
          <w:p w14:paraId="08946DF6" w14:textId="77777777" w:rsidR="00840557" w:rsidRPr="009B152B" w:rsidRDefault="00840557" w:rsidP="004631A4">
            <w:pPr>
              <w:pStyle w:val="COMTabletext"/>
            </w:pPr>
            <w:r w:rsidRPr="009B152B">
              <w:t>Remove adjustment to tafamidis treatment effect on mortality to account for treatment-related discontinuations</w:t>
            </w:r>
          </w:p>
        </w:tc>
        <w:tc>
          <w:tcPr>
            <w:tcW w:w="1227" w:type="dxa"/>
            <w:tcBorders>
              <w:bottom w:val="single" w:sz="4" w:space="0" w:color="auto"/>
            </w:tcBorders>
            <w:shd w:val="solid" w:color="000000" w:fill="000000"/>
            <w:vAlign w:val="center"/>
          </w:tcPr>
          <w:p w14:paraId="414B19BC" w14:textId="73E154A2" w:rsidR="00840557" w:rsidRPr="00B474C2" w:rsidRDefault="00B474C2" w:rsidP="004631A4">
            <w:pPr>
              <w:pStyle w:val="COMTabletext"/>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792710F1" w14:textId="77777777" w:rsidR="00840557" w:rsidRPr="009B152B" w:rsidRDefault="00840557" w:rsidP="004631A4">
            <w:pPr>
              <w:pStyle w:val="COMTabletext"/>
              <w:jc w:val="center"/>
              <w:rPr>
                <w:rFonts w:cs="Calibri"/>
                <w:szCs w:val="20"/>
              </w:rPr>
            </w:pPr>
            <w:r w:rsidRPr="009B152B">
              <w:rPr>
                <w:rFonts w:cs="Calibri"/>
                <w:szCs w:val="20"/>
              </w:rPr>
              <w:t>1.1598</w:t>
            </w:r>
          </w:p>
        </w:tc>
        <w:tc>
          <w:tcPr>
            <w:tcW w:w="1090" w:type="dxa"/>
            <w:vAlign w:val="center"/>
          </w:tcPr>
          <w:p w14:paraId="6AC1F0F9" w14:textId="7405211E" w:rsidR="00840557" w:rsidRPr="00E7247A" w:rsidRDefault="00B474C2" w:rsidP="004631A4">
            <w:pPr>
              <w:pStyle w:val="COMTabletext"/>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vertAlign w:val="superscript"/>
              </w:rPr>
              <w:t>1</w:t>
            </w:r>
          </w:p>
        </w:tc>
        <w:tc>
          <w:tcPr>
            <w:tcW w:w="1366" w:type="dxa"/>
            <w:vAlign w:val="center"/>
          </w:tcPr>
          <w:p w14:paraId="2D467160" w14:textId="77777777" w:rsidR="00840557" w:rsidRPr="009B152B" w:rsidRDefault="00840557" w:rsidP="004631A4">
            <w:pPr>
              <w:pStyle w:val="COMTabletext"/>
              <w:jc w:val="center"/>
            </w:pPr>
            <w:r w:rsidRPr="009B152B">
              <w:t>-13.6%</w:t>
            </w:r>
          </w:p>
        </w:tc>
      </w:tr>
      <w:tr w:rsidR="00840557" w:rsidRPr="009B152B" w14:paraId="5BF62413" w14:textId="77777777" w:rsidTr="00934AB0">
        <w:tc>
          <w:tcPr>
            <w:tcW w:w="4105" w:type="dxa"/>
          </w:tcPr>
          <w:p w14:paraId="5A26F4DE" w14:textId="77777777" w:rsidR="00840557" w:rsidRPr="009B152B" w:rsidRDefault="00840557" w:rsidP="004631A4">
            <w:pPr>
              <w:pStyle w:val="COMTabletext"/>
            </w:pPr>
            <w:r w:rsidRPr="009B152B">
              <w:rPr>
                <w:szCs w:val="20"/>
              </w:rPr>
              <w:t xml:space="preserve">Remove discontinuation due to persistent NYHA class III/IV </w:t>
            </w:r>
          </w:p>
        </w:tc>
        <w:tc>
          <w:tcPr>
            <w:tcW w:w="1227" w:type="dxa"/>
            <w:shd w:val="solid" w:color="000000" w:fill="000000"/>
            <w:vAlign w:val="center"/>
          </w:tcPr>
          <w:p w14:paraId="238CDD8A" w14:textId="36D8C06D" w:rsidR="00840557" w:rsidRPr="00B474C2" w:rsidRDefault="00B474C2" w:rsidP="004631A4">
            <w:pPr>
              <w:pStyle w:val="COMTabletext"/>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6E1BCF65" w14:textId="77777777" w:rsidR="00840557" w:rsidRPr="009B152B" w:rsidRDefault="00840557" w:rsidP="004631A4">
            <w:pPr>
              <w:pStyle w:val="COMTabletext"/>
              <w:jc w:val="center"/>
              <w:rPr>
                <w:rFonts w:cs="Calibri"/>
                <w:szCs w:val="20"/>
              </w:rPr>
            </w:pPr>
            <w:r w:rsidRPr="009B152B">
              <w:rPr>
                <w:rFonts w:cs="Calibri"/>
                <w:szCs w:val="20"/>
              </w:rPr>
              <w:t>1.3245</w:t>
            </w:r>
          </w:p>
        </w:tc>
        <w:tc>
          <w:tcPr>
            <w:tcW w:w="1090" w:type="dxa"/>
            <w:vAlign w:val="center"/>
          </w:tcPr>
          <w:p w14:paraId="3BF054D8" w14:textId="467A1220" w:rsidR="00840557" w:rsidRPr="00E7247A" w:rsidRDefault="00B474C2" w:rsidP="004631A4">
            <w:pPr>
              <w:pStyle w:val="COMTabletext"/>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vertAlign w:val="superscript"/>
              </w:rPr>
              <w:t>1</w:t>
            </w:r>
          </w:p>
        </w:tc>
        <w:tc>
          <w:tcPr>
            <w:tcW w:w="1366" w:type="dxa"/>
            <w:vAlign w:val="center"/>
          </w:tcPr>
          <w:p w14:paraId="0DF3C5C1" w14:textId="77777777" w:rsidR="00840557" w:rsidRPr="009B152B" w:rsidRDefault="00840557" w:rsidP="004631A4">
            <w:pPr>
              <w:pStyle w:val="COMTabletext"/>
              <w:jc w:val="center"/>
            </w:pPr>
            <w:r w:rsidRPr="009B152B">
              <w:rPr>
                <w:szCs w:val="20"/>
              </w:rPr>
              <w:t>-1.7%</w:t>
            </w:r>
          </w:p>
        </w:tc>
      </w:tr>
      <w:tr w:rsidR="00840557" w:rsidRPr="009B152B" w14:paraId="0FBA1AB2" w14:textId="77777777" w:rsidTr="004631A4">
        <w:tc>
          <w:tcPr>
            <w:tcW w:w="9016" w:type="dxa"/>
            <w:gridSpan w:val="5"/>
          </w:tcPr>
          <w:p w14:paraId="0CD2D821" w14:textId="77777777" w:rsidR="00840557" w:rsidRPr="009B152B" w:rsidRDefault="00840557" w:rsidP="004631A4">
            <w:pPr>
              <w:pStyle w:val="COMTabletext"/>
            </w:pPr>
            <w:r w:rsidRPr="009B152B">
              <w:rPr>
                <w:b/>
              </w:rPr>
              <w:t>CV hospitalisations per hospitalised patient (base case: 1 for tafamidis arm; 1.35 for standard management arm)</w:t>
            </w:r>
          </w:p>
        </w:tc>
      </w:tr>
      <w:tr w:rsidR="00840557" w:rsidRPr="009B152B" w14:paraId="340D1CFD" w14:textId="77777777" w:rsidTr="00934AB0">
        <w:tc>
          <w:tcPr>
            <w:tcW w:w="4105" w:type="dxa"/>
          </w:tcPr>
          <w:p w14:paraId="719ED4AF" w14:textId="77777777" w:rsidR="00840557" w:rsidRPr="009B152B" w:rsidRDefault="00840557" w:rsidP="004631A4">
            <w:pPr>
              <w:pStyle w:val="COMTabletext"/>
              <w:rPr>
                <w:szCs w:val="20"/>
              </w:rPr>
            </w:pPr>
            <w:r w:rsidRPr="009B152B">
              <w:t>1 for both treatment arms</w:t>
            </w:r>
          </w:p>
        </w:tc>
        <w:tc>
          <w:tcPr>
            <w:tcW w:w="1227" w:type="dxa"/>
            <w:shd w:val="solid" w:color="000000" w:fill="000000"/>
            <w:vAlign w:val="center"/>
          </w:tcPr>
          <w:p w14:paraId="75523C5A" w14:textId="2132198B" w:rsidR="00840557" w:rsidRPr="00B474C2" w:rsidRDefault="00B474C2" w:rsidP="004631A4">
            <w:pPr>
              <w:pStyle w:val="COMTabletext"/>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6EE22F6B" w14:textId="77777777" w:rsidR="00840557" w:rsidRPr="009B152B" w:rsidRDefault="00840557" w:rsidP="004631A4">
            <w:pPr>
              <w:pStyle w:val="COMTabletext"/>
              <w:jc w:val="center"/>
              <w:rPr>
                <w:rFonts w:cs="Calibri"/>
                <w:szCs w:val="20"/>
              </w:rPr>
            </w:pPr>
            <w:r w:rsidRPr="009B152B">
              <w:rPr>
                <w:rFonts w:cs="Calibri"/>
                <w:szCs w:val="20"/>
              </w:rPr>
              <w:t>0.9708</w:t>
            </w:r>
          </w:p>
        </w:tc>
        <w:tc>
          <w:tcPr>
            <w:tcW w:w="1090" w:type="dxa"/>
            <w:vAlign w:val="center"/>
          </w:tcPr>
          <w:p w14:paraId="76421D45" w14:textId="71E63AC6" w:rsidR="00840557" w:rsidRPr="00E7247A" w:rsidRDefault="00B474C2" w:rsidP="004631A4">
            <w:pPr>
              <w:pStyle w:val="COMTabletext"/>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2</w:t>
            </w:r>
          </w:p>
        </w:tc>
        <w:tc>
          <w:tcPr>
            <w:tcW w:w="1366" w:type="dxa"/>
            <w:vAlign w:val="center"/>
          </w:tcPr>
          <w:p w14:paraId="6169D494" w14:textId="77777777" w:rsidR="00840557" w:rsidRPr="009B152B" w:rsidRDefault="00840557" w:rsidP="004631A4">
            <w:pPr>
              <w:pStyle w:val="COMTabletext"/>
              <w:jc w:val="center"/>
            </w:pPr>
            <w:r w:rsidRPr="009B152B">
              <w:t>+5.2%</w:t>
            </w:r>
          </w:p>
        </w:tc>
      </w:tr>
      <w:tr w:rsidR="00840557" w:rsidRPr="009B152B" w14:paraId="75190F34" w14:textId="77777777" w:rsidTr="004631A4">
        <w:tc>
          <w:tcPr>
            <w:tcW w:w="9016" w:type="dxa"/>
            <w:gridSpan w:val="5"/>
          </w:tcPr>
          <w:p w14:paraId="761DECF9" w14:textId="77777777" w:rsidR="00840557" w:rsidRPr="009B152B" w:rsidRDefault="00840557" w:rsidP="004631A4">
            <w:pPr>
              <w:pStyle w:val="COMTabletext"/>
            </w:pPr>
            <w:r w:rsidRPr="009B152B">
              <w:rPr>
                <w:b/>
              </w:rPr>
              <w:t>Utility values (base case: utilities based on a post hoc reanalysis of EQ-5D-3L data with UK weights from ATTR-ACT trial by treatment arm and NYHA class; distribution between NYHA I and II and NYHA III and IV assumed)</w:t>
            </w:r>
          </w:p>
        </w:tc>
      </w:tr>
      <w:tr w:rsidR="00840557" w:rsidRPr="009B152B" w14:paraId="3F3CC29B" w14:textId="77777777" w:rsidTr="00934AB0">
        <w:tc>
          <w:tcPr>
            <w:tcW w:w="4105" w:type="dxa"/>
          </w:tcPr>
          <w:p w14:paraId="5D693CBE" w14:textId="77777777" w:rsidR="00840557" w:rsidRPr="009B152B" w:rsidRDefault="00840557" w:rsidP="004631A4">
            <w:pPr>
              <w:pStyle w:val="Tabletext1"/>
              <w:keepNext/>
              <w:tabs>
                <w:tab w:val="left" w:pos="142"/>
              </w:tabs>
            </w:pPr>
            <w:r w:rsidRPr="009B152B">
              <w:t xml:space="preserve">Treatment independent NYHA utility values </w:t>
            </w:r>
          </w:p>
          <w:p w14:paraId="294C32CC" w14:textId="77777777" w:rsidR="00840557" w:rsidRPr="009B152B" w:rsidRDefault="00840557" w:rsidP="004631A4">
            <w:pPr>
              <w:pStyle w:val="COMTabletext"/>
              <w:rPr>
                <w:szCs w:val="20"/>
              </w:rPr>
            </w:pPr>
            <w:r w:rsidRPr="009B152B">
              <w:t>(based on Ademi 2014 publication)</w:t>
            </w:r>
          </w:p>
        </w:tc>
        <w:tc>
          <w:tcPr>
            <w:tcW w:w="1227" w:type="dxa"/>
            <w:tcBorders>
              <w:bottom w:val="single" w:sz="4" w:space="0" w:color="auto"/>
            </w:tcBorders>
            <w:shd w:val="solid" w:color="000000" w:fill="000000"/>
            <w:vAlign w:val="center"/>
          </w:tcPr>
          <w:p w14:paraId="6B45738E" w14:textId="2B89D03F" w:rsidR="00840557" w:rsidRPr="00B474C2" w:rsidRDefault="00B474C2" w:rsidP="004631A4">
            <w:pPr>
              <w:pStyle w:val="COMTabletext"/>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626EF84F" w14:textId="77777777" w:rsidR="00840557" w:rsidRPr="009B152B" w:rsidRDefault="00840557" w:rsidP="004631A4">
            <w:pPr>
              <w:pStyle w:val="COMTabletext"/>
              <w:jc w:val="center"/>
              <w:rPr>
                <w:rFonts w:cs="Calibri"/>
                <w:szCs w:val="20"/>
              </w:rPr>
            </w:pPr>
            <w:r w:rsidRPr="009B152B">
              <w:rPr>
                <w:rFonts w:cs="Calibri"/>
                <w:szCs w:val="20"/>
              </w:rPr>
              <w:t>0.8371</w:t>
            </w:r>
          </w:p>
        </w:tc>
        <w:tc>
          <w:tcPr>
            <w:tcW w:w="1090" w:type="dxa"/>
            <w:vAlign w:val="center"/>
          </w:tcPr>
          <w:p w14:paraId="5638D3ED" w14:textId="66274E1B" w:rsidR="00840557" w:rsidRPr="00E7247A" w:rsidRDefault="00B474C2" w:rsidP="004631A4">
            <w:pPr>
              <w:pStyle w:val="COMTabletext"/>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3</w:t>
            </w:r>
          </w:p>
        </w:tc>
        <w:tc>
          <w:tcPr>
            <w:tcW w:w="1366" w:type="dxa"/>
            <w:vAlign w:val="center"/>
          </w:tcPr>
          <w:p w14:paraId="5D271425" w14:textId="77777777" w:rsidR="00840557" w:rsidRPr="009B152B" w:rsidRDefault="00840557" w:rsidP="004631A4">
            <w:pPr>
              <w:pStyle w:val="COMTabletext"/>
              <w:jc w:val="center"/>
            </w:pPr>
            <w:r w:rsidRPr="009B152B">
              <w:t>+16.0%</w:t>
            </w:r>
          </w:p>
        </w:tc>
      </w:tr>
      <w:tr w:rsidR="00840557" w:rsidRPr="009B152B" w14:paraId="08D99853" w14:textId="77777777" w:rsidTr="00934AB0">
        <w:tc>
          <w:tcPr>
            <w:tcW w:w="4105" w:type="dxa"/>
          </w:tcPr>
          <w:p w14:paraId="1902951E" w14:textId="77777777" w:rsidR="00840557" w:rsidRPr="009B152B" w:rsidRDefault="00840557" w:rsidP="004631A4">
            <w:pPr>
              <w:pStyle w:val="Tabletext1"/>
              <w:keepNext/>
              <w:tabs>
                <w:tab w:val="left" w:pos="142"/>
              </w:tabs>
            </w:pPr>
            <w:r w:rsidRPr="009B152B">
              <w:t xml:space="preserve">Treatment independent NYHA utility values </w:t>
            </w:r>
          </w:p>
          <w:p w14:paraId="131F6D74" w14:textId="77777777" w:rsidR="00840557" w:rsidRPr="009B152B" w:rsidRDefault="00840557" w:rsidP="004631A4">
            <w:pPr>
              <w:pStyle w:val="COMTabletext"/>
              <w:rPr>
                <w:szCs w:val="20"/>
              </w:rPr>
            </w:pPr>
            <w:r w:rsidRPr="009B152B">
              <w:t>(based on standard management arm)</w:t>
            </w:r>
          </w:p>
        </w:tc>
        <w:tc>
          <w:tcPr>
            <w:tcW w:w="1227" w:type="dxa"/>
            <w:tcBorders>
              <w:bottom w:val="single" w:sz="4" w:space="0" w:color="auto"/>
            </w:tcBorders>
            <w:shd w:val="solid" w:color="000000" w:fill="000000"/>
            <w:vAlign w:val="center"/>
          </w:tcPr>
          <w:p w14:paraId="37B6AE8B" w14:textId="283A2F8D" w:rsidR="00840557" w:rsidRPr="00B474C2" w:rsidRDefault="00B474C2" w:rsidP="004631A4">
            <w:pPr>
              <w:pStyle w:val="COMTabletext"/>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7652D532" w14:textId="77777777" w:rsidR="00840557" w:rsidRPr="009B152B" w:rsidRDefault="00840557" w:rsidP="004631A4">
            <w:pPr>
              <w:pStyle w:val="COMTabletext"/>
              <w:jc w:val="center"/>
              <w:rPr>
                <w:rFonts w:cs="Calibri"/>
                <w:szCs w:val="20"/>
              </w:rPr>
            </w:pPr>
            <w:r w:rsidRPr="009B152B">
              <w:rPr>
                <w:rFonts w:cs="Calibri"/>
                <w:szCs w:val="20"/>
              </w:rPr>
              <w:t>0.9035</w:t>
            </w:r>
          </w:p>
        </w:tc>
        <w:tc>
          <w:tcPr>
            <w:tcW w:w="1090" w:type="dxa"/>
            <w:vAlign w:val="center"/>
          </w:tcPr>
          <w:p w14:paraId="62C9E309" w14:textId="6ABCF118" w:rsidR="00840557" w:rsidRPr="00E7247A" w:rsidRDefault="00B474C2" w:rsidP="004631A4">
            <w:pPr>
              <w:pStyle w:val="COMTabletext"/>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2</w:t>
            </w:r>
          </w:p>
        </w:tc>
        <w:tc>
          <w:tcPr>
            <w:tcW w:w="1366" w:type="dxa"/>
            <w:vAlign w:val="center"/>
          </w:tcPr>
          <w:p w14:paraId="7617C47B" w14:textId="77777777" w:rsidR="00840557" w:rsidRPr="009B152B" w:rsidRDefault="00840557" w:rsidP="004631A4">
            <w:pPr>
              <w:pStyle w:val="COMTabletext"/>
              <w:jc w:val="center"/>
            </w:pPr>
            <w:r w:rsidRPr="009B152B">
              <w:t>+7.4%</w:t>
            </w:r>
          </w:p>
        </w:tc>
      </w:tr>
      <w:tr w:rsidR="00840557" w:rsidRPr="009B152B" w14:paraId="2815D92E" w14:textId="77777777" w:rsidTr="00934AB0">
        <w:tc>
          <w:tcPr>
            <w:tcW w:w="4105" w:type="dxa"/>
          </w:tcPr>
          <w:p w14:paraId="1EB56286" w14:textId="77777777" w:rsidR="00840557" w:rsidRPr="009B152B" w:rsidRDefault="00840557" w:rsidP="004631A4">
            <w:pPr>
              <w:pStyle w:val="Tabletext1"/>
              <w:keepNext/>
              <w:tabs>
                <w:tab w:val="left" w:pos="142"/>
              </w:tabs>
            </w:pPr>
            <w:r w:rsidRPr="009B152B">
              <w:t xml:space="preserve">Treatment independent NYHA utility values </w:t>
            </w:r>
          </w:p>
          <w:p w14:paraId="2F917543" w14:textId="77777777" w:rsidR="00840557" w:rsidRPr="009B152B" w:rsidRDefault="00840557" w:rsidP="004631A4">
            <w:pPr>
              <w:pStyle w:val="COMTabletext"/>
              <w:rPr>
                <w:szCs w:val="20"/>
              </w:rPr>
            </w:pPr>
            <w:r w:rsidRPr="009B152B">
              <w:t>(based on tafamidis arm)</w:t>
            </w:r>
          </w:p>
        </w:tc>
        <w:tc>
          <w:tcPr>
            <w:tcW w:w="1227" w:type="dxa"/>
            <w:shd w:val="solid" w:color="000000" w:fill="000000"/>
            <w:vAlign w:val="center"/>
          </w:tcPr>
          <w:p w14:paraId="7A4C6939" w14:textId="0408205D" w:rsidR="00840557" w:rsidRPr="00B474C2" w:rsidRDefault="00B474C2" w:rsidP="004631A4">
            <w:pPr>
              <w:pStyle w:val="COMTabletext"/>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606DA066" w14:textId="77777777" w:rsidR="00840557" w:rsidRPr="009B152B" w:rsidRDefault="00840557" w:rsidP="004631A4">
            <w:pPr>
              <w:pStyle w:val="COMTabletext"/>
              <w:jc w:val="center"/>
              <w:rPr>
                <w:rFonts w:cs="Calibri"/>
                <w:szCs w:val="20"/>
              </w:rPr>
            </w:pPr>
            <w:r w:rsidRPr="009B152B">
              <w:rPr>
                <w:rFonts w:cs="Calibri"/>
                <w:szCs w:val="20"/>
              </w:rPr>
              <w:t>0.9024</w:t>
            </w:r>
          </w:p>
        </w:tc>
        <w:tc>
          <w:tcPr>
            <w:tcW w:w="1090" w:type="dxa"/>
            <w:vAlign w:val="center"/>
          </w:tcPr>
          <w:p w14:paraId="68AF4A16" w14:textId="28EF87AB" w:rsidR="00840557" w:rsidRPr="00E7247A" w:rsidRDefault="00B474C2" w:rsidP="004631A4">
            <w:pPr>
              <w:pStyle w:val="COMTabletext"/>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2</w:t>
            </w:r>
          </w:p>
        </w:tc>
        <w:tc>
          <w:tcPr>
            <w:tcW w:w="1366" w:type="dxa"/>
            <w:vAlign w:val="center"/>
          </w:tcPr>
          <w:p w14:paraId="27BA1073" w14:textId="77777777" w:rsidR="00840557" w:rsidRPr="009B152B" w:rsidRDefault="00840557" w:rsidP="004631A4">
            <w:pPr>
              <w:pStyle w:val="COMTabletext"/>
              <w:jc w:val="center"/>
            </w:pPr>
            <w:r w:rsidRPr="009B152B">
              <w:t>+7.6%</w:t>
            </w:r>
          </w:p>
        </w:tc>
      </w:tr>
      <w:tr w:rsidR="00840557" w:rsidRPr="009B152B" w14:paraId="5EC4D214" w14:textId="77777777" w:rsidTr="004631A4">
        <w:tc>
          <w:tcPr>
            <w:tcW w:w="9016" w:type="dxa"/>
            <w:gridSpan w:val="5"/>
          </w:tcPr>
          <w:p w14:paraId="69398589" w14:textId="157FDEBD" w:rsidR="00840557" w:rsidRPr="009B152B" w:rsidRDefault="00840557" w:rsidP="004631A4">
            <w:pPr>
              <w:pStyle w:val="COMTabletext"/>
            </w:pPr>
            <w:r w:rsidRPr="009B152B">
              <w:rPr>
                <w:b/>
              </w:rPr>
              <w:t>Treatment costs (base case: proposed effective tafamidis DPMQ $</w:t>
            </w:r>
            <w:r w:rsidR="00B474C2" w:rsidRPr="00B474C2">
              <w:rPr>
                <w:b/>
                <w:color w:val="000000"/>
                <w:spacing w:val="56"/>
                <w:shd w:val="solid" w:color="000000" w:fill="000000"/>
                <w:fitText w:val="352" w:id="-1168367359"/>
                <w14:textFill>
                  <w14:solidFill>
                    <w14:srgbClr w14:val="000000">
                      <w14:alpha w14:val="100000"/>
                    </w14:srgbClr>
                  </w14:solidFill>
                </w14:textFill>
              </w:rPr>
              <w:t>|||</w:t>
            </w:r>
            <w:r w:rsidR="00B474C2" w:rsidRPr="00B474C2">
              <w:rPr>
                <w:b/>
                <w:color w:val="000000"/>
                <w:spacing w:val="1"/>
                <w:shd w:val="solid" w:color="000000" w:fill="000000"/>
                <w:fitText w:val="352" w:id="-1168367359"/>
                <w14:textFill>
                  <w14:solidFill>
                    <w14:srgbClr w14:val="000000">
                      <w14:alpha w14:val="100000"/>
                    </w14:srgbClr>
                  </w14:solidFill>
                </w14:textFill>
              </w:rPr>
              <w:t>|</w:t>
            </w:r>
            <w:r w:rsidRPr="009B152B">
              <w:rPr>
                <w:b/>
              </w:rPr>
              <w:t xml:space="preserve"> years 1-3, $</w:t>
            </w:r>
            <w:r w:rsidR="00B474C2" w:rsidRPr="00B474C2">
              <w:rPr>
                <w:b/>
                <w:color w:val="000000"/>
                <w:spacing w:val="56"/>
                <w:shd w:val="solid" w:color="000000" w:fill="000000"/>
                <w:fitText w:val="352" w:id="-1168367358"/>
                <w14:textFill>
                  <w14:solidFill>
                    <w14:srgbClr w14:val="000000">
                      <w14:alpha w14:val="100000"/>
                    </w14:srgbClr>
                  </w14:solidFill>
                </w14:textFill>
              </w:rPr>
              <w:t>|||</w:t>
            </w:r>
            <w:r w:rsidR="00B474C2" w:rsidRPr="00B474C2">
              <w:rPr>
                <w:b/>
                <w:color w:val="000000"/>
                <w:spacing w:val="1"/>
                <w:shd w:val="solid" w:color="000000" w:fill="000000"/>
                <w:fitText w:val="352" w:id="-1168367358"/>
                <w14:textFill>
                  <w14:solidFill>
                    <w14:srgbClr w14:val="000000">
                      <w14:alpha w14:val="100000"/>
                    </w14:srgbClr>
                  </w14:solidFill>
                </w14:textFill>
              </w:rPr>
              <w:t>|</w:t>
            </w:r>
            <w:r w:rsidRPr="009B152B">
              <w:rPr>
                <w:b/>
              </w:rPr>
              <w:t xml:space="preserve"> years 4+; treatment adherence 97.67%)</w:t>
            </w:r>
          </w:p>
        </w:tc>
      </w:tr>
      <w:tr w:rsidR="00840557" w:rsidRPr="009B152B" w14:paraId="473E7A5A" w14:textId="77777777" w:rsidTr="00934AB0">
        <w:tc>
          <w:tcPr>
            <w:tcW w:w="4105" w:type="dxa"/>
          </w:tcPr>
          <w:p w14:paraId="3FBC2607" w14:textId="30A9ECA9" w:rsidR="00840557" w:rsidRPr="009B152B" w:rsidRDefault="00840557" w:rsidP="004631A4">
            <w:pPr>
              <w:pStyle w:val="COMTabletext"/>
              <w:rPr>
                <w:szCs w:val="20"/>
              </w:rPr>
            </w:pPr>
            <w:r w:rsidRPr="009B152B">
              <w:t>Price same as first 3 years ($</w:t>
            </w:r>
            <w:r w:rsidR="00B474C2" w:rsidRPr="002C3508">
              <w:rPr>
                <w:color w:val="000000"/>
                <w:spacing w:val="54"/>
                <w:shd w:val="solid" w:color="000000" w:fill="000000"/>
                <w:fitText w:val="335" w:id="-1168367357"/>
                <w14:textFill>
                  <w14:solidFill>
                    <w14:srgbClr w14:val="000000">
                      <w14:alpha w14:val="100000"/>
                    </w14:srgbClr>
                  </w14:solidFill>
                </w14:textFill>
              </w:rPr>
              <w:t>|||</w:t>
            </w:r>
            <w:r w:rsidR="00B474C2" w:rsidRPr="002C3508">
              <w:rPr>
                <w:color w:val="000000"/>
                <w:spacing w:val="3"/>
                <w:shd w:val="solid" w:color="000000" w:fill="000000"/>
                <w:fitText w:val="335" w:id="-1168367357"/>
                <w14:textFill>
                  <w14:solidFill>
                    <w14:srgbClr w14:val="000000">
                      <w14:alpha w14:val="100000"/>
                    </w14:srgbClr>
                  </w14:solidFill>
                </w14:textFill>
              </w:rPr>
              <w:t>|</w:t>
            </w:r>
            <w:r w:rsidRPr="009B152B">
              <w:t>)</w:t>
            </w:r>
          </w:p>
        </w:tc>
        <w:tc>
          <w:tcPr>
            <w:tcW w:w="1227" w:type="dxa"/>
            <w:tcBorders>
              <w:bottom w:val="single" w:sz="4" w:space="0" w:color="auto"/>
            </w:tcBorders>
            <w:shd w:val="solid" w:color="000000" w:fill="000000"/>
            <w:vAlign w:val="center"/>
          </w:tcPr>
          <w:p w14:paraId="300BAF70" w14:textId="3095315C" w:rsidR="00840557" w:rsidRPr="00B474C2" w:rsidRDefault="00B474C2" w:rsidP="004631A4">
            <w:pPr>
              <w:pStyle w:val="COMTabletext"/>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4B562DCF" w14:textId="77777777" w:rsidR="00840557" w:rsidRPr="009B152B" w:rsidRDefault="00840557" w:rsidP="004631A4">
            <w:pPr>
              <w:pStyle w:val="COMTabletext"/>
              <w:jc w:val="center"/>
              <w:rPr>
                <w:rFonts w:cs="Calibri"/>
                <w:szCs w:val="20"/>
              </w:rPr>
            </w:pPr>
            <w:r w:rsidRPr="009B152B">
              <w:rPr>
                <w:rFonts w:cs="Calibri"/>
                <w:szCs w:val="20"/>
              </w:rPr>
              <w:t>0.9708</w:t>
            </w:r>
          </w:p>
        </w:tc>
        <w:tc>
          <w:tcPr>
            <w:tcW w:w="1090" w:type="dxa"/>
            <w:vAlign w:val="center"/>
          </w:tcPr>
          <w:p w14:paraId="44283B09" w14:textId="50897A6F" w:rsidR="00840557" w:rsidRPr="00E7247A" w:rsidRDefault="00B474C2" w:rsidP="004631A4">
            <w:pPr>
              <w:pStyle w:val="COMTabletext"/>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2</w:t>
            </w:r>
          </w:p>
        </w:tc>
        <w:tc>
          <w:tcPr>
            <w:tcW w:w="1366" w:type="dxa"/>
            <w:vAlign w:val="center"/>
          </w:tcPr>
          <w:p w14:paraId="566DA421" w14:textId="77777777" w:rsidR="00840557" w:rsidRPr="009B152B" w:rsidRDefault="00840557" w:rsidP="004631A4">
            <w:pPr>
              <w:pStyle w:val="COMTabletext"/>
              <w:jc w:val="center"/>
            </w:pPr>
            <w:r w:rsidRPr="009B152B">
              <w:t>+8.6%</w:t>
            </w:r>
          </w:p>
        </w:tc>
      </w:tr>
      <w:tr w:rsidR="00840557" w:rsidRPr="009B152B" w14:paraId="172C0E48" w14:textId="77777777" w:rsidTr="00934AB0">
        <w:tc>
          <w:tcPr>
            <w:tcW w:w="4105" w:type="dxa"/>
          </w:tcPr>
          <w:p w14:paraId="42E8ABE8" w14:textId="54B54105" w:rsidR="00840557" w:rsidRPr="009B152B" w:rsidRDefault="00840557" w:rsidP="004631A4">
            <w:pPr>
              <w:pStyle w:val="COMTabletext"/>
              <w:keepNext w:val="0"/>
              <w:rPr>
                <w:szCs w:val="20"/>
              </w:rPr>
            </w:pPr>
            <w:r w:rsidRPr="009B152B">
              <w:t>Price same as subsequent years ($</w:t>
            </w:r>
            <w:r w:rsidR="00B474C2" w:rsidRPr="002C3508">
              <w:rPr>
                <w:color w:val="000000"/>
                <w:spacing w:val="54"/>
                <w:shd w:val="solid" w:color="000000" w:fill="000000"/>
                <w:fitText w:val="334" w:id="-1168367356"/>
                <w14:textFill>
                  <w14:solidFill>
                    <w14:srgbClr w14:val="000000">
                      <w14:alpha w14:val="100000"/>
                    </w14:srgbClr>
                  </w14:solidFill>
                </w14:textFill>
              </w:rPr>
              <w:t>|||</w:t>
            </w:r>
            <w:r w:rsidR="00B474C2" w:rsidRPr="002C3508">
              <w:rPr>
                <w:color w:val="000000"/>
                <w:spacing w:val="2"/>
                <w:shd w:val="solid" w:color="000000" w:fill="000000"/>
                <w:fitText w:val="334" w:id="-1168367356"/>
                <w14:textFill>
                  <w14:solidFill>
                    <w14:srgbClr w14:val="000000">
                      <w14:alpha w14:val="100000"/>
                    </w14:srgbClr>
                  </w14:solidFill>
                </w14:textFill>
              </w:rPr>
              <w:t>|</w:t>
            </w:r>
            <w:r w:rsidRPr="009B152B">
              <w:t>)</w:t>
            </w:r>
          </w:p>
        </w:tc>
        <w:tc>
          <w:tcPr>
            <w:tcW w:w="1227" w:type="dxa"/>
            <w:tcBorders>
              <w:bottom w:val="single" w:sz="4" w:space="0" w:color="auto"/>
            </w:tcBorders>
            <w:shd w:val="solid" w:color="000000" w:fill="000000"/>
            <w:vAlign w:val="center"/>
          </w:tcPr>
          <w:p w14:paraId="7317BB9E" w14:textId="021727BD" w:rsidR="00840557" w:rsidRPr="00B474C2" w:rsidRDefault="00B474C2" w:rsidP="004631A4">
            <w:pPr>
              <w:pStyle w:val="COMTabletext"/>
              <w:keepNext w:val="0"/>
              <w:jc w:val="center"/>
              <w:rPr>
                <w:rFonts w:cs="Calibri"/>
                <w:szCs w:val="20"/>
                <w:vertAlign w:val="superscript"/>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7085A284" w14:textId="77777777" w:rsidR="00840557" w:rsidRPr="009B152B" w:rsidRDefault="00840557" w:rsidP="004631A4">
            <w:pPr>
              <w:pStyle w:val="COMTabletext"/>
              <w:keepNext w:val="0"/>
              <w:jc w:val="center"/>
              <w:rPr>
                <w:rFonts w:cs="Calibri"/>
                <w:szCs w:val="20"/>
              </w:rPr>
            </w:pPr>
            <w:r w:rsidRPr="009B152B">
              <w:rPr>
                <w:rFonts w:cs="Calibri"/>
                <w:szCs w:val="20"/>
              </w:rPr>
              <w:t>0.9708</w:t>
            </w:r>
          </w:p>
        </w:tc>
        <w:tc>
          <w:tcPr>
            <w:tcW w:w="1090" w:type="dxa"/>
            <w:vAlign w:val="center"/>
          </w:tcPr>
          <w:p w14:paraId="51B8A78D" w14:textId="4A50462F" w:rsidR="00840557" w:rsidRPr="00E7247A" w:rsidRDefault="00B474C2" w:rsidP="004631A4">
            <w:pPr>
              <w:pStyle w:val="COMTabletext"/>
              <w:keepNext w:val="0"/>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4</w:t>
            </w:r>
          </w:p>
        </w:tc>
        <w:tc>
          <w:tcPr>
            <w:tcW w:w="1366" w:type="dxa"/>
            <w:vAlign w:val="center"/>
          </w:tcPr>
          <w:p w14:paraId="3400A0F8" w14:textId="77777777" w:rsidR="00840557" w:rsidRPr="009B152B" w:rsidRDefault="00840557" w:rsidP="004631A4">
            <w:pPr>
              <w:pStyle w:val="COMTabletext"/>
              <w:keepNext w:val="0"/>
              <w:jc w:val="center"/>
            </w:pPr>
            <w:r w:rsidRPr="009B152B">
              <w:t>-17.5%</w:t>
            </w:r>
          </w:p>
        </w:tc>
      </w:tr>
      <w:tr w:rsidR="00023AF8" w:rsidRPr="009B152B" w14:paraId="3FE855CA" w14:textId="77777777" w:rsidTr="00934AB0">
        <w:tc>
          <w:tcPr>
            <w:tcW w:w="4105" w:type="dxa"/>
          </w:tcPr>
          <w:p w14:paraId="44BF33CF" w14:textId="13EF38CC" w:rsidR="00023AF8" w:rsidRPr="009B152B" w:rsidRDefault="00023AF8" w:rsidP="00023AF8">
            <w:pPr>
              <w:pStyle w:val="COMTabletext"/>
              <w:keepNext w:val="0"/>
            </w:pPr>
            <w:r>
              <w:t>Pre-PBAC price ($</w:t>
            </w:r>
            <w:r w:rsidR="00B474C2" w:rsidRPr="002C3508">
              <w:rPr>
                <w:color w:val="000000"/>
                <w:spacing w:val="54"/>
                <w:shd w:val="solid" w:color="000000" w:fill="000000"/>
                <w:fitText w:val="335" w:id="-1168367355"/>
                <w14:textFill>
                  <w14:solidFill>
                    <w14:srgbClr w14:val="000000">
                      <w14:alpha w14:val="100000"/>
                    </w14:srgbClr>
                  </w14:solidFill>
                </w14:textFill>
              </w:rPr>
              <w:t>|||</w:t>
            </w:r>
            <w:r w:rsidR="00B474C2" w:rsidRPr="002C3508">
              <w:rPr>
                <w:color w:val="000000"/>
                <w:spacing w:val="3"/>
                <w:shd w:val="solid" w:color="000000" w:fill="000000"/>
                <w:fitText w:val="335" w:id="-1168367355"/>
                <w14:textFill>
                  <w14:solidFill>
                    <w14:srgbClr w14:val="000000">
                      <w14:alpha w14:val="100000"/>
                    </w14:srgbClr>
                  </w14:solidFill>
                </w14:textFill>
              </w:rPr>
              <w:t>|</w:t>
            </w:r>
            <w:r>
              <w:t>) for year 4+</w:t>
            </w:r>
          </w:p>
        </w:tc>
        <w:tc>
          <w:tcPr>
            <w:tcW w:w="1227" w:type="dxa"/>
            <w:tcBorders>
              <w:bottom w:val="single" w:sz="4" w:space="0" w:color="auto"/>
            </w:tcBorders>
            <w:shd w:val="solid" w:color="000000" w:fill="000000"/>
            <w:vAlign w:val="center"/>
          </w:tcPr>
          <w:p w14:paraId="76336403" w14:textId="1B8901AB" w:rsidR="00023AF8" w:rsidRPr="00B474C2" w:rsidRDefault="00B474C2" w:rsidP="00023AF8">
            <w:pPr>
              <w:pStyle w:val="COMTabletext"/>
              <w:keepNext w:val="0"/>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2C90C2CC" w14:textId="67208261" w:rsidR="00023AF8" w:rsidRPr="009B152B" w:rsidRDefault="00023AF8" w:rsidP="00023AF8">
            <w:pPr>
              <w:pStyle w:val="COMTabletext"/>
              <w:keepNext w:val="0"/>
              <w:jc w:val="center"/>
              <w:rPr>
                <w:rFonts w:cs="Calibri"/>
                <w:szCs w:val="20"/>
              </w:rPr>
            </w:pPr>
            <w:r w:rsidRPr="009B152B">
              <w:rPr>
                <w:rFonts w:cs="Calibri"/>
                <w:szCs w:val="20"/>
              </w:rPr>
              <w:t>0.9708</w:t>
            </w:r>
          </w:p>
        </w:tc>
        <w:tc>
          <w:tcPr>
            <w:tcW w:w="1090" w:type="dxa"/>
            <w:vAlign w:val="center"/>
          </w:tcPr>
          <w:p w14:paraId="488DE1C1" w14:textId="26B445B6" w:rsidR="00023AF8" w:rsidRPr="00E7247A" w:rsidRDefault="00B474C2" w:rsidP="00023AF8">
            <w:pPr>
              <w:pStyle w:val="COMTabletext"/>
              <w:keepNext w:val="0"/>
              <w:jc w:val="center"/>
              <w:rPr>
                <w:rFonts w:cs="Calibri"/>
                <w:szCs w:val="20"/>
                <w:highlight w:val="lightGray"/>
              </w:rPr>
            </w:pPr>
            <w:r w:rsidRPr="002C3508">
              <w:rPr>
                <w:rFonts w:cs="Calibri" w:hint="eastAsia"/>
                <w:color w:val="000000"/>
                <w:w w:val="15"/>
                <w:szCs w:val="20"/>
                <w:shd w:val="solid" w:color="000000" w:fill="000000"/>
                <w:fitText w:val="51" w:id="-1168367354"/>
                <w14:textFill>
                  <w14:solidFill>
                    <w14:srgbClr w14:val="000000">
                      <w14:alpha w14:val="100000"/>
                    </w14:srgbClr>
                  </w14:solidFill>
                </w14:textFill>
              </w:rPr>
              <w:t xml:space="preserve">　</w:t>
            </w:r>
            <w:r w:rsidRPr="002C3508">
              <w:rPr>
                <w:rFonts w:cs="Calibri"/>
                <w:color w:val="000000"/>
                <w:w w:val="15"/>
                <w:szCs w:val="20"/>
                <w:shd w:val="solid" w:color="000000" w:fill="000000"/>
                <w:fitText w:val="51" w:id="-1168367354"/>
                <w14:textFill>
                  <w14:solidFill>
                    <w14:srgbClr w14:val="000000">
                      <w14:alpha w14:val="100000"/>
                    </w14:srgbClr>
                  </w14:solidFill>
                </w14:textFill>
              </w:rPr>
              <w:t>|</w:t>
            </w:r>
            <w:r w:rsidRPr="002C3508">
              <w:rPr>
                <w:rFonts w:cs="Calibri" w:hint="eastAsia"/>
                <w:color w:val="000000"/>
                <w:spacing w:val="-14"/>
                <w:w w:val="15"/>
                <w:szCs w:val="20"/>
                <w:shd w:val="solid" w:color="000000" w:fill="000000"/>
                <w:fitText w:val="51" w:id="-1168367354"/>
                <w14:textFill>
                  <w14:solidFill>
                    <w14:srgbClr w14:val="000000">
                      <w14:alpha w14:val="100000"/>
                    </w14:srgbClr>
                  </w14:solidFill>
                </w14:textFill>
              </w:rPr>
              <w:t xml:space="preserve">　</w:t>
            </w:r>
            <w:r w:rsidRPr="00B474C2">
              <w:rPr>
                <w:rFonts w:cs="Calibri"/>
                <w:szCs w:val="20"/>
              </w:rPr>
              <w:t xml:space="preserve"> </w:t>
            </w:r>
            <w:r>
              <w:rPr>
                <w:rFonts w:cs="Calibri"/>
                <w:szCs w:val="20"/>
                <w:vertAlign w:val="superscript"/>
              </w:rPr>
              <w:t xml:space="preserve">b </w:t>
            </w:r>
            <w:r w:rsidR="00E7247A" w:rsidRPr="00E7247A">
              <w:rPr>
                <w:vertAlign w:val="superscript"/>
              </w:rPr>
              <w:t>1</w:t>
            </w:r>
          </w:p>
        </w:tc>
        <w:tc>
          <w:tcPr>
            <w:tcW w:w="1366" w:type="dxa"/>
            <w:vAlign w:val="center"/>
          </w:tcPr>
          <w:p w14:paraId="061A7432" w14:textId="26AFCDF7" w:rsidR="00023AF8" w:rsidRPr="009B152B" w:rsidRDefault="00F844D6" w:rsidP="00023AF8">
            <w:pPr>
              <w:pStyle w:val="COMTabletext"/>
              <w:keepNext w:val="0"/>
              <w:jc w:val="center"/>
            </w:pPr>
            <w:r>
              <w:t>-3.1%</w:t>
            </w:r>
          </w:p>
        </w:tc>
      </w:tr>
      <w:tr w:rsidR="00023AF8" w:rsidRPr="009B152B" w14:paraId="0370ABCC" w14:textId="77777777" w:rsidTr="00934AB0">
        <w:tc>
          <w:tcPr>
            <w:tcW w:w="4105" w:type="dxa"/>
          </w:tcPr>
          <w:p w14:paraId="77856787" w14:textId="3F74D4B2" w:rsidR="00023AF8" w:rsidRDefault="00023AF8" w:rsidP="00023AF8">
            <w:pPr>
              <w:pStyle w:val="COMTabletext"/>
              <w:keepNext w:val="0"/>
            </w:pPr>
            <w:r>
              <w:t>Pre-PBAC price ($</w:t>
            </w:r>
            <w:r w:rsidR="00B474C2" w:rsidRPr="002C3508">
              <w:rPr>
                <w:color w:val="000000"/>
                <w:spacing w:val="54"/>
                <w:shd w:val="solid" w:color="000000" w:fill="000000"/>
                <w:fitText w:val="335" w:id="-1168367353"/>
                <w14:textFill>
                  <w14:solidFill>
                    <w14:srgbClr w14:val="000000">
                      <w14:alpha w14:val="100000"/>
                    </w14:srgbClr>
                  </w14:solidFill>
                </w14:textFill>
              </w:rPr>
              <w:t>|||</w:t>
            </w:r>
            <w:r w:rsidR="00B474C2" w:rsidRPr="002C3508">
              <w:rPr>
                <w:color w:val="000000"/>
                <w:spacing w:val="3"/>
                <w:shd w:val="solid" w:color="000000" w:fill="000000"/>
                <w:fitText w:val="335" w:id="-1168367353"/>
                <w14:textFill>
                  <w14:solidFill>
                    <w14:srgbClr w14:val="000000">
                      <w14:alpha w14:val="100000"/>
                    </w14:srgbClr>
                  </w14:solidFill>
                </w14:textFill>
              </w:rPr>
              <w:t>|</w:t>
            </w:r>
            <w:r>
              <w:t xml:space="preserve">) for all years </w:t>
            </w:r>
          </w:p>
        </w:tc>
        <w:tc>
          <w:tcPr>
            <w:tcW w:w="1227" w:type="dxa"/>
            <w:shd w:val="solid" w:color="000000" w:fill="000000"/>
            <w:vAlign w:val="center"/>
          </w:tcPr>
          <w:p w14:paraId="53E19E60" w14:textId="7F4264F2" w:rsidR="00023AF8" w:rsidRPr="00B474C2" w:rsidRDefault="00B474C2" w:rsidP="00023AF8">
            <w:pPr>
              <w:pStyle w:val="COMTabletext"/>
              <w:keepNext w:val="0"/>
              <w:jc w:val="center"/>
              <w:rPr>
                <w:rFonts w:cs="Calibri"/>
                <w:szCs w:val="20"/>
              </w:rPr>
            </w:pPr>
            <w:r w:rsidRPr="00B474C2">
              <w:rPr>
                <w:rFonts w:cs="Calibri"/>
                <w:color w:val="000000"/>
                <w:szCs w:val="20"/>
                <w14:textFill>
                  <w14:solidFill>
                    <w14:srgbClr w14:val="000000">
                      <w14:alpha w14:val="100000"/>
                    </w14:srgbClr>
                  </w14:solidFill>
                </w14:textFill>
              </w:rPr>
              <w:t>|</w:t>
            </w:r>
          </w:p>
        </w:tc>
        <w:tc>
          <w:tcPr>
            <w:tcW w:w="1228" w:type="dxa"/>
            <w:vAlign w:val="center"/>
          </w:tcPr>
          <w:p w14:paraId="1185BE4A" w14:textId="6536C40A" w:rsidR="00023AF8" w:rsidRPr="009B152B" w:rsidRDefault="00023AF8" w:rsidP="00023AF8">
            <w:pPr>
              <w:pStyle w:val="COMTabletext"/>
              <w:keepNext w:val="0"/>
              <w:jc w:val="center"/>
              <w:rPr>
                <w:rFonts w:cs="Calibri"/>
                <w:szCs w:val="20"/>
              </w:rPr>
            </w:pPr>
            <w:r w:rsidRPr="009B152B">
              <w:rPr>
                <w:rFonts w:cs="Calibri"/>
                <w:szCs w:val="20"/>
              </w:rPr>
              <w:t>0.9708</w:t>
            </w:r>
          </w:p>
        </w:tc>
        <w:tc>
          <w:tcPr>
            <w:tcW w:w="1090" w:type="dxa"/>
            <w:vAlign w:val="center"/>
          </w:tcPr>
          <w:p w14:paraId="52E1E88F" w14:textId="57412BA2" w:rsidR="00023AF8" w:rsidRPr="00E7247A" w:rsidRDefault="00B474C2" w:rsidP="00023AF8">
            <w:pPr>
              <w:pStyle w:val="COMTabletext"/>
              <w:keepNext w:val="0"/>
              <w:jc w:val="center"/>
              <w:rPr>
                <w:rFonts w:cs="Calibri"/>
                <w:szCs w:val="20"/>
                <w:highlight w:val="lightGray"/>
              </w:rPr>
            </w:pPr>
            <w:r w:rsidRPr="00B474C2">
              <w:rPr>
                <w:rFonts w:cs="Calibri"/>
                <w:color w:val="000000"/>
                <w:szCs w:val="20"/>
                <w:shd w:val="solid" w:color="000000" w:fill="000000"/>
                <w14:textFill>
                  <w14:solidFill>
                    <w14:srgbClr w14:val="000000">
                      <w14:alpha w14:val="100000"/>
                    </w14:srgbClr>
                  </w14:solidFill>
                </w14:textFill>
              </w:rPr>
              <w:t>|</w:t>
            </w:r>
            <w:r w:rsidR="00E7247A" w:rsidRPr="00E7247A">
              <w:rPr>
                <w:rFonts w:cs="Calibri"/>
                <w:szCs w:val="20"/>
                <w:vertAlign w:val="superscript"/>
              </w:rPr>
              <w:t>4</w:t>
            </w:r>
          </w:p>
        </w:tc>
        <w:tc>
          <w:tcPr>
            <w:tcW w:w="1366" w:type="dxa"/>
            <w:vAlign w:val="center"/>
          </w:tcPr>
          <w:p w14:paraId="3FA3A152" w14:textId="5CEB8A4C" w:rsidR="00023AF8" w:rsidRPr="009B152B" w:rsidRDefault="00F844D6" w:rsidP="00023AF8">
            <w:pPr>
              <w:pStyle w:val="COMTabletext"/>
              <w:keepNext w:val="0"/>
              <w:jc w:val="center"/>
            </w:pPr>
            <w:r>
              <w:t>-26.9%</w:t>
            </w:r>
          </w:p>
        </w:tc>
      </w:tr>
    </w:tbl>
    <w:p w14:paraId="102C9EE0" w14:textId="44F0A153" w:rsidR="00840557" w:rsidRPr="0061435E" w:rsidRDefault="00840557" w:rsidP="00840557">
      <w:pPr>
        <w:pStyle w:val="COMTablefooter"/>
        <w:rPr>
          <w:i/>
          <w:iCs/>
        </w:rPr>
      </w:pPr>
      <w:r w:rsidRPr="0061435E">
        <w:t xml:space="preserve">Source: Constructed during the evaluation using the ‘Tafamidis Economic Model March 2023’ spreadsheet provided with the resubmission, </w:t>
      </w:r>
      <w:r w:rsidRPr="009B152B">
        <w:t>with errors in diagnosis costs corrected and transitions from NYHA class I/II off-treatment corrected to be based on standard management probabilities, rather than tafamidis on-treatment probabilities</w:t>
      </w:r>
      <w:r w:rsidR="00EB0B28" w:rsidRPr="009B152B">
        <w:t>.</w:t>
      </w:r>
    </w:p>
    <w:p w14:paraId="1AD7AC21" w14:textId="7767FA3A" w:rsidR="00840557" w:rsidRPr="0061435E" w:rsidRDefault="00840557" w:rsidP="00840557">
      <w:pPr>
        <w:pStyle w:val="COMTablefooter"/>
      </w:pPr>
      <w:r w:rsidRPr="0061435E">
        <w:t>Abbreviations: CV, cardiovascular; ICER, incremental cost-effectiveness ratio; IPD, individual patient data; LOCF, last observation carried forward; NYHA, New York Heart Association; QALY, quality adjusted life year</w:t>
      </w:r>
      <w:r w:rsidR="00EB0B28">
        <w:t>.</w:t>
      </w:r>
    </w:p>
    <w:p w14:paraId="5EF31CAB" w14:textId="115A495D" w:rsidR="00840557" w:rsidRDefault="00952238" w:rsidP="00222948">
      <w:pPr>
        <w:pStyle w:val="COMTablefooter"/>
        <w:spacing w:after="0"/>
      </w:pPr>
      <w:r>
        <w:rPr>
          <w:vertAlign w:val="superscript"/>
        </w:rPr>
        <w:t>a</w:t>
      </w:r>
      <w:r w:rsidR="00840557" w:rsidRPr="0061435E">
        <w:rPr>
          <w:vertAlign w:val="superscript"/>
        </w:rPr>
        <w:t xml:space="preserve"> </w:t>
      </w:r>
      <w:r w:rsidR="00840557" w:rsidRPr="0061435E">
        <w:t>Transitions to NYHA class I/II without hospitalisation allocated to NYHA class III/IV without hospitalisation; transitions to NYHA class I/II with hospitalisation allocated to NYHA class III/IV with hospitalisation.</w:t>
      </w:r>
    </w:p>
    <w:p w14:paraId="4FBD1C59" w14:textId="46B154B9" w:rsidR="00F844D6" w:rsidRDefault="00F844D6" w:rsidP="00222948">
      <w:pPr>
        <w:pStyle w:val="COMTablefooter"/>
        <w:spacing w:after="0"/>
      </w:pPr>
      <w:r w:rsidRPr="00F844D6">
        <w:rPr>
          <w:vertAlign w:val="superscript"/>
        </w:rPr>
        <w:t>b</w:t>
      </w:r>
      <w:r>
        <w:rPr>
          <w:vertAlign w:val="superscript"/>
        </w:rPr>
        <w:t xml:space="preserve"> </w:t>
      </w:r>
      <w:r w:rsidRPr="00F844D6">
        <w:t xml:space="preserve">The </w:t>
      </w:r>
      <w:r>
        <w:t xml:space="preserve">pre-PBAC response reported this ICER as </w:t>
      </w:r>
      <w:r w:rsidR="00E7247A" w:rsidRPr="00E7247A">
        <w:t>$115,000 to &lt; $135,000</w:t>
      </w:r>
      <w:r w:rsidR="00E7247A">
        <w:t xml:space="preserve"> </w:t>
      </w:r>
      <w:r>
        <w:t>per QALY gained.</w:t>
      </w:r>
    </w:p>
    <w:p w14:paraId="2CDFF5B5" w14:textId="77777777" w:rsidR="00E7247A" w:rsidRPr="009A6D58" w:rsidRDefault="00E7247A" w:rsidP="0022294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6E1DD13" w14:textId="29C3EF3C" w:rsidR="00E7247A" w:rsidRPr="009A6D58" w:rsidRDefault="00E7247A" w:rsidP="00222948">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7247A">
        <w:rPr>
          <w:rFonts w:ascii="Arial Narrow" w:hAnsi="Arial Narrow"/>
          <w:i/>
          <w:sz w:val="18"/>
          <w:szCs w:val="18"/>
        </w:rPr>
        <w:t>$115,000 to &lt; $135,000</w:t>
      </w:r>
    </w:p>
    <w:p w14:paraId="41EADDD8" w14:textId="5A4EB9B1" w:rsidR="00E7247A" w:rsidRPr="009A6D58" w:rsidRDefault="00E7247A" w:rsidP="00222948">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E7247A">
        <w:rPr>
          <w:rFonts w:ascii="Arial Narrow" w:hAnsi="Arial Narrow"/>
          <w:i/>
          <w:sz w:val="18"/>
          <w:szCs w:val="18"/>
        </w:rPr>
        <w:t>$135,000 to &lt; $155,000</w:t>
      </w:r>
    </w:p>
    <w:p w14:paraId="6A4D8D4B" w14:textId="176E0F01" w:rsidR="00E7247A" w:rsidRDefault="00E7247A" w:rsidP="00222948">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E7247A">
        <w:rPr>
          <w:rFonts w:ascii="Arial Narrow" w:hAnsi="Arial Narrow"/>
          <w:i/>
          <w:sz w:val="18"/>
          <w:szCs w:val="18"/>
        </w:rPr>
        <w:t>$155,000 to &lt; $255,000</w:t>
      </w:r>
    </w:p>
    <w:p w14:paraId="3C3270AE" w14:textId="0A6AAD8B" w:rsidR="00E7247A" w:rsidRDefault="00E7247A" w:rsidP="00222948">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E7247A">
        <w:rPr>
          <w:rFonts w:ascii="Arial Narrow" w:hAnsi="Arial Narrow"/>
          <w:i/>
          <w:sz w:val="18"/>
          <w:szCs w:val="18"/>
        </w:rPr>
        <w:t>$95,000 to &lt; $115,000</w:t>
      </w:r>
    </w:p>
    <w:p w14:paraId="4E859A96" w14:textId="7A45930B" w:rsidR="00E7247A" w:rsidRDefault="00E7247A" w:rsidP="00934AB0">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E7247A">
        <w:rPr>
          <w:rFonts w:ascii="Arial Narrow" w:hAnsi="Arial Narrow"/>
          <w:i/>
          <w:sz w:val="18"/>
          <w:szCs w:val="18"/>
        </w:rPr>
        <w:t>$75,000 to &lt; $95,000</w:t>
      </w:r>
    </w:p>
    <w:p w14:paraId="2F9FAC2E" w14:textId="341DEE4C" w:rsidR="00840557" w:rsidRPr="009B152B" w:rsidRDefault="00840557" w:rsidP="00840557">
      <w:pPr>
        <w:pStyle w:val="COMexecsumnumberedpara"/>
      </w:pPr>
      <w:r w:rsidRPr="009B152B">
        <w:t xml:space="preserve">The sensitivity analyses indicate that the model is most sensitive to </w:t>
      </w:r>
      <w:r w:rsidR="00590272" w:rsidRPr="009B152B">
        <w:t xml:space="preserve">the application of diagnosis costs to the standard management arm, </w:t>
      </w:r>
      <w:r w:rsidRPr="009B152B">
        <w:t xml:space="preserve">the inclusion of patients with NYHA class III/IV at baseline, </w:t>
      </w:r>
      <w:r w:rsidR="00323E71" w:rsidRPr="009B152B">
        <w:t>the source of the underlying transition probabilities</w:t>
      </w:r>
      <w:r w:rsidR="00967FC7" w:rsidRPr="009B152B">
        <w:t xml:space="preserve">, </w:t>
      </w:r>
      <w:r w:rsidRPr="009B152B">
        <w:t>the price of tafamidis, and the use of health state utilities without treatment-related effects.</w:t>
      </w:r>
    </w:p>
    <w:p w14:paraId="1B9D354F" w14:textId="541311BF" w:rsidR="00840557" w:rsidRDefault="00840557" w:rsidP="00840557">
      <w:pPr>
        <w:pStyle w:val="COMexecsumnumberedpara"/>
      </w:pPr>
      <w:r w:rsidRPr="001F4A02">
        <w:t xml:space="preserve">The </w:t>
      </w:r>
      <w:r w:rsidR="003E0E5D" w:rsidRPr="001F4A02">
        <w:t>ESC noted</w:t>
      </w:r>
      <w:r w:rsidR="003E0E5D">
        <w:t xml:space="preserve"> the </w:t>
      </w:r>
      <w:r w:rsidRPr="009B152B">
        <w:t xml:space="preserve">sensitivity analyses do not adequately capture the uncertainty associated with the model, as they do not explore the impact of tafamidis treatment-related discontinuation on risks of hospitalisation and NYHA class progression/regression, nor do they account for increasing disease progression over time, except for risk of death. </w:t>
      </w:r>
    </w:p>
    <w:p w14:paraId="1907DBF6" w14:textId="6741BF59" w:rsidR="005F5375" w:rsidRPr="009B152B" w:rsidRDefault="005F5375" w:rsidP="00840557">
      <w:pPr>
        <w:pStyle w:val="COMexecsumnumberedpara"/>
      </w:pPr>
      <w:r>
        <w:t>The PBAC considered that at a DPMQ of $</w:t>
      </w:r>
      <w:r w:rsidR="00B474C2" w:rsidRPr="00DD34BF">
        <w:rPr>
          <w:color w:val="000000"/>
          <w:w w:val="62"/>
          <w:shd w:val="solid" w:color="000000" w:fill="000000"/>
          <w:fitText w:val="482" w:id="-1168367352"/>
          <w14:textFill>
            <w14:solidFill>
              <w14:srgbClr w14:val="000000">
                <w14:alpha w14:val="100000"/>
              </w14:srgbClr>
            </w14:solidFill>
          </w14:textFill>
        </w:rPr>
        <w:t>|||  ||</w:t>
      </w:r>
      <w:r w:rsidR="00B474C2" w:rsidRPr="00DD34BF">
        <w:rPr>
          <w:color w:val="000000"/>
          <w:spacing w:val="4"/>
          <w:w w:val="62"/>
          <w:shd w:val="solid" w:color="000000" w:fill="000000"/>
          <w:fitText w:val="482" w:id="-1168367352"/>
          <w14:textFill>
            <w14:solidFill>
              <w14:srgbClr w14:val="000000">
                <w14:alpha w14:val="100000"/>
              </w14:srgbClr>
            </w14:solidFill>
          </w14:textFill>
        </w:rPr>
        <w:t>|</w:t>
      </w:r>
      <w:r w:rsidR="00C97C58">
        <w:t xml:space="preserve"> (the price proposed for the initial 3 years post listing),</w:t>
      </w:r>
      <w:r>
        <w:t xml:space="preserve"> the ICER </w:t>
      </w:r>
      <w:r w:rsidR="00B971EB">
        <w:t xml:space="preserve">of </w:t>
      </w:r>
      <w:r w:rsidR="00313E60" w:rsidRPr="00313E60">
        <w:t>$135,000 to &lt; $155,000</w:t>
      </w:r>
      <w:r w:rsidR="00313E60">
        <w:t xml:space="preserve"> </w:t>
      </w:r>
      <w:r w:rsidR="00B971EB">
        <w:t xml:space="preserve">per QALY </w:t>
      </w:r>
      <w:r>
        <w:t>was unacceptably high and uncertain</w:t>
      </w:r>
      <w:r w:rsidR="00B971EB">
        <w:t>.</w:t>
      </w:r>
      <w:r>
        <w:t xml:space="preserve"> Notwithstanding the remaining uncertainty in the modelled cost-effectiveness estimates, the PBAC considered that tafamidis would be acceptably cost-effective </w:t>
      </w:r>
      <w:r w:rsidR="00914D75">
        <w:t>based on a cost no higher than</w:t>
      </w:r>
      <w:r>
        <w:t xml:space="preserve"> a DPMQ of $</w:t>
      </w:r>
      <w:r w:rsidR="00B474C2" w:rsidRPr="004826FD">
        <w:rPr>
          <w:color w:val="000000"/>
          <w:w w:val="15"/>
          <w:shd w:val="solid" w:color="000000" w:fill="000000"/>
          <w:fitText w:val="-20" w:id="-1168367351"/>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51"/>
          <w14:textFill>
            <w14:solidFill>
              <w14:srgbClr w14:val="000000">
                <w14:alpha w14:val="100000"/>
              </w14:srgbClr>
            </w14:solidFill>
          </w14:textFill>
        </w:rPr>
        <w:t>|</w:t>
      </w:r>
      <w:r w:rsidR="00C97C58">
        <w:t xml:space="preserve"> (ICER of approximately </w:t>
      </w:r>
      <w:r w:rsidR="00313E60" w:rsidRPr="00313E60">
        <w:t>$95,000</w:t>
      </w:r>
      <w:r w:rsidR="00934AB0">
        <w:t> </w:t>
      </w:r>
      <w:r w:rsidR="00313E60" w:rsidRPr="00313E60">
        <w:t>to</w:t>
      </w:r>
      <w:r w:rsidR="00934AB0">
        <w:t> </w:t>
      </w:r>
      <w:r w:rsidR="00313E60" w:rsidRPr="00313E60">
        <w:t>&lt;</w:t>
      </w:r>
      <w:r w:rsidR="00934AB0">
        <w:t> </w:t>
      </w:r>
      <w:r w:rsidR="00313E60" w:rsidRPr="00313E60">
        <w:t xml:space="preserve">$115,000 </w:t>
      </w:r>
      <w:r w:rsidR="00C97C58">
        <w:t>per QALY)</w:t>
      </w:r>
      <w:r>
        <w:t xml:space="preserve">, </w:t>
      </w:r>
      <w:r w:rsidR="00914D75">
        <w:t xml:space="preserve">the price </w:t>
      </w:r>
      <w:r>
        <w:t xml:space="preserve">proposed in the pre-PBAC response for years 4-6. </w:t>
      </w:r>
      <w:r w:rsidR="00B971EB">
        <w:t>This was in the context of a high unmet clinical need in a relatively small population.</w:t>
      </w:r>
    </w:p>
    <w:p w14:paraId="7912CDF2" w14:textId="77777777" w:rsidR="00840557" w:rsidRPr="0061435E" w:rsidRDefault="00840557" w:rsidP="00840557">
      <w:pPr>
        <w:pStyle w:val="COMH2-non-numbered"/>
      </w:pPr>
      <w:bookmarkStart w:id="54" w:name="_Toc132552508"/>
      <w:bookmarkStart w:id="55" w:name="_Toc134118711"/>
      <w:bookmarkStart w:id="56" w:name="_Toc135227617"/>
      <w:r w:rsidRPr="0061435E">
        <w:t>Drug cost/patient/year</w:t>
      </w:r>
      <w:bookmarkEnd w:id="54"/>
      <w:bookmarkEnd w:id="55"/>
      <w:bookmarkEnd w:id="56"/>
    </w:p>
    <w:p w14:paraId="6173AA3C" w14:textId="11687057" w:rsidR="00840557" w:rsidRPr="0061435E" w:rsidRDefault="00840557" w:rsidP="00840557">
      <w:pPr>
        <w:pStyle w:val="COMexecsumnumberedpara"/>
      </w:pPr>
      <w:r w:rsidRPr="0061435E">
        <w:t xml:space="preserve">A comparison of tafamidis use between the trial setting, economic model and budget impact model is presented in </w:t>
      </w:r>
      <w:r w:rsidRPr="0061435E">
        <w:fldChar w:fldCharType="begin" w:fldLock="1"/>
      </w:r>
      <w:r w:rsidRPr="0061435E">
        <w:instrText xml:space="preserve"> REF _Ref132381971 \h  \* MERGEFORMAT </w:instrText>
      </w:r>
      <w:r w:rsidRPr="0061435E">
        <w:fldChar w:fldCharType="separate"/>
      </w:r>
      <w:r w:rsidR="0015761E" w:rsidRPr="0061435E">
        <w:t xml:space="preserve">Table </w:t>
      </w:r>
      <w:r w:rsidR="0015761E">
        <w:t>10</w:t>
      </w:r>
      <w:r w:rsidRPr="0061435E">
        <w:fldChar w:fldCharType="end"/>
      </w:r>
      <w:r w:rsidRPr="0061435E">
        <w:t>.</w:t>
      </w:r>
    </w:p>
    <w:p w14:paraId="2D569A3D" w14:textId="2CCACD1A" w:rsidR="00840557" w:rsidRPr="0061435E" w:rsidRDefault="00840557" w:rsidP="00EB0B28">
      <w:pPr>
        <w:pStyle w:val="COMtablefigcaption"/>
      </w:pPr>
      <w:bookmarkStart w:id="57" w:name="_Ref132381971"/>
      <w:bookmarkStart w:id="58" w:name="_Ref132646601"/>
      <w:r w:rsidRPr="0061435E">
        <w:t xml:space="preserve">Table </w:t>
      </w:r>
      <w:fldSimple w:instr=" SEQ Table \* ARABIC " w:fldLock="1">
        <w:r w:rsidR="0015761E">
          <w:rPr>
            <w:noProof/>
          </w:rPr>
          <w:t>10</w:t>
        </w:r>
      </w:fldSimple>
      <w:bookmarkEnd w:id="57"/>
      <w:r w:rsidRPr="0061435E">
        <w:t>: Drug cost per patient per year for tafamidis</w:t>
      </w:r>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Drug cost per patient per year for tafamidis"/>
      </w:tblPr>
      <w:tblGrid>
        <w:gridCol w:w="2123"/>
        <w:gridCol w:w="1984"/>
        <w:gridCol w:w="2454"/>
        <w:gridCol w:w="2456"/>
      </w:tblGrid>
      <w:tr w:rsidR="00840557" w:rsidRPr="0061435E" w14:paraId="709E660C" w14:textId="77777777" w:rsidTr="008D0557">
        <w:trPr>
          <w:cantSplit/>
          <w:tblHeader/>
          <w:jc w:val="center"/>
        </w:trPr>
        <w:tc>
          <w:tcPr>
            <w:tcW w:w="1177" w:type="pct"/>
            <w:shd w:val="clear" w:color="auto" w:fill="auto"/>
            <w:vAlign w:val="center"/>
          </w:tcPr>
          <w:p w14:paraId="6E67D2D9" w14:textId="77777777" w:rsidR="00840557" w:rsidRPr="0061435E" w:rsidRDefault="00840557" w:rsidP="004631A4">
            <w:pPr>
              <w:pStyle w:val="Tableheadingrow"/>
              <w:jc w:val="center"/>
              <w:rPr>
                <w:lang w:val="en-AU"/>
              </w:rPr>
            </w:pPr>
          </w:p>
        </w:tc>
        <w:tc>
          <w:tcPr>
            <w:tcW w:w="1100" w:type="pct"/>
            <w:shd w:val="clear" w:color="auto" w:fill="auto"/>
            <w:vAlign w:val="center"/>
          </w:tcPr>
          <w:p w14:paraId="2010D3FB" w14:textId="77777777" w:rsidR="00840557" w:rsidRPr="0061435E" w:rsidRDefault="00840557" w:rsidP="004631A4">
            <w:pPr>
              <w:pStyle w:val="Tableheadingrow"/>
              <w:jc w:val="center"/>
              <w:rPr>
                <w:lang w:val="en-AU"/>
              </w:rPr>
            </w:pPr>
            <w:r w:rsidRPr="0061435E">
              <w:rPr>
                <w:lang w:val="en-AU"/>
              </w:rPr>
              <w:t>Trial</w:t>
            </w:r>
          </w:p>
        </w:tc>
        <w:tc>
          <w:tcPr>
            <w:tcW w:w="1361" w:type="pct"/>
            <w:shd w:val="clear" w:color="auto" w:fill="auto"/>
            <w:vAlign w:val="center"/>
          </w:tcPr>
          <w:p w14:paraId="40A1157B" w14:textId="77777777" w:rsidR="00840557" w:rsidRPr="0061435E" w:rsidRDefault="00840557" w:rsidP="004631A4">
            <w:pPr>
              <w:pStyle w:val="Tableheadingrow"/>
              <w:jc w:val="center"/>
              <w:rPr>
                <w:lang w:val="en-AU"/>
              </w:rPr>
            </w:pPr>
            <w:r w:rsidRPr="0061435E">
              <w:rPr>
                <w:lang w:val="en-AU"/>
              </w:rPr>
              <w:t>Economic model</w:t>
            </w:r>
          </w:p>
        </w:tc>
        <w:tc>
          <w:tcPr>
            <w:tcW w:w="1362" w:type="pct"/>
            <w:shd w:val="clear" w:color="auto" w:fill="auto"/>
            <w:vAlign w:val="center"/>
          </w:tcPr>
          <w:p w14:paraId="7EC1EC97" w14:textId="77777777" w:rsidR="00840557" w:rsidRPr="0061435E" w:rsidRDefault="00840557" w:rsidP="004631A4">
            <w:pPr>
              <w:pStyle w:val="Tableheadingrow"/>
              <w:jc w:val="center"/>
              <w:rPr>
                <w:lang w:val="en-AU"/>
              </w:rPr>
            </w:pPr>
            <w:r w:rsidRPr="0061435E">
              <w:rPr>
                <w:lang w:val="en-AU"/>
              </w:rPr>
              <w:t>Financial estimates</w:t>
            </w:r>
          </w:p>
        </w:tc>
      </w:tr>
      <w:tr w:rsidR="00840557" w:rsidRPr="0061435E" w14:paraId="24727B86" w14:textId="77777777" w:rsidTr="008D0557">
        <w:trPr>
          <w:cantSplit/>
          <w:jc w:val="center"/>
        </w:trPr>
        <w:tc>
          <w:tcPr>
            <w:tcW w:w="1177" w:type="pct"/>
            <w:shd w:val="clear" w:color="auto" w:fill="auto"/>
            <w:vAlign w:val="center"/>
          </w:tcPr>
          <w:p w14:paraId="07BDCAAE" w14:textId="77777777" w:rsidR="00840557" w:rsidRPr="0061435E" w:rsidRDefault="00840557" w:rsidP="004631A4">
            <w:pPr>
              <w:pStyle w:val="TableText"/>
            </w:pPr>
            <w:r w:rsidRPr="0061435E">
              <w:t>Daily dose</w:t>
            </w:r>
          </w:p>
        </w:tc>
        <w:tc>
          <w:tcPr>
            <w:tcW w:w="1100" w:type="pct"/>
            <w:shd w:val="clear" w:color="auto" w:fill="auto"/>
            <w:vAlign w:val="center"/>
          </w:tcPr>
          <w:p w14:paraId="1715337B" w14:textId="77777777" w:rsidR="00840557" w:rsidRPr="0061435E" w:rsidRDefault="00840557" w:rsidP="004631A4">
            <w:pPr>
              <w:pStyle w:val="TableText"/>
              <w:jc w:val="center"/>
            </w:pPr>
            <w:r w:rsidRPr="0061435E">
              <w:t>Tafamidis meglumine</w:t>
            </w:r>
          </w:p>
          <w:p w14:paraId="2364A6FD" w14:textId="77777777" w:rsidR="00840557" w:rsidRPr="0061435E" w:rsidRDefault="00840557" w:rsidP="004631A4">
            <w:pPr>
              <w:pStyle w:val="TableText"/>
              <w:jc w:val="center"/>
            </w:pPr>
            <w:r w:rsidRPr="0061435E">
              <w:t>20 mg or 80 mg</w:t>
            </w:r>
          </w:p>
        </w:tc>
        <w:tc>
          <w:tcPr>
            <w:tcW w:w="1361" w:type="pct"/>
            <w:shd w:val="clear" w:color="auto" w:fill="auto"/>
            <w:vAlign w:val="center"/>
          </w:tcPr>
          <w:p w14:paraId="6766FF51" w14:textId="77777777" w:rsidR="00840557" w:rsidRPr="0061435E" w:rsidRDefault="00840557" w:rsidP="004631A4">
            <w:pPr>
              <w:pStyle w:val="TableText"/>
              <w:jc w:val="center"/>
            </w:pPr>
            <w:r w:rsidRPr="0061435E">
              <w:t>Tafamidis 61 mg</w:t>
            </w:r>
          </w:p>
        </w:tc>
        <w:tc>
          <w:tcPr>
            <w:tcW w:w="1362" w:type="pct"/>
            <w:shd w:val="clear" w:color="auto" w:fill="auto"/>
            <w:vAlign w:val="center"/>
          </w:tcPr>
          <w:p w14:paraId="755DA43C" w14:textId="77777777" w:rsidR="00840557" w:rsidRPr="0061435E" w:rsidRDefault="00840557" w:rsidP="004631A4">
            <w:pPr>
              <w:pStyle w:val="TableText"/>
              <w:jc w:val="center"/>
            </w:pPr>
            <w:r w:rsidRPr="0061435E">
              <w:t>Tafamidis 61 mg</w:t>
            </w:r>
          </w:p>
        </w:tc>
      </w:tr>
      <w:tr w:rsidR="00840557" w:rsidRPr="0061435E" w14:paraId="371D2280" w14:textId="77777777" w:rsidTr="008D0557">
        <w:trPr>
          <w:cantSplit/>
          <w:jc w:val="center"/>
        </w:trPr>
        <w:tc>
          <w:tcPr>
            <w:tcW w:w="1177" w:type="pct"/>
            <w:shd w:val="clear" w:color="auto" w:fill="auto"/>
            <w:vAlign w:val="center"/>
          </w:tcPr>
          <w:p w14:paraId="56F9828B" w14:textId="77777777" w:rsidR="00840557" w:rsidRPr="0061435E" w:rsidRDefault="00840557" w:rsidP="004631A4">
            <w:pPr>
              <w:pStyle w:val="TableText"/>
            </w:pPr>
            <w:r w:rsidRPr="0061435E">
              <w:t>Cost per 30 tablet pack (effective DPMQ)</w:t>
            </w:r>
          </w:p>
        </w:tc>
        <w:tc>
          <w:tcPr>
            <w:tcW w:w="1100" w:type="pct"/>
            <w:shd w:val="clear" w:color="auto" w:fill="auto"/>
            <w:vAlign w:val="center"/>
          </w:tcPr>
          <w:p w14:paraId="3D11F78C" w14:textId="77777777" w:rsidR="00840557" w:rsidRPr="0061435E" w:rsidRDefault="00840557" w:rsidP="004631A4">
            <w:pPr>
              <w:pStyle w:val="TableText"/>
              <w:jc w:val="center"/>
            </w:pPr>
            <w:r w:rsidRPr="0061435E">
              <w:t>-</w:t>
            </w:r>
          </w:p>
        </w:tc>
        <w:tc>
          <w:tcPr>
            <w:tcW w:w="1361" w:type="pct"/>
            <w:shd w:val="clear" w:color="auto" w:fill="auto"/>
            <w:vAlign w:val="center"/>
          </w:tcPr>
          <w:p w14:paraId="755282A8" w14:textId="3317EC71" w:rsidR="00840557" w:rsidRPr="0061435E" w:rsidRDefault="00840557" w:rsidP="004631A4">
            <w:pPr>
              <w:pStyle w:val="TableText"/>
              <w:jc w:val="center"/>
            </w:pPr>
            <w:r w:rsidRPr="0061435E">
              <w:t>$</w:t>
            </w:r>
            <w:r w:rsidR="00B474C2" w:rsidRPr="00B474C2">
              <w:rPr>
                <w:color w:val="000000"/>
                <w:shd w:val="solid" w:color="000000" w:fill="000000"/>
                <w14:textFill>
                  <w14:solidFill>
                    <w14:srgbClr w14:val="000000">
                      <w14:alpha w14:val="100000"/>
                    </w14:srgbClr>
                  </w14:solidFill>
                </w14:textFill>
              </w:rPr>
              <w:t>|</w:t>
            </w:r>
            <w:r w:rsidRPr="0061435E">
              <w:t xml:space="preserve"> (Years 1-3)</w:t>
            </w:r>
          </w:p>
          <w:p w14:paraId="796B6E33" w14:textId="157E3EE2" w:rsidR="00840557" w:rsidRPr="0061435E" w:rsidRDefault="00840557" w:rsidP="004631A4">
            <w:pPr>
              <w:pStyle w:val="TableText"/>
              <w:jc w:val="center"/>
            </w:pPr>
            <w:r w:rsidRPr="0061435E">
              <w:t>$</w:t>
            </w:r>
            <w:r w:rsidR="00B474C2" w:rsidRPr="002C3508">
              <w:rPr>
                <w:rFonts w:hint="eastAsia"/>
                <w:color w:val="000000"/>
                <w:w w:val="22"/>
                <w:shd w:val="solid" w:color="000000" w:fill="000000"/>
                <w:fitText w:val="101" w:id="-1168367350"/>
                <w14:textFill>
                  <w14:solidFill>
                    <w14:srgbClr w14:val="000000">
                      <w14:alpha w14:val="100000"/>
                    </w14:srgbClr>
                  </w14:solidFill>
                </w14:textFill>
              </w:rPr>
              <w:t xml:space="preserve">　</w:t>
            </w:r>
            <w:r w:rsidR="00B474C2" w:rsidRPr="002C3508">
              <w:rPr>
                <w:color w:val="000000"/>
                <w:w w:val="22"/>
                <w:shd w:val="solid" w:color="000000" w:fill="000000"/>
                <w:fitText w:val="101" w:id="-1168367350"/>
                <w14:textFill>
                  <w14:solidFill>
                    <w14:srgbClr w14:val="000000">
                      <w14:alpha w14:val="100000"/>
                    </w14:srgbClr>
                  </w14:solidFill>
                </w14:textFill>
              </w:rPr>
              <w:t>|</w:t>
            </w:r>
            <w:r w:rsidR="00B474C2" w:rsidRPr="002C3508">
              <w:rPr>
                <w:rFonts w:hint="eastAsia"/>
                <w:color w:val="000000"/>
                <w:spacing w:val="4"/>
                <w:w w:val="22"/>
                <w:shd w:val="solid" w:color="000000" w:fill="000000"/>
                <w:fitText w:val="101" w:id="-1168367350"/>
                <w14:textFill>
                  <w14:solidFill>
                    <w14:srgbClr w14:val="000000">
                      <w14:alpha w14:val="100000"/>
                    </w14:srgbClr>
                  </w14:solidFill>
                </w14:textFill>
              </w:rPr>
              <w:t xml:space="preserve">　</w:t>
            </w:r>
            <w:r w:rsidRPr="0061435E">
              <w:t xml:space="preserve"> (subsequent years)</w:t>
            </w:r>
          </w:p>
        </w:tc>
        <w:tc>
          <w:tcPr>
            <w:tcW w:w="1362" w:type="pct"/>
            <w:shd w:val="clear" w:color="auto" w:fill="auto"/>
            <w:vAlign w:val="center"/>
          </w:tcPr>
          <w:p w14:paraId="296F8E71" w14:textId="08B3E90E" w:rsidR="00840557" w:rsidRPr="0061435E" w:rsidRDefault="00840557" w:rsidP="004631A4">
            <w:pPr>
              <w:pStyle w:val="TableText"/>
              <w:jc w:val="center"/>
            </w:pPr>
            <w:r w:rsidRPr="0061435E">
              <w:t>$</w:t>
            </w:r>
            <w:r w:rsidR="00B474C2" w:rsidRPr="00B474C2">
              <w:rPr>
                <w:color w:val="000000"/>
                <w:shd w:val="solid" w:color="000000" w:fill="000000"/>
                <w14:textFill>
                  <w14:solidFill>
                    <w14:srgbClr w14:val="000000">
                      <w14:alpha w14:val="100000"/>
                    </w14:srgbClr>
                  </w14:solidFill>
                </w14:textFill>
              </w:rPr>
              <w:t>|</w:t>
            </w:r>
            <w:r w:rsidRPr="0061435E">
              <w:t xml:space="preserve"> (Years 1-3)</w:t>
            </w:r>
          </w:p>
          <w:p w14:paraId="37B85EE4" w14:textId="5E265461" w:rsidR="00840557" w:rsidRPr="0061435E" w:rsidRDefault="00840557" w:rsidP="004631A4">
            <w:pPr>
              <w:pStyle w:val="TableText"/>
              <w:jc w:val="center"/>
            </w:pPr>
            <w:r w:rsidRPr="0061435E">
              <w:t>$</w:t>
            </w:r>
            <w:r w:rsidR="00B474C2" w:rsidRPr="00B474C2">
              <w:rPr>
                <w:color w:val="000000"/>
                <w:shd w:val="solid" w:color="000000" w:fill="000000"/>
                <w14:textFill>
                  <w14:solidFill>
                    <w14:srgbClr w14:val="000000">
                      <w14:alpha w14:val="100000"/>
                    </w14:srgbClr>
                  </w14:solidFill>
                </w14:textFill>
              </w:rPr>
              <w:t>|</w:t>
            </w:r>
            <w:r w:rsidRPr="0061435E">
              <w:t xml:space="preserve"> (Years 4-6)</w:t>
            </w:r>
          </w:p>
        </w:tc>
      </w:tr>
      <w:tr w:rsidR="00840557" w:rsidRPr="0061435E" w14:paraId="66618CA9" w14:textId="77777777" w:rsidTr="008D0557">
        <w:trPr>
          <w:cantSplit/>
          <w:jc w:val="center"/>
        </w:trPr>
        <w:tc>
          <w:tcPr>
            <w:tcW w:w="1177" w:type="pct"/>
            <w:shd w:val="clear" w:color="auto" w:fill="auto"/>
            <w:vAlign w:val="center"/>
          </w:tcPr>
          <w:p w14:paraId="73C161E3" w14:textId="77777777" w:rsidR="00840557" w:rsidRPr="0061435E" w:rsidRDefault="00840557" w:rsidP="004631A4">
            <w:pPr>
              <w:pStyle w:val="TableText"/>
            </w:pPr>
            <w:r w:rsidRPr="0061435E">
              <w:t>Adherence</w:t>
            </w:r>
          </w:p>
        </w:tc>
        <w:tc>
          <w:tcPr>
            <w:tcW w:w="1100" w:type="pct"/>
            <w:shd w:val="clear" w:color="auto" w:fill="auto"/>
            <w:vAlign w:val="center"/>
          </w:tcPr>
          <w:p w14:paraId="5CD5360D" w14:textId="1DE8CDE4" w:rsidR="00840557" w:rsidRPr="0061435E" w:rsidRDefault="008D0557" w:rsidP="004631A4">
            <w:pPr>
              <w:pStyle w:val="TableText"/>
              <w:jc w:val="center"/>
            </w:pPr>
            <w:r>
              <w:t>98.2% (&gt; 80% adherence)</w:t>
            </w:r>
          </w:p>
        </w:tc>
        <w:tc>
          <w:tcPr>
            <w:tcW w:w="1361" w:type="pct"/>
            <w:shd w:val="clear" w:color="auto" w:fill="auto"/>
            <w:vAlign w:val="center"/>
          </w:tcPr>
          <w:p w14:paraId="7A8782D6" w14:textId="77777777" w:rsidR="00840557" w:rsidRPr="0061435E" w:rsidRDefault="00840557" w:rsidP="004631A4">
            <w:pPr>
              <w:pStyle w:val="TableText"/>
              <w:jc w:val="center"/>
            </w:pPr>
            <w:r w:rsidRPr="0061435E">
              <w:t>97.67%</w:t>
            </w:r>
          </w:p>
        </w:tc>
        <w:tc>
          <w:tcPr>
            <w:tcW w:w="1362" w:type="pct"/>
            <w:shd w:val="clear" w:color="auto" w:fill="auto"/>
            <w:vAlign w:val="center"/>
          </w:tcPr>
          <w:p w14:paraId="3BB33E15" w14:textId="729504E5" w:rsidR="00840557" w:rsidRPr="0061435E" w:rsidRDefault="00C24EBB" w:rsidP="004631A4">
            <w:pPr>
              <w:pStyle w:val="TableText"/>
              <w:jc w:val="center"/>
            </w:pPr>
            <w:r>
              <w:t>100%</w:t>
            </w:r>
          </w:p>
        </w:tc>
      </w:tr>
      <w:tr w:rsidR="00840557" w:rsidRPr="0061435E" w14:paraId="1991BC1F" w14:textId="77777777" w:rsidTr="008D0557">
        <w:trPr>
          <w:cantSplit/>
          <w:jc w:val="center"/>
        </w:trPr>
        <w:tc>
          <w:tcPr>
            <w:tcW w:w="1177" w:type="pct"/>
            <w:shd w:val="clear" w:color="auto" w:fill="auto"/>
            <w:vAlign w:val="center"/>
          </w:tcPr>
          <w:p w14:paraId="475E11DA" w14:textId="77777777" w:rsidR="00840557" w:rsidRPr="0061435E" w:rsidRDefault="00840557" w:rsidP="004631A4">
            <w:pPr>
              <w:pStyle w:val="TableText"/>
            </w:pPr>
            <w:r w:rsidRPr="0061435E">
              <w:t>Number of scripts per year</w:t>
            </w:r>
          </w:p>
        </w:tc>
        <w:tc>
          <w:tcPr>
            <w:tcW w:w="1100" w:type="pct"/>
            <w:shd w:val="clear" w:color="auto" w:fill="auto"/>
            <w:vAlign w:val="center"/>
          </w:tcPr>
          <w:p w14:paraId="7EDFA598" w14:textId="77777777" w:rsidR="00840557" w:rsidRPr="0061435E" w:rsidRDefault="00840557" w:rsidP="004631A4">
            <w:pPr>
              <w:pStyle w:val="TableText"/>
              <w:jc w:val="center"/>
            </w:pPr>
            <w:r w:rsidRPr="0061435E">
              <w:t>-</w:t>
            </w:r>
          </w:p>
        </w:tc>
        <w:tc>
          <w:tcPr>
            <w:tcW w:w="1361" w:type="pct"/>
            <w:shd w:val="clear" w:color="auto" w:fill="auto"/>
            <w:vAlign w:val="center"/>
          </w:tcPr>
          <w:p w14:paraId="64E0AA68" w14:textId="77777777" w:rsidR="00840557" w:rsidRPr="0061435E" w:rsidRDefault="00840557" w:rsidP="004631A4">
            <w:pPr>
              <w:pStyle w:val="TableText"/>
              <w:jc w:val="center"/>
            </w:pPr>
            <w:r w:rsidRPr="0061435E">
              <w:t>11.90 (=365.25/30×97.67%)</w:t>
            </w:r>
          </w:p>
        </w:tc>
        <w:tc>
          <w:tcPr>
            <w:tcW w:w="1362" w:type="pct"/>
            <w:shd w:val="clear" w:color="auto" w:fill="auto"/>
            <w:vAlign w:val="center"/>
          </w:tcPr>
          <w:p w14:paraId="19F65118" w14:textId="4A8C1E2D" w:rsidR="00840557" w:rsidRPr="0061435E" w:rsidRDefault="000D3453" w:rsidP="004631A4">
            <w:pPr>
              <w:pStyle w:val="TableText"/>
              <w:jc w:val="center"/>
            </w:pPr>
            <w:r>
              <w:t>12.18 (=</w:t>
            </w:r>
            <w:r w:rsidRPr="0061435E">
              <w:t>365.25/30</w:t>
            </w:r>
            <w:r>
              <w:t>)</w:t>
            </w:r>
          </w:p>
        </w:tc>
      </w:tr>
      <w:tr w:rsidR="00840557" w:rsidRPr="0061435E" w14:paraId="4EF06E0B" w14:textId="77777777" w:rsidTr="008D0557">
        <w:trPr>
          <w:cantSplit/>
          <w:jc w:val="center"/>
        </w:trPr>
        <w:tc>
          <w:tcPr>
            <w:tcW w:w="1177" w:type="pct"/>
            <w:shd w:val="clear" w:color="auto" w:fill="auto"/>
            <w:vAlign w:val="center"/>
          </w:tcPr>
          <w:p w14:paraId="06EA9FCC" w14:textId="77777777" w:rsidR="00840557" w:rsidRPr="0061435E" w:rsidRDefault="00840557" w:rsidP="004631A4">
            <w:pPr>
              <w:pStyle w:val="TableText"/>
            </w:pPr>
            <w:r w:rsidRPr="0061435E">
              <w:t>Cost per year</w:t>
            </w:r>
          </w:p>
        </w:tc>
        <w:tc>
          <w:tcPr>
            <w:tcW w:w="1100" w:type="pct"/>
            <w:shd w:val="clear" w:color="auto" w:fill="auto"/>
            <w:vAlign w:val="center"/>
          </w:tcPr>
          <w:p w14:paraId="720100DD" w14:textId="77777777" w:rsidR="00840557" w:rsidRPr="0061435E" w:rsidRDefault="00840557" w:rsidP="004631A4">
            <w:pPr>
              <w:pStyle w:val="TableText"/>
              <w:jc w:val="center"/>
            </w:pPr>
            <w:r w:rsidRPr="0061435E">
              <w:t>-</w:t>
            </w:r>
          </w:p>
        </w:tc>
        <w:tc>
          <w:tcPr>
            <w:tcW w:w="1361" w:type="pct"/>
            <w:shd w:val="clear" w:color="auto" w:fill="auto"/>
            <w:vAlign w:val="center"/>
          </w:tcPr>
          <w:p w14:paraId="2B8B217C" w14:textId="5DDD9484" w:rsidR="00840557" w:rsidRPr="0061435E" w:rsidRDefault="00840557" w:rsidP="004631A4">
            <w:pPr>
              <w:pStyle w:val="TableText"/>
              <w:jc w:val="center"/>
            </w:pPr>
            <w:r w:rsidRPr="0061435E">
              <w:t>$</w:t>
            </w:r>
            <w:r w:rsidR="00B474C2" w:rsidRPr="00B474C2">
              <w:rPr>
                <w:color w:val="000000"/>
                <w:shd w:val="solid" w:color="000000" w:fill="000000"/>
                <w14:textFill>
                  <w14:solidFill>
                    <w14:srgbClr w14:val="000000">
                      <w14:alpha w14:val="100000"/>
                    </w14:srgbClr>
                  </w14:solidFill>
                </w14:textFill>
              </w:rPr>
              <w:t>|</w:t>
            </w:r>
            <w:r w:rsidRPr="0061435E">
              <w:t xml:space="preserve"> (Years 1-3)</w:t>
            </w:r>
          </w:p>
          <w:p w14:paraId="13906DFD" w14:textId="529B8E91" w:rsidR="00840557" w:rsidRPr="0061435E" w:rsidRDefault="00840557" w:rsidP="004631A4">
            <w:pPr>
              <w:pStyle w:val="TableText"/>
              <w:jc w:val="center"/>
            </w:pPr>
            <w:r w:rsidRPr="0061435E">
              <w:t>$</w:t>
            </w:r>
            <w:r w:rsidR="00B474C2" w:rsidRPr="002C3508">
              <w:rPr>
                <w:rFonts w:hint="eastAsia"/>
                <w:color w:val="000000"/>
                <w:w w:val="22"/>
                <w:shd w:val="solid" w:color="000000" w:fill="000000"/>
                <w:fitText w:val="101" w:id="-1168367349"/>
                <w14:textFill>
                  <w14:solidFill>
                    <w14:srgbClr w14:val="000000">
                      <w14:alpha w14:val="100000"/>
                    </w14:srgbClr>
                  </w14:solidFill>
                </w14:textFill>
              </w:rPr>
              <w:t xml:space="preserve">　</w:t>
            </w:r>
            <w:r w:rsidR="00B474C2" w:rsidRPr="002C3508">
              <w:rPr>
                <w:color w:val="000000"/>
                <w:w w:val="22"/>
                <w:shd w:val="solid" w:color="000000" w:fill="000000"/>
                <w:fitText w:val="101" w:id="-1168367349"/>
                <w14:textFill>
                  <w14:solidFill>
                    <w14:srgbClr w14:val="000000">
                      <w14:alpha w14:val="100000"/>
                    </w14:srgbClr>
                  </w14:solidFill>
                </w14:textFill>
              </w:rPr>
              <w:t>|</w:t>
            </w:r>
            <w:r w:rsidR="00B474C2" w:rsidRPr="002C3508">
              <w:rPr>
                <w:rFonts w:hint="eastAsia"/>
                <w:color w:val="000000"/>
                <w:spacing w:val="4"/>
                <w:w w:val="22"/>
                <w:shd w:val="solid" w:color="000000" w:fill="000000"/>
                <w:fitText w:val="101" w:id="-1168367349"/>
                <w14:textFill>
                  <w14:solidFill>
                    <w14:srgbClr w14:val="000000">
                      <w14:alpha w14:val="100000"/>
                    </w14:srgbClr>
                  </w14:solidFill>
                </w14:textFill>
              </w:rPr>
              <w:t xml:space="preserve">　</w:t>
            </w:r>
            <w:r w:rsidRPr="0061435E">
              <w:t xml:space="preserve"> (subsequent years)</w:t>
            </w:r>
          </w:p>
        </w:tc>
        <w:tc>
          <w:tcPr>
            <w:tcW w:w="1362" w:type="pct"/>
            <w:shd w:val="clear" w:color="auto" w:fill="auto"/>
            <w:vAlign w:val="center"/>
          </w:tcPr>
          <w:p w14:paraId="5BC533C0" w14:textId="339A0F28" w:rsidR="00840557" w:rsidRDefault="00840557" w:rsidP="004631A4">
            <w:pPr>
              <w:pStyle w:val="TableText"/>
              <w:jc w:val="center"/>
            </w:pPr>
            <w:r w:rsidRPr="0061435E">
              <w:t>$</w:t>
            </w:r>
            <w:r w:rsidR="00B474C2" w:rsidRPr="00B474C2">
              <w:rPr>
                <w:color w:val="000000"/>
                <w:shd w:val="solid" w:color="000000" w:fill="000000"/>
                <w14:textFill>
                  <w14:solidFill>
                    <w14:srgbClr w14:val="000000">
                      <w14:alpha w14:val="100000"/>
                    </w14:srgbClr>
                  </w14:solidFill>
                </w14:textFill>
              </w:rPr>
              <w:t>|</w:t>
            </w:r>
            <w:r w:rsidR="008D0557">
              <w:t xml:space="preserve"> (Years 1-3)</w:t>
            </w:r>
          </w:p>
          <w:p w14:paraId="26D83184" w14:textId="58A87FCB" w:rsidR="008D0557" w:rsidRPr="0061435E" w:rsidRDefault="008D0557" w:rsidP="008D0557">
            <w:pPr>
              <w:pStyle w:val="TableText"/>
              <w:jc w:val="center"/>
            </w:pPr>
            <w:r>
              <w:t>$</w:t>
            </w:r>
            <w:r w:rsidR="00B474C2" w:rsidRPr="00B474C2">
              <w:rPr>
                <w:color w:val="000000"/>
                <w:shd w:val="solid" w:color="000000" w:fill="000000"/>
                <w14:textFill>
                  <w14:solidFill>
                    <w14:srgbClr w14:val="000000">
                      <w14:alpha w14:val="100000"/>
                    </w14:srgbClr>
                  </w14:solidFill>
                </w14:textFill>
              </w:rPr>
              <w:t>|</w:t>
            </w:r>
            <w:r>
              <w:t xml:space="preserve"> </w:t>
            </w:r>
            <w:r w:rsidRPr="0061435E">
              <w:t>(</w:t>
            </w:r>
            <w:r w:rsidR="00D64CB9">
              <w:t>Years 4-6</w:t>
            </w:r>
            <w:r w:rsidRPr="0061435E">
              <w:t>)</w:t>
            </w:r>
          </w:p>
        </w:tc>
      </w:tr>
      <w:tr w:rsidR="00840557" w:rsidRPr="0061435E" w14:paraId="5936D7DE" w14:textId="77777777" w:rsidTr="008D0557">
        <w:trPr>
          <w:cantSplit/>
          <w:jc w:val="center"/>
        </w:trPr>
        <w:tc>
          <w:tcPr>
            <w:tcW w:w="1177" w:type="pct"/>
            <w:shd w:val="clear" w:color="auto" w:fill="auto"/>
            <w:vAlign w:val="center"/>
          </w:tcPr>
          <w:p w14:paraId="78BA74B5" w14:textId="77777777" w:rsidR="00840557" w:rsidRPr="0061435E" w:rsidRDefault="00840557" w:rsidP="004631A4">
            <w:pPr>
              <w:pStyle w:val="TableText"/>
            </w:pPr>
            <w:r w:rsidRPr="0061435E">
              <w:t>Proportion of patients on treatment</w:t>
            </w:r>
          </w:p>
        </w:tc>
        <w:tc>
          <w:tcPr>
            <w:tcW w:w="1100" w:type="pct"/>
            <w:shd w:val="clear" w:color="auto" w:fill="auto"/>
            <w:vAlign w:val="center"/>
          </w:tcPr>
          <w:p w14:paraId="241C465B" w14:textId="77777777" w:rsidR="00840557" w:rsidRPr="0061435E" w:rsidRDefault="00840557" w:rsidP="004631A4">
            <w:pPr>
              <w:pStyle w:val="TableText"/>
              <w:jc w:val="center"/>
            </w:pPr>
            <w:r w:rsidRPr="0061435E">
              <w:t>At 30 months, 19.7% of patients in the pooled tafamidis arm of the ATTR-ACT trial had discontinued.</w:t>
            </w:r>
          </w:p>
        </w:tc>
        <w:tc>
          <w:tcPr>
            <w:tcW w:w="1361" w:type="pct"/>
            <w:shd w:val="clear" w:color="auto" w:fill="auto"/>
            <w:vAlign w:val="center"/>
          </w:tcPr>
          <w:p w14:paraId="6BC3DB9C" w14:textId="2F0BE72C" w:rsidR="00840557" w:rsidRPr="0061435E" w:rsidRDefault="00840557" w:rsidP="004631A4">
            <w:pPr>
              <w:pStyle w:val="TableText"/>
              <w:jc w:val="center"/>
            </w:pPr>
            <w:r w:rsidRPr="0061435E">
              <w:t>Year 1: 100%</w:t>
            </w:r>
            <w:r w:rsidR="00952238">
              <w:rPr>
                <w:vertAlign w:val="superscript"/>
              </w:rPr>
              <w:t>a</w:t>
            </w:r>
          </w:p>
          <w:p w14:paraId="53CCE59C" w14:textId="77777777" w:rsidR="00840557" w:rsidRPr="0061435E" w:rsidRDefault="00840557" w:rsidP="004631A4">
            <w:pPr>
              <w:pStyle w:val="TableText"/>
              <w:jc w:val="center"/>
            </w:pPr>
            <w:r w:rsidRPr="0061435E">
              <w:t>Year 2: 82%</w:t>
            </w:r>
          </w:p>
          <w:p w14:paraId="769167E9" w14:textId="77777777" w:rsidR="00840557" w:rsidRPr="0061435E" w:rsidRDefault="00840557" w:rsidP="004631A4">
            <w:pPr>
              <w:pStyle w:val="TableText"/>
              <w:jc w:val="center"/>
            </w:pPr>
            <w:r w:rsidRPr="0061435E">
              <w:t>Year 3: 63%</w:t>
            </w:r>
          </w:p>
          <w:p w14:paraId="434C5878" w14:textId="77777777" w:rsidR="00840557" w:rsidRPr="0061435E" w:rsidRDefault="00840557" w:rsidP="004631A4">
            <w:pPr>
              <w:pStyle w:val="TableText"/>
              <w:jc w:val="center"/>
            </w:pPr>
            <w:r w:rsidRPr="0061435E">
              <w:t>Year 4: 46%</w:t>
            </w:r>
          </w:p>
          <w:p w14:paraId="62EAD320" w14:textId="77777777" w:rsidR="00840557" w:rsidRPr="0061435E" w:rsidRDefault="00840557" w:rsidP="004631A4">
            <w:pPr>
              <w:pStyle w:val="TableText"/>
              <w:jc w:val="center"/>
            </w:pPr>
            <w:r w:rsidRPr="0061435E">
              <w:t>Year 5: 34%</w:t>
            </w:r>
          </w:p>
          <w:p w14:paraId="65B2632A" w14:textId="77777777" w:rsidR="00840557" w:rsidRPr="0061435E" w:rsidRDefault="00840557" w:rsidP="004631A4">
            <w:pPr>
              <w:pStyle w:val="TableText"/>
              <w:jc w:val="center"/>
            </w:pPr>
            <w:r w:rsidRPr="0061435E">
              <w:t>Year 6: 25%</w:t>
            </w:r>
          </w:p>
        </w:tc>
        <w:tc>
          <w:tcPr>
            <w:tcW w:w="1362" w:type="pct"/>
            <w:shd w:val="clear" w:color="auto" w:fill="auto"/>
            <w:vAlign w:val="center"/>
          </w:tcPr>
          <w:p w14:paraId="07933BB8" w14:textId="633CC67C" w:rsidR="00840557" w:rsidRPr="0061435E" w:rsidRDefault="00840557" w:rsidP="004631A4">
            <w:pPr>
              <w:pStyle w:val="TableText"/>
              <w:jc w:val="center"/>
            </w:pPr>
            <w:r w:rsidRPr="0061435E">
              <w:t>Year 1: 100%</w:t>
            </w:r>
            <w:r w:rsidR="00952238">
              <w:rPr>
                <w:vertAlign w:val="superscript"/>
              </w:rPr>
              <w:t>b</w:t>
            </w:r>
          </w:p>
          <w:p w14:paraId="3666C62E" w14:textId="77777777" w:rsidR="00840557" w:rsidRPr="0061435E" w:rsidRDefault="00840557" w:rsidP="004631A4">
            <w:pPr>
              <w:pStyle w:val="TableText"/>
              <w:jc w:val="center"/>
            </w:pPr>
            <w:r w:rsidRPr="0061435E">
              <w:t>Year 2: 63%</w:t>
            </w:r>
          </w:p>
          <w:p w14:paraId="1FCD9F5D" w14:textId="77777777" w:rsidR="00840557" w:rsidRPr="0061435E" w:rsidRDefault="00840557" w:rsidP="004631A4">
            <w:pPr>
              <w:pStyle w:val="TableText"/>
              <w:jc w:val="center"/>
            </w:pPr>
            <w:r w:rsidRPr="0061435E">
              <w:t>Year 3: 40%</w:t>
            </w:r>
          </w:p>
          <w:p w14:paraId="2E6785A8" w14:textId="77777777" w:rsidR="00840557" w:rsidRPr="0061435E" w:rsidRDefault="00840557" w:rsidP="004631A4">
            <w:pPr>
              <w:pStyle w:val="TableText"/>
              <w:jc w:val="center"/>
            </w:pPr>
            <w:r w:rsidRPr="0061435E">
              <w:t>Year 4: 25%</w:t>
            </w:r>
          </w:p>
          <w:p w14:paraId="547F53D3" w14:textId="77777777" w:rsidR="00840557" w:rsidRPr="0061435E" w:rsidRDefault="00840557" w:rsidP="004631A4">
            <w:pPr>
              <w:pStyle w:val="TableText"/>
              <w:jc w:val="center"/>
            </w:pPr>
            <w:r w:rsidRPr="0061435E">
              <w:t>Year 5: 16%</w:t>
            </w:r>
          </w:p>
          <w:p w14:paraId="33BF9EAB" w14:textId="77777777" w:rsidR="00840557" w:rsidRPr="0061435E" w:rsidRDefault="00840557" w:rsidP="004631A4">
            <w:pPr>
              <w:pStyle w:val="TableText"/>
              <w:jc w:val="center"/>
            </w:pPr>
            <w:r w:rsidRPr="0061435E">
              <w:t>Year 6: 10%</w:t>
            </w:r>
          </w:p>
        </w:tc>
      </w:tr>
    </w:tbl>
    <w:p w14:paraId="28044002" w14:textId="3DA34458" w:rsidR="00840557" w:rsidRPr="0061435E" w:rsidRDefault="00840557" w:rsidP="00840557">
      <w:pPr>
        <w:pStyle w:val="TableFigureFooter"/>
      </w:pPr>
      <w:r w:rsidRPr="0061435E">
        <w:t>Source: Constructed during the evaluation using ‘Tafamidis Economic Model March 2023’ and ‘UCM-Release-3-Workbook-v1081 - Vyndamax - tafamidis - March 2023’ spreadsheets provided with the resubmission</w:t>
      </w:r>
      <w:r w:rsidR="00EB0B28">
        <w:t>.</w:t>
      </w:r>
    </w:p>
    <w:p w14:paraId="461856D5" w14:textId="22DEC19F" w:rsidR="00840557" w:rsidRPr="0061435E" w:rsidRDefault="00952238" w:rsidP="00840557">
      <w:pPr>
        <w:pStyle w:val="TableFigureFooter"/>
      </w:pPr>
      <w:r>
        <w:rPr>
          <w:vertAlign w:val="superscript"/>
        </w:rPr>
        <w:t>a</w:t>
      </w:r>
      <w:r w:rsidR="00840557" w:rsidRPr="0061435E">
        <w:t xml:space="preserve"> Calculated during the evaluation by multiplying the proportion of patients in an on-treatment health state (patients who had not discontinued due to persistent NYHA class III/IV heart failure) by estimates from the drug survival curve (used to estimate tafamidis treatment-related discontinuation).</w:t>
      </w:r>
    </w:p>
    <w:p w14:paraId="2EC7F582" w14:textId="0244F763" w:rsidR="00840557" w:rsidRPr="0061435E" w:rsidRDefault="00952238" w:rsidP="00840557">
      <w:pPr>
        <w:pStyle w:val="TableFigureFooter"/>
      </w:pPr>
      <w:r>
        <w:rPr>
          <w:vertAlign w:val="superscript"/>
        </w:rPr>
        <w:t>b</w:t>
      </w:r>
      <w:r w:rsidR="00840557" w:rsidRPr="0061435E">
        <w:rPr>
          <w:vertAlign w:val="superscript"/>
        </w:rPr>
        <w:t xml:space="preserve"> </w:t>
      </w:r>
      <w:r w:rsidR="00840557" w:rsidRPr="0061435E">
        <w:t xml:space="preserve">Proportions of patients alive and on treatment at the start of each year, assuming a fixed cohort from </w:t>
      </w:r>
      <w:r w:rsidR="0067130B">
        <w:t>Y</w:t>
      </w:r>
      <w:r w:rsidR="00840557" w:rsidRPr="0061435E">
        <w:t>ear 1. The estimated annual mortality of 11% was based on the number of patients who died in the tafamidis 80 mg arm of the ATTR-ACT trial over the 30 month duration, adjusted to derive an annual estimate (28%×12/30). The annual discontinuation rate of 26% was based on discontinuations due to persistent NYHA class III or NYHA class IV heart failure or discontinuations due to other reasons, based on data from the ATTR-ACT trial.</w:t>
      </w:r>
    </w:p>
    <w:p w14:paraId="482244AF" w14:textId="2BF60BBD" w:rsidR="00840557" w:rsidRDefault="00840557" w:rsidP="00840557">
      <w:pPr>
        <w:pStyle w:val="COMexecsumnumberedpara"/>
      </w:pPr>
      <w:r w:rsidRPr="0061435E">
        <w:t>The annual cost of tafamidis is $</w:t>
      </w:r>
      <w:r w:rsidR="00B474C2" w:rsidRPr="00DD34BF">
        <w:rPr>
          <w:color w:val="000000"/>
          <w:w w:val="60"/>
          <w:shd w:val="solid" w:color="000000" w:fill="000000"/>
          <w:fitText w:val="466" w:id="-1168367348"/>
          <w14:textFill>
            <w14:solidFill>
              <w14:srgbClr w14:val="000000">
                <w14:alpha w14:val="100000"/>
              </w14:srgbClr>
            </w14:solidFill>
          </w14:textFill>
        </w:rPr>
        <w:t>|||  ||</w:t>
      </w:r>
      <w:r w:rsidR="00B474C2" w:rsidRPr="00DD34BF">
        <w:rPr>
          <w:color w:val="000000"/>
          <w:spacing w:val="2"/>
          <w:w w:val="60"/>
          <w:shd w:val="solid" w:color="000000" w:fill="000000"/>
          <w:fitText w:val="466" w:id="-1168367348"/>
          <w14:textFill>
            <w14:solidFill>
              <w14:srgbClr w14:val="000000">
                <w14:alpha w14:val="100000"/>
              </w14:srgbClr>
            </w14:solidFill>
          </w14:textFill>
        </w:rPr>
        <w:t>|</w:t>
      </w:r>
      <w:r w:rsidRPr="0061435E">
        <w:t xml:space="preserve"> per patient for the first 3 years of listing (based on the proposed effective DPMQ of $</w:t>
      </w:r>
      <w:r w:rsidR="00B474C2" w:rsidRPr="004826FD">
        <w:rPr>
          <w:color w:val="000000"/>
          <w:w w:val="15"/>
          <w:shd w:val="solid" w:color="000000" w:fill="000000"/>
          <w:fitText w:val="-20" w:id="-1168367347"/>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47"/>
          <w14:textFill>
            <w14:solidFill>
              <w14:srgbClr w14:val="000000">
                <w14:alpha w14:val="100000"/>
              </w14:srgbClr>
            </w14:solidFill>
          </w14:textFill>
        </w:rPr>
        <w:t>|</w:t>
      </w:r>
      <w:r w:rsidRPr="00313E60">
        <w:t xml:space="preserve">, </w:t>
      </w:r>
      <w:r w:rsidRPr="005E431C">
        <w:t>12.175 scripts</w:t>
      </w:r>
      <w:r w:rsidRPr="0061435E">
        <w:t xml:space="preserve"> and 97.67% adherence); and $</w:t>
      </w:r>
      <w:r w:rsidR="00B474C2" w:rsidRPr="004826FD">
        <w:rPr>
          <w:color w:val="000000"/>
          <w:w w:val="15"/>
          <w:shd w:val="solid" w:color="000000" w:fill="000000"/>
          <w:fitText w:val="-20" w:id="-1168367346"/>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46"/>
          <w14:textFill>
            <w14:solidFill>
              <w14:srgbClr w14:val="000000">
                <w14:alpha w14:val="100000"/>
              </w14:srgbClr>
            </w14:solidFill>
          </w14:textFill>
        </w:rPr>
        <w:t>|</w:t>
      </w:r>
      <w:r w:rsidRPr="0061435E">
        <w:t xml:space="preserve"> per patient in subsequent years (based on the proposed effective DPMQ of $</w:t>
      </w:r>
      <w:r w:rsidR="00B474C2" w:rsidRPr="004826FD">
        <w:rPr>
          <w:color w:val="000000"/>
          <w:w w:val="15"/>
          <w:shd w:val="solid" w:color="000000" w:fill="000000"/>
          <w:fitText w:val="-20" w:id="-1168367345"/>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45"/>
          <w14:textFill>
            <w14:solidFill>
              <w14:srgbClr w14:val="000000">
                <w14:alpha w14:val="100000"/>
              </w14:srgbClr>
            </w14:solidFill>
          </w14:textFill>
        </w:rPr>
        <w:t>|</w:t>
      </w:r>
      <w:r w:rsidRPr="0061435E">
        <w:t>).</w:t>
      </w:r>
      <w:r w:rsidR="00023AF8">
        <w:t xml:space="preserve"> </w:t>
      </w:r>
      <w:r w:rsidR="00A06F44">
        <w:t>The cost in subsequent years was reduced to $</w:t>
      </w:r>
      <w:r w:rsidR="00B474C2" w:rsidRPr="004826FD">
        <w:rPr>
          <w:color w:val="000000"/>
          <w:w w:val="15"/>
          <w:shd w:val="solid" w:color="000000" w:fill="000000"/>
          <w:fitText w:val="-20" w:id="-1168367344"/>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44"/>
          <w14:textFill>
            <w14:solidFill>
              <w14:srgbClr w14:val="000000">
                <w14:alpha w14:val="100000"/>
              </w14:srgbClr>
            </w14:solidFill>
          </w14:textFill>
        </w:rPr>
        <w:t>|</w:t>
      </w:r>
      <w:r w:rsidR="00A06F44">
        <w:t xml:space="preserve"> based on effective DPMQ proposed in the pre-PBAC response ($</w:t>
      </w:r>
      <w:r w:rsidR="00B474C2" w:rsidRPr="004826FD">
        <w:rPr>
          <w:color w:val="000000"/>
          <w:w w:val="15"/>
          <w:shd w:val="solid" w:color="000000" w:fill="000000"/>
          <w:fitText w:val="-20" w:id="-1168367360"/>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360"/>
          <w14:textFill>
            <w14:solidFill>
              <w14:srgbClr w14:val="000000">
                <w14:alpha w14:val="100000"/>
              </w14:srgbClr>
            </w14:solidFill>
          </w14:textFill>
        </w:rPr>
        <w:t>|</w:t>
      </w:r>
      <w:r w:rsidR="00A06F44">
        <w:t xml:space="preserve">). </w:t>
      </w:r>
    </w:p>
    <w:p w14:paraId="79E24361" w14:textId="1A231B96" w:rsidR="00810694" w:rsidRPr="0061435E" w:rsidRDefault="00810694" w:rsidP="00840557">
      <w:pPr>
        <w:pStyle w:val="COMexecsumnumberedpara"/>
      </w:pPr>
      <w:r w:rsidRPr="009B152B">
        <w:t xml:space="preserve">The different approaches to estimating the proportions of patients moving to NYHA class III/IV and death in the economic and </w:t>
      </w:r>
      <w:r w:rsidR="00012D37" w:rsidRPr="009B152B">
        <w:t>budget impact models</w:t>
      </w:r>
      <w:r w:rsidRPr="009B152B">
        <w:t xml:space="preserve"> lead to </w:t>
      </w:r>
      <w:r w:rsidR="00012D37" w:rsidRPr="009B152B">
        <w:t>differe</w:t>
      </w:r>
      <w:r w:rsidRPr="009B152B">
        <w:t>nt proportions</w:t>
      </w:r>
      <w:r w:rsidR="00012D37" w:rsidRPr="009B152B">
        <w:t xml:space="preserve"> of patients remaining on tafamidis treatment over time</w:t>
      </w:r>
      <w:r w:rsidRPr="009B152B">
        <w:t>.</w:t>
      </w:r>
      <w:r w:rsidR="00012D37" w:rsidRPr="009B152B">
        <w:t xml:space="preserve"> I</w:t>
      </w:r>
      <w:r w:rsidR="00012D37">
        <w:t xml:space="preserve">n the economic model, </w:t>
      </w:r>
      <w:r w:rsidR="009C3453">
        <w:t xml:space="preserve">transitions </w:t>
      </w:r>
      <w:r w:rsidR="00BD1A6C">
        <w:t>we</w:t>
      </w:r>
      <w:r w:rsidR="009C3453">
        <w:t xml:space="preserve">re based on outcomes for each 6-month cycle over the 30-month duration of the ATTR-ACT </w:t>
      </w:r>
      <w:r w:rsidR="00642BBF">
        <w:t>trial, with different estimates calculated based on NYHA class (I/II or III/IV) and hospitalisation status (with or without hospitalisation</w:t>
      </w:r>
      <w:r w:rsidR="00642BBF" w:rsidRPr="00CB577E">
        <w:t>)</w:t>
      </w:r>
      <w:r w:rsidR="00CE1166" w:rsidRPr="00CB577E">
        <w:t>,</w:t>
      </w:r>
      <w:r w:rsidR="00CE1166" w:rsidRPr="00501326">
        <w:t xml:space="preserve"> resulting in sparse data issues</w:t>
      </w:r>
      <w:r w:rsidR="00642BBF" w:rsidRPr="00CB577E">
        <w:t>.</w:t>
      </w:r>
      <w:r w:rsidR="00642BBF">
        <w:t xml:space="preserve"> Estimates </w:t>
      </w:r>
      <w:r w:rsidR="00BD1A6C">
        <w:t>of mortality in</w:t>
      </w:r>
      <w:r w:rsidR="00642BBF">
        <w:t xml:space="preserve"> the budget impact model were based on </w:t>
      </w:r>
      <w:r w:rsidR="00BD1A6C">
        <w:t>all patients over the 30-month duration of the ATTR-ACT trial, while transitions to NYHA class III/IV were based on all patients in NYHA class I/II who transitioned to NYHA class III/IV in</w:t>
      </w:r>
      <w:r w:rsidR="00075184">
        <w:t xml:space="preserve"> the first 2 years of the trial (</w:t>
      </w:r>
      <w:r w:rsidR="006C5525">
        <w:t>27%</w:t>
      </w:r>
      <w:r w:rsidR="00075184">
        <w:t xml:space="preserve"> and </w:t>
      </w:r>
      <w:r w:rsidR="006C5525">
        <w:t>29%)</w:t>
      </w:r>
      <w:r w:rsidR="002A0EF2">
        <w:t>, rounded u</w:t>
      </w:r>
      <w:r w:rsidR="006C5525">
        <w:t>p to an annual estimate of 30%</w:t>
      </w:r>
      <w:r w:rsidR="00BD1A6C">
        <w:t>.</w:t>
      </w:r>
      <w:r w:rsidR="00CE1166">
        <w:t xml:space="preserve"> </w:t>
      </w:r>
      <w:r w:rsidR="00CE1166" w:rsidRPr="009B152B">
        <w:t>No justificatio</w:t>
      </w:r>
      <w:r w:rsidR="003A397D" w:rsidRPr="009B152B">
        <w:t>n was provided in the resubmission for the different approach used in the financial estimates.</w:t>
      </w:r>
      <w:r w:rsidR="00B73930">
        <w:t xml:space="preserve"> </w:t>
      </w:r>
    </w:p>
    <w:p w14:paraId="268768EF" w14:textId="3626F292" w:rsidR="00B60939" w:rsidRPr="00C9624D" w:rsidRDefault="00B60939" w:rsidP="002B05A1">
      <w:pPr>
        <w:pStyle w:val="COMH2-non-numbered"/>
      </w:pPr>
      <w:bookmarkStart w:id="59" w:name="_Toc22897647"/>
      <w:bookmarkStart w:id="60" w:name="_Toc134118712"/>
      <w:bookmarkStart w:id="61" w:name="_Toc135227618"/>
      <w:bookmarkEnd w:id="46"/>
      <w:r w:rsidRPr="00C9624D">
        <w:t>Estimated PBS usage &amp; financial implications</w:t>
      </w:r>
      <w:bookmarkEnd w:id="59"/>
      <w:bookmarkEnd w:id="60"/>
      <w:bookmarkEnd w:id="61"/>
    </w:p>
    <w:p w14:paraId="04EC057C" w14:textId="5B9962B6" w:rsidR="00280C4C" w:rsidRPr="00280C4C" w:rsidRDefault="00C25D9C" w:rsidP="00280C4C">
      <w:pPr>
        <w:pStyle w:val="COMexecsumnumberedpara"/>
        <w:rPr>
          <w:color w:val="0066FF"/>
        </w:rPr>
      </w:pPr>
      <w:r>
        <w:t xml:space="preserve">This submission </w:t>
      </w:r>
      <w:r w:rsidR="00CB577E">
        <w:t xml:space="preserve">was </w:t>
      </w:r>
      <w:r>
        <w:t>not considered by DUSC</w:t>
      </w:r>
      <w:r w:rsidRPr="00B50DB8">
        <w:rPr>
          <w:color w:val="0070C0"/>
        </w:rPr>
        <w:t>.</w:t>
      </w:r>
      <w:r w:rsidR="00BC591F">
        <w:rPr>
          <w:color w:val="0070C0"/>
        </w:rPr>
        <w:t xml:space="preserve"> </w:t>
      </w:r>
      <w:r w:rsidR="00037C82" w:rsidRPr="0006493B">
        <w:t xml:space="preserve">The </w:t>
      </w:r>
      <w:r w:rsidR="00037C82">
        <w:t>re</w:t>
      </w:r>
      <w:r w:rsidR="00037C82" w:rsidRPr="0006493B">
        <w:t xml:space="preserve">submission used an epidemiological approach to estimate the utilisation and financial impact of listing tafamidis on the PBS. </w:t>
      </w:r>
    </w:p>
    <w:p w14:paraId="1C74C033" w14:textId="5AE49B0C" w:rsidR="00280C4C" w:rsidRPr="00280C4C" w:rsidRDefault="00280C4C" w:rsidP="00934AB0">
      <w:pPr>
        <w:pStyle w:val="COMexecsumnumberedpara"/>
        <w:rPr>
          <w:color w:val="0066FF"/>
        </w:rPr>
      </w:pPr>
      <w:r w:rsidRPr="00280C4C">
        <w:t xml:space="preserve">The resubmission </w:t>
      </w:r>
      <w:r w:rsidR="00404A4B">
        <w:t xml:space="preserve">used </w:t>
      </w:r>
      <w:r w:rsidRPr="00280C4C">
        <w:t xml:space="preserve">the same </w:t>
      </w:r>
      <w:r w:rsidR="00136C12">
        <w:t xml:space="preserve">overall </w:t>
      </w:r>
      <w:r w:rsidRPr="00280C4C">
        <w:t>approach as the March 2021 and September</w:t>
      </w:r>
      <w:r w:rsidR="00934AB0">
        <w:t> </w:t>
      </w:r>
      <w:r w:rsidRPr="00280C4C">
        <w:t xml:space="preserve">2021 submissions, with </w:t>
      </w:r>
      <w:r w:rsidR="00136C12">
        <w:t>some adjustments</w:t>
      </w:r>
      <w:r w:rsidRPr="00280C4C">
        <w:t xml:space="preserve">: </w:t>
      </w:r>
    </w:p>
    <w:p w14:paraId="45FE342D" w14:textId="6B46EE22" w:rsidR="00280C4C" w:rsidRDefault="00136C12" w:rsidP="00934AB0">
      <w:pPr>
        <w:pStyle w:val="ListParagraph"/>
        <w:numPr>
          <w:ilvl w:val="0"/>
          <w:numId w:val="16"/>
        </w:numPr>
        <w:ind w:left="1134"/>
        <w:rPr>
          <w:rFonts w:cs="Calibri"/>
          <w:color w:val="000000"/>
        </w:rPr>
      </w:pPr>
      <w:r>
        <w:t>Consistent with the September 2021 resubmission, t</w:t>
      </w:r>
      <w:r w:rsidR="00280C4C">
        <w:t xml:space="preserve">he </w:t>
      </w:r>
      <w:r>
        <w:t xml:space="preserve">current </w:t>
      </w:r>
      <w:r w:rsidR="00280C4C">
        <w:t xml:space="preserve">resubmission </w:t>
      </w:r>
      <w:r w:rsidR="0067130B">
        <w:t xml:space="preserve">updated the </w:t>
      </w:r>
      <w:r w:rsidR="00280C4C">
        <w:t>e</w:t>
      </w:r>
      <w:r w:rsidR="00280C4C" w:rsidRPr="00D21C97">
        <w:t xml:space="preserve">stimated </w:t>
      </w:r>
      <w:r w:rsidR="00280C4C">
        <w:t>use</w:t>
      </w:r>
      <w:r w:rsidR="00280C4C" w:rsidRPr="00D21C97">
        <w:t xml:space="preserve"> and financial impact of listing </w:t>
      </w:r>
      <w:r w:rsidR="00280C4C">
        <w:t>tafamidis</w:t>
      </w:r>
      <w:r w:rsidR="00280C4C" w:rsidRPr="00D21C97">
        <w:t xml:space="preserve"> on the PBS</w:t>
      </w:r>
      <w:r w:rsidR="00280C4C">
        <w:t xml:space="preserve"> for the revised target population (NYHA class I-II heart failure </w:t>
      </w:r>
      <w:r w:rsidR="00280C4C" w:rsidRPr="00AD2A3F">
        <w:rPr>
          <w:rFonts w:cs="Calibri"/>
          <w:color w:val="000000"/>
        </w:rPr>
        <w:t>and non-persistent class III heart failure</w:t>
      </w:r>
      <w:r w:rsidR="00280C4C">
        <w:rPr>
          <w:rFonts w:cs="Calibri"/>
          <w:color w:val="000000"/>
        </w:rPr>
        <w:t xml:space="preserve">), including estimated proportions of patients likely to transition from NYHA class I/II to NYHA classes III and IV, and the proportion of patients likely to remain in persistent NYHA class III heart failure. </w:t>
      </w:r>
    </w:p>
    <w:p w14:paraId="44247F69" w14:textId="42A7688E" w:rsidR="00280C4C" w:rsidRPr="00442FDC" w:rsidRDefault="00280C4C" w:rsidP="00934AB0">
      <w:pPr>
        <w:pStyle w:val="ListParagraph"/>
        <w:numPr>
          <w:ilvl w:val="0"/>
          <w:numId w:val="16"/>
        </w:numPr>
        <w:ind w:left="1134"/>
      </w:pPr>
      <w:r>
        <w:t xml:space="preserve">The resubmission updated the estimated proportions of patients diagnosed with ATTR-CM, uptake of tafamidis in the eligible population, and selected MBS costs associated with the listing of tafamidis on the PBS and hospital costs associated with diagnosis of ATTR-CM (myocardial biopsy by </w:t>
      </w:r>
      <w:r w:rsidRPr="00442FDC">
        <w:rPr>
          <w:color w:val="000000"/>
          <w:szCs w:val="20"/>
        </w:rPr>
        <w:t>cardiac catheterisation).</w:t>
      </w:r>
    </w:p>
    <w:p w14:paraId="4738A98C" w14:textId="5BE6592A" w:rsidR="00280C4C" w:rsidRPr="00960810" w:rsidRDefault="00280C4C" w:rsidP="00934AB0">
      <w:pPr>
        <w:pStyle w:val="ListParagraph"/>
        <w:numPr>
          <w:ilvl w:val="0"/>
          <w:numId w:val="16"/>
        </w:numPr>
        <w:ind w:left="1134"/>
      </w:pPr>
      <w:r>
        <w:t xml:space="preserve">The resubmission proposed a revised RSA based on the updated estimates. </w:t>
      </w:r>
    </w:p>
    <w:p w14:paraId="457FED88" w14:textId="0F8AB1EF" w:rsidR="00280C4C" w:rsidRPr="00037C82" w:rsidRDefault="00280C4C" w:rsidP="00037C82">
      <w:pPr>
        <w:pStyle w:val="COMexecsumnumberedpara"/>
        <w:rPr>
          <w:color w:val="0066FF"/>
        </w:rPr>
      </w:pPr>
      <w:r w:rsidRPr="00C623FC">
        <w:t>Key inputs relied on in the financial estimates are summarised in</w:t>
      </w:r>
      <w:r>
        <w:t xml:space="preserve"> </w:t>
      </w:r>
      <w:r>
        <w:fldChar w:fldCharType="begin" w:fldLock="1"/>
      </w:r>
      <w:r>
        <w:instrText xml:space="preserve"> REF _Ref104805262 \h </w:instrText>
      </w:r>
      <w:r>
        <w:fldChar w:fldCharType="separate"/>
      </w:r>
      <w:r w:rsidR="0015761E">
        <w:t xml:space="preserve">Table </w:t>
      </w:r>
      <w:r w:rsidR="0015761E">
        <w:rPr>
          <w:noProof/>
        </w:rPr>
        <w:t>11</w:t>
      </w:r>
      <w:r>
        <w:fldChar w:fldCharType="end"/>
      </w:r>
      <w:r>
        <w:t>.</w:t>
      </w:r>
    </w:p>
    <w:p w14:paraId="2821ED35" w14:textId="50D8B9D7" w:rsidR="00037C82" w:rsidRDefault="00E16AD8" w:rsidP="00037C82">
      <w:pPr>
        <w:pStyle w:val="COMtablefigcaption"/>
      </w:pPr>
      <w:bookmarkStart w:id="62" w:name="_Ref104805262"/>
      <w:r>
        <w:t xml:space="preserve">Table </w:t>
      </w:r>
      <w:fldSimple w:instr=" SEQ Table \* ARABIC " w:fldLock="1">
        <w:r w:rsidR="0015761E">
          <w:rPr>
            <w:noProof/>
          </w:rPr>
          <w:t>11</w:t>
        </w:r>
      </w:fldSimple>
      <w:bookmarkEnd w:id="62"/>
      <w:r>
        <w:t>:</w:t>
      </w:r>
      <w:r w:rsidR="00E42F73" w:rsidRPr="00FD4ED6">
        <w:t xml:space="preserve"> 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inputs for financial estimates"/>
      </w:tblPr>
      <w:tblGrid>
        <w:gridCol w:w="1696"/>
        <w:gridCol w:w="3402"/>
        <w:gridCol w:w="3919"/>
      </w:tblGrid>
      <w:tr w:rsidR="00037C82" w:rsidRPr="009B152B" w14:paraId="4C67036C" w14:textId="77777777" w:rsidTr="00136C12">
        <w:trPr>
          <w:cantSplit/>
          <w:tblHeader/>
        </w:trPr>
        <w:tc>
          <w:tcPr>
            <w:tcW w:w="1696" w:type="dxa"/>
            <w:vAlign w:val="center"/>
          </w:tcPr>
          <w:p w14:paraId="3895C7C5" w14:textId="77777777" w:rsidR="00037C82" w:rsidRPr="009B152B" w:rsidRDefault="00037C82" w:rsidP="0018455A">
            <w:pPr>
              <w:pStyle w:val="Tableheadingrow"/>
              <w:keepNext w:val="0"/>
              <w:widowControl w:val="0"/>
              <w:jc w:val="center"/>
              <w:rPr>
                <w:lang w:val="en-AU"/>
              </w:rPr>
            </w:pPr>
            <w:r w:rsidRPr="009B152B">
              <w:rPr>
                <w:lang w:val="en-AU"/>
              </w:rPr>
              <w:t>Data</w:t>
            </w:r>
          </w:p>
        </w:tc>
        <w:tc>
          <w:tcPr>
            <w:tcW w:w="3402" w:type="dxa"/>
            <w:vAlign w:val="center"/>
          </w:tcPr>
          <w:p w14:paraId="651DAF46" w14:textId="77777777" w:rsidR="00037C82" w:rsidRPr="009B152B" w:rsidRDefault="00037C82" w:rsidP="0018455A">
            <w:pPr>
              <w:pStyle w:val="Tableheadingrow"/>
              <w:keepNext w:val="0"/>
              <w:widowControl w:val="0"/>
              <w:jc w:val="center"/>
              <w:rPr>
                <w:lang w:val="en-AU"/>
              </w:rPr>
            </w:pPr>
            <w:r w:rsidRPr="009B152B">
              <w:rPr>
                <w:lang w:val="en-AU"/>
              </w:rPr>
              <w:t>Value and source</w:t>
            </w:r>
          </w:p>
        </w:tc>
        <w:tc>
          <w:tcPr>
            <w:tcW w:w="3919" w:type="dxa"/>
            <w:vAlign w:val="center"/>
          </w:tcPr>
          <w:p w14:paraId="3EDA010C" w14:textId="77777777" w:rsidR="00037C82" w:rsidRPr="009B152B" w:rsidRDefault="00037C82" w:rsidP="0018455A">
            <w:pPr>
              <w:pStyle w:val="Tableheadingrow"/>
              <w:keepNext w:val="0"/>
              <w:widowControl w:val="0"/>
              <w:jc w:val="center"/>
              <w:rPr>
                <w:lang w:val="en-AU"/>
              </w:rPr>
            </w:pPr>
            <w:r w:rsidRPr="009B152B">
              <w:rPr>
                <w:lang w:val="en-AU"/>
              </w:rPr>
              <w:t>Comment</w:t>
            </w:r>
          </w:p>
        </w:tc>
      </w:tr>
      <w:tr w:rsidR="00037C82" w:rsidRPr="009B152B" w14:paraId="4E79F671" w14:textId="77777777" w:rsidTr="008B46B0">
        <w:trPr>
          <w:cantSplit/>
        </w:trPr>
        <w:tc>
          <w:tcPr>
            <w:tcW w:w="1696" w:type="dxa"/>
            <w:shd w:val="clear" w:color="auto" w:fill="C6D9F1" w:themeFill="text2" w:themeFillTint="33"/>
          </w:tcPr>
          <w:p w14:paraId="26FB2CD0" w14:textId="77777777" w:rsidR="00037C82" w:rsidRPr="009B152B" w:rsidRDefault="00037C82" w:rsidP="0018455A">
            <w:pPr>
              <w:pStyle w:val="TableText"/>
              <w:keepNext w:val="0"/>
              <w:widowControl w:val="0"/>
            </w:pPr>
            <w:r w:rsidRPr="009B152B">
              <w:rPr>
                <w:szCs w:val="20"/>
              </w:rPr>
              <w:t>Prevalence of ATTRwt related cardiomyopathy</w:t>
            </w:r>
          </w:p>
        </w:tc>
        <w:tc>
          <w:tcPr>
            <w:tcW w:w="3402" w:type="dxa"/>
            <w:shd w:val="clear" w:color="auto" w:fill="C6D9F1" w:themeFill="text2" w:themeFillTint="33"/>
          </w:tcPr>
          <w:p w14:paraId="0CF2F498" w14:textId="77777777" w:rsidR="00037C82" w:rsidRPr="009B152B" w:rsidRDefault="00037C82" w:rsidP="0018455A">
            <w:pPr>
              <w:pStyle w:val="TableText"/>
              <w:keepNext w:val="0"/>
              <w:widowControl w:val="0"/>
            </w:pPr>
            <w:r w:rsidRPr="009B152B">
              <w:t>Using the ABS population forward estimates (3222.0 Series B), the resubmission applied factors for the</w:t>
            </w:r>
            <w:r w:rsidRPr="009B152B">
              <w:rPr>
                <w:szCs w:val="20"/>
              </w:rPr>
              <w:t xml:space="preserve"> proportions of population with heart failure by age and sex derived from Liew et al. (2020) a </w:t>
            </w:r>
            <w:r w:rsidRPr="009B152B">
              <w:t>Study</w:t>
            </w:r>
            <w:r w:rsidRPr="009B152B">
              <w:rPr>
                <w:szCs w:val="20"/>
              </w:rPr>
              <w:t xml:space="preserve"> of Heart failure in the Australian Primary carE setting (SHAPE), and the prevalence of amyloid deposition in the Australian population derived from Cuscaden et al. (2020), an Australian study of images taken from the medical records of patients undergoing bone scans for non-cardiac reasons. </w:t>
            </w:r>
          </w:p>
        </w:tc>
        <w:tc>
          <w:tcPr>
            <w:tcW w:w="3919" w:type="dxa"/>
            <w:shd w:val="clear" w:color="auto" w:fill="C6D9F1" w:themeFill="text2" w:themeFillTint="33"/>
          </w:tcPr>
          <w:p w14:paraId="5F9E1434" w14:textId="77777777" w:rsidR="00037C82" w:rsidRPr="009B152B" w:rsidRDefault="00037C82" w:rsidP="0018455A">
            <w:pPr>
              <w:pStyle w:val="TableText"/>
              <w:keepNext w:val="0"/>
              <w:widowControl w:val="0"/>
            </w:pPr>
            <w:r w:rsidRPr="009B152B">
              <w:rPr>
                <w:szCs w:val="20"/>
              </w:rPr>
              <w:t xml:space="preserve">This was unchanged from the March 2021 submission. Liew et al. (2020) was based on general practice ‘all patients’ data rather than ‘active’ patients (patients with 3 or more visits per year), with high rates of itinerant attendances and low rates of chronic conditions recorded, and most likely underestimated rates of heart failure. Cuscaden et al. (2020) was based on </w:t>
            </w:r>
            <w:r w:rsidRPr="009B152B">
              <w:t>incidental findings in a small number of patients (n=15) undergoing scintigraphy for non-cardiac indications, and most likely underestimates the prevalence of amyloid disposition in heart failure.</w:t>
            </w:r>
          </w:p>
        </w:tc>
      </w:tr>
      <w:tr w:rsidR="00037C82" w:rsidRPr="009B152B" w14:paraId="785880E4" w14:textId="77777777" w:rsidTr="008B46B0">
        <w:trPr>
          <w:cantSplit/>
        </w:trPr>
        <w:tc>
          <w:tcPr>
            <w:tcW w:w="1696" w:type="dxa"/>
            <w:shd w:val="clear" w:color="auto" w:fill="C6D9F1" w:themeFill="text2" w:themeFillTint="33"/>
          </w:tcPr>
          <w:p w14:paraId="37F027F1" w14:textId="77777777" w:rsidR="00037C82" w:rsidRPr="009B152B" w:rsidRDefault="00037C82" w:rsidP="0018455A">
            <w:pPr>
              <w:pStyle w:val="TableText"/>
              <w:keepNext w:val="0"/>
              <w:widowControl w:val="0"/>
            </w:pPr>
            <w:r w:rsidRPr="009B152B">
              <w:rPr>
                <w:szCs w:val="20"/>
              </w:rPr>
              <w:t xml:space="preserve">Prevalence of ATTRv related cardiomyopathy </w:t>
            </w:r>
          </w:p>
        </w:tc>
        <w:tc>
          <w:tcPr>
            <w:tcW w:w="3402" w:type="dxa"/>
            <w:shd w:val="clear" w:color="auto" w:fill="C6D9F1" w:themeFill="text2" w:themeFillTint="33"/>
          </w:tcPr>
          <w:p w14:paraId="133908B1" w14:textId="77777777" w:rsidR="00037C82" w:rsidRPr="009B152B" w:rsidRDefault="00037C82" w:rsidP="0018455A">
            <w:pPr>
              <w:pStyle w:val="TableText"/>
              <w:keepNext w:val="0"/>
              <w:widowControl w:val="0"/>
            </w:pPr>
            <w:r w:rsidRPr="009B152B">
              <w:rPr>
                <w:szCs w:val="20"/>
              </w:rPr>
              <w:t>Gertz and Dispenzieri, 2020, a systematic review of systemic amyloidosis diagnosis, prognosis, and therapies, estimated a prevalence of 5.2 cases per million persons.</w:t>
            </w:r>
          </w:p>
        </w:tc>
        <w:tc>
          <w:tcPr>
            <w:tcW w:w="3919" w:type="dxa"/>
            <w:shd w:val="clear" w:color="auto" w:fill="C6D9F1" w:themeFill="text2" w:themeFillTint="33"/>
          </w:tcPr>
          <w:p w14:paraId="0E0F345D" w14:textId="77777777" w:rsidR="00037C82" w:rsidRPr="009B152B" w:rsidRDefault="00037C82" w:rsidP="0018455A">
            <w:pPr>
              <w:pStyle w:val="TableText"/>
              <w:keepNext w:val="0"/>
              <w:widowControl w:val="0"/>
            </w:pPr>
            <w:r w:rsidRPr="009B152B">
              <w:t xml:space="preserve">Unchanged from the March 2021 submission. The estimates most likely underestimate the true prevalence, due to poor recognition and diagnosis rates for amyloidosis. </w:t>
            </w:r>
          </w:p>
        </w:tc>
      </w:tr>
      <w:tr w:rsidR="00037C82" w:rsidRPr="009B152B" w14:paraId="557F6384" w14:textId="77777777" w:rsidTr="008B46B0">
        <w:trPr>
          <w:cantSplit/>
        </w:trPr>
        <w:tc>
          <w:tcPr>
            <w:tcW w:w="1696" w:type="dxa"/>
            <w:shd w:val="clear" w:color="auto" w:fill="auto"/>
          </w:tcPr>
          <w:p w14:paraId="76559200" w14:textId="77777777" w:rsidR="00037C82" w:rsidRPr="009B152B" w:rsidRDefault="00037C82" w:rsidP="0018455A">
            <w:pPr>
              <w:pStyle w:val="TableText"/>
              <w:keepNext w:val="0"/>
              <w:widowControl w:val="0"/>
            </w:pPr>
            <w:r w:rsidRPr="009B152B">
              <w:rPr>
                <w:szCs w:val="20"/>
              </w:rPr>
              <w:t>Proportions of patients diagnosed with ATTR-CM</w:t>
            </w:r>
          </w:p>
        </w:tc>
        <w:tc>
          <w:tcPr>
            <w:tcW w:w="3402" w:type="dxa"/>
            <w:shd w:val="clear" w:color="auto" w:fill="auto"/>
          </w:tcPr>
          <w:p w14:paraId="3B911AE7" w14:textId="4C1CA1E3" w:rsidR="0018455A" w:rsidRPr="009B152B" w:rsidRDefault="00037C82" w:rsidP="0018455A">
            <w:pPr>
              <w:pStyle w:val="TableText"/>
              <w:keepNext w:val="0"/>
              <w:widowControl w:val="0"/>
              <w:rPr>
                <w:szCs w:val="20"/>
              </w:rPr>
            </w:pPr>
            <w:r w:rsidRPr="009B152B">
              <w:rPr>
                <w:szCs w:val="20"/>
              </w:rPr>
              <w:t>Assumption.</w:t>
            </w:r>
          </w:p>
          <w:p w14:paraId="1FC613CF" w14:textId="615A16D6" w:rsidR="00037C82" w:rsidRPr="009B152B" w:rsidRDefault="00037C82" w:rsidP="004C41B1">
            <w:pPr>
              <w:pStyle w:val="TableText"/>
              <w:keepNext w:val="0"/>
              <w:widowControl w:val="0"/>
            </w:pPr>
            <w:r w:rsidRPr="009B152B">
              <w:rPr>
                <w:szCs w:val="20"/>
              </w:rPr>
              <w:t>Year 1</w:t>
            </w:r>
            <w:r w:rsidR="0018455A" w:rsidRPr="009B152B">
              <w:rPr>
                <w:szCs w:val="20"/>
              </w:rPr>
              <w:t xml:space="preserve"> </w:t>
            </w:r>
            <w:r w:rsidRPr="009B152B">
              <w:rPr>
                <w:szCs w:val="20"/>
              </w:rPr>
              <w:t>- 50%</w:t>
            </w:r>
            <w:r w:rsidR="00414485" w:rsidRPr="009B152B">
              <w:rPr>
                <w:szCs w:val="20"/>
              </w:rPr>
              <w:t xml:space="preserve">; </w:t>
            </w:r>
            <w:r w:rsidRPr="009B152B">
              <w:rPr>
                <w:szCs w:val="20"/>
              </w:rPr>
              <w:t>Year 2 - 60%</w:t>
            </w:r>
            <w:r w:rsidR="00414485" w:rsidRPr="009B152B">
              <w:rPr>
                <w:szCs w:val="20"/>
              </w:rPr>
              <w:t xml:space="preserve">; </w:t>
            </w:r>
            <w:r w:rsidRPr="009B152B">
              <w:rPr>
                <w:szCs w:val="20"/>
              </w:rPr>
              <w:t>Year 3 - 70%</w:t>
            </w:r>
            <w:r w:rsidR="00414485" w:rsidRPr="009B152B">
              <w:rPr>
                <w:szCs w:val="20"/>
              </w:rPr>
              <w:t xml:space="preserve">; Years 4-6 </w:t>
            </w:r>
            <w:r w:rsidR="00136C12" w:rsidRPr="009B152B">
              <w:rPr>
                <w:szCs w:val="20"/>
              </w:rPr>
              <w:t xml:space="preserve">- </w:t>
            </w:r>
            <w:r w:rsidR="0018455A" w:rsidRPr="009B152B">
              <w:rPr>
                <w:szCs w:val="20"/>
              </w:rPr>
              <w:t>80%</w:t>
            </w:r>
          </w:p>
        </w:tc>
        <w:tc>
          <w:tcPr>
            <w:tcW w:w="3919" w:type="dxa"/>
            <w:shd w:val="clear" w:color="auto" w:fill="auto"/>
          </w:tcPr>
          <w:p w14:paraId="0CF2B110" w14:textId="430C3917" w:rsidR="00037C82" w:rsidRPr="009B152B" w:rsidRDefault="00037C82" w:rsidP="0018455A">
            <w:pPr>
              <w:pStyle w:val="TableText"/>
              <w:keepNext w:val="0"/>
              <w:widowControl w:val="0"/>
            </w:pPr>
            <w:r w:rsidRPr="009B152B">
              <w:rPr>
                <w:szCs w:val="20"/>
              </w:rPr>
              <w:t>The proportions of patients diagnosed are higher than estimated in the March 2021 and September 2021 submissions (30% in Year 1, increasing 10% each year to 80% in Year 6). The resubmission stated that diagnosis rates are increasing despite the unavailability of disease modifying treatments. Published estimates of ATTR-CM prevalence account for under-diagnosis, and application of this factor may reduce the population unnecessarily.</w:t>
            </w:r>
            <w:r w:rsidR="001C4B33" w:rsidRPr="009B152B">
              <w:rPr>
                <w:szCs w:val="20"/>
              </w:rPr>
              <w:t xml:space="preserve"> This was inconsistent with estimates used to calculate </w:t>
            </w:r>
            <w:r w:rsidR="001C1641" w:rsidRPr="009B152B">
              <w:rPr>
                <w:szCs w:val="20"/>
              </w:rPr>
              <w:t>diagnosis costs in the economic model, which were unchanged from the March 2021 and September 2021 submissions.</w:t>
            </w:r>
          </w:p>
        </w:tc>
      </w:tr>
      <w:tr w:rsidR="00037C82" w:rsidRPr="009B152B" w14:paraId="53809FF6" w14:textId="77777777" w:rsidTr="008B46B0">
        <w:trPr>
          <w:cantSplit/>
        </w:trPr>
        <w:tc>
          <w:tcPr>
            <w:tcW w:w="1696" w:type="dxa"/>
            <w:shd w:val="clear" w:color="auto" w:fill="auto"/>
          </w:tcPr>
          <w:p w14:paraId="13199B58" w14:textId="77777777" w:rsidR="00037C82" w:rsidRPr="009B152B" w:rsidRDefault="00037C82" w:rsidP="0018455A">
            <w:pPr>
              <w:pStyle w:val="TableText"/>
              <w:keepNext w:val="0"/>
              <w:widowControl w:val="0"/>
            </w:pPr>
            <w:r w:rsidRPr="009B152B">
              <w:rPr>
                <w:szCs w:val="20"/>
              </w:rPr>
              <w:t>Proportions of patients diagnosed with NYHA class I-II</w:t>
            </w:r>
          </w:p>
        </w:tc>
        <w:tc>
          <w:tcPr>
            <w:tcW w:w="3402" w:type="dxa"/>
            <w:shd w:val="clear" w:color="auto" w:fill="auto"/>
          </w:tcPr>
          <w:p w14:paraId="58693105" w14:textId="77777777" w:rsidR="00037C82" w:rsidRPr="009B152B" w:rsidRDefault="00037C82" w:rsidP="0018455A">
            <w:pPr>
              <w:pStyle w:val="TableText"/>
              <w:keepNext w:val="0"/>
              <w:widowControl w:val="0"/>
              <w:rPr>
                <w:szCs w:val="20"/>
              </w:rPr>
            </w:pPr>
            <w:r w:rsidRPr="009B152B">
              <w:rPr>
                <w:szCs w:val="20"/>
              </w:rPr>
              <w:t>Based on Figure 2.7.1 of the resubmission, proportion patients with NYHA class I-II heart failure in the ATTR-ACT trial.</w:t>
            </w:r>
          </w:p>
          <w:p w14:paraId="31C55272" w14:textId="17B937C7" w:rsidR="00037C82" w:rsidRPr="009B152B" w:rsidRDefault="00037C82" w:rsidP="004C41B1">
            <w:pPr>
              <w:pStyle w:val="TableText"/>
              <w:keepNext w:val="0"/>
            </w:pPr>
            <w:r w:rsidRPr="009B152B">
              <w:rPr>
                <w:szCs w:val="20"/>
              </w:rPr>
              <w:t>Year 1</w:t>
            </w:r>
            <w:r w:rsidR="0018455A" w:rsidRPr="009B152B">
              <w:rPr>
                <w:szCs w:val="20"/>
              </w:rPr>
              <w:t>-2</w:t>
            </w:r>
            <w:r w:rsidRPr="009B152B">
              <w:rPr>
                <w:szCs w:val="20"/>
              </w:rPr>
              <w:t xml:space="preserve"> - 70%</w:t>
            </w:r>
            <w:r w:rsidR="0018455A" w:rsidRPr="009B152B">
              <w:rPr>
                <w:szCs w:val="20"/>
              </w:rPr>
              <w:t xml:space="preserve">; </w:t>
            </w:r>
            <w:r w:rsidRPr="009B152B">
              <w:rPr>
                <w:szCs w:val="20"/>
              </w:rPr>
              <w:t>Year 3</w:t>
            </w:r>
            <w:r w:rsidR="0018455A" w:rsidRPr="009B152B">
              <w:rPr>
                <w:szCs w:val="20"/>
              </w:rPr>
              <w:t>-6</w:t>
            </w:r>
            <w:r w:rsidRPr="009B152B">
              <w:rPr>
                <w:szCs w:val="20"/>
              </w:rPr>
              <w:t xml:space="preserve"> - 75%</w:t>
            </w:r>
          </w:p>
        </w:tc>
        <w:tc>
          <w:tcPr>
            <w:tcW w:w="3919" w:type="dxa"/>
            <w:shd w:val="clear" w:color="auto" w:fill="auto"/>
          </w:tcPr>
          <w:p w14:paraId="79F8A937" w14:textId="24A75F90" w:rsidR="00037C82" w:rsidRPr="009B152B" w:rsidRDefault="004C7926" w:rsidP="0018455A">
            <w:pPr>
              <w:pStyle w:val="TableText"/>
              <w:keepNext w:val="0"/>
              <w:widowControl w:val="0"/>
            </w:pPr>
            <w:r w:rsidRPr="009B152B">
              <w:rPr>
                <w:szCs w:val="20"/>
              </w:rPr>
              <w:t>The resubmission assumed the proportion of patients diagnosed with NYHA class I-II will increase over time. The same pattern of increased diagnosis was used in the September 2021 submission.</w:t>
            </w:r>
          </w:p>
        </w:tc>
      </w:tr>
      <w:tr w:rsidR="00037C82" w:rsidRPr="009B152B" w14:paraId="1E93E2DA" w14:textId="77777777" w:rsidTr="008B46B0">
        <w:trPr>
          <w:cantSplit/>
        </w:trPr>
        <w:tc>
          <w:tcPr>
            <w:tcW w:w="1696" w:type="dxa"/>
            <w:shd w:val="clear" w:color="auto" w:fill="auto"/>
          </w:tcPr>
          <w:p w14:paraId="08857950" w14:textId="77777777" w:rsidR="00037C82" w:rsidRPr="009B152B" w:rsidRDefault="00037C82" w:rsidP="0018455A">
            <w:pPr>
              <w:pStyle w:val="TableText"/>
              <w:keepNext w:val="0"/>
              <w:widowControl w:val="0"/>
            </w:pPr>
            <w:r w:rsidRPr="009B152B">
              <w:t>Uptake of tafamidis</w:t>
            </w:r>
          </w:p>
        </w:tc>
        <w:tc>
          <w:tcPr>
            <w:tcW w:w="3402" w:type="dxa"/>
            <w:shd w:val="clear" w:color="auto" w:fill="auto"/>
          </w:tcPr>
          <w:p w14:paraId="038B967B" w14:textId="746FA1B6" w:rsidR="00037C82" w:rsidRPr="009B152B" w:rsidRDefault="00037C82" w:rsidP="0018455A">
            <w:pPr>
              <w:pStyle w:val="TableText"/>
              <w:keepNext w:val="0"/>
              <w:widowControl w:val="0"/>
              <w:rPr>
                <w:szCs w:val="20"/>
              </w:rPr>
            </w:pPr>
            <w:r w:rsidRPr="009B152B">
              <w:rPr>
                <w:szCs w:val="20"/>
              </w:rPr>
              <w:t xml:space="preserve">Assumed. </w:t>
            </w:r>
          </w:p>
          <w:p w14:paraId="505D73AD" w14:textId="6A7F7E6F" w:rsidR="00037C82" w:rsidRPr="009B152B" w:rsidRDefault="00037C82" w:rsidP="004C41B1">
            <w:pPr>
              <w:pStyle w:val="TableText"/>
              <w:keepNext w:val="0"/>
            </w:pPr>
            <w:r w:rsidRPr="009B152B">
              <w:rPr>
                <w:szCs w:val="20"/>
              </w:rPr>
              <w:t>Year 1 - 60%</w:t>
            </w:r>
            <w:r w:rsidR="0018455A" w:rsidRPr="009B152B">
              <w:rPr>
                <w:szCs w:val="20"/>
              </w:rPr>
              <w:t>; Year 2</w:t>
            </w:r>
            <w:r w:rsidRPr="009B152B">
              <w:rPr>
                <w:szCs w:val="20"/>
              </w:rPr>
              <w:t xml:space="preserve"> - 65%</w:t>
            </w:r>
            <w:r w:rsidR="0018455A" w:rsidRPr="009B152B">
              <w:rPr>
                <w:szCs w:val="20"/>
              </w:rPr>
              <w:t xml:space="preserve">; </w:t>
            </w:r>
            <w:r w:rsidRPr="009B152B">
              <w:rPr>
                <w:szCs w:val="20"/>
              </w:rPr>
              <w:t>Year 3 - 70%</w:t>
            </w:r>
            <w:r w:rsidR="0018455A" w:rsidRPr="009B152B">
              <w:rPr>
                <w:szCs w:val="20"/>
              </w:rPr>
              <w:t>; Years 4-6</w:t>
            </w:r>
            <w:r w:rsidRPr="009B152B">
              <w:rPr>
                <w:szCs w:val="20"/>
              </w:rPr>
              <w:t xml:space="preserve"> - 75%</w:t>
            </w:r>
          </w:p>
        </w:tc>
        <w:tc>
          <w:tcPr>
            <w:tcW w:w="3919" w:type="dxa"/>
            <w:shd w:val="clear" w:color="auto" w:fill="auto"/>
          </w:tcPr>
          <w:p w14:paraId="2C2B922F" w14:textId="77777777" w:rsidR="00037C82" w:rsidRPr="009B152B" w:rsidRDefault="00037C82" w:rsidP="0018455A">
            <w:pPr>
              <w:pStyle w:val="TableText"/>
              <w:keepNext w:val="0"/>
              <w:widowControl w:val="0"/>
            </w:pPr>
            <w:r w:rsidRPr="009B152B">
              <w:t>This was higher than the rate of uptake assumed in the September 2021 submission (50% in Year 1, increasing 5% each year to 75% in Year 6).</w:t>
            </w:r>
          </w:p>
        </w:tc>
      </w:tr>
      <w:tr w:rsidR="00037C82" w:rsidRPr="009B152B" w14:paraId="33530F54" w14:textId="77777777" w:rsidTr="008B46B0">
        <w:trPr>
          <w:cantSplit/>
        </w:trPr>
        <w:tc>
          <w:tcPr>
            <w:tcW w:w="1696" w:type="dxa"/>
            <w:shd w:val="clear" w:color="auto" w:fill="auto"/>
          </w:tcPr>
          <w:p w14:paraId="2A728D81" w14:textId="6858D2AE" w:rsidR="00037C82" w:rsidRPr="009B152B" w:rsidRDefault="00037C82" w:rsidP="0018455A">
            <w:pPr>
              <w:pStyle w:val="TableText"/>
              <w:keepNext w:val="0"/>
              <w:widowControl w:val="0"/>
            </w:pPr>
            <w:r w:rsidRPr="009B152B">
              <w:t>Discontinuation of tafamidis</w:t>
            </w:r>
          </w:p>
        </w:tc>
        <w:tc>
          <w:tcPr>
            <w:tcW w:w="3402" w:type="dxa"/>
            <w:shd w:val="clear" w:color="auto" w:fill="auto"/>
          </w:tcPr>
          <w:p w14:paraId="07AB4C35" w14:textId="09BADF39" w:rsidR="00037C82" w:rsidRPr="009B152B" w:rsidRDefault="00035040" w:rsidP="0018455A">
            <w:pPr>
              <w:pStyle w:val="TableText"/>
              <w:keepNext w:val="0"/>
              <w:widowControl w:val="0"/>
            </w:pPr>
            <w:r w:rsidRPr="009B152B">
              <w:rPr>
                <w:szCs w:val="20"/>
              </w:rPr>
              <w:t>37</w:t>
            </w:r>
            <w:r w:rsidR="00037C82" w:rsidRPr="009B152B">
              <w:rPr>
                <w:szCs w:val="20"/>
              </w:rPr>
              <w:t xml:space="preserve">% per year: </w:t>
            </w:r>
            <w:r w:rsidR="004C7926" w:rsidRPr="009B152B">
              <w:rPr>
                <w:szCs w:val="20"/>
              </w:rPr>
              <w:t xml:space="preserve">including </w:t>
            </w:r>
            <w:r w:rsidR="00037C82" w:rsidRPr="009B152B">
              <w:rPr>
                <w:szCs w:val="20"/>
              </w:rPr>
              <w:t xml:space="preserve">discontinuations due to persistent NYHA class III heart failure (22%), transition to NYHA class IV heart failure (1%), any other reason (3%), </w:t>
            </w:r>
            <w:r w:rsidRPr="009B152B">
              <w:rPr>
                <w:szCs w:val="20"/>
              </w:rPr>
              <w:t>and mortality (11%)</w:t>
            </w:r>
            <w:r w:rsidR="004C7926" w:rsidRPr="009B152B">
              <w:rPr>
                <w:szCs w:val="20"/>
              </w:rPr>
              <w:t>,</w:t>
            </w:r>
            <w:r w:rsidRPr="009B152B">
              <w:rPr>
                <w:szCs w:val="20"/>
              </w:rPr>
              <w:t xml:space="preserve"> </w:t>
            </w:r>
            <w:r w:rsidR="00037C82" w:rsidRPr="009B152B">
              <w:rPr>
                <w:szCs w:val="20"/>
              </w:rPr>
              <w:t xml:space="preserve">derived from the ATTR-ACT trial individual patient data. </w:t>
            </w:r>
          </w:p>
        </w:tc>
        <w:tc>
          <w:tcPr>
            <w:tcW w:w="3919" w:type="dxa"/>
            <w:shd w:val="clear" w:color="auto" w:fill="auto"/>
          </w:tcPr>
          <w:p w14:paraId="51974586" w14:textId="3708D84D" w:rsidR="00037C82" w:rsidRPr="009B152B" w:rsidRDefault="00037C82" w:rsidP="0018455A">
            <w:pPr>
              <w:pStyle w:val="TableText"/>
              <w:keepNext w:val="0"/>
              <w:widowControl w:val="0"/>
            </w:pPr>
            <w:r w:rsidRPr="009B152B">
              <w:rPr>
                <w:szCs w:val="20"/>
              </w:rPr>
              <w:t>Discontinuation</w:t>
            </w:r>
            <w:r w:rsidR="00035040" w:rsidRPr="009B152B">
              <w:rPr>
                <w:szCs w:val="20"/>
              </w:rPr>
              <w:t>s</w:t>
            </w:r>
            <w:r w:rsidRPr="009B152B">
              <w:rPr>
                <w:szCs w:val="20"/>
              </w:rPr>
              <w:t xml:space="preserve"> reported in the randomised clinical trial may not be realised in the Australian setting</w:t>
            </w:r>
            <w:r w:rsidR="00035040" w:rsidRPr="009B152B">
              <w:rPr>
                <w:szCs w:val="20"/>
              </w:rPr>
              <w:t>. In addition, the estimated overall discontinuations in the financial estimates were substantially higher than observed in the economic model</w:t>
            </w:r>
            <w:r w:rsidR="00D222BD" w:rsidRPr="009B152B">
              <w:rPr>
                <w:szCs w:val="20"/>
              </w:rPr>
              <w:t xml:space="preserve"> (</w:t>
            </w:r>
            <w:r w:rsidR="0022664E" w:rsidRPr="009B152B">
              <w:rPr>
                <w:szCs w:val="20"/>
              </w:rPr>
              <w:fldChar w:fldCharType="begin" w:fldLock="1"/>
            </w:r>
            <w:r w:rsidR="0022664E" w:rsidRPr="009B152B">
              <w:rPr>
                <w:szCs w:val="20"/>
              </w:rPr>
              <w:instrText xml:space="preserve"> REF _Ref132381971 \h  \* MERGEFORMAT </w:instrText>
            </w:r>
            <w:r w:rsidR="0022664E" w:rsidRPr="009B152B">
              <w:rPr>
                <w:szCs w:val="20"/>
              </w:rPr>
            </w:r>
            <w:r w:rsidR="0022664E" w:rsidRPr="009B152B">
              <w:rPr>
                <w:szCs w:val="20"/>
              </w:rPr>
              <w:fldChar w:fldCharType="separate"/>
            </w:r>
            <w:r w:rsidR="0015761E" w:rsidRPr="009B152B">
              <w:t>Table 10</w:t>
            </w:r>
            <w:r w:rsidR="0022664E" w:rsidRPr="009B152B">
              <w:rPr>
                <w:szCs w:val="20"/>
              </w:rPr>
              <w:fldChar w:fldCharType="end"/>
            </w:r>
            <w:r w:rsidR="0022664E" w:rsidRPr="009B152B">
              <w:rPr>
                <w:szCs w:val="20"/>
              </w:rPr>
              <w:t xml:space="preserve"> above)</w:t>
            </w:r>
            <w:r w:rsidR="00035040" w:rsidRPr="009B152B">
              <w:rPr>
                <w:szCs w:val="20"/>
              </w:rPr>
              <w:t>.</w:t>
            </w:r>
          </w:p>
        </w:tc>
      </w:tr>
      <w:tr w:rsidR="00037C82" w:rsidRPr="009B152B" w14:paraId="0D96F024" w14:textId="77777777" w:rsidTr="008B46B0">
        <w:trPr>
          <w:cantSplit/>
        </w:trPr>
        <w:tc>
          <w:tcPr>
            <w:tcW w:w="1696" w:type="dxa"/>
            <w:shd w:val="clear" w:color="auto" w:fill="auto"/>
          </w:tcPr>
          <w:p w14:paraId="147FE7B4" w14:textId="77777777" w:rsidR="00037C82" w:rsidRPr="009B152B" w:rsidRDefault="00037C82" w:rsidP="0018455A">
            <w:pPr>
              <w:pStyle w:val="TableText"/>
              <w:keepNext w:val="0"/>
              <w:widowControl w:val="0"/>
            </w:pPr>
            <w:r w:rsidRPr="009B152B">
              <w:rPr>
                <w:szCs w:val="20"/>
              </w:rPr>
              <w:t>Persistent NYHA class III heart failure</w:t>
            </w:r>
          </w:p>
        </w:tc>
        <w:tc>
          <w:tcPr>
            <w:tcW w:w="3402" w:type="dxa"/>
            <w:shd w:val="clear" w:color="auto" w:fill="auto"/>
          </w:tcPr>
          <w:p w14:paraId="09E8A43C" w14:textId="252CAF25" w:rsidR="00037C82" w:rsidRPr="009B152B" w:rsidRDefault="00037C82" w:rsidP="0018455A">
            <w:pPr>
              <w:pStyle w:val="TableText"/>
              <w:keepNext w:val="0"/>
              <w:widowControl w:val="0"/>
            </w:pPr>
            <w:r w:rsidRPr="009B152B">
              <w:rPr>
                <w:szCs w:val="20"/>
              </w:rPr>
              <w:t xml:space="preserve">22% per year: calculated from 6 monthly transitions between NYHA classes in the ATTR-ACT trial. </w:t>
            </w:r>
          </w:p>
        </w:tc>
        <w:tc>
          <w:tcPr>
            <w:tcW w:w="3919" w:type="dxa"/>
            <w:shd w:val="clear" w:color="auto" w:fill="auto"/>
          </w:tcPr>
          <w:p w14:paraId="3CF13BFB" w14:textId="382253C6" w:rsidR="00037C82" w:rsidRPr="009B152B" w:rsidRDefault="00037C82" w:rsidP="0018455A">
            <w:pPr>
              <w:pStyle w:val="TableText"/>
              <w:keepNext w:val="0"/>
              <w:widowControl w:val="0"/>
            </w:pPr>
            <w:r w:rsidRPr="009B152B">
              <w:t xml:space="preserve">The calculated proportions of patients with persistent NYHA class III heart failure may not be reasonable, given average transitions over 6 months intervals were used as surrogate measures for longitudinal persistence of heart failure symptoms. In addition, the proportions of patients transitioning from NYHA class I-II to class III heart failure used in the calculation inappropriately included the small numbers of patients transitioning to NYHA class IV, and overestimated the proportion of patients discontinuing tafamidis due to disease progression. </w:t>
            </w:r>
          </w:p>
        </w:tc>
      </w:tr>
    </w:tbl>
    <w:p w14:paraId="72875464" w14:textId="1BD4AAD1" w:rsidR="00037C82" w:rsidRDefault="00037C82" w:rsidP="00037C82">
      <w:pPr>
        <w:pStyle w:val="TableFooter"/>
      </w:pPr>
      <w:r>
        <w:t xml:space="preserve">Source: Compiled during the evaluation based on Utilisation </w:t>
      </w:r>
      <w:r w:rsidRPr="005A3D95">
        <w:t>a</w:t>
      </w:r>
      <w:r>
        <w:t>nd cost model - tafamidis provided with the resubmission.</w:t>
      </w:r>
      <w:r w:rsidR="008B46B0" w:rsidRPr="008B46B0">
        <w:t xml:space="preserve"> </w:t>
      </w:r>
      <w:r w:rsidR="008B46B0">
        <w:t>Values unchanged since the March 2021 or September 2021 submissions shaded blue</w:t>
      </w:r>
      <w:r>
        <w:t>.</w:t>
      </w:r>
    </w:p>
    <w:p w14:paraId="220DA9D9" w14:textId="3C55AB8D" w:rsidR="007925DF" w:rsidRPr="00280C4C" w:rsidRDefault="00037C82" w:rsidP="00280C4C">
      <w:pPr>
        <w:pStyle w:val="TableFooter"/>
      </w:pPr>
      <w:r>
        <w:t xml:space="preserve">Abbreviations: </w:t>
      </w:r>
      <w:r w:rsidRPr="009C69EB">
        <w:rPr>
          <w:szCs w:val="18"/>
        </w:rPr>
        <w:t>ABS, Australian Bureau of Statistics</w:t>
      </w:r>
      <w:r>
        <w:rPr>
          <w:szCs w:val="18"/>
        </w:rPr>
        <w:t>; ATTR-CM, c</w:t>
      </w:r>
      <w:r w:rsidRPr="005E4C29">
        <w:rPr>
          <w:szCs w:val="18"/>
        </w:rPr>
        <w:t>ardiac transthyretin amyloidosi</w:t>
      </w:r>
      <w:r>
        <w:rPr>
          <w:szCs w:val="18"/>
        </w:rPr>
        <w:t xml:space="preserve">s; </w:t>
      </w:r>
      <w:r w:rsidRPr="00C56A3D">
        <w:rPr>
          <w:szCs w:val="18"/>
        </w:rPr>
        <w:t xml:space="preserve">ATTRv, variant transthyretin amyloidosis; ATTRwt, wild type transthyretin amyloidosis; </w:t>
      </w:r>
      <w:r>
        <w:rPr>
          <w:szCs w:val="18"/>
        </w:rPr>
        <w:t>DPMQ, dispensed price for maximum quantity; NYHA, New York Heart Association; PBS, Pharmaceutical Benefits Scheme; RPBS, Repatriation Pharmaceutical Benefits Scheme</w:t>
      </w:r>
      <w:r>
        <w:t>.</w:t>
      </w:r>
    </w:p>
    <w:p w14:paraId="26FB6670" w14:textId="51B8960B" w:rsidR="00B505C8" w:rsidRPr="00280C4C" w:rsidRDefault="00280C4C" w:rsidP="00280C4C">
      <w:pPr>
        <w:pStyle w:val="COMexecsumnumberedpara"/>
      </w:pPr>
      <w:r w:rsidRPr="00AB2D95">
        <w:fldChar w:fldCharType="begin" w:fldLock="1"/>
      </w:r>
      <w:r w:rsidRPr="00AB2D95">
        <w:instrText xml:space="preserve"> REF _Ref104805295 \h  \* MERGEFORMAT </w:instrText>
      </w:r>
      <w:r w:rsidRPr="00AB2D95">
        <w:fldChar w:fldCharType="separate"/>
      </w:r>
      <w:r w:rsidR="0015761E">
        <w:t>Table 12</w:t>
      </w:r>
      <w:r w:rsidRPr="00AB2D95">
        <w:fldChar w:fldCharType="end"/>
      </w:r>
      <w:r>
        <w:t xml:space="preserve"> summarises the e</w:t>
      </w:r>
      <w:r w:rsidRPr="0023413C">
        <w:t xml:space="preserve">stimated net cost of </w:t>
      </w:r>
      <w:r w:rsidR="00D6774C">
        <w:t>tafamidis</w:t>
      </w:r>
      <w:r w:rsidRPr="0023413C">
        <w:t xml:space="preserve"> to the PBS/RPBS</w:t>
      </w:r>
      <w:r w:rsidR="00D6774C">
        <w:t xml:space="preserve"> and MBS</w:t>
      </w:r>
      <w:r w:rsidR="003B77E9">
        <w:t xml:space="preserve"> in the current resubmission. </w:t>
      </w:r>
    </w:p>
    <w:p w14:paraId="38EC053C" w14:textId="427D2CD7" w:rsidR="00C25D9C" w:rsidRDefault="00E16AD8" w:rsidP="00934AB0">
      <w:pPr>
        <w:pStyle w:val="COMtablefigcaption"/>
        <w:keepLines/>
      </w:pPr>
      <w:bookmarkStart w:id="63" w:name="_Ref104805295"/>
      <w:r>
        <w:t xml:space="preserve">Table </w:t>
      </w:r>
      <w:fldSimple w:instr=" SEQ Table \* ARABIC " w:fldLock="1">
        <w:r w:rsidR="0015761E">
          <w:rPr>
            <w:noProof/>
          </w:rPr>
          <w:t>12</w:t>
        </w:r>
      </w:fldSimple>
      <w:bookmarkEnd w:id="63"/>
      <w:r>
        <w:t>:</w:t>
      </w:r>
      <w:r w:rsidR="002A2F50" w:rsidRPr="00FD4ED6">
        <w:t xml:space="preserve"> Estimated use and financial implications</w:t>
      </w:r>
    </w:p>
    <w:tbl>
      <w:tblPr>
        <w:tblStyle w:val="TableGrid"/>
        <w:tblW w:w="5000" w:type="pct"/>
        <w:tblLayout w:type="fixed"/>
        <w:tblCellMar>
          <w:left w:w="28" w:type="dxa"/>
          <w:right w:w="28" w:type="dxa"/>
        </w:tblCellMar>
        <w:tblLook w:val="04A0" w:firstRow="1" w:lastRow="0" w:firstColumn="1" w:lastColumn="0" w:noHBand="0" w:noVBand="1"/>
        <w:tblCaption w:val="Table 12: Estimated use and financial implications"/>
      </w:tblPr>
      <w:tblGrid>
        <w:gridCol w:w="2263"/>
        <w:gridCol w:w="1125"/>
        <w:gridCol w:w="1126"/>
        <w:gridCol w:w="1126"/>
        <w:gridCol w:w="1125"/>
        <w:gridCol w:w="1126"/>
        <w:gridCol w:w="1126"/>
      </w:tblGrid>
      <w:tr w:rsidR="0015761E" w:rsidRPr="008D7430" w14:paraId="62583D5C" w14:textId="77777777" w:rsidTr="004C41B1">
        <w:trPr>
          <w:tblHeader/>
        </w:trPr>
        <w:tc>
          <w:tcPr>
            <w:tcW w:w="2263" w:type="dxa"/>
            <w:tcBorders>
              <w:bottom w:val="single" w:sz="4" w:space="0" w:color="auto"/>
            </w:tcBorders>
            <w:shd w:val="clear" w:color="auto" w:fill="auto"/>
            <w:vAlign w:val="center"/>
          </w:tcPr>
          <w:p w14:paraId="5765BD1A" w14:textId="77777777" w:rsidR="00280C4C" w:rsidRPr="008D7430" w:rsidRDefault="00280C4C" w:rsidP="00934AB0">
            <w:pPr>
              <w:keepNext/>
              <w:keepLines/>
              <w:jc w:val="left"/>
              <w:rPr>
                <w:rFonts w:ascii="Arial Narrow" w:hAnsi="Arial Narrow"/>
                <w:sz w:val="20"/>
                <w:szCs w:val="20"/>
              </w:rPr>
            </w:pPr>
          </w:p>
        </w:tc>
        <w:tc>
          <w:tcPr>
            <w:tcW w:w="1125" w:type="dxa"/>
            <w:tcBorders>
              <w:bottom w:val="single" w:sz="4" w:space="0" w:color="auto"/>
            </w:tcBorders>
            <w:shd w:val="clear" w:color="auto" w:fill="auto"/>
            <w:vAlign w:val="center"/>
          </w:tcPr>
          <w:p w14:paraId="29E63638" w14:textId="2A3446E8" w:rsidR="00280C4C" w:rsidRPr="008D7430" w:rsidRDefault="00280C4C" w:rsidP="00934AB0">
            <w:pPr>
              <w:keepNext/>
              <w:keepLines/>
              <w:jc w:val="center"/>
              <w:rPr>
                <w:rFonts w:ascii="Arial Narrow" w:hAnsi="Arial Narrow"/>
                <w:b/>
                <w:sz w:val="20"/>
                <w:szCs w:val="20"/>
              </w:rPr>
            </w:pPr>
            <w:r>
              <w:rPr>
                <w:rFonts w:ascii="Arial Narrow" w:hAnsi="Arial Narrow"/>
                <w:b/>
                <w:sz w:val="20"/>
                <w:szCs w:val="20"/>
              </w:rPr>
              <w:t>Year 1</w:t>
            </w:r>
          </w:p>
        </w:tc>
        <w:tc>
          <w:tcPr>
            <w:tcW w:w="1126" w:type="dxa"/>
            <w:tcBorders>
              <w:bottom w:val="single" w:sz="4" w:space="0" w:color="auto"/>
            </w:tcBorders>
            <w:shd w:val="clear" w:color="auto" w:fill="auto"/>
            <w:vAlign w:val="center"/>
          </w:tcPr>
          <w:p w14:paraId="3E810A0A" w14:textId="553F4E7D" w:rsidR="00280C4C" w:rsidRPr="008D7430" w:rsidRDefault="00280C4C" w:rsidP="00934AB0">
            <w:pPr>
              <w:keepNext/>
              <w:keepLines/>
              <w:jc w:val="center"/>
              <w:rPr>
                <w:rFonts w:ascii="Arial Narrow" w:hAnsi="Arial Narrow"/>
                <w:b/>
                <w:sz w:val="20"/>
                <w:szCs w:val="20"/>
              </w:rPr>
            </w:pPr>
            <w:r>
              <w:rPr>
                <w:rFonts w:ascii="Arial Narrow" w:hAnsi="Arial Narrow"/>
                <w:b/>
                <w:sz w:val="20"/>
                <w:szCs w:val="20"/>
              </w:rPr>
              <w:t>Year 2</w:t>
            </w:r>
          </w:p>
        </w:tc>
        <w:tc>
          <w:tcPr>
            <w:tcW w:w="1126" w:type="dxa"/>
            <w:tcBorders>
              <w:bottom w:val="single" w:sz="4" w:space="0" w:color="auto"/>
            </w:tcBorders>
            <w:shd w:val="clear" w:color="auto" w:fill="auto"/>
            <w:vAlign w:val="center"/>
          </w:tcPr>
          <w:p w14:paraId="5E9A1E7D" w14:textId="3799E1EA" w:rsidR="00280C4C" w:rsidRPr="008D7430" w:rsidRDefault="00280C4C" w:rsidP="00934AB0">
            <w:pPr>
              <w:keepNext/>
              <w:keepLines/>
              <w:jc w:val="center"/>
              <w:rPr>
                <w:rFonts w:ascii="Arial Narrow" w:hAnsi="Arial Narrow"/>
                <w:b/>
                <w:sz w:val="20"/>
                <w:szCs w:val="20"/>
              </w:rPr>
            </w:pPr>
            <w:r>
              <w:rPr>
                <w:rFonts w:ascii="Arial Narrow" w:hAnsi="Arial Narrow"/>
                <w:b/>
                <w:sz w:val="20"/>
                <w:szCs w:val="20"/>
              </w:rPr>
              <w:t>Year 3</w:t>
            </w:r>
          </w:p>
        </w:tc>
        <w:tc>
          <w:tcPr>
            <w:tcW w:w="1125" w:type="dxa"/>
            <w:tcBorders>
              <w:bottom w:val="single" w:sz="4" w:space="0" w:color="auto"/>
            </w:tcBorders>
            <w:shd w:val="clear" w:color="auto" w:fill="auto"/>
            <w:vAlign w:val="center"/>
          </w:tcPr>
          <w:p w14:paraId="1A057332" w14:textId="080ADB54" w:rsidR="00280C4C" w:rsidRPr="008D7430" w:rsidRDefault="00280C4C" w:rsidP="00934AB0">
            <w:pPr>
              <w:keepNext/>
              <w:keepLines/>
              <w:jc w:val="center"/>
              <w:rPr>
                <w:rFonts w:ascii="Arial Narrow" w:hAnsi="Arial Narrow"/>
                <w:b/>
                <w:sz w:val="20"/>
                <w:szCs w:val="20"/>
              </w:rPr>
            </w:pPr>
            <w:r>
              <w:rPr>
                <w:rFonts w:ascii="Arial Narrow" w:hAnsi="Arial Narrow"/>
                <w:b/>
                <w:sz w:val="20"/>
                <w:szCs w:val="20"/>
              </w:rPr>
              <w:t>Year 4</w:t>
            </w:r>
          </w:p>
        </w:tc>
        <w:tc>
          <w:tcPr>
            <w:tcW w:w="1126" w:type="dxa"/>
            <w:tcBorders>
              <w:bottom w:val="single" w:sz="4" w:space="0" w:color="auto"/>
            </w:tcBorders>
            <w:shd w:val="clear" w:color="auto" w:fill="auto"/>
            <w:vAlign w:val="center"/>
          </w:tcPr>
          <w:p w14:paraId="34B29D70" w14:textId="55B276D7" w:rsidR="00280C4C" w:rsidRPr="008D7430" w:rsidRDefault="00280C4C" w:rsidP="00934AB0">
            <w:pPr>
              <w:keepNext/>
              <w:keepLines/>
              <w:jc w:val="center"/>
              <w:rPr>
                <w:rFonts w:ascii="Arial Narrow" w:hAnsi="Arial Narrow"/>
                <w:b/>
                <w:sz w:val="20"/>
                <w:szCs w:val="20"/>
              </w:rPr>
            </w:pPr>
            <w:r>
              <w:rPr>
                <w:rFonts w:ascii="Arial Narrow" w:hAnsi="Arial Narrow"/>
                <w:b/>
                <w:sz w:val="20"/>
                <w:szCs w:val="20"/>
              </w:rPr>
              <w:t>Year 5</w:t>
            </w:r>
          </w:p>
        </w:tc>
        <w:tc>
          <w:tcPr>
            <w:tcW w:w="1126" w:type="dxa"/>
            <w:tcBorders>
              <w:bottom w:val="single" w:sz="4" w:space="0" w:color="auto"/>
            </w:tcBorders>
            <w:shd w:val="clear" w:color="auto" w:fill="auto"/>
            <w:vAlign w:val="center"/>
          </w:tcPr>
          <w:p w14:paraId="399348AF" w14:textId="6B9766D8" w:rsidR="00280C4C" w:rsidRPr="008D7430" w:rsidRDefault="00280C4C" w:rsidP="00934AB0">
            <w:pPr>
              <w:keepNext/>
              <w:keepLines/>
              <w:jc w:val="center"/>
              <w:rPr>
                <w:rFonts w:ascii="Arial Narrow" w:hAnsi="Arial Narrow"/>
                <w:b/>
                <w:sz w:val="20"/>
                <w:szCs w:val="20"/>
              </w:rPr>
            </w:pPr>
            <w:r>
              <w:rPr>
                <w:rFonts w:ascii="Arial Narrow" w:hAnsi="Arial Narrow"/>
                <w:b/>
                <w:sz w:val="20"/>
                <w:szCs w:val="20"/>
              </w:rPr>
              <w:t>Year 6</w:t>
            </w:r>
          </w:p>
        </w:tc>
      </w:tr>
      <w:tr w:rsidR="00AA563F" w:rsidRPr="008D7430" w14:paraId="68B3BEB3" w14:textId="77777777" w:rsidTr="008B46B0">
        <w:tc>
          <w:tcPr>
            <w:tcW w:w="2263" w:type="dxa"/>
            <w:tcBorders>
              <w:bottom w:val="single" w:sz="4" w:space="0" w:color="auto"/>
            </w:tcBorders>
            <w:shd w:val="clear" w:color="auto" w:fill="auto"/>
            <w:vAlign w:val="center"/>
          </w:tcPr>
          <w:p w14:paraId="01136936" w14:textId="01D4CF02" w:rsidR="00280C4C" w:rsidRPr="004C41B1" w:rsidRDefault="0069319E" w:rsidP="00934AB0">
            <w:pPr>
              <w:keepNext/>
              <w:keepLines/>
              <w:jc w:val="left"/>
              <w:rPr>
                <w:rFonts w:ascii="Arial Narrow" w:hAnsi="Arial Narrow"/>
                <w:bCs/>
                <w:sz w:val="20"/>
                <w:szCs w:val="20"/>
              </w:rPr>
            </w:pPr>
            <w:r>
              <w:rPr>
                <w:rFonts w:ascii="Arial Narrow" w:hAnsi="Arial Narrow"/>
                <w:bCs/>
                <w:sz w:val="20"/>
                <w:szCs w:val="20"/>
              </w:rPr>
              <w:t>N</w:t>
            </w:r>
            <w:r w:rsidR="001118E2">
              <w:rPr>
                <w:rFonts w:ascii="Arial Narrow" w:hAnsi="Arial Narrow"/>
                <w:bCs/>
                <w:sz w:val="20"/>
                <w:szCs w:val="20"/>
              </w:rPr>
              <w:t>umber of</w:t>
            </w:r>
            <w:r w:rsidRPr="004C41B1">
              <w:rPr>
                <w:rFonts w:ascii="Arial Narrow" w:hAnsi="Arial Narrow"/>
                <w:bCs/>
                <w:sz w:val="20"/>
                <w:szCs w:val="20"/>
              </w:rPr>
              <w:t xml:space="preserve"> </w:t>
            </w:r>
            <w:r w:rsidR="00280C4C" w:rsidRPr="004C41B1">
              <w:rPr>
                <w:rFonts w:ascii="Arial Narrow" w:hAnsi="Arial Narrow"/>
                <w:bCs/>
                <w:sz w:val="20"/>
                <w:szCs w:val="20"/>
              </w:rPr>
              <w:t>patients treated</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0B7FC74" w14:textId="3315550B" w:rsidR="00280C4C" w:rsidRPr="00313E60" w:rsidRDefault="00B474C2" w:rsidP="00934AB0">
            <w:pPr>
              <w:keepNext/>
              <w:keepLines/>
              <w:jc w:val="center"/>
              <w:rPr>
                <w:rFonts w:ascii="Arial Narrow" w:hAnsi="Arial Narrow"/>
                <w:bCs/>
                <w:color w:val="000000"/>
                <w:sz w:val="20"/>
                <w:szCs w:val="20"/>
                <w:highlight w:val="lightGray"/>
                <w:vertAlign w:val="superscript"/>
              </w:rPr>
            </w:pPr>
            <w:r w:rsidRPr="002C3508">
              <w:rPr>
                <w:rFonts w:ascii="Arial Narrow" w:hAnsi="Arial Narrow" w:hint="eastAsia"/>
                <w:bCs/>
                <w:color w:val="000000"/>
                <w:w w:val="15"/>
                <w:sz w:val="20"/>
                <w:szCs w:val="20"/>
                <w:shd w:val="solid" w:color="000000" w:fill="000000"/>
                <w:fitText w:val="67" w:id="-1168367359"/>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67" w:id="-1168367359"/>
                <w14:textFill>
                  <w14:solidFill>
                    <w14:srgbClr w14:val="000000">
                      <w14:alpha w14:val="100000"/>
                    </w14:srgbClr>
                  </w14:solidFill>
                </w14:textFill>
              </w:rPr>
              <w:t>|</w:t>
            </w:r>
            <w:r w:rsidRPr="002C3508">
              <w:rPr>
                <w:rFonts w:ascii="Arial Narrow" w:hAnsi="Arial Narrow" w:hint="eastAsia"/>
                <w:bCs/>
                <w:color w:val="000000"/>
                <w:spacing w:val="1"/>
                <w:w w:val="15"/>
                <w:sz w:val="20"/>
                <w:szCs w:val="20"/>
                <w:shd w:val="solid" w:color="000000" w:fill="000000"/>
                <w:fitText w:val="67" w:id="-1168367359"/>
                <w14:textFill>
                  <w14:solidFill>
                    <w14:srgbClr w14:val="000000">
                      <w14:alpha w14:val="100000"/>
                    </w14:srgbClr>
                  </w14:solidFill>
                </w14:textFill>
              </w:rPr>
              <w:t xml:space="preserve">　</w:t>
            </w:r>
            <w:r w:rsidR="00280C4C" w:rsidRPr="00313E60">
              <w:rPr>
                <w:rFonts w:ascii="Arial Narrow" w:hAnsi="Arial Narrow"/>
                <w:bCs/>
                <w:color w:val="000000"/>
                <w:sz w:val="20"/>
                <w:szCs w:val="20"/>
              </w:rPr>
              <w:t xml:space="preserve"> </w:t>
            </w:r>
            <w:r w:rsidR="00313E60" w:rsidRPr="00313E60">
              <w:rPr>
                <w:rFonts w:ascii="Arial Narrow" w:hAnsi="Arial Narrow"/>
                <w:bCs/>
                <w:color w:val="000000"/>
                <w:sz w:val="20"/>
                <w:szCs w:val="20"/>
                <w:vertAlign w:val="superscript"/>
              </w:rPr>
              <w:t>1</w:t>
            </w:r>
          </w:p>
        </w:tc>
        <w:tc>
          <w:tcPr>
            <w:tcW w:w="1126" w:type="dxa"/>
            <w:tcBorders>
              <w:top w:val="single" w:sz="4" w:space="0" w:color="auto"/>
              <w:left w:val="nil"/>
              <w:bottom w:val="single" w:sz="4" w:space="0" w:color="auto"/>
              <w:right w:val="single" w:sz="4" w:space="0" w:color="auto"/>
            </w:tcBorders>
            <w:shd w:val="clear" w:color="auto" w:fill="auto"/>
            <w:vAlign w:val="center"/>
          </w:tcPr>
          <w:p w14:paraId="0D5CE50E" w14:textId="494386BA" w:rsidR="00280C4C"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22"/>
                <w:sz w:val="20"/>
                <w:szCs w:val="20"/>
                <w:shd w:val="solid" w:color="000000" w:fill="000000"/>
                <w:fitText w:val="101" w:id="-1168367358"/>
                <w14:textFill>
                  <w14:solidFill>
                    <w14:srgbClr w14:val="000000">
                      <w14:alpha w14:val="100000"/>
                    </w14:srgbClr>
                  </w14:solidFill>
                </w14:textFill>
              </w:rPr>
              <w:t xml:space="preserve">　</w:t>
            </w:r>
            <w:r w:rsidRPr="002C3508">
              <w:rPr>
                <w:rFonts w:ascii="Arial Narrow" w:hAnsi="Arial Narrow"/>
                <w:bCs/>
                <w:color w:val="000000"/>
                <w:w w:val="22"/>
                <w:sz w:val="20"/>
                <w:szCs w:val="20"/>
                <w:shd w:val="solid" w:color="000000" w:fill="000000"/>
                <w:fitText w:val="101" w:id="-1168367358"/>
                <w14:textFill>
                  <w14:solidFill>
                    <w14:srgbClr w14:val="000000">
                      <w14:alpha w14:val="100000"/>
                    </w14:srgbClr>
                  </w14:solidFill>
                </w14:textFill>
              </w:rPr>
              <w:t>|</w:t>
            </w:r>
            <w:r w:rsidRPr="002C3508">
              <w:rPr>
                <w:rFonts w:ascii="Arial Narrow" w:hAnsi="Arial Narrow" w:hint="eastAsia"/>
                <w:bCs/>
                <w:color w:val="000000"/>
                <w:spacing w:val="4"/>
                <w:w w:val="22"/>
                <w:sz w:val="20"/>
                <w:szCs w:val="20"/>
                <w:shd w:val="solid" w:color="000000" w:fill="000000"/>
                <w:fitText w:val="101" w:id="-1168367358"/>
                <w14:textFill>
                  <w14:solidFill>
                    <w14:srgbClr w14:val="000000">
                      <w14:alpha w14:val="100000"/>
                    </w14:srgbClr>
                  </w14:solidFill>
                </w14:textFill>
              </w:rPr>
              <w:t xml:space="preserve">　</w:t>
            </w:r>
            <w:r w:rsidRPr="00B474C2">
              <w:rPr>
                <w:rFonts w:ascii="Arial Narrow" w:hAnsi="Arial Narrow"/>
                <w:bCs/>
                <w:color w:val="000000"/>
                <w:sz w:val="20"/>
                <w:szCs w:val="20"/>
              </w:rPr>
              <w:t xml:space="preserve"> </w:t>
            </w:r>
            <w:r w:rsidR="00313E60" w:rsidRPr="00313E60">
              <w:rPr>
                <w:rFonts w:ascii="Arial Narrow" w:hAnsi="Arial Narrow"/>
                <w:bCs/>
                <w:color w:val="000000"/>
                <w:sz w:val="20"/>
                <w:szCs w:val="20"/>
              </w:rPr>
              <w:t xml:space="preserve"> </w:t>
            </w:r>
            <w:r w:rsidR="00313E60" w:rsidRPr="00313E60">
              <w:rPr>
                <w:rFonts w:ascii="Arial Narrow" w:hAnsi="Arial Narrow"/>
                <w:bCs/>
                <w:color w:val="000000"/>
                <w:sz w:val="20"/>
                <w:szCs w:val="20"/>
                <w:vertAlign w:val="superscript"/>
              </w:rPr>
              <w:t>1</w:t>
            </w:r>
          </w:p>
        </w:tc>
        <w:tc>
          <w:tcPr>
            <w:tcW w:w="1126" w:type="dxa"/>
            <w:tcBorders>
              <w:top w:val="single" w:sz="4" w:space="0" w:color="auto"/>
              <w:left w:val="nil"/>
              <w:bottom w:val="single" w:sz="4" w:space="0" w:color="auto"/>
              <w:right w:val="single" w:sz="4" w:space="0" w:color="auto"/>
            </w:tcBorders>
            <w:shd w:val="clear" w:color="auto" w:fill="auto"/>
            <w:vAlign w:val="center"/>
          </w:tcPr>
          <w:p w14:paraId="3FCC1324" w14:textId="27E8C22A" w:rsidR="00280C4C"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22"/>
                <w:sz w:val="20"/>
                <w:szCs w:val="20"/>
                <w:shd w:val="solid" w:color="000000" w:fill="000000"/>
                <w:fitText w:val="101" w:id="-1168367357"/>
                <w14:textFill>
                  <w14:solidFill>
                    <w14:srgbClr w14:val="000000">
                      <w14:alpha w14:val="100000"/>
                    </w14:srgbClr>
                  </w14:solidFill>
                </w14:textFill>
              </w:rPr>
              <w:t xml:space="preserve">　</w:t>
            </w:r>
            <w:r w:rsidRPr="002C3508">
              <w:rPr>
                <w:rFonts w:ascii="Arial Narrow" w:hAnsi="Arial Narrow"/>
                <w:bCs/>
                <w:color w:val="000000"/>
                <w:w w:val="22"/>
                <w:sz w:val="20"/>
                <w:szCs w:val="20"/>
                <w:shd w:val="solid" w:color="000000" w:fill="000000"/>
                <w:fitText w:val="101" w:id="-1168367357"/>
                <w14:textFill>
                  <w14:solidFill>
                    <w14:srgbClr w14:val="000000">
                      <w14:alpha w14:val="100000"/>
                    </w14:srgbClr>
                  </w14:solidFill>
                </w14:textFill>
              </w:rPr>
              <w:t>|</w:t>
            </w:r>
            <w:r w:rsidRPr="002C3508">
              <w:rPr>
                <w:rFonts w:ascii="Arial Narrow" w:hAnsi="Arial Narrow" w:hint="eastAsia"/>
                <w:bCs/>
                <w:color w:val="000000"/>
                <w:spacing w:val="4"/>
                <w:w w:val="22"/>
                <w:sz w:val="20"/>
                <w:szCs w:val="20"/>
                <w:shd w:val="solid" w:color="000000" w:fill="000000"/>
                <w:fitText w:val="101" w:id="-1168367357"/>
                <w14:textFill>
                  <w14:solidFill>
                    <w14:srgbClr w14:val="000000">
                      <w14:alpha w14:val="100000"/>
                    </w14:srgbClr>
                  </w14:solidFill>
                </w14:textFill>
              </w:rPr>
              <w:t xml:space="preserve">　</w:t>
            </w:r>
            <w:r w:rsidRPr="00B474C2">
              <w:rPr>
                <w:rFonts w:ascii="Arial Narrow" w:hAnsi="Arial Narrow"/>
                <w:bCs/>
                <w:color w:val="000000"/>
                <w:sz w:val="20"/>
                <w:szCs w:val="20"/>
              </w:rPr>
              <w:t xml:space="preserve"> </w:t>
            </w:r>
            <w:r w:rsidR="00313E60" w:rsidRPr="00313E60">
              <w:rPr>
                <w:rFonts w:ascii="Arial Narrow" w:hAnsi="Arial Narrow"/>
                <w:bCs/>
                <w:color w:val="000000"/>
                <w:sz w:val="20"/>
                <w:szCs w:val="20"/>
              </w:rPr>
              <w:t xml:space="preserve"> </w:t>
            </w:r>
            <w:r w:rsidR="00313E60" w:rsidRPr="00313E60">
              <w:rPr>
                <w:rFonts w:ascii="Arial Narrow" w:hAnsi="Arial Narrow"/>
                <w:bCs/>
                <w:color w:val="000000"/>
                <w:sz w:val="20"/>
                <w:szCs w:val="20"/>
                <w:vertAlign w:val="superscript"/>
              </w:rPr>
              <w:t>1</w:t>
            </w:r>
          </w:p>
        </w:tc>
        <w:tc>
          <w:tcPr>
            <w:tcW w:w="1125" w:type="dxa"/>
            <w:tcBorders>
              <w:top w:val="single" w:sz="4" w:space="0" w:color="auto"/>
              <w:left w:val="nil"/>
              <w:bottom w:val="single" w:sz="4" w:space="0" w:color="auto"/>
              <w:right w:val="single" w:sz="4" w:space="0" w:color="auto"/>
            </w:tcBorders>
            <w:shd w:val="clear" w:color="auto" w:fill="auto"/>
            <w:vAlign w:val="center"/>
          </w:tcPr>
          <w:p w14:paraId="130729BE" w14:textId="49207E50" w:rsidR="00280C4C" w:rsidRPr="00313E60" w:rsidRDefault="00B474C2" w:rsidP="00934AB0">
            <w:pPr>
              <w:keepNext/>
              <w:keepLines/>
              <w:jc w:val="center"/>
              <w:rPr>
                <w:rFonts w:ascii="Arial Narrow" w:hAnsi="Arial Narrow"/>
                <w:bCs/>
                <w:color w:val="000000"/>
                <w:sz w:val="20"/>
                <w:szCs w:val="20"/>
                <w:highlight w:val="lightGray"/>
              </w:rPr>
            </w:pPr>
            <w:r w:rsidRPr="00B474C2">
              <w:rPr>
                <w:rFonts w:ascii="Arial Narrow" w:hAnsi="Arial Narrow" w:hint="eastAsia"/>
                <w:bCs/>
                <w:color w:val="000000"/>
                <w:w w:val="18"/>
                <w:sz w:val="20"/>
                <w:szCs w:val="20"/>
                <w:shd w:val="solid" w:color="000000" w:fill="000000"/>
                <w:fitText w:val="84" w:id="-1168367356"/>
                <w14:textFill>
                  <w14:solidFill>
                    <w14:srgbClr w14:val="000000">
                      <w14:alpha w14:val="100000"/>
                    </w14:srgbClr>
                  </w14:solidFill>
                </w14:textFill>
              </w:rPr>
              <w:t xml:space="preserve">　</w:t>
            </w:r>
            <w:r w:rsidRPr="00B474C2">
              <w:rPr>
                <w:rFonts w:ascii="Arial Narrow" w:hAnsi="Arial Narrow"/>
                <w:bCs/>
                <w:color w:val="000000"/>
                <w:w w:val="18"/>
                <w:sz w:val="20"/>
                <w:szCs w:val="20"/>
                <w:shd w:val="solid" w:color="000000" w:fill="000000"/>
                <w:fitText w:val="84" w:id="-1168367356"/>
                <w14:textFill>
                  <w14:solidFill>
                    <w14:srgbClr w14:val="000000">
                      <w14:alpha w14:val="100000"/>
                    </w14:srgbClr>
                  </w14:solidFill>
                </w14:textFill>
              </w:rPr>
              <w:t>|</w:t>
            </w:r>
            <w:r w:rsidRPr="00B474C2">
              <w:rPr>
                <w:rFonts w:ascii="Arial Narrow" w:hAnsi="Arial Narrow" w:hint="eastAsia"/>
                <w:bCs/>
                <w:color w:val="000000"/>
                <w:spacing w:val="4"/>
                <w:w w:val="18"/>
                <w:sz w:val="20"/>
                <w:szCs w:val="20"/>
                <w:shd w:val="solid" w:color="000000" w:fill="000000"/>
                <w:fitText w:val="84" w:id="-1168367356"/>
                <w14:textFill>
                  <w14:solidFill>
                    <w14:srgbClr w14:val="000000">
                      <w14:alpha w14:val="100000"/>
                    </w14:srgbClr>
                  </w14:solidFill>
                </w14:textFill>
              </w:rPr>
              <w:t xml:space="preserve">　</w:t>
            </w:r>
            <w:r w:rsidRPr="00B474C2">
              <w:rPr>
                <w:rFonts w:ascii="Arial Narrow" w:hAnsi="Arial Narrow"/>
                <w:bCs/>
                <w:color w:val="000000"/>
                <w:sz w:val="20"/>
                <w:szCs w:val="20"/>
              </w:rPr>
              <w:t xml:space="preserve"> </w:t>
            </w:r>
            <w:r w:rsidR="00313E60" w:rsidRPr="00313E60">
              <w:rPr>
                <w:rFonts w:ascii="Arial Narrow" w:hAnsi="Arial Narrow"/>
                <w:bCs/>
                <w:color w:val="000000"/>
                <w:sz w:val="20"/>
                <w:szCs w:val="20"/>
              </w:rPr>
              <w:t xml:space="preserve"> </w:t>
            </w:r>
            <w:r w:rsidR="00313E60" w:rsidRPr="00313E60">
              <w:rPr>
                <w:rFonts w:ascii="Arial Narrow" w:hAnsi="Arial Narrow"/>
                <w:bCs/>
                <w:color w:val="000000"/>
                <w:sz w:val="20"/>
                <w:szCs w:val="20"/>
                <w:vertAlign w:val="superscript"/>
              </w:rPr>
              <w:t>1</w:t>
            </w:r>
          </w:p>
        </w:tc>
        <w:tc>
          <w:tcPr>
            <w:tcW w:w="1126" w:type="dxa"/>
            <w:tcBorders>
              <w:top w:val="single" w:sz="4" w:space="0" w:color="auto"/>
              <w:left w:val="nil"/>
              <w:bottom w:val="single" w:sz="4" w:space="0" w:color="auto"/>
              <w:right w:val="single" w:sz="4" w:space="0" w:color="auto"/>
            </w:tcBorders>
            <w:shd w:val="clear" w:color="auto" w:fill="auto"/>
            <w:vAlign w:val="center"/>
          </w:tcPr>
          <w:p w14:paraId="14D91373" w14:textId="419308E2" w:rsidR="00280C4C" w:rsidRPr="00313E60" w:rsidRDefault="00B474C2" w:rsidP="00934AB0">
            <w:pPr>
              <w:keepNext/>
              <w:keepLines/>
              <w:jc w:val="center"/>
              <w:rPr>
                <w:rFonts w:ascii="Arial Narrow" w:hAnsi="Arial Narrow"/>
                <w:bCs/>
                <w:color w:val="000000"/>
                <w:sz w:val="20"/>
                <w:szCs w:val="20"/>
                <w:highlight w:val="lightGray"/>
              </w:rPr>
            </w:pPr>
            <w:r w:rsidRPr="00B474C2">
              <w:rPr>
                <w:rFonts w:ascii="Arial Narrow" w:hAnsi="Arial Narrow" w:hint="eastAsia"/>
                <w:bCs/>
                <w:color w:val="000000"/>
                <w:w w:val="22"/>
                <w:sz w:val="20"/>
                <w:szCs w:val="20"/>
                <w:shd w:val="solid" w:color="000000" w:fill="000000"/>
                <w:fitText w:val="100" w:id="-1168367355"/>
                <w14:textFill>
                  <w14:solidFill>
                    <w14:srgbClr w14:val="000000">
                      <w14:alpha w14:val="100000"/>
                    </w14:srgbClr>
                  </w14:solidFill>
                </w14:textFill>
              </w:rPr>
              <w:t xml:space="preserve">　</w:t>
            </w:r>
            <w:r w:rsidRPr="00B474C2">
              <w:rPr>
                <w:rFonts w:ascii="Arial Narrow" w:hAnsi="Arial Narrow"/>
                <w:bCs/>
                <w:color w:val="000000"/>
                <w:w w:val="22"/>
                <w:sz w:val="20"/>
                <w:szCs w:val="20"/>
                <w:shd w:val="solid" w:color="000000" w:fill="000000"/>
                <w:fitText w:val="100" w:id="-1168367355"/>
                <w14:textFill>
                  <w14:solidFill>
                    <w14:srgbClr w14:val="000000">
                      <w14:alpha w14:val="100000"/>
                    </w14:srgbClr>
                  </w14:solidFill>
                </w14:textFill>
              </w:rPr>
              <w:t>|</w:t>
            </w:r>
            <w:r w:rsidRPr="00B474C2">
              <w:rPr>
                <w:rFonts w:ascii="Arial Narrow" w:hAnsi="Arial Narrow" w:hint="eastAsia"/>
                <w:bCs/>
                <w:color w:val="000000"/>
                <w:spacing w:val="3"/>
                <w:w w:val="22"/>
                <w:sz w:val="20"/>
                <w:szCs w:val="20"/>
                <w:shd w:val="solid" w:color="000000" w:fill="000000"/>
                <w:fitText w:val="100" w:id="-1168367355"/>
                <w14:textFill>
                  <w14:solidFill>
                    <w14:srgbClr w14:val="000000">
                      <w14:alpha w14:val="100000"/>
                    </w14:srgbClr>
                  </w14:solidFill>
                </w14:textFill>
              </w:rPr>
              <w:t xml:space="preserve">　</w:t>
            </w:r>
            <w:r w:rsidRPr="00B474C2">
              <w:rPr>
                <w:rFonts w:ascii="Arial Narrow" w:hAnsi="Arial Narrow"/>
                <w:bCs/>
                <w:color w:val="000000"/>
                <w:sz w:val="20"/>
                <w:szCs w:val="20"/>
              </w:rPr>
              <w:t xml:space="preserve"> </w:t>
            </w:r>
            <w:r w:rsidR="00313E60" w:rsidRPr="00313E60">
              <w:rPr>
                <w:rFonts w:ascii="Arial Narrow" w:hAnsi="Arial Narrow"/>
                <w:bCs/>
                <w:color w:val="000000"/>
                <w:sz w:val="20"/>
                <w:szCs w:val="20"/>
              </w:rPr>
              <w:t xml:space="preserve"> </w:t>
            </w:r>
            <w:r w:rsidR="00313E60" w:rsidRPr="00313E60">
              <w:rPr>
                <w:rFonts w:ascii="Arial Narrow" w:hAnsi="Arial Narrow"/>
                <w:bCs/>
                <w:color w:val="000000"/>
                <w:sz w:val="20"/>
                <w:szCs w:val="20"/>
                <w:vertAlign w:val="superscript"/>
              </w:rPr>
              <w:t>1</w:t>
            </w:r>
          </w:p>
        </w:tc>
        <w:tc>
          <w:tcPr>
            <w:tcW w:w="1126" w:type="dxa"/>
            <w:tcBorders>
              <w:top w:val="single" w:sz="4" w:space="0" w:color="auto"/>
              <w:left w:val="nil"/>
              <w:bottom w:val="single" w:sz="4" w:space="0" w:color="auto"/>
              <w:right w:val="single" w:sz="4" w:space="0" w:color="auto"/>
            </w:tcBorders>
            <w:shd w:val="clear" w:color="auto" w:fill="auto"/>
            <w:vAlign w:val="center"/>
          </w:tcPr>
          <w:p w14:paraId="66CBE9CF" w14:textId="3ED1EEDB" w:rsidR="00280C4C"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22"/>
                <w:sz w:val="20"/>
                <w:szCs w:val="20"/>
                <w:shd w:val="solid" w:color="000000" w:fill="000000"/>
                <w:fitText w:val="101" w:id="-1168367354"/>
                <w14:textFill>
                  <w14:solidFill>
                    <w14:srgbClr w14:val="000000">
                      <w14:alpha w14:val="100000"/>
                    </w14:srgbClr>
                  </w14:solidFill>
                </w14:textFill>
              </w:rPr>
              <w:t xml:space="preserve">　</w:t>
            </w:r>
            <w:r w:rsidRPr="002C3508">
              <w:rPr>
                <w:rFonts w:ascii="Arial Narrow" w:hAnsi="Arial Narrow"/>
                <w:bCs/>
                <w:color w:val="000000"/>
                <w:w w:val="22"/>
                <w:sz w:val="20"/>
                <w:szCs w:val="20"/>
                <w:shd w:val="solid" w:color="000000" w:fill="000000"/>
                <w:fitText w:val="101" w:id="-1168367354"/>
                <w14:textFill>
                  <w14:solidFill>
                    <w14:srgbClr w14:val="000000">
                      <w14:alpha w14:val="100000"/>
                    </w14:srgbClr>
                  </w14:solidFill>
                </w14:textFill>
              </w:rPr>
              <w:t>|</w:t>
            </w:r>
            <w:r w:rsidRPr="002C3508">
              <w:rPr>
                <w:rFonts w:ascii="Arial Narrow" w:hAnsi="Arial Narrow" w:hint="eastAsia"/>
                <w:bCs/>
                <w:color w:val="000000"/>
                <w:spacing w:val="4"/>
                <w:w w:val="22"/>
                <w:sz w:val="20"/>
                <w:szCs w:val="20"/>
                <w:shd w:val="solid" w:color="000000" w:fill="000000"/>
                <w:fitText w:val="101" w:id="-1168367354"/>
                <w14:textFill>
                  <w14:solidFill>
                    <w14:srgbClr w14:val="000000">
                      <w14:alpha w14:val="100000"/>
                    </w14:srgbClr>
                  </w14:solidFill>
                </w14:textFill>
              </w:rPr>
              <w:t xml:space="preserve">　</w:t>
            </w:r>
            <w:r w:rsidRPr="00B474C2">
              <w:rPr>
                <w:rFonts w:ascii="Arial Narrow" w:hAnsi="Arial Narrow"/>
                <w:bCs/>
                <w:color w:val="000000"/>
                <w:sz w:val="20"/>
                <w:szCs w:val="20"/>
              </w:rPr>
              <w:t xml:space="preserve"> </w:t>
            </w:r>
            <w:r w:rsidR="00313E60" w:rsidRPr="00313E60">
              <w:rPr>
                <w:rFonts w:ascii="Arial Narrow" w:hAnsi="Arial Narrow"/>
                <w:bCs/>
                <w:color w:val="000000"/>
                <w:sz w:val="20"/>
                <w:szCs w:val="20"/>
              </w:rPr>
              <w:t xml:space="preserve"> </w:t>
            </w:r>
            <w:r w:rsidR="00313E60" w:rsidRPr="00313E60">
              <w:rPr>
                <w:rFonts w:ascii="Arial Narrow" w:hAnsi="Arial Narrow"/>
                <w:bCs/>
                <w:color w:val="000000"/>
                <w:sz w:val="20"/>
                <w:szCs w:val="20"/>
                <w:vertAlign w:val="superscript"/>
              </w:rPr>
              <w:t>1</w:t>
            </w:r>
          </w:p>
        </w:tc>
      </w:tr>
      <w:tr w:rsidR="00AA563F" w:rsidRPr="00033E97" w14:paraId="5481E25E" w14:textId="77777777" w:rsidTr="008B46B0">
        <w:tc>
          <w:tcPr>
            <w:tcW w:w="2263" w:type="dxa"/>
            <w:tcBorders>
              <w:top w:val="single" w:sz="4" w:space="0" w:color="auto"/>
            </w:tcBorders>
            <w:shd w:val="clear" w:color="auto" w:fill="auto"/>
            <w:vAlign w:val="center"/>
          </w:tcPr>
          <w:p w14:paraId="1656B860" w14:textId="2B1851B0" w:rsidR="00280C4C" w:rsidRPr="004C41B1" w:rsidRDefault="0069319E" w:rsidP="00934AB0">
            <w:pPr>
              <w:keepNext/>
              <w:keepLines/>
              <w:jc w:val="left"/>
              <w:rPr>
                <w:rFonts w:ascii="Arial Narrow" w:hAnsi="Arial Narrow"/>
                <w:bCs/>
                <w:sz w:val="20"/>
                <w:szCs w:val="20"/>
              </w:rPr>
            </w:pPr>
            <w:r>
              <w:rPr>
                <w:rFonts w:ascii="Arial Narrow" w:hAnsi="Arial Narrow"/>
                <w:bCs/>
                <w:sz w:val="20"/>
                <w:szCs w:val="20"/>
              </w:rPr>
              <w:t>N</w:t>
            </w:r>
            <w:r w:rsidR="001118E2">
              <w:rPr>
                <w:rFonts w:ascii="Arial Narrow" w:hAnsi="Arial Narrow"/>
                <w:bCs/>
                <w:sz w:val="20"/>
                <w:szCs w:val="20"/>
              </w:rPr>
              <w:t>umber of</w:t>
            </w:r>
            <w:r>
              <w:rPr>
                <w:rFonts w:ascii="Arial Narrow" w:hAnsi="Arial Narrow"/>
                <w:bCs/>
                <w:sz w:val="20"/>
                <w:szCs w:val="20"/>
              </w:rPr>
              <w:t xml:space="preserve"> scripts dispensed</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17EBF7CB" w14:textId="1C163B8A" w:rsidR="00280C4C"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67" w:id="-1168367353"/>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67" w:id="-1168367353"/>
                <w14:textFill>
                  <w14:solidFill>
                    <w14:srgbClr w14:val="000000">
                      <w14:alpha w14:val="100000"/>
                    </w14:srgbClr>
                  </w14:solidFill>
                </w14:textFill>
              </w:rPr>
              <w:t>|</w:t>
            </w:r>
            <w:r w:rsidRPr="002C3508">
              <w:rPr>
                <w:rFonts w:ascii="Arial Narrow" w:hAnsi="Arial Narrow" w:hint="eastAsia"/>
                <w:bCs/>
                <w:color w:val="000000"/>
                <w:spacing w:val="1"/>
                <w:w w:val="15"/>
                <w:sz w:val="20"/>
                <w:szCs w:val="20"/>
                <w:shd w:val="solid" w:color="000000" w:fill="000000"/>
                <w:fitText w:val="67" w:id="-1168367353"/>
                <w14:textFill>
                  <w14:solidFill>
                    <w14:srgbClr w14:val="000000">
                      <w14:alpha w14:val="100000"/>
                    </w14:srgbClr>
                  </w14:solidFill>
                </w14:textFill>
              </w:rPr>
              <w:t xml:space="preserve">　</w:t>
            </w:r>
            <w:r w:rsidRPr="00B474C2">
              <w:rPr>
                <w:rFonts w:ascii="Arial Narrow" w:hAnsi="Arial Narrow"/>
                <w:bCs/>
                <w:color w:val="000000"/>
                <w:sz w:val="20"/>
                <w:szCs w:val="20"/>
              </w:rPr>
              <w:t xml:space="preserve"> </w:t>
            </w:r>
            <w:r w:rsidR="00313E60" w:rsidRPr="00313E60">
              <w:rPr>
                <w:rFonts w:ascii="Arial Narrow" w:hAnsi="Arial Narrow"/>
                <w:bCs/>
                <w:color w:val="000000"/>
                <w:sz w:val="20"/>
                <w:szCs w:val="20"/>
                <w:vertAlign w:val="superscript"/>
              </w:rPr>
              <w:t>2</w:t>
            </w:r>
          </w:p>
        </w:tc>
        <w:tc>
          <w:tcPr>
            <w:tcW w:w="1126" w:type="dxa"/>
            <w:tcBorders>
              <w:top w:val="single" w:sz="4" w:space="0" w:color="auto"/>
              <w:left w:val="nil"/>
              <w:bottom w:val="single" w:sz="4" w:space="0" w:color="auto"/>
              <w:right w:val="single" w:sz="4" w:space="0" w:color="auto"/>
            </w:tcBorders>
            <w:shd w:val="clear" w:color="auto" w:fill="auto"/>
            <w:vAlign w:val="center"/>
          </w:tcPr>
          <w:p w14:paraId="528DF412" w14:textId="2572DB12" w:rsidR="00280C4C"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67" w:id="-1168367352"/>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67" w:id="-1168367352"/>
                <w14:textFill>
                  <w14:solidFill>
                    <w14:srgbClr w14:val="000000">
                      <w14:alpha w14:val="100000"/>
                    </w14:srgbClr>
                  </w14:solidFill>
                </w14:textFill>
              </w:rPr>
              <w:t>|</w:t>
            </w:r>
            <w:r w:rsidRPr="002C3508">
              <w:rPr>
                <w:rFonts w:ascii="Arial Narrow" w:hAnsi="Arial Narrow" w:hint="eastAsia"/>
                <w:bCs/>
                <w:color w:val="000000"/>
                <w:spacing w:val="1"/>
                <w:w w:val="15"/>
                <w:sz w:val="20"/>
                <w:szCs w:val="20"/>
                <w:shd w:val="solid" w:color="000000" w:fill="000000"/>
                <w:fitText w:val="67" w:id="-1168367352"/>
                <w14:textFill>
                  <w14:solidFill>
                    <w14:srgbClr w14:val="000000">
                      <w14:alpha w14:val="100000"/>
                    </w14:srgbClr>
                  </w14:solidFill>
                </w14:textFill>
              </w:rPr>
              <w:t xml:space="preserve">　</w:t>
            </w:r>
            <w:r w:rsidRPr="00B474C2">
              <w:rPr>
                <w:rFonts w:ascii="Arial Narrow" w:hAnsi="Arial Narrow"/>
                <w:bCs/>
                <w:color w:val="000000"/>
                <w:sz w:val="20"/>
                <w:szCs w:val="20"/>
              </w:rPr>
              <w:t xml:space="preserve"> </w:t>
            </w:r>
            <w:r w:rsidR="00313E60">
              <w:rPr>
                <w:rFonts w:ascii="Arial Narrow" w:hAnsi="Arial Narrow"/>
                <w:bCs/>
                <w:color w:val="000000"/>
                <w:sz w:val="20"/>
                <w:szCs w:val="20"/>
                <w:vertAlign w:val="superscript"/>
              </w:rPr>
              <w:t>3</w:t>
            </w:r>
          </w:p>
        </w:tc>
        <w:tc>
          <w:tcPr>
            <w:tcW w:w="1126" w:type="dxa"/>
            <w:tcBorders>
              <w:top w:val="single" w:sz="4" w:space="0" w:color="auto"/>
              <w:left w:val="nil"/>
              <w:bottom w:val="single" w:sz="4" w:space="0" w:color="auto"/>
              <w:right w:val="single" w:sz="4" w:space="0" w:color="auto"/>
            </w:tcBorders>
            <w:shd w:val="clear" w:color="auto" w:fill="auto"/>
            <w:vAlign w:val="center"/>
          </w:tcPr>
          <w:p w14:paraId="2AD941C3" w14:textId="345530FE" w:rsidR="00280C4C"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67" w:id="-1168367351"/>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67" w:id="-1168367351"/>
                <w14:textFill>
                  <w14:solidFill>
                    <w14:srgbClr w14:val="000000">
                      <w14:alpha w14:val="100000"/>
                    </w14:srgbClr>
                  </w14:solidFill>
                </w14:textFill>
              </w:rPr>
              <w:t>|</w:t>
            </w:r>
            <w:r w:rsidRPr="002C3508">
              <w:rPr>
                <w:rFonts w:ascii="Arial Narrow" w:hAnsi="Arial Narrow" w:hint="eastAsia"/>
                <w:bCs/>
                <w:color w:val="000000"/>
                <w:spacing w:val="1"/>
                <w:w w:val="15"/>
                <w:sz w:val="20"/>
                <w:szCs w:val="20"/>
                <w:shd w:val="solid" w:color="000000" w:fill="000000"/>
                <w:fitText w:val="67" w:id="-1168367351"/>
                <w14:textFill>
                  <w14:solidFill>
                    <w14:srgbClr w14:val="000000">
                      <w14:alpha w14:val="100000"/>
                    </w14:srgbClr>
                  </w14:solidFill>
                </w14:textFill>
              </w:rPr>
              <w:t xml:space="preserve">　</w:t>
            </w:r>
            <w:r w:rsidRPr="00B474C2">
              <w:rPr>
                <w:rFonts w:ascii="Arial Narrow" w:hAnsi="Arial Narrow"/>
                <w:bCs/>
                <w:color w:val="000000"/>
                <w:sz w:val="20"/>
                <w:szCs w:val="20"/>
              </w:rPr>
              <w:t xml:space="preserve"> </w:t>
            </w:r>
            <w:r w:rsidR="00313E60">
              <w:rPr>
                <w:rFonts w:ascii="Arial Narrow" w:hAnsi="Arial Narrow"/>
                <w:bCs/>
                <w:color w:val="000000"/>
                <w:sz w:val="20"/>
                <w:szCs w:val="20"/>
                <w:vertAlign w:val="superscript"/>
              </w:rPr>
              <w:t>3</w:t>
            </w:r>
          </w:p>
        </w:tc>
        <w:tc>
          <w:tcPr>
            <w:tcW w:w="1125" w:type="dxa"/>
            <w:tcBorders>
              <w:top w:val="single" w:sz="4" w:space="0" w:color="auto"/>
              <w:left w:val="nil"/>
              <w:bottom w:val="single" w:sz="4" w:space="0" w:color="auto"/>
              <w:right w:val="single" w:sz="4" w:space="0" w:color="auto"/>
            </w:tcBorders>
            <w:shd w:val="clear" w:color="auto" w:fill="auto"/>
            <w:vAlign w:val="center"/>
          </w:tcPr>
          <w:p w14:paraId="6BBCACE7" w14:textId="3137EA51" w:rsidR="00280C4C"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67" w:id="-1168367350"/>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67" w:id="-1168367350"/>
                <w14:textFill>
                  <w14:solidFill>
                    <w14:srgbClr w14:val="000000">
                      <w14:alpha w14:val="100000"/>
                    </w14:srgbClr>
                  </w14:solidFill>
                </w14:textFill>
              </w:rPr>
              <w:t>|</w:t>
            </w:r>
            <w:r w:rsidRPr="002C3508">
              <w:rPr>
                <w:rFonts w:ascii="Arial Narrow" w:hAnsi="Arial Narrow" w:hint="eastAsia"/>
                <w:bCs/>
                <w:color w:val="000000"/>
                <w:spacing w:val="1"/>
                <w:w w:val="15"/>
                <w:sz w:val="20"/>
                <w:szCs w:val="20"/>
                <w:shd w:val="solid" w:color="000000" w:fill="000000"/>
                <w:fitText w:val="67" w:id="-1168367350"/>
                <w14:textFill>
                  <w14:solidFill>
                    <w14:srgbClr w14:val="000000">
                      <w14:alpha w14:val="100000"/>
                    </w14:srgbClr>
                  </w14:solidFill>
                </w14:textFill>
              </w:rPr>
              <w:t xml:space="preserve">　</w:t>
            </w:r>
            <w:r w:rsidRPr="00B474C2">
              <w:rPr>
                <w:rFonts w:ascii="Arial Narrow" w:hAnsi="Arial Narrow"/>
                <w:bCs/>
                <w:color w:val="000000"/>
                <w:sz w:val="20"/>
                <w:szCs w:val="20"/>
              </w:rPr>
              <w:t xml:space="preserve"> </w:t>
            </w:r>
            <w:r w:rsidR="00313E60">
              <w:rPr>
                <w:rFonts w:ascii="Arial Narrow" w:hAnsi="Arial Narrow"/>
                <w:bCs/>
                <w:color w:val="000000"/>
                <w:sz w:val="20"/>
                <w:szCs w:val="20"/>
                <w:vertAlign w:val="superscript"/>
              </w:rPr>
              <w:t>3</w:t>
            </w:r>
          </w:p>
        </w:tc>
        <w:tc>
          <w:tcPr>
            <w:tcW w:w="1126" w:type="dxa"/>
            <w:tcBorders>
              <w:top w:val="single" w:sz="4" w:space="0" w:color="auto"/>
              <w:left w:val="nil"/>
              <w:bottom w:val="single" w:sz="4" w:space="0" w:color="auto"/>
              <w:right w:val="single" w:sz="4" w:space="0" w:color="auto"/>
            </w:tcBorders>
            <w:shd w:val="clear" w:color="auto" w:fill="auto"/>
            <w:vAlign w:val="center"/>
          </w:tcPr>
          <w:p w14:paraId="40421CAB" w14:textId="798F495B" w:rsidR="00280C4C"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66" w:id="-1168367349"/>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66" w:id="-1168367349"/>
                <w14:textFill>
                  <w14:solidFill>
                    <w14:srgbClr w14:val="000000">
                      <w14:alpha w14:val="100000"/>
                    </w14:srgbClr>
                  </w14:solidFill>
                </w14:textFill>
              </w:rPr>
              <w:t>|</w:t>
            </w:r>
            <w:r w:rsidRPr="002C3508">
              <w:rPr>
                <w:rFonts w:ascii="Arial Narrow" w:hAnsi="Arial Narrow" w:hint="eastAsia"/>
                <w:bCs/>
                <w:color w:val="000000"/>
                <w:w w:val="15"/>
                <w:sz w:val="20"/>
                <w:szCs w:val="20"/>
                <w:shd w:val="solid" w:color="000000" w:fill="000000"/>
                <w:fitText w:val="66" w:id="-1168367349"/>
                <w14:textFill>
                  <w14:solidFill>
                    <w14:srgbClr w14:val="000000">
                      <w14:alpha w14:val="100000"/>
                    </w14:srgbClr>
                  </w14:solidFill>
                </w14:textFill>
              </w:rPr>
              <w:t xml:space="preserve">　</w:t>
            </w:r>
            <w:r w:rsidRPr="00B474C2">
              <w:rPr>
                <w:rFonts w:ascii="Arial Narrow" w:hAnsi="Arial Narrow"/>
                <w:bCs/>
                <w:color w:val="000000"/>
                <w:sz w:val="20"/>
                <w:szCs w:val="20"/>
              </w:rPr>
              <w:t xml:space="preserve"> </w:t>
            </w:r>
            <w:r w:rsidR="00313E60">
              <w:rPr>
                <w:rFonts w:ascii="Arial Narrow" w:hAnsi="Arial Narrow"/>
                <w:bCs/>
                <w:color w:val="000000"/>
                <w:sz w:val="20"/>
                <w:szCs w:val="20"/>
                <w:vertAlign w:val="superscript"/>
              </w:rPr>
              <w:t>3</w:t>
            </w:r>
          </w:p>
        </w:tc>
        <w:tc>
          <w:tcPr>
            <w:tcW w:w="1126" w:type="dxa"/>
            <w:tcBorders>
              <w:top w:val="single" w:sz="4" w:space="0" w:color="auto"/>
              <w:left w:val="nil"/>
              <w:bottom w:val="single" w:sz="4" w:space="0" w:color="auto"/>
              <w:right w:val="single" w:sz="4" w:space="0" w:color="auto"/>
            </w:tcBorders>
            <w:shd w:val="clear" w:color="auto" w:fill="auto"/>
            <w:vAlign w:val="center"/>
          </w:tcPr>
          <w:p w14:paraId="4352A49D" w14:textId="16BDED4F" w:rsidR="00280C4C" w:rsidRPr="00313E60" w:rsidRDefault="00B474C2" w:rsidP="00934AB0">
            <w:pPr>
              <w:keepNext/>
              <w:keepLines/>
              <w:jc w:val="center"/>
              <w:rPr>
                <w:rFonts w:ascii="Arial Narrow" w:hAnsi="Arial Narrow"/>
                <w:bCs/>
                <w:color w:val="000000"/>
                <w:sz w:val="20"/>
                <w:szCs w:val="20"/>
                <w:highlight w:val="lightGray"/>
                <w:vertAlign w:val="superscript"/>
              </w:rPr>
            </w:pPr>
            <w:r w:rsidRPr="002C3508">
              <w:rPr>
                <w:rFonts w:ascii="Arial Narrow" w:hAnsi="Arial Narrow" w:hint="eastAsia"/>
                <w:bCs/>
                <w:color w:val="000000"/>
                <w:w w:val="15"/>
                <w:sz w:val="20"/>
                <w:szCs w:val="20"/>
                <w:shd w:val="solid" w:color="000000" w:fill="000000"/>
                <w:fitText w:val="67" w:id="-1168367348"/>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67" w:id="-1168367348"/>
                <w14:textFill>
                  <w14:solidFill>
                    <w14:srgbClr w14:val="000000">
                      <w14:alpha w14:val="100000"/>
                    </w14:srgbClr>
                  </w14:solidFill>
                </w14:textFill>
              </w:rPr>
              <w:t>|</w:t>
            </w:r>
            <w:r w:rsidRPr="002C3508">
              <w:rPr>
                <w:rFonts w:ascii="Arial Narrow" w:hAnsi="Arial Narrow" w:hint="eastAsia"/>
                <w:bCs/>
                <w:color w:val="000000"/>
                <w:spacing w:val="1"/>
                <w:w w:val="15"/>
                <w:sz w:val="20"/>
                <w:szCs w:val="20"/>
                <w:shd w:val="solid" w:color="000000" w:fill="000000"/>
                <w:fitText w:val="67" w:id="-1168367348"/>
                <w14:textFill>
                  <w14:solidFill>
                    <w14:srgbClr w14:val="000000">
                      <w14:alpha w14:val="100000"/>
                    </w14:srgbClr>
                  </w14:solidFill>
                </w14:textFill>
              </w:rPr>
              <w:t xml:space="preserve">　</w:t>
            </w:r>
            <w:r w:rsidR="00280C4C" w:rsidRPr="00313E60">
              <w:rPr>
                <w:rFonts w:ascii="Arial Narrow" w:hAnsi="Arial Narrow"/>
                <w:bCs/>
                <w:color w:val="000000"/>
                <w:sz w:val="20"/>
                <w:szCs w:val="20"/>
              </w:rPr>
              <w:t xml:space="preserve"> </w:t>
            </w:r>
            <w:r w:rsidR="00313E60" w:rsidRPr="00313E60">
              <w:rPr>
                <w:rFonts w:ascii="Arial Narrow" w:hAnsi="Arial Narrow"/>
                <w:bCs/>
                <w:color w:val="000000"/>
                <w:sz w:val="20"/>
                <w:szCs w:val="20"/>
                <w:vertAlign w:val="superscript"/>
              </w:rPr>
              <w:t>2</w:t>
            </w:r>
          </w:p>
        </w:tc>
      </w:tr>
      <w:tr w:rsidR="00AA563F" w:rsidRPr="00E007AD" w14:paraId="4CE38A4C" w14:textId="77777777" w:rsidTr="008B46B0">
        <w:tc>
          <w:tcPr>
            <w:tcW w:w="2263" w:type="dxa"/>
            <w:shd w:val="clear" w:color="auto" w:fill="auto"/>
          </w:tcPr>
          <w:p w14:paraId="11F1D9F0" w14:textId="77777777" w:rsidR="00280C4C" w:rsidRPr="004C41B1" w:rsidRDefault="00280C4C" w:rsidP="00934AB0">
            <w:pPr>
              <w:pStyle w:val="COMTabletext"/>
              <w:keepLines/>
            </w:pPr>
            <w:r w:rsidRPr="004C41B1">
              <w:t>Net cost to PBS/RPBS</w:t>
            </w:r>
          </w:p>
        </w:tc>
        <w:tc>
          <w:tcPr>
            <w:tcW w:w="1125" w:type="dxa"/>
            <w:shd w:val="clear" w:color="auto" w:fill="auto"/>
          </w:tcPr>
          <w:p w14:paraId="064284C3" w14:textId="5E69D55E" w:rsidR="00280C4C"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33" w:id="-1168367347"/>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33" w:id="-1168367347"/>
                <w14:textFill>
                  <w14:solidFill>
                    <w14:srgbClr w14:val="000000">
                      <w14:alpha w14:val="100000"/>
                    </w14:srgbClr>
                  </w14:solidFill>
                </w14:textFill>
              </w:rPr>
              <w:t>|</w:t>
            </w:r>
            <w:r w:rsidRPr="002C3508">
              <w:rPr>
                <w:rFonts w:ascii="Arial Narrow" w:hAnsi="Arial Narrow" w:hint="eastAsia"/>
                <w:bCs/>
                <w:color w:val="000000"/>
                <w:spacing w:val="-66"/>
                <w:w w:val="15"/>
                <w:sz w:val="20"/>
                <w:szCs w:val="20"/>
                <w:shd w:val="solid" w:color="000000" w:fill="000000"/>
                <w:fitText w:val="33" w:id="-1168367347"/>
                <w14:textFill>
                  <w14:solidFill>
                    <w14:srgbClr w14:val="000000">
                      <w14:alpha w14:val="100000"/>
                    </w14:srgbClr>
                  </w14:solidFill>
                </w14:textFill>
              </w:rPr>
              <w:t xml:space="preserve">　</w:t>
            </w:r>
            <w:r w:rsidR="00313E60">
              <w:rPr>
                <w:rFonts w:ascii="Arial Narrow" w:hAnsi="Arial Narrow"/>
                <w:bCs/>
                <w:color w:val="000000"/>
                <w:sz w:val="20"/>
                <w:szCs w:val="20"/>
                <w:vertAlign w:val="superscript"/>
              </w:rPr>
              <w:t>4</w:t>
            </w:r>
          </w:p>
        </w:tc>
        <w:tc>
          <w:tcPr>
            <w:tcW w:w="1126" w:type="dxa"/>
            <w:shd w:val="clear" w:color="auto" w:fill="auto"/>
          </w:tcPr>
          <w:p w14:paraId="40EBE5A3" w14:textId="72BBC332" w:rsidR="00280C4C" w:rsidRPr="00313E60" w:rsidRDefault="00B474C2" w:rsidP="00934AB0">
            <w:pPr>
              <w:keepNext/>
              <w:keepLines/>
              <w:jc w:val="center"/>
              <w:rPr>
                <w:rFonts w:ascii="Arial Narrow" w:hAnsi="Arial Narrow"/>
                <w:bCs/>
                <w:color w:val="000000"/>
                <w:sz w:val="20"/>
                <w:szCs w:val="20"/>
                <w:highlight w:val="lightGray"/>
                <w:vertAlign w:val="superscript"/>
              </w:rPr>
            </w:pPr>
            <w:r w:rsidRPr="002C3508">
              <w:rPr>
                <w:rFonts w:ascii="Arial Narrow" w:hAnsi="Arial Narrow" w:hint="eastAsia"/>
                <w:bCs/>
                <w:color w:val="000000"/>
                <w:w w:val="15"/>
                <w:sz w:val="20"/>
                <w:szCs w:val="20"/>
                <w:shd w:val="solid" w:color="000000" w:fill="000000"/>
                <w:fitText w:val="33" w:id="-1168367346"/>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33" w:id="-1168367346"/>
                <w14:textFill>
                  <w14:solidFill>
                    <w14:srgbClr w14:val="000000">
                      <w14:alpha w14:val="100000"/>
                    </w14:srgbClr>
                  </w14:solidFill>
                </w14:textFill>
              </w:rPr>
              <w:t>|</w:t>
            </w:r>
            <w:r w:rsidRPr="002C3508">
              <w:rPr>
                <w:rFonts w:ascii="Arial Narrow" w:hAnsi="Arial Narrow" w:hint="eastAsia"/>
                <w:bCs/>
                <w:color w:val="000000"/>
                <w:spacing w:val="-66"/>
                <w:w w:val="15"/>
                <w:sz w:val="20"/>
                <w:szCs w:val="20"/>
                <w:shd w:val="solid" w:color="000000" w:fill="000000"/>
                <w:fitText w:val="33" w:id="-1168367346"/>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6</w:t>
            </w:r>
          </w:p>
        </w:tc>
        <w:tc>
          <w:tcPr>
            <w:tcW w:w="1126" w:type="dxa"/>
            <w:shd w:val="clear" w:color="auto" w:fill="auto"/>
          </w:tcPr>
          <w:p w14:paraId="34D56BEB" w14:textId="772FCC91" w:rsidR="00280C4C" w:rsidRPr="00313E60" w:rsidRDefault="00B474C2" w:rsidP="00934AB0">
            <w:pPr>
              <w:keepNext/>
              <w:keepLines/>
              <w:jc w:val="center"/>
              <w:rPr>
                <w:rFonts w:ascii="Arial Narrow" w:hAnsi="Arial Narrow"/>
                <w:bCs/>
                <w:color w:val="000000"/>
                <w:sz w:val="20"/>
                <w:szCs w:val="20"/>
                <w:highlight w:val="lightGray"/>
                <w:vertAlign w:val="superscript"/>
              </w:rPr>
            </w:pPr>
            <w:r w:rsidRPr="002C3508">
              <w:rPr>
                <w:rFonts w:ascii="Arial Narrow" w:hAnsi="Arial Narrow" w:hint="eastAsia"/>
                <w:bCs/>
                <w:color w:val="000000"/>
                <w:w w:val="15"/>
                <w:sz w:val="20"/>
                <w:szCs w:val="20"/>
                <w:shd w:val="solid" w:color="000000" w:fill="000000"/>
                <w:fitText w:val="34" w:id="-1168367345"/>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34" w:id="-1168367345"/>
                <w14:textFill>
                  <w14:solidFill>
                    <w14:srgbClr w14:val="000000">
                      <w14:alpha w14:val="100000"/>
                    </w14:srgbClr>
                  </w14:solidFill>
                </w14:textFill>
              </w:rPr>
              <w:t>|</w:t>
            </w:r>
            <w:r w:rsidRPr="002C3508">
              <w:rPr>
                <w:rFonts w:ascii="Arial Narrow" w:hAnsi="Arial Narrow" w:hint="eastAsia"/>
                <w:bCs/>
                <w:color w:val="000000"/>
                <w:spacing w:val="-50"/>
                <w:w w:val="15"/>
                <w:sz w:val="20"/>
                <w:szCs w:val="20"/>
                <w:shd w:val="solid" w:color="000000" w:fill="000000"/>
                <w:fitText w:val="34" w:id="-1168367345"/>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7</w:t>
            </w:r>
          </w:p>
        </w:tc>
        <w:tc>
          <w:tcPr>
            <w:tcW w:w="1125" w:type="dxa"/>
            <w:shd w:val="clear" w:color="auto" w:fill="auto"/>
          </w:tcPr>
          <w:p w14:paraId="7A99D7B5" w14:textId="29775332" w:rsidR="00280C4C"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34" w:id="-1168367344"/>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34" w:id="-1168367344"/>
                <w14:textFill>
                  <w14:solidFill>
                    <w14:srgbClr w14:val="000000">
                      <w14:alpha w14:val="100000"/>
                    </w14:srgbClr>
                  </w14:solidFill>
                </w14:textFill>
              </w:rPr>
              <w:t>|</w:t>
            </w:r>
            <w:r w:rsidRPr="002C3508">
              <w:rPr>
                <w:rFonts w:ascii="Arial Narrow" w:hAnsi="Arial Narrow" w:hint="eastAsia"/>
                <w:bCs/>
                <w:color w:val="000000"/>
                <w:spacing w:val="-50"/>
                <w:w w:val="15"/>
                <w:sz w:val="20"/>
                <w:szCs w:val="20"/>
                <w:shd w:val="solid" w:color="000000" w:fill="000000"/>
                <w:fitText w:val="34" w:id="-1168367344"/>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6</w:t>
            </w:r>
          </w:p>
        </w:tc>
        <w:tc>
          <w:tcPr>
            <w:tcW w:w="1126" w:type="dxa"/>
            <w:shd w:val="clear" w:color="auto" w:fill="auto"/>
          </w:tcPr>
          <w:p w14:paraId="7AF52393" w14:textId="71D901F1" w:rsidR="00280C4C"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33" w:id="-1168367360"/>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33" w:id="-1168367360"/>
                <w14:textFill>
                  <w14:solidFill>
                    <w14:srgbClr w14:val="000000">
                      <w14:alpha w14:val="100000"/>
                    </w14:srgbClr>
                  </w14:solidFill>
                </w14:textFill>
              </w:rPr>
              <w:t>|</w:t>
            </w:r>
            <w:r w:rsidRPr="002C3508">
              <w:rPr>
                <w:rFonts w:ascii="Arial Narrow" w:hAnsi="Arial Narrow" w:hint="eastAsia"/>
                <w:bCs/>
                <w:color w:val="000000"/>
                <w:spacing w:val="-66"/>
                <w:w w:val="15"/>
                <w:sz w:val="20"/>
                <w:szCs w:val="20"/>
                <w:shd w:val="solid" w:color="000000" w:fill="000000"/>
                <w:fitText w:val="33" w:id="-1168367360"/>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6</w:t>
            </w:r>
          </w:p>
        </w:tc>
        <w:tc>
          <w:tcPr>
            <w:tcW w:w="1126" w:type="dxa"/>
            <w:shd w:val="clear" w:color="auto" w:fill="auto"/>
          </w:tcPr>
          <w:p w14:paraId="2962C31A" w14:textId="5C3DC468" w:rsidR="00280C4C" w:rsidRPr="00313E60" w:rsidRDefault="00B474C2" w:rsidP="00934AB0">
            <w:pPr>
              <w:keepNext/>
              <w:keepLines/>
              <w:jc w:val="center"/>
              <w:rPr>
                <w:rFonts w:ascii="Arial Narrow" w:hAnsi="Arial Narrow"/>
                <w:bCs/>
                <w:color w:val="000000"/>
                <w:sz w:val="20"/>
                <w:szCs w:val="20"/>
                <w:highlight w:val="lightGray"/>
                <w:vertAlign w:val="superscript"/>
              </w:rPr>
            </w:pPr>
            <w:r w:rsidRPr="002C3508">
              <w:rPr>
                <w:rFonts w:ascii="Arial Narrow" w:hAnsi="Arial Narrow" w:hint="eastAsia"/>
                <w:bCs/>
                <w:color w:val="000000"/>
                <w:w w:val="15"/>
                <w:sz w:val="20"/>
                <w:szCs w:val="20"/>
                <w:shd w:val="solid" w:color="000000" w:fill="000000"/>
                <w:fitText w:val="33" w:id="-1168367104"/>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33" w:id="-1168367104"/>
                <w14:textFill>
                  <w14:solidFill>
                    <w14:srgbClr w14:val="000000">
                      <w14:alpha w14:val="100000"/>
                    </w14:srgbClr>
                  </w14:solidFill>
                </w14:textFill>
              </w:rPr>
              <w:t>|</w:t>
            </w:r>
            <w:r w:rsidRPr="002C3508">
              <w:rPr>
                <w:rFonts w:ascii="Arial Narrow" w:hAnsi="Arial Narrow" w:hint="eastAsia"/>
                <w:bCs/>
                <w:color w:val="000000"/>
                <w:spacing w:val="-66"/>
                <w:w w:val="15"/>
                <w:sz w:val="20"/>
                <w:szCs w:val="20"/>
                <w:shd w:val="solid" w:color="000000" w:fill="000000"/>
                <w:fitText w:val="33" w:id="-1168367104"/>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5</w:t>
            </w:r>
          </w:p>
        </w:tc>
      </w:tr>
      <w:tr w:rsidR="00AA563F" w:rsidRPr="00E007AD" w14:paraId="6EF464D9" w14:textId="77777777" w:rsidTr="008B46B0">
        <w:tc>
          <w:tcPr>
            <w:tcW w:w="2263" w:type="dxa"/>
            <w:shd w:val="clear" w:color="auto" w:fill="auto"/>
          </w:tcPr>
          <w:p w14:paraId="2F4EFE5F" w14:textId="6F3FD652" w:rsidR="003720FA" w:rsidRPr="004C41B1" w:rsidRDefault="00F4507F" w:rsidP="00934AB0">
            <w:pPr>
              <w:pStyle w:val="COMTabletext"/>
              <w:keepLines/>
            </w:pPr>
            <w:r w:rsidRPr="004C41B1">
              <w:t xml:space="preserve">Net cost to </w:t>
            </w:r>
            <w:r w:rsidR="003720FA" w:rsidRPr="004C41B1">
              <w:t>MBS</w:t>
            </w:r>
          </w:p>
        </w:tc>
        <w:tc>
          <w:tcPr>
            <w:tcW w:w="1125" w:type="dxa"/>
            <w:shd w:val="clear" w:color="auto" w:fill="auto"/>
            <w:vAlign w:val="center"/>
          </w:tcPr>
          <w:p w14:paraId="04815862" w14:textId="7DEC5BAB" w:rsidR="003720FA" w:rsidRPr="00F555C9" w:rsidRDefault="00B474C2" w:rsidP="00934AB0">
            <w:pPr>
              <w:keepNext/>
              <w:keepLines/>
              <w:jc w:val="center"/>
              <w:rPr>
                <w:rFonts w:ascii="Arial Narrow" w:hAnsi="Arial Narrow"/>
                <w:bCs/>
                <w:color w:val="000000"/>
                <w:sz w:val="20"/>
                <w:szCs w:val="20"/>
                <w:highlight w:val="lightGray"/>
                <w:vertAlign w:val="superscript"/>
              </w:rPr>
            </w:pPr>
            <w:r w:rsidRPr="002C3508">
              <w:rPr>
                <w:rFonts w:ascii="Arial Narrow" w:hAnsi="Arial Narrow" w:hint="eastAsia"/>
                <w:bCs/>
                <w:color w:val="000000"/>
                <w:w w:val="15"/>
                <w:sz w:val="20"/>
                <w:szCs w:val="20"/>
                <w:shd w:val="solid" w:color="000000" w:fill="000000"/>
                <w:fitText w:val="67" w:id="-1168367103"/>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67" w:id="-1168367103"/>
                <w14:textFill>
                  <w14:solidFill>
                    <w14:srgbClr w14:val="000000">
                      <w14:alpha w14:val="100000"/>
                    </w14:srgbClr>
                  </w14:solidFill>
                </w14:textFill>
              </w:rPr>
              <w:t>|</w:t>
            </w:r>
            <w:r w:rsidRPr="002C3508">
              <w:rPr>
                <w:rFonts w:ascii="Arial Narrow" w:hAnsi="Arial Narrow" w:hint="eastAsia"/>
                <w:bCs/>
                <w:color w:val="000000"/>
                <w:spacing w:val="1"/>
                <w:w w:val="15"/>
                <w:sz w:val="20"/>
                <w:szCs w:val="20"/>
                <w:shd w:val="solid" w:color="000000" w:fill="000000"/>
                <w:fitText w:val="67" w:id="-1168367103"/>
                <w14:textFill>
                  <w14:solidFill>
                    <w14:srgbClr w14:val="000000">
                      <w14:alpha w14:val="100000"/>
                    </w14:srgbClr>
                  </w14:solidFill>
                </w14:textFill>
              </w:rPr>
              <w:t xml:space="preserve">　</w:t>
            </w:r>
            <w:r w:rsidR="00F555C9" w:rsidRPr="00F555C9">
              <w:rPr>
                <w:rFonts w:ascii="Arial Narrow" w:hAnsi="Arial Narrow"/>
                <w:bCs/>
                <w:color w:val="000000"/>
                <w:sz w:val="20"/>
                <w:szCs w:val="20"/>
                <w:vertAlign w:val="superscript"/>
              </w:rPr>
              <w:t>10</w:t>
            </w:r>
          </w:p>
        </w:tc>
        <w:tc>
          <w:tcPr>
            <w:tcW w:w="1126" w:type="dxa"/>
            <w:shd w:val="clear" w:color="auto" w:fill="auto"/>
            <w:vAlign w:val="center"/>
          </w:tcPr>
          <w:p w14:paraId="71286138" w14:textId="348859DF" w:rsidR="003720FA"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67" w:id="-1168367102"/>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67" w:id="-1168367102"/>
                <w14:textFill>
                  <w14:solidFill>
                    <w14:srgbClr w14:val="000000">
                      <w14:alpha w14:val="100000"/>
                    </w14:srgbClr>
                  </w14:solidFill>
                </w14:textFill>
              </w:rPr>
              <w:t>|</w:t>
            </w:r>
            <w:r w:rsidRPr="002C3508">
              <w:rPr>
                <w:rFonts w:ascii="Arial Narrow" w:hAnsi="Arial Narrow" w:hint="eastAsia"/>
                <w:bCs/>
                <w:color w:val="000000"/>
                <w:spacing w:val="1"/>
                <w:w w:val="15"/>
                <w:sz w:val="20"/>
                <w:szCs w:val="20"/>
                <w:shd w:val="solid" w:color="000000" w:fill="000000"/>
                <w:fitText w:val="67" w:id="-1168367102"/>
                <w14:textFill>
                  <w14:solidFill>
                    <w14:srgbClr w14:val="000000">
                      <w14:alpha w14:val="100000"/>
                    </w14:srgbClr>
                  </w14:solidFill>
                </w14:textFill>
              </w:rPr>
              <w:t xml:space="preserve">　</w:t>
            </w:r>
            <w:r w:rsidR="00F555C9" w:rsidRPr="00F555C9">
              <w:rPr>
                <w:rFonts w:ascii="Arial Narrow" w:hAnsi="Arial Narrow"/>
                <w:bCs/>
                <w:color w:val="000000"/>
                <w:sz w:val="20"/>
                <w:szCs w:val="20"/>
                <w:vertAlign w:val="superscript"/>
              </w:rPr>
              <w:t>10</w:t>
            </w:r>
          </w:p>
        </w:tc>
        <w:tc>
          <w:tcPr>
            <w:tcW w:w="1126" w:type="dxa"/>
            <w:shd w:val="clear" w:color="auto" w:fill="auto"/>
            <w:vAlign w:val="center"/>
          </w:tcPr>
          <w:p w14:paraId="35269555" w14:textId="724F5B48" w:rsidR="003720FA"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67" w:id="-1168367101"/>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67" w:id="-1168367101"/>
                <w14:textFill>
                  <w14:solidFill>
                    <w14:srgbClr w14:val="000000">
                      <w14:alpha w14:val="100000"/>
                    </w14:srgbClr>
                  </w14:solidFill>
                </w14:textFill>
              </w:rPr>
              <w:t>|</w:t>
            </w:r>
            <w:r w:rsidRPr="002C3508">
              <w:rPr>
                <w:rFonts w:ascii="Arial Narrow" w:hAnsi="Arial Narrow" w:hint="eastAsia"/>
                <w:bCs/>
                <w:color w:val="000000"/>
                <w:spacing w:val="1"/>
                <w:w w:val="15"/>
                <w:sz w:val="20"/>
                <w:szCs w:val="20"/>
                <w:shd w:val="solid" w:color="000000" w:fill="000000"/>
                <w:fitText w:val="67" w:id="-1168367101"/>
                <w14:textFill>
                  <w14:solidFill>
                    <w14:srgbClr w14:val="000000">
                      <w14:alpha w14:val="100000"/>
                    </w14:srgbClr>
                  </w14:solidFill>
                </w14:textFill>
              </w:rPr>
              <w:t xml:space="preserve">　</w:t>
            </w:r>
            <w:r w:rsidR="00F555C9" w:rsidRPr="00F555C9">
              <w:rPr>
                <w:rFonts w:ascii="Arial Narrow" w:hAnsi="Arial Narrow"/>
                <w:bCs/>
                <w:color w:val="000000"/>
                <w:sz w:val="20"/>
                <w:szCs w:val="20"/>
                <w:vertAlign w:val="superscript"/>
              </w:rPr>
              <w:t>10</w:t>
            </w:r>
          </w:p>
        </w:tc>
        <w:tc>
          <w:tcPr>
            <w:tcW w:w="1125" w:type="dxa"/>
            <w:shd w:val="clear" w:color="auto" w:fill="auto"/>
            <w:vAlign w:val="center"/>
          </w:tcPr>
          <w:p w14:paraId="243BBE9D" w14:textId="75591F22" w:rsidR="003720FA"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67" w:id="-1168367100"/>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67" w:id="-1168367100"/>
                <w14:textFill>
                  <w14:solidFill>
                    <w14:srgbClr w14:val="000000">
                      <w14:alpha w14:val="100000"/>
                    </w14:srgbClr>
                  </w14:solidFill>
                </w14:textFill>
              </w:rPr>
              <w:t>|</w:t>
            </w:r>
            <w:r w:rsidRPr="002C3508">
              <w:rPr>
                <w:rFonts w:ascii="Arial Narrow" w:hAnsi="Arial Narrow" w:hint="eastAsia"/>
                <w:bCs/>
                <w:color w:val="000000"/>
                <w:spacing w:val="1"/>
                <w:w w:val="15"/>
                <w:sz w:val="20"/>
                <w:szCs w:val="20"/>
                <w:shd w:val="solid" w:color="000000" w:fill="000000"/>
                <w:fitText w:val="67" w:id="-1168367100"/>
                <w14:textFill>
                  <w14:solidFill>
                    <w14:srgbClr w14:val="000000">
                      <w14:alpha w14:val="100000"/>
                    </w14:srgbClr>
                  </w14:solidFill>
                </w14:textFill>
              </w:rPr>
              <w:t xml:space="preserve">　</w:t>
            </w:r>
            <w:r w:rsidR="00F555C9" w:rsidRPr="00F555C9">
              <w:rPr>
                <w:rFonts w:ascii="Arial Narrow" w:hAnsi="Arial Narrow"/>
                <w:bCs/>
                <w:color w:val="000000"/>
                <w:sz w:val="20"/>
                <w:szCs w:val="20"/>
                <w:vertAlign w:val="superscript"/>
              </w:rPr>
              <w:t>10</w:t>
            </w:r>
          </w:p>
        </w:tc>
        <w:tc>
          <w:tcPr>
            <w:tcW w:w="1126" w:type="dxa"/>
            <w:shd w:val="clear" w:color="auto" w:fill="auto"/>
            <w:vAlign w:val="center"/>
          </w:tcPr>
          <w:p w14:paraId="230C539F" w14:textId="5D6D794D" w:rsidR="003720FA"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66" w:id="-1168367099"/>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66" w:id="-1168367099"/>
                <w14:textFill>
                  <w14:solidFill>
                    <w14:srgbClr w14:val="000000">
                      <w14:alpha w14:val="100000"/>
                    </w14:srgbClr>
                  </w14:solidFill>
                </w14:textFill>
              </w:rPr>
              <w:t>|</w:t>
            </w:r>
            <w:r w:rsidRPr="002C3508">
              <w:rPr>
                <w:rFonts w:ascii="Arial Narrow" w:hAnsi="Arial Narrow" w:hint="eastAsia"/>
                <w:bCs/>
                <w:color w:val="000000"/>
                <w:w w:val="15"/>
                <w:sz w:val="20"/>
                <w:szCs w:val="20"/>
                <w:shd w:val="solid" w:color="000000" w:fill="000000"/>
                <w:fitText w:val="66" w:id="-1168367099"/>
                <w14:textFill>
                  <w14:solidFill>
                    <w14:srgbClr w14:val="000000">
                      <w14:alpha w14:val="100000"/>
                    </w14:srgbClr>
                  </w14:solidFill>
                </w14:textFill>
              </w:rPr>
              <w:t xml:space="preserve">　</w:t>
            </w:r>
            <w:r w:rsidR="00F555C9" w:rsidRPr="00F555C9">
              <w:rPr>
                <w:rFonts w:ascii="Arial Narrow" w:hAnsi="Arial Narrow"/>
                <w:bCs/>
                <w:color w:val="000000"/>
                <w:sz w:val="20"/>
                <w:szCs w:val="20"/>
                <w:vertAlign w:val="superscript"/>
              </w:rPr>
              <w:t>10</w:t>
            </w:r>
          </w:p>
        </w:tc>
        <w:tc>
          <w:tcPr>
            <w:tcW w:w="1126" w:type="dxa"/>
            <w:shd w:val="clear" w:color="auto" w:fill="auto"/>
            <w:vAlign w:val="center"/>
          </w:tcPr>
          <w:p w14:paraId="2AF0B249" w14:textId="6AD8FA2A" w:rsidR="003720FA"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67" w:id="-1168367098"/>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67" w:id="-1168367098"/>
                <w14:textFill>
                  <w14:solidFill>
                    <w14:srgbClr w14:val="000000">
                      <w14:alpha w14:val="100000"/>
                    </w14:srgbClr>
                  </w14:solidFill>
                </w14:textFill>
              </w:rPr>
              <w:t>|</w:t>
            </w:r>
            <w:r w:rsidRPr="002C3508">
              <w:rPr>
                <w:rFonts w:ascii="Arial Narrow" w:hAnsi="Arial Narrow" w:hint="eastAsia"/>
                <w:bCs/>
                <w:color w:val="000000"/>
                <w:spacing w:val="1"/>
                <w:w w:val="15"/>
                <w:sz w:val="20"/>
                <w:szCs w:val="20"/>
                <w:shd w:val="solid" w:color="000000" w:fill="000000"/>
                <w:fitText w:val="67" w:id="-1168367098"/>
                <w14:textFill>
                  <w14:solidFill>
                    <w14:srgbClr w14:val="000000">
                      <w14:alpha w14:val="100000"/>
                    </w14:srgbClr>
                  </w14:solidFill>
                </w14:textFill>
              </w:rPr>
              <w:t xml:space="preserve">　</w:t>
            </w:r>
            <w:r w:rsidR="00F555C9" w:rsidRPr="00F555C9">
              <w:rPr>
                <w:rFonts w:ascii="Arial Narrow" w:hAnsi="Arial Narrow"/>
                <w:bCs/>
                <w:color w:val="000000"/>
                <w:sz w:val="20"/>
                <w:szCs w:val="20"/>
                <w:vertAlign w:val="superscript"/>
              </w:rPr>
              <w:t>10</w:t>
            </w:r>
          </w:p>
        </w:tc>
      </w:tr>
      <w:tr w:rsidR="00AA563F" w:rsidRPr="000F5115" w14:paraId="3AFCCD32" w14:textId="77777777" w:rsidTr="008B46B0">
        <w:tc>
          <w:tcPr>
            <w:tcW w:w="2263" w:type="dxa"/>
            <w:shd w:val="clear" w:color="auto" w:fill="auto"/>
            <w:vAlign w:val="center"/>
          </w:tcPr>
          <w:p w14:paraId="1831F972" w14:textId="661D6CDD" w:rsidR="000F5115" w:rsidRPr="004C41B1" w:rsidRDefault="00AA563F" w:rsidP="00934AB0">
            <w:pPr>
              <w:pStyle w:val="COMTabletext"/>
              <w:keepLines/>
              <w:rPr>
                <w:b/>
              </w:rPr>
            </w:pPr>
            <w:r>
              <w:rPr>
                <w:b/>
                <w:szCs w:val="20"/>
              </w:rPr>
              <w:t>Net</w:t>
            </w:r>
            <w:r w:rsidR="000F5115" w:rsidRPr="004C41B1">
              <w:rPr>
                <w:b/>
                <w:szCs w:val="20"/>
              </w:rPr>
              <w:t xml:space="preserve"> cost to PBS/RPBS/MBS</w:t>
            </w:r>
          </w:p>
        </w:tc>
        <w:tc>
          <w:tcPr>
            <w:tcW w:w="1125" w:type="dxa"/>
            <w:shd w:val="clear" w:color="auto" w:fill="auto"/>
            <w:vAlign w:val="center"/>
          </w:tcPr>
          <w:p w14:paraId="503B575D" w14:textId="42A4A622" w:rsidR="000F5115" w:rsidRPr="00313E60" w:rsidRDefault="00B474C2" w:rsidP="00934AB0">
            <w:pPr>
              <w:keepNext/>
              <w:keepLines/>
              <w:jc w:val="center"/>
              <w:rPr>
                <w:rFonts w:ascii="Arial Narrow" w:hAnsi="Arial Narrow"/>
                <w:b/>
                <w:bCs/>
                <w:color w:val="000000"/>
                <w:sz w:val="20"/>
                <w:szCs w:val="20"/>
                <w:highlight w:val="lightGray"/>
              </w:rPr>
            </w:pPr>
            <w:r w:rsidRPr="00B474C2">
              <w:rPr>
                <w:rFonts w:ascii="Arial Narrow" w:hAnsi="Arial Narrow" w:hint="eastAsia"/>
                <w:b/>
                <w:bCs/>
                <w:color w:val="000000"/>
                <w:w w:val="18"/>
                <w:sz w:val="20"/>
                <w:szCs w:val="20"/>
                <w:shd w:val="solid" w:color="000000" w:fill="000000"/>
                <w:fitText w:val="84" w:id="-1168367097"/>
                <w14:textFill>
                  <w14:solidFill>
                    <w14:srgbClr w14:val="000000">
                      <w14:alpha w14:val="100000"/>
                    </w14:srgbClr>
                  </w14:solidFill>
                </w14:textFill>
              </w:rPr>
              <w:t xml:space="preserve">　</w:t>
            </w:r>
            <w:r w:rsidRPr="00B474C2">
              <w:rPr>
                <w:rFonts w:ascii="Arial Narrow" w:hAnsi="Arial Narrow"/>
                <w:b/>
                <w:bCs/>
                <w:color w:val="000000"/>
                <w:w w:val="18"/>
                <w:sz w:val="20"/>
                <w:szCs w:val="20"/>
                <w:shd w:val="solid" w:color="000000" w:fill="000000"/>
                <w:fitText w:val="84" w:id="-1168367097"/>
                <w14:textFill>
                  <w14:solidFill>
                    <w14:srgbClr w14:val="000000">
                      <w14:alpha w14:val="100000"/>
                    </w14:srgbClr>
                  </w14:solidFill>
                </w14:textFill>
              </w:rPr>
              <w:t>|</w:t>
            </w:r>
            <w:r w:rsidRPr="00B474C2">
              <w:rPr>
                <w:rFonts w:ascii="Arial Narrow" w:hAnsi="Arial Narrow" w:hint="eastAsia"/>
                <w:b/>
                <w:bCs/>
                <w:color w:val="000000"/>
                <w:spacing w:val="3"/>
                <w:w w:val="18"/>
                <w:sz w:val="20"/>
                <w:szCs w:val="20"/>
                <w:shd w:val="solid" w:color="000000" w:fill="000000"/>
                <w:fitText w:val="84" w:id="-1168367097"/>
                <w14:textFill>
                  <w14:solidFill>
                    <w14:srgbClr w14:val="000000">
                      <w14:alpha w14:val="100000"/>
                    </w14:srgbClr>
                  </w14:solidFill>
                </w14:textFill>
              </w:rPr>
              <w:t xml:space="preserve">　</w:t>
            </w:r>
            <w:r w:rsidR="00313E60">
              <w:rPr>
                <w:rFonts w:ascii="Arial Narrow" w:hAnsi="Arial Narrow"/>
                <w:bCs/>
                <w:color w:val="000000"/>
                <w:sz w:val="20"/>
                <w:szCs w:val="20"/>
                <w:vertAlign w:val="superscript"/>
              </w:rPr>
              <w:t>4</w:t>
            </w:r>
          </w:p>
        </w:tc>
        <w:tc>
          <w:tcPr>
            <w:tcW w:w="1126" w:type="dxa"/>
            <w:shd w:val="clear" w:color="auto" w:fill="auto"/>
            <w:vAlign w:val="center"/>
          </w:tcPr>
          <w:p w14:paraId="0F937988" w14:textId="0AF9ACBD" w:rsidR="000F5115" w:rsidRPr="00313E60" w:rsidRDefault="00B474C2" w:rsidP="00934AB0">
            <w:pPr>
              <w:keepNext/>
              <w:keepLines/>
              <w:jc w:val="center"/>
              <w:rPr>
                <w:rFonts w:ascii="Arial Narrow" w:hAnsi="Arial Narrow"/>
                <w:b/>
                <w:bCs/>
                <w:color w:val="000000"/>
                <w:sz w:val="20"/>
                <w:szCs w:val="20"/>
                <w:highlight w:val="lightGray"/>
              </w:rPr>
            </w:pPr>
            <w:r w:rsidRPr="00B474C2">
              <w:rPr>
                <w:rFonts w:ascii="Arial Narrow" w:hAnsi="Arial Narrow" w:hint="eastAsia"/>
                <w:b/>
                <w:bCs/>
                <w:color w:val="000000"/>
                <w:w w:val="18"/>
                <w:sz w:val="20"/>
                <w:szCs w:val="20"/>
                <w:shd w:val="solid" w:color="000000" w:fill="000000"/>
                <w:fitText w:val="84" w:id="-1168367096"/>
                <w14:textFill>
                  <w14:solidFill>
                    <w14:srgbClr w14:val="000000">
                      <w14:alpha w14:val="100000"/>
                    </w14:srgbClr>
                  </w14:solidFill>
                </w14:textFill>
              </w:rPr>
              <w:t xml:space="preserve">　</w:t>
            </w:r>
            <w:r w:rsidRPr="00B474C2">
              <w:rPr>
                <w:rFonts w:ascii="Arial Narrow" w:hAnsi="Arial Narrow"/>
                <w:b/>
                <w:bCs/>
                <w:color w:val="000000"/>
                <w:w w:val="18"/>
                <w:sz w:val="20"/>
                <w:szCs w:val="20"/>
                <w:shd w:val="solid" w:color="000000" w:fill="000000"/>
                <w:fitText w:val="84" w:id="-1168367096"/>
                <w14:textFill>
                  <w14:solidFill>
                    <w14:srgbClr w14:val="000000">
                      <w14:alpha w14:val="100000"/>
                    </w14:srgbClr>
                  </w14:solidFill>
                </w14:textFill>
              </w:rPr>
              <w:t>|</w:t>
            </w:r>
            <w:r w:rsidRPr="00B474C2">
              <w:rPr>
                <w:rFonts w:ascii="Arial Narrow" w:hAnsi="Arial Narrow" w:hint="eastAsia"/>
                <w:b/>
                <w:bCs/>
                <w:color w:val="000000"/>
                <w:spacing w:val="3"/>
                <w:w w:val="18"/>
                <w:sz w:val="20"/>
                <w:szCs w:val="20"/>
                <w:shd w:val="solid" w:color="000000" w:fill="000000"/>
                <w:fitText w:val="84" w:id="-1168367096"/>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6</w:t>
            </w:r>
          </w:p>
        </w:tc>
        <w:tc>
          <w:tcPr>
            <w:tcW w:w="1126" w:type="dxa"/>
            <w:shd w:val="clear" w:color="auto" w:fill="auto"/>
            <w:vAlign w:val="center"/>
          </w:tcPr>
          <w:p w14:paraId="27AA1BB7" w14:textId="17E2A122" w:rsidR="000F5115" w:rsidRPr="00313E60" w:rsidRDefault="00B474C2" w:rsidP="00934AB0">
            <w:pPr>
              <w:keepNext/>
              <w:keepLines/>
              <w:jc w:val="center"/>
              <w:rPr>
                <w:rFonts w:ascii="Arial Narrow" w:hAnsi="Arial Narrow"/>
                <w:b/>
                <w:bCs/>
                <w:color w:val="000000"/>
                <w:sz w:val="20"/>
                <w:szCs w:val="20"/>
                <w:highlight w:val="lightGray"/>
              </w:rPr>
            </w:pPr>
            <w:r w:rsidRPr="002C3508">
              <w:rPr>
                <w:rFonts w:ascii="Arial Narrow" w:hAnsi="Arial Narrow" w:hint="eastAsia"/>
                <w:b/>
                <w:bCs/>
                <w:color w:val="000000"/>
                <w:spacing w:val="8"/>
                <w:w w:val="15"/>
                <w:sz w:val="20"/>
                <w:szCs w:val="20"/>
                <w:shd w:val="solid" w:color="000000" w:fill="000000"/>
                <w:fitText w:val="83" w:id="-1168367095"/>
                <w14:textFill>
                  <w14:solidFill>
                    <w14:srgbClr w14:val="000000">
                      <w14:alpha w14:val="100000"/>
                    </w14:srgbClr>
                  </w14:solidFill>
                </w14:textFill>
              </w:rPr>
              <w:t xml:space="preserve">　</w:t>
            </w:r>
            <w:r w:rsidRPr="002C3508">
              <w:rPr>
                <w:rFonts w:ascii="Arial Narrow" w:hAnsi="Arial Narrow"/>
                <w:b/>
                <w:bCs/>
                <w:color w:val="000000"/>
                <w:spacing w:val="8"/>
                <w:w w:val="15"/>
                <w:sz w:val="20"/>
                <w:szCs w:val="20"/>
                <w:shd w:val="solid" w:color="000000" w:fill="000000"/>
                <w:fitText w:val="83" w:id="-1168367095"/>
                <w14:textFill>
                  <w14:solidFill>
                    <w14:srgbClr w14:val="000000">
                      <w14:alpha w14:val="100000"/>
                    </w14:srgbClr>
                  </w14:solidFill>
                </w14:textFill>
              </w:rPr>
              <w:t>|</w:t>
            </w:r>
            <w:r w:rsidRPr="002C3508">
              <w:rPr>
                <w:rFonts w:ascii="Arial Narrow" w:hAnsi="Arial Narrow" w:hint="eastAsia"/>
                <w:b/>
                <w:bCs/>
                <w:color w:val="000000"/>
                <w:spacing w:val="1"/>
                <w:w w:val="15"/>
                <w:sz w:val="20"/>
                <w:szCs w:val="20"/>
                <w:shd w:val="solid" w:color="000000" w:fill="000000"/>
                <w:fitText w:val="83" w:id="-1168367095"/>
                <w14:textFill>
                  <w14:solidFill>
                    <w14:srgbClr w14:val="000000">
                      <w14:alpha w14:val="100000"/>
                    </w14:srgbClr>
                  </w14:solidFill>
                </w14:textFill>
              </w:rPr>
              <w:t xml:space="preserve">　</w:t>
            </w:r>
            <w:r w:rsidR="00F555C9" w:rsidRPr="00313E60">
              <w:rPr>
                <w:rFonts w:ascii="Arial Narrow" w:hAnsi="Arial Narrow"/>
                <w:bCs/>
                <w:color w:val="000000"/>
                <w:sz w:val="20"/>
                <w:szCs w:val="20"/>
                <w:vertAlign w:val="superscript"/>
              </w:rPr>
              <w:t>7</w:t>
            </w:r>
          </w:p>
        </w:tc>
        <w:tc>
          <w:tcPr>
            <w:tcW w:w="1125" w:type="dxa"/>
            <w:shd w:val="clear" w:color="auto" w:fill="auto"/>
            <w:vAlign w:val="center"/>
          </w:tcPr>
          <w:p w14:paraId="43F615FE" w14:textId="475D7DE1" w:rsidR="000F5115" w:rsidRPr="00313E60" w:rsidRDefault="00B474C2" w:rsidP="00934AB0">
            <w:pPr>
              <w:keepNext/>
              <w:keepLines/>
              <w:jc w:val="center"/>
              <w:rPr>
                <w:rFonts w:ascii="Arial Narrow" w:hAnsi="Arial Narrow"/>
                <w:b/>
                <w:bCs/>
                <w:color w:val="000000"/>
                <w:sz w:val="20"/>
                <w:szCs w:val="20"/>
                <w:highlight w:val="lightGray"/>
              </w:rPr>
            </w:pPr>
            <w:r w:rsidRPr="00B474C2">
              <w:rPr>
                <w:rFonts w:ascii="Arial Narrow" w:hAnsi="Arial Narrow" w:hint="eastAsia"/>
                <w:b/>
                <w:bCs/>
                <w:color w:val="000000"/>
                <w:w w:val="18"/>
                <w:sz w:val="20"/>
                <w:szCs w:val="20"/>
                <w:shd w:val="solid" w:color="000000" w:fill="000000"/>
                <w:fitText w:val="84" w:id="-1168367094"/>
                <w14:textFill>
                  <w14:solidFill>
                    <w14:srgbClr w14:val="000000">
                      <w14:alpha w14:val="100000"/>
                    </w14:srgbClr>
                  </w14:solidFill>
                </w14:textFill>
              </w:rPr>
              <w:t xml:space="preserve">　</w:t>
            </w:r>
            <w:r w:rsidRPr="00B474C2">
              <w:rPr>
                <w:rFonts w:ascii="Arial Narrow" w:hAnsi="Arial Narrow"/>
                <w:b/>
                <w:bCs/>
                <w:color w:val="000000"/>
                <w:w w:val="18"/>
                <w:sz w:val="20"/>
                <w:szCs w:val="20"/>
                <w:shd w:val="solid" w:color="000000" w:fill="000000"/>
                <w:fitText w:val="84" w:id="-1168367094"/>
                <w14:textFill>
                  <w14:solidFill>
                    <w14:srgbClr w14:val="000000">
                      <w14:alpha w14:val="100000"/>
                    </w14:srgbClr>
                  </w14:solidFill>
                </w14:textFill>
              </w:rPr>
              <w:t>|</w:t>
            </w:r>
            <w:r w:rsidRPr="00B474C2">
              <w:rPr>
                <w:rFonts w:ascii="Arial Narrow" w:hAnsi="Arial Narrow" w:hint="eastAsia"/>
                <w:b/>
                <w:bCs/>
                <w:color w:val="000000"/>
                <w:spacing w:val="3"/>
                <w:w w:val="18"/>
                <w:sz w:val="20"/>
                <w:szCs w:val="20"/>
                <w:shd w:val="solid" w:color="000000" w:fill="000000"/>
                <w:fitText w:val="84" w:id="-1168367094"/>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6</w:t>
            </w:r>
          </w:p>
        </w:tc>
        <w:tc>
          <w:tcPr>
            <w:tcW w:w="1126" w:type="dxa"/>
            <w:shd w:val="clear" w:color="auto" w:fill="auto"/>
            <w:vAlign w:val="center"/>
          </w:tcPr>
          <w:p w14:paraId="52B69B4C" w14:textId="0D9E579E" w:rsidR="000F5115" w:rsidRPr="00313E60" w:rsidRDefault="00B474C2" w:rsidP="00934AB0">
            <w:pPr>
              <w:keepNext/>
              <w:keepLines/>
              <w:jc w:val="center"/>
              <w:rPr>
                <w:rFonts w:ascii="Arial Narrow" w:hAnsi="Arial Narrow"/>
                <w:b/>
                <w:bCs/>
                <w:color w:val="000000"/>
                <w:sz w:val="20"/>
                <w:szCs w:val="20"/>
                <w:highlight w:val="lightGray"/>
              </w:rPr>
            </w:pPr>
            <w:r w:rsidRPr="00B474C2">
              <w:rPr>
                <w:rFonts w:ascii="Arial Narrow" w:hAnsi="Arial Narrow" w:hint="eastAsia"/>
                <w:b/>
                <w:bCs/>
                <w:color w:val="000000"/>
                <w:w w:val="18"/>
                <w:sz w:val="20"/>
                <w:szCs w:val="20"/>
                <w:shd w:val="solid" w:color="000000" w:fill="000000"/>
                <w:fitText w:val="84" w:id="-1168367093"/>
                <w14:textFill>
                  <w14:solidFill>
                    <w14:srgbClr w14:val="000000">
                      <w14:alpha w14:val="100000"/>
                    </w14:srgbClr>
                  </w14:solidFill>
                </w14:textFill>
              </w:rPr>
              <w:t xml:space="preserve">　</w:t>
            </w:r>
            <w:r w:rsidRPr="00B474C2">
              <w:rPr>
                <w:rFonts w:ascii="Arial Narrow" w:hAnsi="Arial Narrow"/>
                <w:b/>
                <w:bCs/>
                <w:color w:val="000000"/>
                <w:w w:val="18"/>
                <w:sz w:val="20"/>
                <w:szCs w:val="20"/>
                <w:shd w:val="solid" w:color="000000" w:fill="000000"/>
                <w:fitText w:val="84" w:id="-1168367093"/>
                <w14:textFill>
                  <w14:solidFill>
                    <w14:srgbClr w14:val="000000">
                      <w14:alpha w14:val="100000"/>
                    </w14:srgbClr>
                  </w14:solidFill>
                </w14:textFill>
              </w:rPr>
              <w:t>|</w:t>
            </w:r>
            <w:r w:rsidRPr="00B474C2">
              <w:rPr>
                <w:rFonts w:ascii="Arial Narrow" w:hAnsi="Arial Narrow" w:hint="eastAsia"/>
                <w:b/>
                <w:bCs/>
                <w:color w:val="000000"/>
                <w:spacing w:val="3"/>
                <w:w w:val="18"/>
                <w:sz w:val="20"/>
                <w:szCs w:val="20"/>
                <w:shd w:val="solid" w:color="000000" w:fill="000000"/>
                <w:fitText w:val="84" w:id="-1168367093"/>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6</w:t>
            </w:r>
          </w:p>
        </w:tc>
        <w:tc>
          <w:tcPr>
            <w:tcW w:w="1126" w:type="dxa"/>
            <w:shd w:val="clear" w:color="auto" w:fill="auto"/>
            <w:vAlign w:val="center"/>
          </w:tcPr>
          <w:p w14:paraId="42708D46" w14:textId="6A3C2F67" w:rsidR="000F5115" w:rsidRPr="00313E60" w:rsidRDefault="00B474C2" w:rsidP="00934AB0">
            <w:pPr>
              <w:keepNext/>
              <w:keepLines/>
              <w:jc w:val="center"/>
              <w:rPr>
                <w:rFonts w:ascii="Arial Narrow" w:hAnsi="Arial Narrow"/>
                <w:b/>
                <w:bCs/>
                <w:color w:val="000000"/>
                <w:sz w:val="20"/>
                <w:szCs w:val="20"/>
                <w:highlight w:val="lightGray"/>
              </w:rPr>
            </w:pPr>
            <w:r w:rsidRPr="00B474C2">
              <w:rPr>
                <w:rFonts w:ascii="Arial Narrow" w:hAnsi="Arial Narrow" w:hint="eastAsia"/>
                <w:b/>
                <w:bCs/>
                <w:color w:val="000000"/>
                <w:w w:val="18"/>
                <w:sz w:val="20"/>
                <w:szCs w:val="20"/>
                <w:shd w:val="solid" w:color="000000" w:fill="000000"/>
                <w:fitText w:val="84" w:id="-1168367092"/>
                <w14:textFill>
                  <w14:solidFill>
                    <w14:srgbClr w14:val="000000">
                      <w14:alpha w14:val="100000"/>
                    </w14:srgbClr>
                  </w14:solidFill>
                </w14:textFill>
              </w:rPr>
              <w:t xml:space="preserve">　</w:t>
            </w:r>
            <w:r w:rsidRPr="00B474C2">
              <w:rPr>
                <w:rFonts w:ascii="Arial Narrow" w:hAnsi="Arial Narrow"/>
                <w:b/>
                <w:bCs/>
                <w:color w:val="000000"/>
                <w:w w:val="18"/>
                <w:sz w:val="20"/>
                <w:szCs w:val="20"/>
                <w:shd w:val="solid" w:color="000000" w:fill="000000"/>
                <w:fitText w:val="84" w:id="-1168367092"/>
                <w14:textFill>
                  <w14:solidFill>
                    <w14:srgbClr w14:val="000000">
                      <w14:alpha w14:val="100000"/>
                    </w14:srgbClr>
                  </w14:solidFill>
                </w14:textFill>
              </w:rPr>
              <w:t>|</w:t>
            </w:r>
            <w:r w:rsidRPr="00B474C2">
              <w:rPr>
                <w:rFonts w:ascii="Arial Narrow" w:hAnsi="Arial Narrow" w:hint="eastAsia"/>
                <w:b/>
                <w:bCs/>
                <w:color w:val="000000"/>
                <w:spacing w:val="3"/>
                <w:w w:val="18"/>
                <w:sz w:val="20"/>
                <w:szCs w:val="20"/>
                <w:shd w:val="solid" w:color="000000" w:fill="000000"/>
                <w:fitText w:val="84" w:id="-1168367092"/>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5</w:t>
            </w:r>
          </w:p>
        </w:tc>
      </w:tr>
      <w:tr w:rsidR="00524A1F" w:rsidRPr="000F5115" w14:paraId="4650FC58" w14:textId="77777777" w:rsidTr="008B46B0">
        <w:tc>
          <w:tcPr>
            <w:tcW w:w="2263" w:type="dxa"/>
            <w:shd w:val="clear" w:color="auto" w:fill="auto"/>
            <w:vAlign w:val="center"/>
          </w:tcPr>
          <w:p w14:paraId="535EDD3B" w14:textId="0DF03EE3" w:rsidR="00524A1F" w:rsidRPr="00524A1F" w:rsidRDefault="00524A1F" w:rsidP="00934AB0">
            <w:pPr>
              <w:pStyle w:val="COMTabletext"/>
              <w:keepLines/>
              <w:rPr>
                <w:bCs w:val="0"/>
                <w:szCs w:val="20"/>
              </w:rPr>
            </w:pPr>
            <w:r w:rsidRPr="00524A1F">
              <w:rPr>
                <w:bCs w:val="0"/>
                <w:szCs w:val="20"/>
              </w:rPr>
              <w:t>Net cost to PBS/RPBS, revised pre-PBAC price for yr4+</w:t>
            </w:r>
          </w:p>
        </w:tc>
        <w:tc>
          <w:tcPr>
            <w:tcW w:w="1125" w:type="dxa"/>
            <w:shd w:val="clear" w:color="auto" w:fill="auto"/>
            <w:vAlign w:val="center"/>
          </w:tcPr>
          <w:p w14:paraId="795A0A27" w14:textId="5F890B97" w:rsidR="00524A1F"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33" w:id="-1168367091"/>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33" w:id="-1168367091"/>
                <w14:textFill>
                  <w14:solidFill>
                    <w14:srgbClr w14:val="000000">
                      <w14:alpha w14:val="100000"/>
                    </w14:srgbClr>
                  </w14:solidFill>
                </w14:textFill>
              </w:rPr>
              <w:t>|</w:t>
            </w:r>
            <w:r w:rsidRPr="002C3508">
              <w:rPr>
                <w:rFonts w:ascii="Arial Narrow" w:hAnsi="Arial Narrow" w:hint="eastAsia"/>
                <w:bCs/>
                <w:color w:val="000000"/>
                <w:spacing w:val="-66"/>
                <w:w w:val="15"/>
                <w:sz w:val="20"/>
                <w:szCs w:val="20"/>
                <w:shd w:val="solid" w:color="000000" w:fill="000000"/>
                <w:fitText w:val="33" w:id="-1168367091"/>
                <w14:textFill>
                  <w14:solidFill>
                    <w14:srgbClr w14:val="000000">
                      <w14:alpha w14:val="100000"/>
                    </w14:srgbClr>
                  </w14:solidFill>
                </w14:textFill>
              </w:rPr>
              <w:t xml:space="preserve">　</w:t>
            </w:r>
            <w:r w:rsidR="00313E60">
              <w:rPr>
                <w:rFonts w:ascii="Arial Narrow" w:hAnsi="Arial Narrow"/>
                <w:bCs/>
                <w:color w:val="000000"/>
                <w:sz w:val="20"/>
                <w:szCs w:val="20"/>
                <w:vertAlign w:val="superscript"/>
              </w:rPr>
              <w:t>4</w:t>
            </w:r>
          </w:p>
        </w:tc>
        <w:tc>
          <w:tcPr>
            <w:tcW w:w="1126" w:type="dxa"/>
            <w:shd w:val="clear" w:color="auto" w:fill="auto"/>
            <w:vAlign w:val="center"/>
          </w:tcPr>
          <w:p w14:paraId="0E4485B0" w14:textId="77C0A83D" w:rsidR="00524A1F"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33" w:id="-1168367090"/>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33" w:id="-1168367090"/>
                <w14:textFill>
                  <w14:solidFill>
                    <w14:srgbClr w14:val="000000">
                      <w14:alpha w14:val="100000"/>
                    </w14:srgbClr>
                  </w14:solidFill>
                </w14:textFill>
              </w:rPr>
              <w:t>|</w:t>
            </w:r>
            <w:r w:rsidRPr="002C3508">
              <w:rPr>
                <w:rFonts w:ascii="Arial Narrow" w:hAnsi="Arial Narrow" w:hint="eastAsia"/>
                <w:bCs/>
                <w:color w:val="000000"/>
                <w:spacing w:val="-66"/>
                <w:w w:val="15"/>
                <w:sz w:val="20"/>
                <w:szCs w:val="20"/>
                <w:shd w:val="solid" w:color="000000" w:fill="000000"/>
                <w:fitText w:val="33" w:id="-1168367090"/>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6</w:t>
            </w:r>
          </w:p>
        </w:tc>
        <w:tc>
          <w:tcPr>
            <w:tcW w:w="1126" w:type="dxa"/>
            <w:shd w:val="clear" w:color="auto" w:fill="auto"/>
            <w:vAlign w:val="center"/>
          </w:tcPr>
          <w:p w14:paraId="75C96CCD" w14:textId="55C69713" w:rsidR="00524A1F"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34" w:id="-1168367089"/>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34" w:id="-1168367089"/>
                <w14:textFill>
                  <w14:solidFill>
                    <w14:srgbClr w14:val="000000">
                      <w14:alpha w14:val="100000"/>
                    </w14:srgbClr>
                  </w14:solidFill>
                </w14:textFill>
              </w:rPr>
              <w:t>|</w:t>
            </w:r>
            <w:r w:rsidRPr="002C3508">
              <w:rPr>
                <w:rFonts w:ascii="Arial Narrow" w:hAnsi="Arial Narrow" w:hint="eastAsia"/>
                <w:bCs/>
                <w:color w:val="000000"/>
                <w:spacing w:val="-50"/>
                <w:w w:val="15"/>
                <w:sz w:val="20"/>
                <w:szCs w:val="20"/>
                <w:shd w:val="solid" w:color="000000" w:fill="000000"/>
                <w:fitText w:val="34" w:id="-1168367089"/>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7</w:t>
            </w:r>
          </w:p>
        </w:tc>
        <w:tc>
          <w:tcPr>
            <w:tcW w:w="1125" w:type="dxa"/>
            <w:shd w:val="clear" w:color="auto" w:fill="auto"/>
            <w:vAlign w:val="center"/>
          </w:tcPr>
          <w:p w14:paraId="4B5FF9B2" w14:textId="7E0301D6" w:rsidR="00524A1F"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34" w:id="-1168367088"/>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34" w:id="-1168367088"/>
                <w14:textFill>
                  <w14:solidFill>
                    <w14:srgbClr w14:val="000000">
                      <w14:alpha w14:val="100000"/>
                    </w14:srgbClr>
                  </w14:solidFill>
                </w14:textFill>
              </w:rPr>
              <w:t>|</w:t>
            </w:r>
            <w:r w:rsidRPr="002C3508">
              <w:rPr>
                <w:rFonts w:ascii="Arial Narrow" w:hAnsi="Arial Narrow" w:hint="eastAsia"/>
                <w:bCs/>
                <w:color w:val="000000"/>
                <w:spacing w:val="-50"/>
                <w:w w:val="15"/>
                <w:sz w:val="20"/>
                <w:szCs w:val="20"/>
                <w:shd w:val="solid" w:color="000000" w:fill="000000"/>
                <w:fitText w:val="34" w:id="-1168367088"/>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6</w:t>
            </w:r>
          </w:p>
        </w:tc>
        <w:tc>
          <w:tcPr>
            <w:tcW w:w="1126" w:type="dxa"/>
            <w:shd w:val="clear" w:color="auto" w:fill="auto"/>
            <w:vAlign w:val="center"/>
          </w:tcPr>
          <w:p w14:paraId="3BFAFA01" w14:textId="071664A3" w:rsidR="00524A1F"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33" w:id="-1168367104"/>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33" w:id="-1168367104"/>
                <w14:textFill>
                  <w14:solidFill>
                    <w14:srgbClr w14:val="000000">
                      <w14:alpha w14:val="100000"/>
                    </w14:srgbClr>
                  </w14:solidFill>
                </w14:textFill>
              </w:rPr>
              <w:t>|</w:t>
            </w:r>
            <w:r w:rsidRPr="002C3508">
              <w:rPr>
                <w:rFonts w:ascii="Arial Narrow" w:hAnsi="Arial Narrow" w:hint="eastAsia"/>
                <w:bCs/>
                <w:color w:val="000000"/>
                <w:spacing w:val="-66"/>
                <w:w w:val="15"/>
                <w:sz w:val="20"/>
                <w:szCs w:val="20"/>
                <w:shd w:val="solid" w:color="000000" w:fill="000000"/>
                <w:fitText w:val="33" w:id="-1168367104"/>
                <w14:textFill>
                  <w14:solidFill>
                    <w14:srgbClr w14:val="000000">
                      <w14:alpha w14:val="100000"/>
                    </w14:srgbClr>
                  </w14:solidFill>
                </w14:textFill>
              </w:rPr>
              <w:t xml:space="preserve">　</w:t>
            </w:r>
            <w:r w:rsidR="00313E60">
              <w:rPr>
                <w:rFonts w:ascii="Arial Narrow" w:hAnsi="Arial Narrow"/>
                <w:bCs/>
                <w:color w:val="000000"/>
                <w:sz w:val="20"/>
                <w:szCs w:val="20"/>
                <w:vertAlign w:val="superscript"/>
              </w:rPr>
              <w:t>5</w:t>
            </w:r>
          </w:p>
        </w:tc>
        <w:tc>
          <w:tcPr>
            <w:tcW w:w="1126" w:type="dxa"/>
            <w:shd w:val="clear" w:color="auto" w:fill="auto"/>
            <w:vAlign w:val="center"/>
          </w:tcPr>
          <w:p w14:paraId="2655D820" w14:textId="1DF218BE" w:rsidR="00524A1F" w:rsidRPr="00313E60" w:rsidRDefault="00B474C2" w:rsidP="00934AB0">
            <w:pPr>
              <w:keepNext/>
              <w:keepLines/>
              <w:jc w:val="center"/>
              <w:rPr>
                <w:rFonts w:ascii="Arial Narrow" w:hAnsi="Arial Narrow"/>
                <w:bCs/>
                <w:color w:val="000000"/>
                <w:sz w:val="20"/>
                <w:szCs w:val="20"/>
                <w:highlight w:val="lightGray"/>
              </w:rPr>
            </w:pPr>
            <w:r w:rsidRPr="002C3508">
              <w:rPr>
                <w:rFonts w:ascii="Arial Narrow" w:hAnsi="Arial Narrow" w:hint="eastAsia"/>
                <w:bCs/>
                <w:color w:val="000000"/>
                <w:w w:val="15"/>
                <w:sz w:val="20"/>
                <w:szCs w:val="20"/>
                <w:shd w:val="solid" w:color="000000" w:fill="000000"/>
                <w:fitText w:val="33" w:id="-1168367103"/>
                <w14:textFill>
                  <w14:solidFill>
                    <w14:srgbClr w14:val="000000">
                      <w14:alpha w14:val="100000"/>
                    </w14:srgbClr>
                  </w14:solidFill>
                </w14:textFill>
              </w:rPr>
              <w:t xml:space="preserve">　</w:t>
            </w:r>
            <w:r w:rsidRPr="002C3508">
              <w:rPr>
                <w:rFonts w:ascii="Arial Narrow" w:hAnsi="Arial Narrow"/>
                <w:bCs/>
                <w:color w:val="000000"/>
                <w:w w:val="15"/>
                <w:sz w:val="20"/>
                <w:szCs w:val="20"/>
                <w:shd w:val="solid" w:color="000000" w:fill="000000"/>
                <w:fitText w:val="33" w:id="-1168367103"/>
                <w14:textFill>
                  <w14:solidFill>
                    <w14:srgbClr w14:val="000000">
                      <w14:alpha w14:val="100000"/>
                    </w14:srgbClr>
                  </w14:solidFill>
                </w14:textFill>
              </w:rPr>
              <w:t>|</w:t>
            </w:r>
            <w:r w:rsidRPr="002C3508">
              <w:rPr>
                <w:rFonts w:ascii="Arial Narrow" w:hAnsi="Arial Narrow" w:hint="eastAsia"/>
                <w:bCs/>
                <w:color w:val="000000"/>
                <w:spacing w:val="-66"/>
                <w:w w:val="15"/>
                <w:sz w:val="20"/>
                <w:szCs w:val="20"/>
                <w:shd w:val="solid" w:color="000000" w:fill="000000"/>
                <w:fitText w:val="33" w:id="-1168367103"/>
                <w14:textFill>
                  <w14:solidFill>
                    <w14:srgbClr w14:val="000000">
                      <w14:alpha w14:val="100000"/>
                    </w14:srgbClr>
                  </w14:solidFill>
                </w14:textFill>
              </w:rPr>
              <w:t xml:space="preserve">　</w:t>
            </w:r>
            <w:r w:rsidR="00313E60">
              <w:rPr>
                <w:rFonts w:ascii="Arial Narrow" w:hAnsi="Arial Narrow"/>
                <w:bCs/>
                <w:color w:val="000000"/>
                <w:sz w:val="20"/>
                <w:szCs w:val="20"/>
                <w:vertAlign w:val="superscript"/>
              </w:rPr>
              <w:t>4</w:t>
            </w:r>
          </w:p>
        </w:tc>
      </w:tr>
      <w:tr w:rsidR="00524A1F" w:rsidRPr="000F5115" w14:paraId="1FC94783" w14:textId="77777777" w:rsidTr="008B46B0">
        <w:tc>
          <w:tcPr>
            <w:tcW w:w="2263" w:type="dxa"/>
            <w:shd w:val="clear" w:color="auto" w:fill="auto"/>
            <w:vAlign w:val="center"/>
          </w:tcPr>
          <w:p w14:paraId="00E974D1" w14:textId="727A8568" w:rsidR="00524A1F" w:rsidRPr="00617BFC" w:rsidRDefault="00524A1F" w:rsidP="00934AB0">
            <w:pPr>
              <w:pStyle w:val="COMTabletext"/>
              <w:keepLines/>
              <w:rPr>
                <w:b/>
                <w:szCs w:val="20"/>
              </w:rPr>
            </w:pPr>
            <w:r w:rsidRPr="00617BFC">
              <w:rPr>
                <w:b/>
                <w:szCs w:val="20"/>
              </w:rPr>
              <w:t>Net cost to PBS/RPBS/MBS, revised pre-PBAC price for yr4+</w:t>
            </w:r>
          </w:p>
        </w:tc>
        <w:tc>
          <w:tcPr>
            <w:tcW w:w="1125" w:type="dxa"/>
            <w:shd w:val="clear" w:color="auto" w:fill="auto"/>
            <w:vAlign w:val="center"/>
          </w:tcPr>
          <w:p w14:paraId="1733340B" w14:textId="15D9D1E5" w:rsidR="00524A1F" w:rsidRPr="00313E60" w:rsidRDefault="00B474C2" w:rsidP="00934AB0">
            <w:pPr>
              <w:keepNext/>
              <w:keepLines/>
              <w:jc w:val="center"/>
              <w:rPr>
                <w:rFonts w:ascii="Arial Narrow" w:hAnsi="Arial Narrow"/>
                <w:b/>
                <w:color w:val="000000"/>
                <w:sz w:val="20"/>
                <w:szCs w:val="20"/>
                <w:highlight w:val="lightGray"/>
              </w:rPr>
            </w:pPr>
            <w:r w:rsidRPr="00B474C2">
              <w:rPr>
                <w:rFonts w:ascii="Arial Narrow" w:hAnsi="Arial Narrow" w:hint="eastAsia"/>
                <w:b/>
                <w:color w:val="000000"/>
                <w:w w:val="18"/>
                <w:sz w:val="20"/>
                <w:szCs w:val="20"/>
                <w:shd w:val="solid" w:color="000000" w:fill="000000"/>
                <w:fitText w:val="84" w:id="-1168367102"/>
                <w14:textFill>
                  <w14:solidFill>
                    <w14:srgbClr w14:val="000000">
                      <w14:alpha w14:val="100000"/>
                    </w14:srgbClr>
                  </w14:solidFill>
                </w14:textFill>
              </w:rPr>
              <w:t xml:space="preserve">　</w:t>
            </w:r>
            <w:r w:rsidRPr="00B474C2">
              <w:rPr>
                <w:rFonts w:ascii="Arial Narrow" w:hAnsi="Arial Narrow"/>
                <w:b/>
                <w:color w:val="000000"/>
                <w:w w:val="18"/>
                <w:sz w:val="20"/>
                <w:szCs w:val="20"/>
                <w:shd w:val="solid" w:color="000000" w:fill="000000"/>
                <w:fitText w:val="84" w:id="-1168367102"/>
                <w14:textFill>
                  <w14:solidFill>
                    <w14:srgbClr w14:val="000000">
                      <w14:alpha w14:val="100000"/>
                    </w14:srgbClr>
                  </w14:solidFill>
                </w14:textFill>
              </w:rPr>
              <w:t>|</w:t>
            </w:r>
            <w:r w:rsidRPr="00B474C2">
              <w:rPr>
                <w:rFonts w:ascii="Arial Narrow" w:hAnsi="Arial Narrow" w:hint="eastAsia"/>
                <w:b/>
                <w:color w:val="000000"/>
                <w:spacing w:val="3"/>
                <w:w w:val="18"/>
                <w:sz w:val="20"/>
                <w:szCs w:val="20"/>
                <w:shd w:val="solid" w:color="000000" w:fill="000000"/>
                <w:fitText w:val="84" w:id="-1168367102"/>
                <w14:textFill>
                  <w14:solidFill>
                    <w14:srgbClr w14:val="000000">
                      <w14:alpha w14:val="100000"/>
                    </w14:srgbClr>
                  </w14:solidFill>
                </w14:textFill>
              </w:rPr>
              <w:t xml:space="preserve">　</w:t>
            </w:r>
            <w:r w:rsidR="00313E60">
              <w:rPr>
                <w:rFonts w:ascii="Arial Narrow" w:hAnsi="Arial Narrow"/>
                <w:bCs/>
                <w:color w:val="000000"/>
                <w:sz w:val="20"/>
                <w:szCs w:val="20"/>
                <w:vertAlign w:val="superscript"/>
              </w:rPr>
              <w:t>4</w:t>
            </w:r>
          </w:p>
        </w:tc>
        <w:tc>
          <w:tcPr>
            <w:tcW w:w="1126" w:type="dxa"/>
            <w:shd w:val="clear" w:color="auto" w:fill="auto"/>
            <w:vAlign w:val="center"/>
          </w:tcPr>
          <w:p w14:paraId="226053BB" w14:textId="24DD0B99" w:rsidR="00524A1F" w:rsidRPr="00313E60" w:rsidRDefault="00B474C2" w:rsidP="00934AB0">
            <w:pPr>
              <w:keepNext/>
              <w:keepLines/>
              <w:jc w:val="center"/>
              <w:rPr>
                <w:rFonts w:ascii="Arial Narrow" w:hAnsi="Arial Narrow"/>
                <w:b/>
                <w:color w:val="000000"/>
                <w:sz w:val="20"/>
                <w:szCs w:val="20"/>
                <w:highlight w:val="lightGray"/>
              </w:rPr>
            </w:pPr>
            <w:r w:rsidRPr="00B474C2">
              <w:rPr>
                <w:rFonts w:ascii="Arial Narrow" w:hAnsi="Arial Narrow" w:hint="eastAsia"/>
                <w:b/>
                <w:color w:val="000000"/>
                <w:w w:val="18"/>
                <w:sz w:val="20"/>
                <w:szCs w:val="20"/>
                <w:shd w:val="solid" w:color="000000" w:fill="000000"/>
                <w:fitText w:val="84" w:id="-1168367101"/>
                <w14:textFill>
                  <w14:solidFill>
                    <w14:srgbClr w14:val="000000">
                      <w14:alpha w14:val="100000"/>
                    </w14:srgbClr>
                  </w14:solidFill>
                </w14:textFill>
              </w:rPr>
              <w:t xml:space="preserve">　</w:t>
            </w:r>
            <w:r w:rsidRPr="00B474C2">
              <w:rPr>
                <w:rFonts w:ascii="Arial Narrow" w:hAnsi="Arial Narrow"/>
                <w:b/>
                <w:color w:val="000000"/>
                <w:w w:val="18"/>
                <w:sz w:val="20"/>
                <w:szCs w:val="20"/>
                <w:shd w:val="solid" w:color="000000" w:fill="000000"/>
                <w:fitText w:val="84" w:id="-1168367101"/>
                <w14:textFill>
                  <w14:solidFill>
                    <w14:srgbClr w14:val="000000">
                      <w14:alpha w14:val="100000"/>
                    </w14:srgbClr>
                  </w14:solidFill>
                </w14:textFill>
              </w:rPr>
              <w:t>|</w:t>
            </w:r>
            <w:r w:rsidRPr="00B474C2">
              <w:rPr>
                <w:rFonts w:ascii="Arial Narrow" w:hAnsi="Arial Narrow" w:hint="eastAsia"/>
                <w:b/>
                <w:color w:val="000000"/>
                <w:spacing w:val="3"/>
                <w:w w:val="18"/>
                <w:sz w:val="20"/>
                <w:szCs w:val="20"/>
                <w:shd w:val="solid" w:color="000000" w:fill="000000"/>
                <w:fitText w:val="84" w:id="-1168367101"/>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6</w:t>
            </w:r>
          </w:p>
        </w:tc>
        <w:tc>
          <w:tcPr>
            <w:tcW w:w="1126" w:type="dxa"/>
            <w:shd w:val="clear" w:color="auto" w:fill="auto"/>
            <w:vAlign w:val="center"/>
          </w:tcPr>
          <w:p w14:paraId="6478E1B8" w14:textId="72F8B0DD" w:rsidR="00524A1F" w:rsidRPr="00313E60" w:rsidRDefault="00B474C2" w:rsidP="00934AB0">
            <w:pPr>
              <w:keepNext/>
              <w:keepLines/>
              <w:jc w:val="center"/>
              <w:rPr>
                <w:rFonts w:ascii="Arial Narrow" w:hAnsi="Arial Narrow"/>
                <w:b/>
                <w:color w:val="000000"/>
                <w:sz w:val="20"/>
                <w:szCs w:val="20"/>
                <w:highlight w:val="lightGray"/>
              </w:rPr>
            </w:pPr>
            <w:r w:rsidRPr="002C3508">
              <w:rPr>
                <w:rFonts w:ascii="Arial Narrow" w:hAnsi="Arial Narrow" w:hint="eastAsia"/>
                <w:b/>
                <w:color w:val="000000"/>
                <w:spacing w:val="8"/>
                <w:w w:val="15"/>
                <w:sz w:val="20"/>
                <w:szCs w:val="20"/>
                <w:shd w:val="solid" w:color="000000" w:fill="000000"/>
                <w:fitText w:val="83" w:id="-1168367100"/>
                <w14:textFill>
                  <w14:solidFill>
                    <w14:srgbClr w14:val="000000">
                      <w14:alpha w14:val="100000"/>
                    </w14:srgbClr>
                  </w14:solidFill>
                </w14:textFill>
              </w:rPr>
              <w:t xml:space="preserve">　</w:t>
            </w:r>
            <w:r w:rsidRPr="002C3508">
              <w:rPr>
                <w:rFonts w:ascii="Arial Narrow" w:hAnsi="Arial Narrow"/>
                <w:b/>
                <w:color w:val="000000"/>
                <w:spacing w:val="8"/>
                <w:w w:val="15"/>
                <w:sz w:val="20"/>
                <w:szCs w:val="20"/>
                <w:shd w:val="solid" w:color="000000" w:fill="000000"/>
                <w:fitText w:val="83" w:id="-1168367100"/>
                <w14:textFill>
                  <w14:solidFill>
                    <w14:srgbClr w14:val="000000">
                      <w14:alpha w14:val="100000"/>
                    </w14:srgbClr>
                  </w14:solidFill>
                </w14:textFill>
              </w:rPr>
              <w:t>|</w:t>
            </w:r>
            <w:r w:rsidRPr="002C3508">
              <w:rPr>
                <w:rFonts w:ascii="Arial Narrow" w:hAnsi="Arial Narrow" w:hint="eastAsia"/>
                <w:b/>
                <w:color w:val="000000"/>
                <w:spacing w:val="1"/>
                <w:w w:val="15"/>
                <w:sz w:val="20"/>
                <w:szCs w:val="20"/>
                <w:shd w:val="solid" w:color="000000" w:fill="000000"/>
                <w:fitText w:val="83" w:id="-1168367100"/>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7</w:t>
            </w:r>
          </w:p>
        </w:tc>
        <w:tc>
          <w:tcPr>
            <w:tcW w:w="1125" w:type="dxa"/>
            <w:shd w:val="clear" w:color="auto" w:fill="auto"/>
            <w:vAlign w:val="center"/>
          </w:tcPr>
          <w:p w14:paraId="0C783B8E" w14:textId="21A0CB6B" w:rsidR="00524A1F" w:rsidRPr="00313E60" w:rsidRDefault="00B474C2" w:rsidP="00934AB0">
            <w:pPr>
              <w:keepNext/>
              <w:keepLines/>
              <w:jc w:val="center"/>
              <w:rPr>
                <w:rFonts w:ascii="Arial Narrow" w:hAnsi="Arial Narrow"/>
                <w:b/>
                <w:color w:val="000000"/>
                <w:sz w:val="20"/>
                <w:szCs w:val="20"/>
                <w:highlight w:val="lightGray"/>
              </w:rPr>
            </w:pPr>
            <w:r w:rsidRPr="00B474C2">
              <w:rPr>
                <w:rFonts w:ascii="Arial Narrow" w:hAnsi="Arial Narrow" w:hint="eastAsia"/>
                <w:b/>
                <w:color w:val="000000"/>
                <w:w w:val="18"/>
                <w:sz w:val="20"/>
                <w:szCs w:val="20"/>
                <w:shd w:val="solid" w:color="000000" w:fill="000000"/>
                <w:fitText w:val="84" w:id="-1168367099"/>
                <w14:textFill>
                  <w14:solidFill>
                    <w14:srgbClr w14:val="000000">
                      <w14:alpha w14:val="100000"/>
                    </w14:srgbClr>
                  </w14:solidFill>
                </w14:textFill>
              </w:rPr>
              <w:t xml:space="preserve">　</w:t>
            </w:r>
            <w:r w:rsidRPr="00B474C2">
              <w:rPr>
                <w:rFonts w:ascii="Arial Narrow" w:hAnsi="Arial Narrow"/>
                <w:b/>
                <w:color w:val="000000"/>
                <w:w w:val="18"/>
                <w:sz w:val="20"/>
                <w:szCs w:val="20"/>
                <w:shd w:val="solid" w:color="000000" w:fill="000000"/>
                <w:fitText w:val="84" w:id="-1168367099"/>
                <w14:textFill>
                  <w14:solidFill>
                    <w14:srgbClr w14:val="000000">
                      <w14:alpha w14:val="100000"/>
                    </w14:srgbClr>
                  </w14:solidFill>
                </w14:textFill>
              </w:rPr>
              <w:t>|</w:t>
            </w:r>
            <w:r w:rsidRPr="00B474C2">
              <w:rPr>
                <w:rFonts w:ascii="Arial Narrow" w:hAnsi="Arial Narrow" w:hint="eastAsia"/>
                <w:b/>
                <w:color w:val="000000"/>
                <w:spacing w:val="3"/>
                <w:w w:val="18"/>
                <w:sz w:val="20"/>
                <w:szCs w:val="20"/>
                <w:shd w:val="solid" w:color="000000" w:fill="000000"/>
                <w:fitText w:val="84" w:id="-1168367099"/>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6</w:t>
            </w:r>
          </w:p>
        </w:tc>
        <w:tc>
          <w:tcPr>
            <w:tcW w:w="1126" w:type="dxa"/>
            <w:shd w:val="clear" w:color="auto" w:fill="auto"/>
            <w:vAlign w:val="center"/>
          </w:tcPr>
          <w:p w14:paraId="7B91815C" w14:textId="2787921A" w:rsidR="00524A1F" w:rsidRPr="00313E60" w:rsidRDefault="00B474C2" w:rsidP="00934AB0">
            <w:pPr>
              <w:keepNext/>
              <w:keepLines/>
              <w:jc w:val="center"/>
              <w:rPr>
                <w:rFonts w:ascii="Arial Narrow" w:hAnsi="Arial Narrow"/>
                <w:b/>
                <w:color w:val="000000"/>
                <w:sz w:val="20"/>
                <w:szCs w:val="20"/>
                <w:highlight w:val="lightGray"/>
              </w:rPr>
            </w:pPr>
            <w:r w:rsidRPr="00B474C2">
              <w:rPr>
                <w:rFonts w:ascii="Arial Narrow" w:hAnsi="Arial Narrow" w:hint="eastAsia"/>
                <w:b/>
                <w:color w:val="000000"/>
                <w:w w:val="18"/>
                <w:sz w:val="20"/>
                <w:szCs w:val="20"/>
                <w:shd w:val="solid" w:color="000000" w:fill="000000"/>
                <w:fitText w:val="84" w:id="-1168367098"/>
                <w14:textFill>
                  <w14:solidFill>
                    <w14:srgbClr w14:val="000000">
                      <w14:alpha w14:val="100000"/>
                    </w14:srgbClr>
                  </w14:solidFill>
                </w14:textFill>
              </w:rPr>
              <w:t xml:space="preserve">　</w:t>
            </w:r>
            <w:r w:rsidRPr="00B474C2">
              <w:rPr>
                <w:rFonts w:ascii="Arial Narrow" w:hAnsi="Arial Narrow"/>
                <w:b/>
                <w:color w:val="000000"/>
                <w:w w:val="18"/>
                <w:sz w:val="20"/>
                <w:szCs w:val="20"/>
                <w:shd w:val="solid" w:color="000000" w:fill="000000"/>
                <w:fitText w:val="84" w:id="-1168367098"/>
                <w14:textFill>
                  <w14:solidFill>
                    <w14:srgbClr w14:val="000000">
                      <w14:alpha w14:val="100000"/>
                    </w14:srgbClr>
                  </w14:solidFill>
                </w14:textFill>
              </w:rPr>
              <w:t>|</w:t>
            </w:r>
            <w:r w:rsidRPr="00B474C2">
              <w:rPr>
                <w:rFonts w:ascii="Arial Narrow" w:hAnsi="Arial Narrow" w:hint="eastAsia"/>
                <w:b/>
                <w:color w:val="000000"/>
                <w:spacing w:val="3"/>
                <w:w w:val="18"/>
                <w:sz w:val="20"/>
                <w:szCs w:val="20"/>
                <w:shd w:val="solid" w:color="000000" w:fill="000000"/>
                <w:fitText w:val="84" w:id="-1168367098"/>
                <w14:textFill>
                  <w14:solidFill>
                    <w14:srgbClr w14:val="000000">
                      <w14:alpha w14:val="100000"/>
                    </w14:srgbClr>
                  </w14:solidFill>
                </w14:textFill>
              </w:rPr>
              <w:t xml:space="preserve">　</w:t>
            </w:r>
            <w:r w:rsidR="00313E60" w:rsidRPr="00313E60">
              <w:rPr>
                <w:rFonts w:ascii="Arial Narrow" w:hAnsi="Arial Narrow"/>
                <w:b/>
                <w:color w:val="000000"/>
                <w:sz w:val="20"/>
                <w:szCs w:val="20"/>
                <w:vertAlign w:val="superscript"/>
              </w:rPr>
              <w:t>5</w:t>
            </w:r>
          </w:p>
        </w:tc>
        <w:tc>
          <w:tcPr>
            <w:tcW w:w="1126" w:type="dxa"/>
            <w:shd w:val="clear" w:color="auto" w:fill="auto"/>
            <w:vAlign w:val="center"/>
          </w:tcPr>
          <w:p w14:paraId="181CB144" w14:textId="19870624" w:rsidR="00524A1F" w:rsidRPr="00313E60" w:rsidRDefault="00B474C2" w:rsidP="00934AB0">
            <w:pPr>
              <w:keepNext/>
              <w:keepLines/>
              <w:jc w:val="center"/>
              <w:rPr>
                <w:rFonts w:ascii="Arial Narrow" w:hAnsi="Arial Narrow"/>
                <w:b/>
                <w:color w:val="000000"/>
                <w:sz w:val="20"/>
                <w:szCs w:val="20"/>
                <w:highlight w:val="lightGray"/>
              </w:rPr>
            </w:pPr>
            <w:r w:rsidRPr="00B474C2">
              <w:rPr>
                <w:rFonts w:ascii="Arial Narrow" w:hAnsi="Arial Narrow" w:hint="eastAsia"/>
                <w:b/>
                <w:color w:val="000000"/>
                <w:w w:val="18"/>
                <w:sz w:val="20"/>
                <w:szCs w:val="20"/>
                <w:shd w:val="solid" w:color="000000" w:fill="000000"/>
                <w:fitText w:val="84" w:id="-1168367097"/>
                <w14:textFill>
                  <w14:solidFill>
                    <w14:srgbClr w14:val="000000">
                      <w14:alpha w14:val="100000"/>
                    </w14:srgbClr>
                  </w14:solidFill>
                </w14:textFill>
              </w:rPr>
              <w:t xml:space="preserve">　</w:t>
            </w:r>
            <w:r w:rsidRPr="00B474C2">
              <w:rPr>
                <w:rFonts w:ascii="Arial Narrow" w:hAnsi="Arial Narrow"/>
                <w:b/>
                <w:color w:val="000000"/>
                <w:w w:val="18"/>
                <w:sz w:val="20"/>
                <w:szCs w:val="20"/>
                <w:shd w:val="solid" w:color="000000" w:fill="000000"/>
                <w:fitText w:val="84" w:id="-1168367097"/>
                <w14:textFill>
                  <w14:solidFill>
                    <w14:srgbClr w14:val="000000">
                      <w14:alpha w14:val="100000"/>
                    </w14:srgbClr>
                  </w14:solidFill>
                </w14:textFill>
              </w:rPr>
              <w:t>|</w:t>
            </w:r>
            <w:r w:rsidRPr="00B474C2">
              <w:rPr>
                <w:rFonts w:ascii="Arial Narrow" w:hAnsi="Arial Narrow" w:hint="eastAsia"/>
                <w:b/>
                <w:color w:val="000000"/>
                <w:spacing w:val="3"/>
                <w:w w:val="18"/>
                <w:sz w:val="20"/>
                <w:szCs w:val="20"/>
                <w:shd w:val="solid" w:color="000000" w:fill="000000"/>
                <w:fitText w:val="84" w:id="-1168367097"/>
                <w14:textFill>
                  <w14:solidFill>
                    <w14:srgbClr w14:val="000000">
                      <w14:alpha w14:val="100000"/>
                    </w14:srgbClr>
                  </w14:solidFill>
                </w14:textFill>
              </w:rPr>
              <w:t xml:space="preserve">　</w:t>
            </w:r>
            <w:r w:rsidR="00313E60">
              <w:rPr>
                <w:rFonts w:ascii="Arial Narrow" w:hAnsi="Arial Narrow"/>
                <w:bCs/>
                <w:color w:val="000000"/>
                <w:sz w:val="20"/>
                <w:szCs w:val="20"/>
                <w:vertAlign w:val="superscript"/>
              </w:rPr>
              <w:t>4</w:t>
            </w:r>
          </w:p>
        </w:tc>
      </w:tr>
      <w:tr w:rsidR="000F5115" w:rsidRPr="000F5115" w14:paraId="3C0146D2" w14:textId="77777777" w:rsidTr="00AD6F9C">
        <w:tc>
          <w:tcPr>
            <w:tcW w:w="9017" w:type="dxa"/>
            <w:gridSpan w:val="7"/>
            <w:shd w:val="clear" w:color="auto" w:fill="C6D9F1" w:themeFill="text2" w:themeFillTint="33"/>
          </w:tcPr>
          <w:p w14:paraId="680C540C" w14:textId="2E00A509" w:rsidR="000F5115" w:rsidRPr="000F5115" w:rsidRDefault="000F5115" w:rsidP="00934AB0">
            <w:pPr>
              <w:keepNext/>
              <w:keepLines/>
              <w:jc w:val="left"/>
              <w:rPr>
                <w:rFonts w:ascii="Arial Narrow" w:hAnsi="Arial Narrow"/>
                <w:b/>
                <w:color w:val="000000"/>
                <w:sz w:val="20"/>
                <w:szCs w:val="20"/>
              </w:rPr>
            </w:pPr>
            <w:r w:rsidRPr="000F5115">
              <w:rPr>
                <w:rFonts w:ascii="Arial Narrow" w:hAnsi="Arial Narrow"/>
                <w:b/>
                <w:color w:val="000000"/>
                <w:sz w:val="20"/>
                <w:szCs w:val="20"/>
              </w:rPr>
              <w:t>March 2021 submission</w:t>
            </w:r>
          </w:p>
        </w:tc>
      </w:tr>
      <w:tr w:rsidR="00AA563F" w:rsidRPr="000F5115" w14:paraId="4BC835B1" w14:textId="77777777" w:rsidTr="008B46B0">
        <w:tc>
          <w:tcPr>
            <w:tcW w:w="2263" w:type="dxa"/>
            <w:shd w:val="clear" w:color="auto" w:fill="C6D9F1" w:themeFill="text2" w:themeFillTint="33"/>
          </w:tcPr>
          <w:p w14:paraId="0ADD9FC7" w14:textId="424E25C6" w:rsidR="000F5115" w:rsidRPr="000F5115" w:rsidRDefault="000F5115" w:rsidP="00934AB0">
            <w:pPr>
              <w:pStyle w:val="COMTabletext"/>
              <w:keepLines/>
            </w:pPr>
            <w:r w:rsidRPr="000F5115">
              <w:t>Net cost to PBS/RPBS</w:t>
            </w:r>
          </w:p>
        </w:tc>
        <w:tc>
          <w:tcPr>
            <w:tcW w:w="1125" w:type="dxa"/>
            <w:shd w:val="clear" w:color="auto" w:fill="C6D9F1" w:themeFill="text2" w:themeFillTint="33"/>
          </w:tcPr>
          <w:p w14:paraId="73473E80" w14:textId="6AAA6DE2" w:rsidR="000F5115"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3" w:id="-1168367096"/>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3" w:id="-1168367096"/>
                <w14:textFill>
                  <w14:solidFill>
                    <w14:srgbClr w14:val="000000">
                      <w14:alpha w14:val="100000"/>
                    </w14:srgbClr>
                  </w14:solidFill>
                </w14:textFill>
              </w:rPr>
              <w:t>|</w:t>
            </w:r>
            <w:r w:rsidRPr="002C3508">
              <w:rPr>
                <w:rFonts w:ascii="Arial Narrow" w:hAnsi="Arial Narrow" w:hint="eastAsia"/>
                <w:color w:val="000000"/>
                <w:spacing w:val="-66"/>
                <w:w w:val="15"/>
                <w:sz w:val="20"/>
                <w:szCs w:val="20"/>
                <w:shd w:val="solid" w:color="000000" w:fill="000000"/>
                <w:fitText w:val="33" w:id="-1168367096"/>
                <w14:textFill>
                  <w14:solidFill>
                    <w14:srgbClr w14:val="000000">
                      <w14:alpha w14:val="100000"/>
                    </w14:srgbClr>
                  </w14:solidFill>
                </w14:textFill>
              </w:rPr>
              <w:t xml:space="preserve">　</w:t>
            </w:r>
            <w:r w:rsidR="00313E60">
              <w:rPr>
                <w:rFonts w:ascii="Arial Narrow" w:hAnsi="Arial Narrow"/>
                <w:bCs/>
                <w:color w:val="000000"/>
                <w:sz w:val="20"/>
                <w:szCs w:val="20"/>
                <w:vertAlign w:val="superscript"/>
              </w:rPr>
              <w:t>4</w:t>
            </w:r>
            <w:r w:rsidRPr="00B474C2">
              <w:rPr>
                <w:rFonts w:ascii="Arial Narrow" w:hAnsi="Arial Narrow"/>
                <w:color w:val="000000"/>
                <w:sz w:val="20"/>
                <w:szCs w:val="20"/>
              </w:rPr>
              <w:t xml:space="preserve"> </w:t>
            </w:r>
          </w:p>
        </w:tc>
        <w:tc>
          <w:tcPr>
            <w:tcW w:w="1126" w:type="dxa"/>
            <w:shd w:val="clear" w:color="auto" w:fill="C6D9F1" w:themeFill="text2" w:themeFillTint="33"/>
          </w:tcPr>
          <w:p w14:paraId="0F35B0F6" w14:textId="60CD9934" w:rsidR="000F5115"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3" w:id="-1168367095"/>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3" w:id="-1168367095"/>
                <w14:textFill>
                  <w14:solidFill>
                    <w14:srgbClr w14:val="000000">
                      <w14:alpha w14:val="100000"/>
                    </w14:srgbClr>
                  </w14:solidFill>
                </w14:textFill>
              </w:rPr>
              <w:t>|</w:t>
            </w:r>
            <w:r w:rsidRPr="002C3508">
              <w:rPr>
                <w:rFonts w:ascii="Arial Narrow" w:hAnsi="Arial Narrow" w:hint="eastAsia"/>
                <w:color w:val="000000"/>
                <w:spacing w:val="-66"/>
                <w:w w:val="15"/>
                <w:sz w:val="20"/>
                <w:szCs w:val="20"/>
                <w:shd w:val="solid" w:color="000000" w:fill="000000"/>
                <w:fitText w:val="33" w:id="-1168367095"/>
                <w14:textFill>
                  <w14:solidFill>
                    <w14:srgbClr w14:val="000000">
                      <w14:alpha w14:val="100000"/>
                    </w14:srgbClr>
                  </w14:solidFill>
                </w14:textFill>
              </w:rPr>
              <w:t xml:space="preserve">　</w:t>
            </w:r>
            <w:r w:rsidR="00F555C9" w:rsidRPr="00B474C2">
              <w:rPr>
                <w:rFonts w:ascii="Arial Narrow" w:hAnsi="Arial Narrow"/>
                <w:color w:val="000000"/>
                <w:sz w:val="20"/>
                <w:szCs w:val="20"/>
                <w:vertAlign w:val="superscript"/>
              </w:rPr>
              <w:t>8</w:t>
            </w:r>
            <w:r w:rsidRPr="00B474C2">
              <w:rPr>
                <w:rFonts w:ascii="Arial Narrow" w:hAnsi="Arial Narrow"/>
                <w:color w:val="000000"/>
                <w:sz w:val="20"/>
                <w:szCs w:val="20"/>
              </w:rPr>
              <w:t xml:space="preserve"> </w:t>
            </w:r>
          </w:p>
        </w:tc>
        <w:tc>
          <w:tcPr>
            <w:tcW w:w="1126" w:type="dxa"/>
            <w:shd w:val="clear" w:color="auto" w:fill="C6D9F1" w:themeFill="text2" w:themeFillTint="33"/>
          </w:tcPr>
          <w:p w14:paraId="19D2759B" w14:textId="17E8B132" w:rsidR="000F5115"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4" w:id="-1168367094"/>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4" w:id="-1168367094"/>
                <w14:textFill>
                  <w14:solidFill>
                    <w14:srgbClr w14:val="000000">
                      <w14:alpha w14:val="100000"/>
                    </w14:srgbClr>
                  </w14:solidFill>
                </w14:textFill>
              </w:rPr>
              <w:t>|</w:t>
            </w:r>
            <w:r w:rsidRPr="002C3508">
              <w:rPr>
                <w:rFonts w:ascii="Arial Narrow" w:hAnsi="Arial Narrow" w:hint="eastAsia"/>
                <w:color w:val="000000"/>
                <w:spacing w:val="-50"/>
                <w:w w:val="15"/>
                <w:sz w:val="20"/>
                <w:szCs w:val="20"/>
                <w:shd w:val="solid" w:color="000000" w:fill="000000"/>
                <w:fitText w:val="34" w:id="-1168367094"/>
                <w14:textFill>
                  <w14:solidFill>
                    <w14:srgbClr w14:val="000000">
                      <w14:alpha w14:val="100000"/>
                    </w14:srgbClr>
                  </w14:solidFill>
                </w14:textFill>
              </w:rPr>
              <w:t xml:space="preserve">　</w:t>
            </w:r>
            <w:r w:rsidR="00F555C9" w:rsidRPr="00B474C2">
              <w:rPr>
                <w:rFonts w:ascii="Arial Narrow" w:hAnsi="Arial Narrow"/>
                <w:color w:val="000000"/>
                <w:sz w:val="20"/>
                <w:szCs w:val="20"/>
                <w:vertAlign w:val="superscript"/>
              </w:rPr>
              <w:t>9</w:t>
            </w:r>
            <w:r w:rsidRPr="00B474C2">
              <w:rPr>
                <w:rFonts w:ascii="Arial Narrow" w:hAnsi="Arial Narrow"/>
                <w:color w:val="000000"/>
                <w:sz w:val="20"/>
                <w:szCs w:val="20"/>
                <w:vertAlign w:val="superscript"/>
              </w:rPr>
              <w:t xml:space="preserve"> </w:t>
            </w:r>
          </w:p>
        </w:tc>
        <w:tc>
          <w:tcPr>
            <w:tcW w:w="1125" w:type="dxa"/>
            <w:shd w:val="clear" w:color="auto" w:fill="C6D9F1" w:themeFill="text2" w:themeFillTint="33"/>
          </w:tcPr>
          <w:p w14:paraId="39F6838A" w14:textId="24E5FB39" w:rsidR="000F5115"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4" w:id="-1168367093"/>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4" w:id="-1168367093"/>
                <w14:textFill>
                  <w14:solidFill>
                    <w14:srgbClr w14:val="000000">
                      <w14:alpha w14:val="100000"/>
                    </w14:srgbClr>
                  </w14:solidFill>
                </w14:textFill>
              </w:rPr>
              <w:t>|</w:t>
            </w:r>
            <w:r w:rsidRPr="002C3508">
              <w:rPr>
                <w:rFonts w:ascii="Arial Narrow" w:hAnsi="Arial Narrow" w:hint="eastAsia"/>
                <w:color w:val="000000"/>
                <w:spacing w:val="-50"/>
                <w:w w:val="15"/>
                <w:sz w:val="20"/>
                <w:szCs w:val="20"/>
                <w:shd w:val="solid" w:color="000000" w:fill="000000"/>
                <w:fitText w:val="34" w:id="-1168367093"/>
                <w14:textFill>
                  <w14:solidFill>
                    <w14:srgbClr w14:val="000000">
                      <w14:alpha w14:val="100000"/>
                    </w14:srgbClr>
                  </w14:solidFill>
                </w14:textFill>
              </w:rPr>
              <w:t xml:space="preserve">　</w:t>
            </w:r>
            <w:r w:rsidR="00F555C9" w:rsidRPr="00B474C2">
              <w:rPr>
                <w:rFonts w:ascii="Arial Narrow" w:hAnsi="Arial Narrow"/>
                <w:color w:val="000000"/>
                <w:sz w:val="20"/>
                <w:szCs w:val="20"/>
                <w:vertAlign w:val="superscript"/>
              </w:rPr>
              <w:t>9</w:t>
            </w:r>
            <w:r w:rsidRPr="00B474C2">
              <w:rPr>
                <w:rFonts w:ascii="Arial Narrow" w:hAnsi="Arial Narrow"/>
                <w:color w:val="000000"/>
                <w:sz w:val="20"/>
                <w:szCs w:val="20"/>
                <w:vertAlign w:val="superscript"/>
              </w:rPr>
              <w:t xml:space="preserve"> </w:t>
            </w:r>
            <w:r w:rsidRPr="00B474C2">
              <w:rPr>
                <w:rFonts w:ascii="Arial Narrow" w:hAnsi="Arial Narrow"/>
                <w:color w:val="000000"/>
                <w:sz w:val="20"/>
                <w:szCs w:val="20"/>
              </w:rPr>
              <w:t xml:space="preserve"> </w:t>
            </w:r>
          </w:p>
        </w:tc>
        <w:tc>
          <w:tcPr>
            <w:tcW w:w="1126" w:type="dxa"/>
            <w:shd w:val="clear" w:color="auto" w:fill="C6D9F1" w:themeFill="text2" w:themeFillTint="33"/>
          </w:tcPr>
          <w:p w14:paraId="412122DE" w14:textId="45648216" w:rsidR="000F5115"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3" w:id="-1168367092"/>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3" w:id="-1168367092"/>
                <w14:textFill>
                  <w14:solidFill>
                    <w14:srgbClr w14:val="000000">
                      <w14:alpha w14:val="100000"/>
                    </w14:srgbClr>
                  </w14:solidFill>
                </w14:textFill>
              </w:rPr>
              <w:t>|</w:t>
            </w:r>
            <w:r w:rsidRPr="002C3508">
              <w:rPr>
                <w:rFonts w:ascii="Arial Narrow" w:hAnsi="Arial Narrow" w:hint="eastAsia"/>
                <w:color w:val="000000"/>
                <w:spacing w:val="-66"/>
                <w:w w:val="15"/>
                <w:sz w:val="20"/>
                <w:szCs w:val="20"/>
                <w:shd w:val="solid" w:color="000000" w:fill="000000"/>
                <w:fitText w:val="33" w:id="-1168367092"/>
                <w14:textFill>
                  <w14:solidFill>
                    <w14:srgbClr w14:val="000000">
                      <w14:alpha w14:val="100000"/>
                    </w14:srgbClr>
                  </w14:solidFill>
                </w14:textFill>
              </w:rPr>
              <w:t xml:space="preserve">　</w:t>
            </w:r>
            <w:r w:rsidR="00F555C9" w:rsidRPr="00B474C2">
              <w:rPr>
                <w:rFonts w:ascii="Arial Narrow" w:hAnsi="Arial Narrow"/>
                <w:color w:val="000000"/>
                <w:sz w:val="20"/>
                <w:szCs w:val="20"/>
                <w:vertAlign w:val="superscript"/>
              </w:rPr>
              <w:t>9</w:t>
            </w:r>
            <w:r w:rsidRPr="00B474C2">
              <w:rPr>
                <w:rFonts w:ascii="Arial Narrow" w:hAnsi="Arial Narrow"/>
                <w:color w:val="000000"/>
                <w:sz w:val="20"/>
                <w:szCs w:val="20"/>
                <w:vertAlign w:val="superscript"/>
              </w:rPr>
              <w:t xml:space="preserve"> </w:t>
            </w:r>
            <w:r w:rsidRPr="00B474C2">
              <w:rPr>
                <w:rFonts w:ascii="Arial Narrow" w:hAnsi="Arial Narrow"/>
                <w:color w:val="000000"/>
                <w:sz w:val="20"/>
                <w:szCs w:val="20"/>
              </w:rPr>
              <w:t xml:space="preserve"> </w:t>
            </w:r>
          </w:p>
        </w:tc>
        <w:tc>
          <w:tcPr>
            <w:tcW w:w="1126" w:type="dxa"/>
            <w:shd w:val="clear" w:color="auto" w:fill="C6D9F1" w:themeFill="text2" w:themeFillTint="33"/>
          </w:tcPr>
          <w:p w14:paraId="2F438168" w14:textId="05F29F58" w:rsidR="000F5115"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3" w:id="-1168367091"/>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3" w:id="-1168367091"/>
                <w14:textFill>
                  <w14:solidFill>
                    <w14:srgbClr w14:val="000000">
                      <w14:alpha w14:val="100000"/>
                    </w14:srgbClr>
                  </w14:solidFill>
                </w14:textFill>
              </w:rPr>
              <w:t>|</w:t>
            </w:r>
            <w:r w:rsidRPr="002C3508">
              <w:rPr>
                <w:rFonts w:ascii="Arial Narrow" w:hAnsi="Arial Narrow" w:hint="eastAsia"/>
                <w:color w:val="000000"/>
                <w:spacing w:val="-66"/>
                <w:w w:val="15"/>
                <w:sz w:val="20"/>
                <w:szCs w:val="20"/>
                <w:shd w:val="solid" w:color="000000" w:fill="000000"/>
                <w:fitText w:val="33" w:id="-1168367091"/>
                <w14:textFill>
                  <w14:solidFill>
                    <w14:srgbClr w14:val="000000">
                      <w14:alpha w14:val="100000"/>
                    </w14:srgbClr>
                  </w14:solidFill>
                </w14:textFill>
              </w:rPr>
              <w:t xml:space="preserve">　</w:t>
            </w:r>
            <w:r w:rsidR="00F555C9" w:rsidRPr="00B474C2">
              <w:rPr>
                <w:rFonts w:ascii="Arial Narrow" w:hAnsi="Arial Narrow"/>
                <w:color w:val="000000"/>
                <w:sz w:val="20"/>
                <w:szCs w:val="20"/>
                <w:vertAlign w:val="superscript"/>
              </w:rPr>
              <w:t>9</w:t>
            </w:r>
            <w:r w:rsidRPr="00B474C2">
              <w:rPr>
                <w:rFonts w:ascii="Arial Narrow" w:hAnsi="Arial Narrow"/>
                <w:color w:val="000000"/>
                <w:sz w:val="20"/>
                <w:szCs w:val="20"/>
                <w:vertAlign w:val="superscript"/>
              </w:rPr>
              <w:t xml:space="preserve"> </w:t>
            </w:r>
            <w:r w:rsidRPr="00B474C2">
              <w:rPr>
                <w:rFonts w:ascii="Arial Narrow" w:hAnsi="Arial Narrow"/>
                <w:color w:val="000000"/>
                <w:sz w:val="20"/>
                <w:szCs w:val="20"/>
              </w:rPr>
              <w:t xml:space="preserve"> </w:t>
            </w:r>
          </w:p>
        </w:tc>
      </w:tr>
      <w:tr w:rsidR="00AA563F" w:rsidRPr="000F5115" w14:paraId="0CDEE50F" w14:textId="77777777" w:rsidTr="008B46B0">
        <w:tc>
          <w:tcPr>
            <w:tcW w:w="2263" w:type="dxa"/>
            <w:shd w:val="clear" w:color="auto" w:fill="C6D9F1" w:themeFill="text2" w:themeFillTint="33"/>
            <w:vAlign w:val="center"/>
          </w:tcPr>
          <w:p w14:paraId="1DD1FD7A" w14:textId="11E64C8E" w:rsidR="000F5115" w:rsidRPr="000F5115" w:rsidRDefault="00AA563F" w:rsidP="00934AB0">
            <w:pPr>
              <w:pStyle w:val="COMTabletext"/>
              <w:keepLines/>
            </w:pPr>
            <w:r>
              <w:rPr>
                <w:bCs w:val="0"/>
                <w:szCs w:val="20"/>
              </w:rPr>
              <w:t>Net</w:t>
            </w:r>
            <w:r w:rsidRPr="000F5115">
              <w:rPr>
                <w:bCs w:val="0"/>
                <w:szCs w:val="20"/>
              </w:rPr>
              <w:t xml:space="preserve"> </w:t>
            </w:r>
            <w:r w:rsidR="000F5115" w:rsidRPr="000F5115">
              <w:rPr>
                <w:bCs w:val="0"/>
                <w:szCs w:val="20"/>
              </w:rPr>
              <w:t>cost to PBS/RPBS/MBS</w:t>
            </w:r>
          </w:p>
        </w:tc>
        <w:tc>
          <w:tcPr>
            <w:tcW w:w="1125" w:type="dxa"/>
            <w:shd w:val="clear" w:color="auto" w:fill="C6D9F1" w:themeFill="text2" w:themeFillTint="33"/>
            <w:vAlign w:val="center"/>
          </w:tcPr>
          <w:p w14:paraId="1BF60637" w14:textId="54E4584D" w:rsidR="000F5115"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3" w:id="-1168367090"/>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3" w:id="-1168367090"/>
                <w14:textFill>
                  <w14:solidFill>
                    <w14:srgbClr w14:val="000000">
                      <w14:alpha w14:val="100000"/>
                    </w14:srgbClr>
                  </w14:solidFill>
                </w14:textFill>
              </w:rPr>
              <w:t>|</w:t>
            </w:r>
            <w:r w:rsidRPr="002C3508">
              <w:rPr>
                <w:rFonts w:ascii="Arial Narrow" w:hAnsi="Arial Narrow" w:hint="eastAsia"/>
                <w:color w:val="000000"/>
                <w:spacing w:val="-66"/>
                <w:w w:val="15"/>
                <w:sz w:val="20"/>
                <w:szCs w:val="20"/>
                <w:shd w:val="solid" w:color="000000" w:fill="000000"/>
                <w:fitText w:val="33" w:id="-1168367090"/>
                <w14:textFill>
                  <w14:solidFill>
                    <w14:srgbClr w14:val="000000">
                      <w14:alpha w14:val="100000"/>
                    </w14:srgbClr>
                  </w14:solidFill>
                </w14:textFill>
              </w:rPr>
              <w:t xml:space="preserve">　</w:t>
            </w:r>
            <w:r w:rsidR="00313E60">
              <w:rPr>
                <w:rFonts w:ascii="Arial Narrow" w:hAnsi="Arial Narrow"/>
                <w:bCs/>
                <w:color w:val="000000"/>
                <w:sz w:val="20"/>
                <w:szCs w:val="20"/>
                <w:vertAlign w:val="superscript"/>
              </w:rPr>
              <w:t>4</w:t>
            </w:r>
          </w:p>
        </w:tc>
        <w:tc>
          <w:tcPr>
            <w:tcW w:w="1126" w:type="dxa"/>
            <w:shd w:val="clear" w:color="auto" w:fill="C6D9F1" w:themeFill="text2" w:themeFillTint="33"/>
            <w:vAlign w:val="center"/>
          </w:tcPr>
          <w:p w14:paraId="48593E1A" w14:textId="391BC9C8" w:rsidR="000F5115"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3" w:id="-1168367089"/>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3" w:id="-1168367089"/>
                <w14:textFill>
                  <w14:solidFill>
                    <w14:srgbClr w14:val="000000">
                      <w14:alpha w14:val="100000"/>
                    </w14:srgbClr>
                  </w14:solidFill>
                </w14:textFill>
              </w:rPr>
              <w:t>|</w:t>
            </w:r>
            <w:r w:rsidRPr="002C3508">
              <w:rPr>
                <w:rFonts w:ascii="Arial Narrow" w:hAnsi="Arial Narrow" w:hint="eastAsia"/>
                <w:color w:val="000000"/>
                <w:spacing w:val="-66"/>
                <w:w w:val="15"/>
                <w:sz w:val="20"/>
                <w:szCs w:val="20"/>
                <w:shd w:val="solid" w:color="000000" w:fill="000000"/>
                <w:fitText w:val="33" w:id="-1168367089"/>
                <w14:textFill>
                  <w14:solidFill>
                    <w14:srgbClr w14:val="000000">
                      <w14:alpha w14:val="100000"/>
                    </w14:srgbClr>
                  </w14:solidFill>
                </w14:textFill>
              </w:rPr>
              <w:t xml:space="preserve">　</w:t>
            </w:r>
            <w:r w:rsidR="00F555C9" w:rsidRPr="00B474C2">
              <w:rPr>
                <w:rFonts w:ascii="Arial Narrow" w:hAnsi="Arial Narrow"/>
                <w:color w:val="000000"/>
                <w:sz w:val="20"/>
                <w:szCs w:val="20"/>
                <w:vertAlign w:val="superscript"/>
              </w:rPr>
              <w:t>8</w:t>
            </w:r>
          </w:p>
        </w:tc>
        <w:tc>
          <w:tcPr>
            <w:tcW w:w="1126" w:type="dxa"/>
            <w:shd w:val="clear" w:color="auto" w:fill="C6D9F1" w:themeFill="text2" w:themeFillTint="33"/>
            <w:vAlign w:val="center"/>
          </w:tcPr>
          <w:p w14:paraId="22B04849" w14:textId="65E72578" w:rsidR="000F5115"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4" w:id="-1168367088"/>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4" w:id="-1168367088"/>
                <w14:textFill>
                  <w14:solidFill>
                    <w14:srgbClr w14:val="000000">
                      <w14:alpha w14:val="100000"/>
                    </w14:srgbClr>
                  </w14:solidFill>
                </w14:textFill>
              </w:rPr>
              <w:t>|</w:t>
            </w:r>
            <w:r w:rsidRPr="002C3508">
              <w:rPr>
                <w:rFonts w:ascii="Arial Narrow" w:hAnsi="Arial Narrow" w:hint="eastAsia"/>
                <w:color w:val="000000"/>
                <w:spacing w:val="-50"/>
                <w:w w:val="15"/>
                <w:sz w:val="20"/>
                <w:szCs w:val="20"/>
                <w:shd w:val="solid" w:color="000000" w:fill="000000"/>
                <w:fitText w:val="34" w:id="-1168367088"/>
                <w14:textFill>
                  <w14:solidFill>
                    <w14:srgbClr w14:val="000000">
                      <w14:alpha w14:val="100000"/>
                    </w14:srgbClr>
                  </w14:solidFill>
                </w14:textFill>
              </w:rPr>
              <w:t xml:space="preserve">　</w:t>
            </w:r>
            <w:r w:rsidR="00F555C9" w:rsidRPr="00B474C2">
              <w:rPr>
                <w:rFonts w:ascii="Arial Narrow" w:hAnsi="Arial Narrow"/>
                <w:color w:val="000000"/>
                <w:sz w:val="20"/>
                <w:szCs w:val="20"/>
                <w:vertAlign w:val="superscript"/>
              </w:rPr>
              <w:t>9</w:t>
            </w:r>
          </w:p>
        </w:tc>
        <w:tc>
          <w:tcPr>
            <w:tcW w:w="1125" w:type="dxa"/>
            <w:shd w:val="clear" w:color="auto" w:fill="C6D9F1" w:themeFill="text2" w:themeFillTint="33"/>
            <w:vAlign w:val="center"/>
          </w:tcPr>
          <w:p w14:paraId="5FD1CE04" w14:textId="5441DE22" w:rsidR="000F5115"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4" w:id="-1168367104"/>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4" w:id="-1168367104"/>
                <w14:textFill>
                  <w14:solidFill>
                    <w14:srgbClr w14:val="000000">
                      <w14:alpha w14:val="100000"/>
                    </w14:srgbClr>
                  </w14:solidFill>
                </w14:textFill>
              </w:rPr>
              <w:t>|</w:t>
            </w:r>
            <w:r w:rsidRPr="002C3508">
              <w:rPr>
                <w:rFonts w:ascii="Arial Narrow" w:hAnsi="Arial Narrow" w:hint="eastAsia"/>
                <w:color w:val="000000"/>
                <w:spacing w:val="-50"/>
                <w:w w:val="15"/>
                <w:sz w:val="20"/>
                <w:szCs w:val="20"/>
                <w:shd w:val="solid" w:color="000000" w:fill="000000"/>
                <w:fitText w:val="34" w:id="-1168367104"/>
                <w14:textFill>
                  <w14:solidFill>
                    <w14:srgbClr w14:val="000000">
                      <w14:alpha w14:val="100000"/>
                    </w14:srgbClr>
                  </w14:solidFill>
                </w14:textFill>
              </w:rPr>
              <w:t xml:space="preserve">　</w:t>
            </w:r>
            <w:r w:rsidR="00F555C9" w:rsidRPr="00B474C2">
              <w:rPr>
                <w:rFonts w:ascii="Arial Narrow" w:hAnsi="Arial Narrow"/>
                <w:color w:val="000000"/>
                <w:sz w:val="20"/>
                <w:szCs w:val="20"/>
                <w:vertAlign w:val="superscript"/>
              </w:rPr>
              <w:t>9</w:t>
            </w:r>
          </w:p>
        </w:tc>
        <w:tc>
          <w:tcPr>
            <w:tcW w:w="1126" w:type="dxa"/>
            <w:shd w:val="clear" w:color="auto" w:fill="C6D9F1" w:themeFill="text2" w:themeFillTint="33"/>
            <w:vAlign w:val="center"/>
          </w:tcPr>
          <w:p w14:paraId="0ED963D2" w14:textId="5909EC1E" w:rsidR="000F5115"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3" w:id="-1168367103"/>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3" w:id="-1168367103"/>
                <w14:textFill>
                  <w14:solidFill>
                    <w14:srgbClr w14:val="000000">
                      <w14:alpha w14:val="100000"/>
                    </w14:srgbClr>
                  </w14:solidFill>
                </w14:textFill>
              </w:rPr>
              <w:t>|</w:t>
            </w:r>
            <w:r w:rsidRPr="002C3508">
              <w:rPr>
                <w:rFonts w:ascii="Arial Narrow" w:hAnsi="Arial Narrow" w:hint="eastAsia"/>
                <w:color w:val="000000"/>
                <w:spacing w:val="-66"/>
                <w:w w:val="15"/>
                <w:sz w:val="20"/>
                <w:szCs w:val="20"/>
                <w:shd w:val="solid" w:color="000000" w:fill="000000"/>
                <w:fitText w:val="33" w:id="-1168367103"/>
                <w14:textFill>
                  <w14:solidFill>
                    <w14:srgbClr w14:val="000000">
                      <w14:alpha w14:val="100000"/>
                    </w14:srgbClr>
                  </w14:solidFill>
                </w14:textFill>
              </w:rPr>
              <w:t xml:space="preserve">　</w:t>
            </w:r>
            <w:r w:rsidR="00F555C9" w:rsidRPr="00B474C2">
              <w:rPr>
                <w:rFonts w:ascii="Arial Narrow" w:hAnsi="Arial Narrow"/>
                <w:color w:val="000000"/>
                <w:sz w:val="20"/>
                <w:szCs w:val="20"/>
                <w:vertAlign w:val="superscript"/>
              </w:rPr>
              <w:t>9</w:t>
            </w:r>
          </w:p>
        </w:tc>
        <w:tc>
          <w:tcPr>
            <w:tcW w:w="1126" w:type="dxa"/>
            <w:shd w:val="clear" w:color="auto" w:fill="C6D9F1" w:themeFill="text2" w:themeFillTint="33"/>
            <w:vAlign w:val="center"/>
          </w:tcPr>
          <w:p w14:paraId="44D72623" w14:textId="74F30888" w:rsidR="000F5115"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3" w:id="-1168367102"/>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3" w:id="-1168367102"/>
                <w14:textFill>
                  <w14:solidFill>
                    <w14:srgbClr w14:val="000000">
                      <w14:alpha w14:val="100000"/>
                    </w14:srgbClr>
                  </w14:solidFill>
                </w14:textFill>
              </w:rPr>
              <w:t>|</w:t>
            </w:r>
            <w:r w:rsidRPr="002C3508">
              <w:rPr>
                <w:rFonts w:ascii="Arial Narrow" w:hAnsi="Arial Narrow" w:hint="eastAsia"/>
                <w:color w:val="000000"/>
                <w:spacing w:val="-66"/>
                <w:w w:val="15"/>
                <w:sz w:val="20"/>
                <w:szCs w:val="20"/>
                <w:shd w:val="solid" w:color="000000" w:fill="000000"/>
                <w:fitText w:val="33" w:id="-1168367102"/>
                <w14:textFill>
                  <w14:solidFill>
                    <w14:srgbClr w14:val="000000">
                      <w14:alpha w14:val="100000"/>
                    </w14:srgbClr>
                  </w14:solidFill>
                </w14:textFill>
              </w:rPr>
              <w:t xml:space="preserve">　</w:t>
            </w:r>
            <w:r w:rsidR="00F555C9" w:rsidRPr="00B474C2">
              <w:rPr>
                <w:rFonts w:ascii="Arial Narrow" w:hAnsi="Arial Narrow"/>
                <w:color w:val="000000"/>
                <w:sz w:val="20"/>
                <w:szCs w:val="20"/>
                <w:vertAlign w:val="superscript"/>
              </w:rPr>
              <w:t>9</w:t>
            </w:r>
          </w:p>
        </w:tc>
      </w:tr>
      <w:tr w:rsidR="000F5115" w:rsidRPr="000F5115" w14:paraId="4B4EE348" w14:textId="77777777" w:rsidTr="008B46B0">
        <w:tc>
          <w:tcPr>
            <w:tcW w:w="9017" w:type="dxa"/>
            <w:gridSpan w:val="7"/>
            <w:shd w:val="clear" w:color="auto" w:fill="C6D9F1" w:themeFill="text2" w:themeFillTint="33"/>
          </w:tcPr>
          <w:p w14:paraId="4F09F027" w14:textId="44328BA8" w:rsidR="000F5115" w:rsidRPr="000F5115" w:rsidRDefault="000F5115" w:rsidP="00934AB0">
            <w:pPr>
              <w:keepNext/>
              <w:keepLines/>
              <w:jc w:val="left"/>
              <w:rPr>
                <w:rFonts w:ascii="Arial Narrow" w:hAnsi="Arial Narrow"/>
                <w:bCs/>
                <w:color w:val="000000"/>
                <w:sz w:val="20"/>
                <w:szCs w:val="20"/>
              </w:rPr>
            </w:pPr>
            <w:r>
              <w:rPr>
                <w:rFonts w:ascii="Arial Narrow" w:hAnsi="Arial Narrow"/>
                <w:b/>
                <w:color w:val="000000"/>
                <w:sz w:val="20"/>
                <w:szCs w:val="20"/>
              </w:rPr>
              <w:t>September</w:t>
            </w:r>
            <w:r w:rsidRPr="000F5115">
              <w:rPr>
                <w:rFonts w:ascii="Arial Narrow" w:hAnsi="Arial Narrow"/>
                <w:b/>
                <w:color w:val="000000"/>
                <w:sz w:val="20"/>
                <w:szCs w:val="20"/>
              </w:rPr>
              <w:t xml:space="preserve"> 2021 submission</w:t>
            </w:r>
          </w:p>
        </w:tc>
      </w:tr>
      <w:tr w:rsidR="00AA563F" w:rsidRPr="000F5115" w14:paraId="4D0C22A1" w14:textId="77777777" w:rsidTr="008B46B0">
        <w:tc>
          <w:tcPr>
            <w:tcW w:w="2263" w:type="dxa"/>
            <w:shd w:val="clear" w:color="auto" w:fill="C6D9F1" w:themeFill="text2" w:themeFillTint="33"/>
          </w:tcPr>
          <w:p w14:paraId="6731A530" w14:textId="56930166" w:rsidR="00D6774C" w:rsidRPr="000F5115" w:rsidRDefault="00D6774C" w:rsidP="00934AB0">
            <w:pPr>
              <w:pStyle w:val="COMTabletext"/>
              <w:keepLines/>
            </w:pPr>
            <w:r w:rsidRPr="000F5115">
              <w:t>Net cost to PBS/RPBS</w:t>
            </w:r>
          </w:p>
        </w:tc>
        <w:tc>
          <w:tcPr>
            <w:tcW w:w="1125" w:type="dxa"/>
            <w:shd w:val="clear" w:color="auto" w:fill="C6D9F1" w:themeFill="text2" w:themeFillTint="33"/>
          </w:tcPr>
          <w:p w14:paraId="769B0843" w14:textId="3FE4D9DF" w:rsidR="00D6774C"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67" w:id="-1168367101"/>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67" w:id="-1168367101"/>
                <w14:textFill>
                  <w14:solidFill>
                    <w14:srgbClr w14:val="000000">
                      <w14:alpha w14:val="100000"/>
                    </w14:srgbClr>
                  </w14:solidFill>
                </w14:textFill>
              </w:rPr>
              <w:t>|</w:t>
            </w:r>
            <w:r w:rsidRPr="002C3508">
              <w:rPr>
                <w:rFonts w:ascii="Arial Narrow" w:hAnsi="Arial Narrow" w:hint="eastAsia"/>
                <w:color w:val="000000"/>
                <w:spacing w:val="1"/>
                <w:w w:val="15"/>
                <w:sz w:val="20"/>
                <w:szCs w:val="20"/>
                <w:shd w:val="solid" w:color="000000" w:fill="000000"/>
                <w:fitText w:val="67" w:id="-1168367101"/>
                <w14:textFill>
                  <w14:solidFill>
                    <w14:srgbClr w14:val="000000">
                      <w14:alpha w14:val="100000"/>
                    </w14:srgbClr>
                  </w14:solidFill>
                </w14:textFill>
              </w:rPr>
              <w:t xml:space="preserve">　</w:t>
            </w:r>
            <w:r w:rsidR="00F555C9" w:rsidRPr="00F555C9">
              <w:rPr>
                <w:rFonts w:ascii="Arial Narrow" w:hAnsi="Arial Narrow"/>
                <w:color w:val="000000"/>
                <w:sz w:val="20"/>
                <w:szCs w:val="20"/>
                <w:vertAlign w:val="superscript"/>
              </w:rPr>
              <w:t>11</w:t>
            </w:r>
          </w:p>
        </w:tc>
        <w:tc>
          <w:tcPr>
            <w:tcW w:w="1126" w:type="dxa"/>
            <w:shd w:val="clear" w:color="auto" w:fill="C6D9F1" w:themeFill="text2" w:themeFillTint="33"/>
          </w:tcPr>
          <w:p w14:paraId="3498ECC6" w14:textId="5D586E98" w:rsidR="00D6774C"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3" w:id="-1168367100"/>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3" w:id="-1168367100"/>
                <w14:textFill>
                  <w14:solidFill>
                    <w14:srgbClr w14:val="000000">
                      <w14:alpha w14:val="100000"/>
                    </w14:srgbClr>
                  </w14:solidFill>
                </w14:textFill>
              </w:rPr>
              <w:t>|</w:t>
            </w:r>
            <w:r w:rsidRPr="002C3508">
              <w:rPr>
                <w:rFonts w:ascii="Arial Narrow" w:hAnsi="Arial Narrow" w:hint="eastAsia"/>
                <w:color w:val="000000"/>
                <w:spacing w:val="-66"/>
                <w:w w:val="15"/>
                <w:sz w:val="20"/>
                <w:szCs w:val="20"/>
                <w:shd w:val="solid" w:color="000000" w:fill="000000"/>
                <w:fitText w:val="33" w:id="-1168367100"/>
                <w14:textFill>
                  <w14:solidFill>
                    <w14:srgbClr w14:val="000000">
                      <w14:alpha w14:val="100000"/>
                    </w14:srgbClr>
                  </w14:solidFill>
                </w14:textFill>
              </w:rPr>
              <w:t xml:space="preserve">　</w:t>
            </w:r>
            <w:r w:rsidR="00313E60">
              <w:rPr>
                <w:rFonts w:ascii="Arial Narrow" w:hAnsi="Arial Narrow"/>
                <w:bCs/>
                <w:color w:val="000000"/>
                <w:sz w:val="20"/>
                <w:szCs w:val="20"/>
                <w:vertAlign w:val="superscript"/>
              </w:rPr>
              <w:t>4</w:t>
            </w:r>
          </w:p>
        </w:tc>
        <w:tc>
          <w:tcPr>
            <w:tcW w:w="1126" w:type="dxa"/>
            <w:shd w:val="clear" w:color="auto" w:fill="C6D9F1" w:themeFill="text2" w:themeFillTint="33"/>
          </w:tcPr>
          <w:p w14:paraId="69C03A46" w14:textId="7A77B02B" w:rsidR="00D6774C"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4" w:id="-1168367099"/>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4" w:id="-1168367099"/>
                <w14:textFill>
                  <w14:solidFill>
                    <w14:srgbClr w14:val="000000">
                      <w14:alpha w14:val="100000"/>
                    </w14:srgbClr>
                  </w14:solidFill>
                </w14:textFill>
              </w:rPr>
              <w:t>|</w:t>
            </w:r>
            <w:r w:rsidRPr="002C3508">
              <w:rPr>
                <w:rFonts w:ascii="Arial Narrow" w:hAnsi="Arial Narrow" w:hint="eastAsia"/>
                <w:color w:val="000000"/>
                <w:spacing w:val="-50"/>
                <w:w w:val="15"/>
                <w:sz w:val="20"/>
                <w:szCs w:val="20"/>
                <w:shd w:val="solid" w:color="000000" w:fill="000000"/>
                <w:fitText w:val="34" w:id="-1168367099"/>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5</w:t>
            </w:r>
          </w:p>
        </w:tc>
        <w:tc>
          <w:tcPr>
            <w:tcW w:w="1125" w:type="dxa"/>
            <w:shd w:val="clear" w:color="auto" w:fill="C6D9F1" w:themeFill="text2" w:themeFillTint="33"/>
          </w:tcPr>
          <w:p w14:paraId="0E88812D" w14:textId="7194BA3F" w:rsidR="00D6774C"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4" w:id="-1168367098"/>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4" w:id="-1168367098"/>
                <w14:textFill>
                  <w14:solidFill>
                    <w14:srgbClr w14:val="000000">
                      <w14:alpha w14:val="100000"/>
                    </w14:srgbClr>
                  </w14:solidFill>
                </w14:textFill>
              </w:rPr>
              <w:t>|</w:t>
            </w:r>
            <w:r w:rsidRPr="002C3508">
              <w:rPr>
                <w:rFonts w:ascii="Arial Narrow" w:hAnsi="Arial Narrow" w:hint="eastAsia"/>
                <w:color w:val="000000"/>
                <w:spacing w:val="-50"/>
                <w:w w:val="15"/>
                <w:sz w:val="20"/>
                <w:szCs w:val="20"/>
                <w:shd w:val="solid" w:color="000000" w:fill="000000"/>
                <w:fitText w:val="34" w:id="-1168367098"/>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5</w:t>
            </w:r>
          </w:p>
        </w:tc>
        <w:tc>
          <w:tcPr>
            <w:tcW w:w="1126" w:type="dxa"/>
            <w:shd w:val="clear" w:color="auto" w:fill="C6D9F1" w:themeFill="text2" w:themeFillTint="33"/>
          </w:tcPr>
          <w:p w14:paraId="25D0447C" w14:textId="63DD0E1D" w:rsidR="00D6774C"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3" w:id="-1168367097"/>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3" w:id="-1168367097"/>
                <w14:textFill>
                  <w14:solidFill>
                    <w14:srgbClr w14:val="000000">
                      <w14:alpha w14:val="100000"/>
                    </w14:srgbClr>
                  </w14:solidFill>
                </w14:textFill>
              </w:rPr>
              <w:t>|</w:t>
            </w:r>
            <w:r w:rsidRPr="002C3508">
              <w:rPr>
                <w:rFonts w:ascii="Arial Narrow" w:hAnsi="Arial Narrow" w:hint="eastAsia"/>
                <w:color w:val="000000"/>
                <w:spacing w:val="-66"/>
                <w:w w:val="15"/>
                <w:sz w:val="20"/>
                <w:szCs w:val="20"/>
                <w:shd w:val="solid" w:color="000000" w:fill="000000"/>
                <w:fitText w:val="33" w:id="-1168367097"/>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5</w:t>
            </w:r>
          </w:p>
        </w:tc>
        <w:tc>
          <w:tcPr>
            <w:tcW w:w="1126" w:type="dxa"/>
            <w:shd w:val="clear" w:color="auto" w:fill="C6D9F1" w:themeFill="text2" w:themeFillTint="33"/>
          </w:tcPr>
          <w:p w14:paraId="41E0182C" w14:textId="134D02D2" w:rsidR="00D6774C"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3" w:id="-1168367096"/>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3" w:id="-1168367096"/>
                <w14:textFill>
                  <w14:solidFill>
                    <w14:srgbClr w14:val="000000">
                      <w14:alpha w14:val="100000"/>
                    </w14:srgbClr>
                  </w14:solidFill>
                </w14:textFill>
              </w:rPr>
              <w:t>|</w:t>
            </w:r>
            <w:r w:rsidRPr="002C3508">
              <w:rPr>
                <w:rFonts w:ascii="Arial Narrow" w:hAnsi="Arial Narrow" w:hint="eastAsia"/>
                <w:color w:val="000000"/>
                <w:spacing w:val="-66"/>
                <w:w w:val="15"/>
                <w:sz w:val="20"/>
                <w:szCs w:val="20"/>
                <w:shd w:val="solid" w:color="000000" w:fill="000000"/>
                <w:fitText w:val="33" w:id="-1168367096"/>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6</w:t>
            </w:r>
          </w:p>
        </w:tc>
      </w:tr>
      <w:tr w:rsidR="00AA563F" w:rsidRPr="000F5115" w14:paraId="1B0AF1D3" w14:textId="77777777" w:rsidTr="008B46B0">
        <w:tc>
          <w:tcPr>
            <w:tcW w:w="2263" w:type="dxa"/>
            <w:shd w:val="clear" w:color="auto" w:fill="C6D9F1" w:themeFill="text2" w:themeFillTint="33"/>
            <w:vAlign w:val="center"/>
          </w:tcPr>
          <w:p w14:paraId="36F1F5B5" w14:textId="4B139723" w:rsidR="00D6774C" w:rsidRPr="000F5115" w:rsidRDefault="00AA563F" w:rsidP="00934AB0">
            <w:pPr>
              <w:pStyle w:val="COMTabletext"/>
              <w:keepLines/>
            </w:pPr>
            <w:r>
              <w:rPr>
                <w:bCs w:val="0"/>
                <w:szCs w:val="20"/>
              </w:rPr>
              <w:t>Net</w:t>
            </w:r>
            <w:r w:rsidRPr="000F5115">
              <w:rPr>
                <w:bCs w:val="0"/>
                <w:szCs w:val="20"/>
              </w:rPr>
              <w:t xml:space="preserve"> </w:t>
            </w:r>
            <w:r w:rsidR="00D6774C" w:rsidRPr="000F5115">
              <w:rPr>
                <w:bCs w:val="0"/>
                <w:szCs w:val="20"/>
              </w:rPr>
              <w:t>cost to PBS/RPBS/MBS</w:t>
            </w:r>
          </w:p>
        </w:tc>
        <w:tc>
          <w:tcPr>
            <w:tcW w:w="1125" w:type="dxa"/>
            <w:shd w:val="clear" w:color="auto" w:fill="C6D9F1" w:themeFill="text2" w:themeFillTint="33"/>
            <w:vAlign w:val="bottom"/>
          </w:tcPr>
          <w:p w14:paraId="7B6BF3B2" w14:textId="18297C6F" w:rsidR="00D6774C"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67" w:id="-1168367095"/>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67" w:id="-1168367095"/>
                <w14:textFill>
                  <w14:solidFill>
                    <w14:srgbClr w14:val="000000">
                      <w14:alpha w14:val="100000"/>
                    </w14:srgbClr>
                  </w14:solidFill>
                </w14:textFill>
              </w:rPr>
              <w:t>|</w:t>
            </w:r>
            <w:r w:rsidRPr="002C3508">
              <w:rPr>
                <w:rFonts w:ascii="Arial Narrow" w:hAnsi="Arial Narrow" w:hint="eastAsia"/>
                <w:color w:val="000000"/>
                <w:spacing w:val="1"/>
                <w:w w:val="15"/>
                <w:sz w:val="20"/>
                <w:szCs w:val="20"/>
                <w:shd w:val="solid" w:color="000000" w:fill="000000"/>
                <w:fitText w:val="67" w:id="-1168367095"/>
                <w14:textFill>
                  <w14:solidFill>
                    <w14:srgbClr w14:val="000000">
                      <w14:alpha w14:val="100000"/>
                    </w14:srgbClr>
                  </w14:solidFill>
                </w14:textFill>
              </w:rPr>
              <w:t xml:space="preserve">　</w:t>
            </w:r>
            <w:r w:rsidR="00F555C9" w:rsidRPr="00F555C9">
              <w:rPr>
                <w:rFonts w:ascii="Arial Narrow" w:hAnsi="Arial Narrow"/>
                <w:color w:val="000000"/>
                <w:sz w:val="20"/>
                <w:szCs w:val="20"/>
                <w:vertAlign w:val="superscript"/>
              </w:rPr>
              <w:t>11</w:t>
            </w:r>
          </w:p>
        </w:tc>
        <w:tc>
          <w:tcPr>
            <w:tcW w:w="1126" w:type="dxa"/>
            <w:shd w:val="clear" w:color="auto" w:fill="C6D9F1" w:themeFill="text2" w:themeFillTint="33"/>
            <w:vAlign w:val="bottom"/>
          </w:tcPr>
          <w:p w14:paraId="7770F6C9" w14:textId="68DCB277" w:rsidR="00D6774C"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3" w:id="-1168367094"/>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3" w:id="-1168367094"/>
                <w14:textFill>
                  <w14:solidFill>
                    <w14:srgbClr w14:val="000000">
                      <w14:alpha w14:val="100000"/>
                    </w14:srgbClr>
                  </w14:solidFill>
                </w14:textFill>
              </w:rPr>
              <w:t>|</w:t>
            </w:r>
            <w:r w:rsidRPr="002C3508">
              <w:rPr>
                <w:rFonts w:ascii="Arial Narrow" w:hAnsi="Arial Narrow" w:hint="eastAsia"/>
                <w:color w:val="000000"/>
                <w:spacing w:val="-66"/>
                <w:w w:val="15"/>
                <w:sz w:val="20"/>
                <w:szCs w:val="20"/>
                <w:shd w:val="solid" w:color="000000" w:fill="000000"/>
                <w:fitText w:val="33" w:id="-1168367094"/>
                <w14:textFill>
                  <w14:solidFill>
                    <w14:srgbClr w14:val="000000">
                      <w14:alpha w14:val="100000"/>
                    </w14:srgbClr>
                  </w14:solidFill>
                </w14:textFill>
              </w:rPr>
              <w:t xml:space="preserve">　</w:t>
            </w:r>
            <w:r w:rsidR="00313E60">
              <w:rPr>
                <w:rFonts w:ascii="Arial Narrow" w:hAnsi="Arial Narrow"/>
                <w:bCs/>
                <w:color w:val="000000"/>
                <w:sz w:val="20"/>
                <w:szCs w:val="20"/>
                <w:vertAlign w:val="superscript"/>
              </w:rPr>
              <w:t>4</w:t>
            </w:r>
          </w:p>
        </w:tc>
        <w:tc>
          <w:tcPr>
            <w:tcW w:w="1126" w:type="dxa"/>
            <w:shd w:val="clear" w:color="auto" w:fill="C6D9F1" w:themeFill="text2" w:themeFillTint="33"/>
            <w:vAlign w:val="bottom"/>
          </w:tcPr>
          <w:p w14:paraId="43B8786D" w14:textId="27C8D391" w:rsidR="00D6774C"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4" w:id="-1168367093"/>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4" w:id="-1168367093"/>
                <w14:textFill>
                  <w14:solidFill>
                    <w14:srgbClr w14:val="000000">
                      <w14:alpha w14:val="100000"/>
                    </w14:srgbClr>
                  </w14:solidFill>
                </w14:textFill>
              </w:rPr>
              <w:t>|</w:t>
            </w:r>
            <w:r w:rsidRPr="002C3508">
              <w:rPr>
                <w:rFonts w:ascii="Arial Narrow" w:hAnsi="Arial Narrow" w:hint="eastAsia"/>
                <w:color w:val="000000"/>
                <w:spacing w:val="-50"/>
                <w:w w:val="15"/>
                <w:sz w:val="20"/>
                <w:szCs w:val="20"/>
                <w:shd w:val="solid" w:color="000000" w:fill="000000"/>
                <w:fitText w:val="34" w:id="-1168367093"/>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5</w:t>
            </w:r>
          </w:p>
        </w:tc>
        <w:tc>
          <w:tcPr>
            <w:tcW w:w="1125" w:type="dxa"/>
            <w:shd w:val="clear" w:color="auto" w:fill="C6D9F1" w:themeFill="text2" w:themeFillTint="33"/>
            <w:vAlign w:val="bottom"/>
          </w:tcPr>
          <w:p w14:paraId="16F0CDBC" w14:textId="0EB6ED42" w:rsidR="00D6774C"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4" w:id="-1168367092"/>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4" w:id="-1168367092"/>
                <w14:textFill>
                  <w14:solidFill>
                    <w14:srgbClr w14:val="000000">
                      <w14:alpha w14:val="100000"/>
                    </w14:srgbClr>
                  </w14:solidFill>
                </w14:textFill>
              </w:rPr>
              <w:t>|</w:t>
            </w:r>
            <w:r w:rsidRPr="002C3508">
              <w:rPr>
                <w:rFonts w:ascii="Arial Narrow" w:hAnsi="Arial Narrow" w:hint="eastAsia"/>
                <w:color w:val="000000"/>
                <w:spacing w:val="-50"/>
                <w:w w:val="15"/>
                <w:sz w:val="20"/>
                <w:szCs w:val="20"/>
                <w:shd w:val="solid" w:color="000000" w:fill="000000"/>
                <w:fitText w:val="34" w:id="-1168367092"/>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5</w:t>
            </w:r>
          </w:p>
        </w:tc>
        <w:tc>
          <w:tcPr>
            <w:tcW w:w="1126" w:type="dxa"/>
            <w:shd w:val="clear" w:color="auto" w:fill="C6D9F1" w:themeFill="text2" w:themeFillTint="33"/>
            <w:vAlign w:val="bottom"/>
          </w:tcPr>
          <w:p w14:paraId="2F115A7F" w14:textId="02F0DD43" w:rsidR="00D6774C"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3" w:id="-1168367091"/>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3" w:id="-1168367091"/>
                <w14:textFill>
                  <w14:solidFill>
                    <w14:srgbClr w14:val="000000">
                      <w14:alpha w14:val="100000"/>
                    </w14:srgbClr>
                  </w14:solidFill>
                </w14:textFill>
              </w:rPr>
              <w:t>|</w:t>
            </w:r>
            <w:r w:rsidRPr="002C3508">
              <w:rPr>
                <w:rFonts w:ascii="Arial Narrow" w:hAnsi="Arial Narrow" w:hint="eastAsia"/>
                <w:color w:val="000000"/>
                <w:spacing w:val="-66"/>
                <w:w w:val="15"/>
                <w:sz w:val="20"/>
                <w:szCs w:val="20"/>
                <w:shd w:val="solid" w:color="000000" w:fill="000000"/>
                <w:fitText w:val="33" w:id="-1168367091"/>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5</w:t>
            </w:r>
          </w:p>
        </w:tc>
        <w:tc>
          <w:tcPr>
            <w:tcW w:w="1126" w:type="dxa"/>
            <w:shd w:val="clear" w:color="auto" w:fill="C6D9F1" w:themeFill="text2" w:themeFillTint="33"/>
            <w:vAlign w:val="bottom"/>
          </w:tcPr>
          <w:p w14:paraId="47C992A0" w14:textId="64D9DC01" w:rsidR="00D6774C" w:rsidRPr="00313E60" w:rsidRDefault="00B474C2" w:rsidP="00934AB0">
            <w:pPr>
              <w:keepNext/>
              <w:keepLines/>
              <w:jc w:val="center"/>
              <w:rPr>
                <w:rFonts w:ascii="Arial Narrow" w:hAnsi="Arial Narrow"/>
                <w:color w:val="000000"/>
                <w:sz w:val="20"/>
                <w:szCs w:val="20"/>
                <w:highlight w:val="lightGray"/>
              </w:rPr>
            </w:pPr>
            <w:r w:rsidRPr="002C3508">
              <w:rPr>
                <w:rFonts w:ascii="Arial Narrow" w:hAnsi="Arial Narrow" w:hint="eastAsia"/>
                <w:color w:val="000000"/>
                <w:w w:val="15"/>
                <w:sz w:val="20"/>
                <w:szCs w:val="20"/>
                <w:shd w:val="solid" w:color="000000" w:fill="000000"/>
                <w:fitText w:val="33" w:id="-1168367090"/>
                <w14:textFill>
                  <w14:solidFill>
                    <w14:srgbClr w14:val="000000">
                      <w14:alpha w14:val="100000"/>
                    </w14:srgbClr>
                  </w14:solidFill>
                </w14:textFill>
              </w:rPr>
              <w:t xml:space="preserve">　</w:t>
            </w:r>
            <w:r w:rsidRPr="002C3508">
              <w:rPr>
                <w:rFonts w:ascii="Arial Narrow" w:hAnsi="Arial Narrow"/>
                <w:color w:val="000000"/>
                <w:w w:val="15"/>
                <w:sz w:val="20"/>
                <w:szCs w:val="20"/>
                <w:shd w:val="solid" w:color="000000" w:fill="000000"/>
                <w:fitText w:val="33" w:id="-1168367090"/>
                <w14:textFill>
                  <w14:solidFill>
                    <w14:srgbClr w14:val="000000">
                      <w14:alpha w14:val="100000"/>
                    </w14:srgbClr>
                  </w14:solidFill>
                </w14:textFill>
              </w:rPr>
              <w:t>|</w:t>
            </w:r>
            <w:r w:rsidRPr="002C3508">
              <w:rPr>
                <w:rFonts w:ascii="Arial Narrow" w:hAnsi="Arial Narrow" w:hint="eastAsia"/>
                <w:color w:val="000000"/>
                <w:spacing w:val="-66"/>
                <w:w w:val="15"/>
                <w:sz w:val="20"/>
                <w:szCs w:val="20"/>
                <w:shd w:val="solid" w:color="000000" w:fill="000000"/>
                <w:fitText w:val="33" w:id="-1168367090"/>
                <w14:textFill>
                  <w14:solidFill>
                    <w14:srgbClr w14:val="000000">
                      <w14:alpha w14:val="100000"/>
                    </w14:srgbClr>
                  </w14:solidFill>
                </w14:textFill>
              </w:rPr>
              <w:t xml:space="preserve">　</w:t>
            </w:r>
            <w:r w:rsidR="00313E60" w:rsidRPr="00313E60">
              <w:rPr>
                <w:rFonts w:ascii="Arial Narrow" w:hAnsi="Arial Narrow"/>
                <w:bCs/>
                <w:color w:val="000000"/>
                <w:sz w:val="20"/>
                <w:szCs w:val="20"/>
                <w:vertAlign w:val="superscript"/>
              </w:rPr>
              <w:t>6</w:t>
            </w:r>
          </w:p>
        </w:tc>
      </w:tr>
    </w:tbl>
    <w:p w14:paraId="7DCB89BC" w14:textId="1E87EA59" w:rsidR="00FD5523" w:rsidRDefault="00280C4C" w:rsidP="00934AB0">
      <w:pPr>
        <w:pStyle w:val="TableFooter"/>
        <w:keepNext/>
        <w:keepLines/>
        <w:widowControl/>
      </w:pPr>
      <w:r w:rsidRPr="00C97A82">
        <w:t xml:space="preserve">Source: </w:t>
      </w:r>
      <w:r>
        <w:t>Tables 4.1.2, pp261-262, 4.2.1, p263, 4.2.2, pp263-264, 4.2.3, p264, 4.2.8, p266, 4.2.9, p267 and 4.2.10, p267 of the resubmission</w:t>
      </w:r>
      <w:r w:rsidR="00D6774C">
        <w:t>; Tafamidis March 2021 submission;</w:t>
      </w:r>
      <w:r w:rsidR="00D6774C" w:rsidRPr="00D6774C">
        <w:t xml:space="preserve"> </w:t>
      </w:r>
      <w:r w:rsidR="00D6774C">
        <w:t xml:space="preserve">Tafamidis September 2021 submission. </w:t>
      </w:r>
      <w:r w:rsidR="00525C09">
        <w:t xml:space="preserve">Values </w:t>
      </w:r>
      <w:r w:rsidR="008B46B0">
        <w:t>un</w:t>
      </w:r>
      <w:r w:rsidR="00525C09">
        <w:t>changed since the March 2021 or September 2021 submissions shaded blue.</w:t>
      </w:r>
    </w:p>
    <w:p w14:paraId="0F3E2C56" w14:textId="6515424E" w:rsidR="00E321EA" w:rsidRDefault="00280C4C" w:rsidP="00934AB0">
      <w:pPr>
        <w:pStyle w:val="TableFooter"/>
        <w:keepNext/>
        <w:keepLines/>
        <w:widowControl/>
        <w:spacing w:after="0"/>
      </w:pPr>
      <w:r>
        <w:t xml:space="preserve">Abbreviations: </w:t>
      </w:r>
      <w:r w:rsidRPr="00D86211">
        <w:t>ATTR-CM, cardiac transthyretin amyloidosis</w:t>
      </w:r>
      <w:r>
        <w:t>;</w:t>
      </w:r>
      <w:r w:rsidRPr="005E4C29">
        <w:t xml:space="preserve"> ATTR</w:t>
      </w:r>
      <w:r>
        <w:t xml:space="preserve">v, variant </w:t>
      </w:r>
      <w:r w:rsidRPr="005E4C29">
        <w:t>transthyretin amyloidosis</w:t>
      </w:r>
      <w:r>
        <w:t xml:space="preserve">; ATTRwt, wild-type </w:t>
      </w:r>
      <w:r w:rsidRPr="005E4C29">
        <w:t>transthyretin amyloidosis</w:t>
      </w:r>
      <w:r>
        <w:t>.</w:t>
      </w:r>
    </w:p>
    <w:p w14:paraId="7727D9AB" w14:textId="77777777" w:rsidR="00313E60" w:rsidRPr="009A6D58" w:rsidRDefault="00313E60" w:rsidP="00934AB0">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ED669C9" w14:textId="11D16F39" w:rsidR="00313E60" w:rsidRPr="009A6D58" w:rsidRDefault="00313E60" w:rsidP="00934AB0">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500 to &lt;5,000</w:t>
      </w:r>
    </w:p>
    <w:p w14:paraId="12A516D2" w14:textId="69D9FD98" w:rsidR="00313E60" w:rsidRPr="009A6D58" w:rsidRDefault="00313E60" w:rsidP="00934AB0">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313E60">
        <w:rPr>
          <w:rFonts w:ascii="Arial Narrow" w:hAnsi="Arial Narrow"/>
          <w:i/>
          <w:sz w:val="18"/>
          <w:szCs w:val="18"/>
        </w:rPr>
        <w:t>5,000 to &lt; 10,000</w:t>
      </w:r>
    </w:p>
    <w:p w14:paraId="62691EC0" w14:textId="2463E4B3" w:rsidR="00313E60" w:rsidRDefault="00313E60" w:rsidP="00934AB0">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313E60">
        <w:rPr>
          <w:rFonts w:ascii="Arial Narrow" w:hAnsi="Arial Narrow"/>
          <w:i/>
          <w:sz w:val="18"/>
          <w:szCs w:val="18"/>
        </w:rPr>
        <w:t>10,000 to &lt; 20,000</w:t>
      </w:r>
    </w:p>
    <w:p w14:paraId="75CD88E2" w14:textId="32B03B2C" w:rsidR="00313E60" w:rsidRDefault="00313E60" w:rsidP="00934AB0">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313E60">
        <w:rPr>
          <w:rFonts w:ascii="Arial Narrow" w:hAnsi="Arial Narrow"/>
          <w:i/>
          <w:sz w:val="18"/>
          <w:szCs w:val="18"/>
        </w:rPr>
        <w:t>$20 million to &lt; $30 million</w:t>
      </w:r>
    </w:p>
    <w:p w14:paraId="69093DD6" w14:textId="5F140F5B" w:rsidR="00313E60" w:rsidRDefault="00313E60" w:rsidP="00934AB0">
      <w:pPr>
        <w:keepNext/>
        <w:keepLin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313E60">
        <w:rPr>
          <w:rFonts w:ascii="Arial Narrow" w:hAnsi="Arial Narrow"/>
          <w:i/>
          <w:sz w:val="18"/>
          <w:szCs w:val="18"/>
        </w:rPr>
        <w:t>$30 million to &lt; $40 million</w:t>
      </w:r>
    </w:p>
    <w:p w14:paraId="22961EC6" w14:textId="312F4C35" w:rsidR="00313E60" w:rsidRDefault="00313E60" w:rsidP="00934AB0">
      <w:pPr>
        <w:keepNext/>
        <w:keepLines/>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313E60">
        <w:rPr>
          <w:rFonts w:ascii="Arial Narrow" w:hAnsi="Arial Narrow"/>
          <w:i/>
          <w:sz w:val="18"/>
          <w:szCs w:val="18"/>
        </w:rPr>
        <w:t>$40 million to &lt; $50 million</w:t>
      </w:r>
    </w:p>
    <w:p w14:paraId="7E8B5B07" w14:textId="25036AAB" w:rsidR="00313E60" w:rsidRDefault="00313E60" w:rsidP="00934AB0">
      <w:pPr>
        <w:keepNext/>
        <w:keepLines/>
        <w:rPr>
          <w:rFonts w:ascii="Arial Narrow" w:hAnsi="Arial Narrow"/>
          <w:i/>
          <w:sz w:val="18"/>
          <w:szCs w:val="18"/>
        </w:rPr>
      </w:pPr>
      <w:r>
        <w:rPr>
          <w:rFonts w:ascii="Arial Narrow" w:hAnsi="Arial Narrow"/>
          <w:i/>
          <w:sz w:val="18"/>
          <w:szCs w:val="18"/>
          <w:vertAlign w:val="superscript"/>
        </w:rPr>
        <w:t xml:space="preserve">7 </w:t>
      </w:r>
      <w:r w:rsidRPr="00313E60">
        <w:rPr>
          <w:rFonts w:ascii="Arial Narrow" w:hAnsi="Arial Narrow"/>
          <w:i/>
          <w:sz w:val="18"/>
          <w:szCs w:val="18"/>
        </w:rPr>
        <w:t>$50 million to &lt; $60 million</w:t>
      </w:r>
    </w:p>
    <w:p w14:paraId="0F1FDAD8" w14:textId="71040ADC" w:rsidR="00F555C9" w:rsidRDefault="00F555C9" w:rsidP="00934AB0">
      <w:pPr>
        <w:keepNext/>
        <w:keepLines/>
        <w:rPr>
          <w:rFonts w:ascii="Arial Narrow" w:hAnsi="Arial Narrow"/>
          <w:i/>
          <w:sz w:val="18"/>
          <w:szCs w:val="18"/>
        </w:rPr>
      </w:pPr>
      <w:r>
        <w:rPr>
          <w:rFonts w:ascii="Arial Narrow" w:hAnsi="Arial Narrow"/>
          <w:i/>
          <w:sz w:val="18"/>
          <w:szCs w:val="18"/>
          <w:vertAlign w:val="superscript"/>
        </w:rPr>
        <w:t xml:space="preserve">8 </w:t>
      </w:r>
      <w:r w:rsidRPr="00F555C9">
        <w:rPr>
          <w:rFonts w:ascii="Arial Narrow" w:hAnsi="Arial Narrow"/>
          <w:i/>
          <w:sz w:val="18"/>
          <w:szCs w:val="18"/>
        </w:rPr>
        <w:t>$80 million to &lt; $90 million</w:t>
      </w:r>
    </w:p>
    <w:p w14:paraId="7B9D964E" w14:textId="657006DD" w:rsidR="00313E60" w:rsidRPr="00F555C9" w:rsidRDefault="00F555C9" w:rsidP="00934AB0">
      <w:pPr>
        <w:pStyle w:val="TableFooter"/>
        <w:keepNext/>
        <w:keepLines/>
        <w:widowControl/>
        <w:rPr>
          <w:i/>
          <w:iCs/>
        </w:rPr>
      </w:pPr>
      <w:r w:rsidRPr="00F555C9">
        <w:rPr>
          <w:i/>
          <w:iCs/>
          <w:vertAlign w:val="superscript"/>
        </w:rPr>
        <w:t xml:space="preserve">9 </w:t>
      </w:r>
      <w:r w:rsidRPr="00F555C9">
        <w:rPr>
          <w:i/>
          <w:iCs/>
        </w:rPr>
        <w:t>$100 million to &lt; $200 million</w:t>
      </w:r>
    </w:p>
    <w:p w14:paraId="18BF766A" w14:textId="00EA307C" w:rsidR="00F555C9" w:rsidRPr="00F555C9" w:rsidRDefault="00F555C9" w:rsidP="00934AB0">
      <w:pPr>
        <w:pStyle w:val="TableFooter"/>
        <w:keepNext/>
        <w:keepLines/>
        <w:widowControl/>
        <w:rPr>
          <w:i/>
          <w:iCs/>
        </w:rPr>
      </w:pPr>
      <w:r w:rsidRPr="00F555C9">
        <w:rPr>
          <w:i/>
          <w:iCs/>
          <w:vertAlign w:val="superscript"/>
        </w:rPr>
        <w:t xml:space="preserve">10 </w:t>
      </w:r>
      <w:r w:rsidRPr="00F555C9">
        <w:rPr>
          <w:i/>
          <w:iCs/>
        </w:rPr>
        <w:t>$0 to &lt; $10 million</w:t>
      </w:r>
    </w:p>
    <w:p w14:paraId="1AC7F91B" w14:textId="605F5752" w:rsidR="00F555C9" w:rsidRDefault="00F555C9" w:rsidP="00E321EA">
      <w:pPr>
        <w:pStyle w:val="TableFooter"/>
        <w:widowControl/>
        <w:rPr>
          <w:i/>
          <w:iCs/>
        </w:rPr>
      </w:pPr>
      <w:r w:rsidRPr="00F555C9">
        <w:rPr>
          <w:i/>
          <w:iCs/>
          <w:vertAlign w:val="superscript"/>
        </w:rPr>
        <w:t xml:space="preserve">11 </w:t>
      </w:r>
      <w:r w:rsidRPr="00F555C9">
        <w:rPr>
          <w:i/>
          <w:iCs/>
        </w:rPr>
        <w:t>$10 million to &lt; $20 million</w:t>
      </w:r>
    </w:p>
    <w:p w14:paraId="75586731" w14:textId="296B86A6" w:rsidR="000902D9" w:rsidRPr="002068A0" w:rsidRDefault="000F5115" w:rsidP="00D244B6">
      <w:pPr>
        <w:pStyle w:val="COMexecsumnumberedpara"/>
      </w:pPr>
      <w:r>
        <w:t xml:space="preserve">The net cost to the PBS of tafamidis was </w:t>
      </w:r>
      <w:r w:rsidR="00CA66AB" w:rsidRPr="00CA66AB">
        <w:t>$20</w:t>
      </w:r>
      <w:r w:rsidR="00934AB0">
        <w:t> </w:t>
      </w:r>
      <w:r w:rsidR="00CA66AB" w:rsidRPr="00CA66AB">
        <w:t>million</w:t>
      </w:r>
      <w:r w:rsidR="00934AB0">
        <w:t> </w:t>
      </w:r>
      <w:r w:rsidR="00CA66AB" w:rsidRPr="00CA66AB">
        <w:t>to</w:t>
      </w:r>
      <w:r w:rsidR="00934AB0">
        <w:t> </w:t>
      </w:r>
      <w:r w:rsidR="00CA66AB" w:rsidRPr="00CA66AB">
        <w:t>&lt;</w:t>
      </w:r>
      <w:r w:rsidR="00934AB0">
        <w:t> </w:t>
      </w:r>
      <w:r w:rsidR="00CA66AB" w:rsidRPr="00CA66AB">
        <w:t>$30</w:t>
      </w:r>
      <w:r w:rsidR="00934AB0">
        <w:t> </w:t>
      </w:r>
      <w:r w:rsidR="00CA66AB" w:rsidRPr="00CA66AB">
        <w:t>million</w:t>
      </w:r>
      <w:r w:rsidR="00CA66AB" w:rsidRPr="00CA66AB" w:rsidDel="00CA66AB">
        <w:t xml:space="preserve"> </w:t>
      </w:r>
      <w:r>
        <w:t xml:space="preserve">in Year 1, increasing to </w:t>
      </w:r>
      <w:r w:rsidR="00CA66AB" w:rsidRPr="00CA66AB">
        <w:t>$30</w:t>
      </w:r>
      <w:r w:rsidR="00934AB0">
        <w:t> </w:t>
      </w:r>
      <w:r w:rsidR="00CA66AB" w:rsidRPr="00CA66AB">
        <w:t>million</w:t>
      </w:r>
      <w:r w:rsidR="00934AB0">
        <w:t> </w:t>
      </w:r>
      <w:r w:rsidR="00CA66AB" w:rsidRPr="00CA66AB">
        <w:t>to</w:t>
      </w:r>
      <w:r w:rsidR="00934AB0">
        <w:t> </w:t>
      </w:r>
      <w:r w:rsidR="00CA66AB" w:rsidRPr="00CA66AB">
        <w:t>&lt;</w:t>
      </w:r>
      <w:r w:rsidR="00934AB0">
        <w:t> </w:t>
      </w:r>
      <w:r w:rsidR="00CA66AB" w:rsidRPr="00CA66AB">
        <w:t>$40</w:t>
      </w:r>
      <w:r w:rsidR="00934AB0">
        <w:t> </w:t>
      </w:r>
      <w:r w:rsidR="00CA66AB" w:rsidRPr="00CA66AB">
        <w:t>million</w:t>
      </w:r>
      <w:r w:rsidR="00CA66AB">
        <w:t xml:space="preserve"> </w:t>
      </w:r>
      <w:r>
        <w:t>in Year</w:t>
      </w:r>
      <w:r w:rsidR="00934AB0">
        <w:t> </w:t>
      </w:r>
      <w:r>
        <w:t xml:space="preserve">6, a total of </w:t>
      </w:r>
      <w:r w:rsidR="00CA66AB" w:rsidRPr="00CA66AB">
        <w:t>$200</w:t>
      </w:r>
      <w:r w:rsidR="00222948">
        <w:t> m</w:t>
      </w:r>
      <w:r w:rsidR="00CA66AB" w:rsidRPr="00CA66AB">
        <w:t>illion</w:t>
      </w:r>
      <w:r w:rsidR="00222948">
        <w:t> </w:t>
      </w:r>
      <w:r w:rsidR="00CA66AB" w:rsidRPr="00CA66AB">
        <w:t>to</w:t>
      </w:r>
      <w:r w:rsidR="00222948">
        <w:t> </w:t>
      </w:r>
      <w:r w:rsidR="00CA66AB" w:rsidRPr="00CA66AB">
        <w:t>&lt;</w:t>
      </w:r>
      <w:r w:rsidR="00222948">
        <w:t> </w:t>
      </w:r>
      <w:r w:rsidR="00CA66AB" w:rsidRPr="00CA66AB">
        <w:t>$300</w:t>
      </w:r>
      <w:r w:rsidR="00222948">
        <w:t> </w:t>
      </w:r>
      <w:r w:rsidR="00CA66AB" w:rsidRPr="00CA66AB">
        <w:t>million</w:t>
      </w:r>
      <w:r w:rsidR="00CA66AB">
        <w:t xml:space="preserve"> </w:t>
      </w:r>
      <w:r>
        <w:t>over 6 years.</w:t>
      </w:r>
      <w:r w:rsidR="00F2201B">
        <w:t xml:space="preserve"> With revised prices for year 4+ in the pre-PBAC response the year 6 cost was reduced to </w:t>
      </w:r>
      <w:r w:rsidR="00CA66AB" w:rsidRPr="00CA66AB">
        <w:t>$20 million to &lt; $30 million</w:t>
      </w:r>
      <w:r w:rsidR="00F2201B">
        <w:t xml:space="preserve">, a total of </w:t>
      </w:r>
      <w:r w:rsidR="00CA66AB" w:rsidRPr="00CA66AB">
        <w:t>$200</w:t>
      </w:r>
      <w:r w:rsidR="00934AB0">
        <w:t> </w:t>
      </w:r>
      <w:r w:rsidR="00CA66AB" w:rsidRPr="00CA66AB">
        <w:t>million</w:t>
      </w:r>
      <w:r w:rsidR="00934AB0">
        <w:t> </w:t>
      </w:r>
      <w:r w:rsidR="00CA66AB" w:rsidRPr="00CA66AB">
        <w:t>to</w:t>
      </w:r>
      <w:r w:rsidR="00934AB0">
        <w:t> </w:t>
      </w:r>
      <w:r w:rsidR="00CA66AB" w:rsidRPr="00CA66AB">
        <w:t>&lt;</w:t>
      </w:r>
      <w:r w:rsidR="00934AB0">
        <w:t> </w:t>
      </w:r>
      <w:r w:rsidR="00CA66AB" w:rsidRPr="00CA66AB">
        <w:t>$300</w:t>
      </w:r>
      <w:r w:rsidR="00934AB0">
        <w:t> </w:t>
      </w:r>
      <w:r w:rsidR="00CA66AB" w:rsidRPr="00CA66AB">
        <w:t>million</w:t>
      </w:r>
      <w:r w:rsidR="00F2201B">
        <w:t xml:space="preserve"> over 6 years.</w:t>
      </w:r>
    </w:p>
    <w:p w14:paraId="32E7840D" w14:textId="7E90EB7C" w:rsidR="00D244B6" w:rsidRPr="00D6774C" w:rsidRDefault="00D6774C" w:rsidP="00934AB0">
      <w:pPr>
        <w:pStyle w:val="COMexecsumnumberedpara"/>
        <w:rPr>
          <w:color w:val="0066FF"/>
        </w:rPr>
      </w:pPr>
      <w:r w:rsidRPr="00F02812">
        <w:t>The estimated utilisation and cost of tafamidis to the PBS/RPBS is uncertain, and likely to be underestimated, due to the following issues:</w:t>
      </w:r>
    </w:p>
    <w:p w14:paraId="13350708" w14:textId="74ABF6AC" w:rsidR="00D6774C" w:rsidRPr="009B152B" w:rsidRDefault="00D6774C" w:rsidP="00934AB0">
      <w:pPr>
        <w:pStyle w:val="ListParagraph"/>
        <w:numPr>
          <w:ilvl w:val="0"/>
          <w:numId w:val="17"/>
        </w:numPr>
        <w:ind w:left="1134"/>
        <w:rPr>
          <w:rFonts w:cs="Calibri"/>
          <w:color w:val="000000"/>
        </w:rPr>
      </w:pPr>
      <w:r w:rsidRPr="009B152B">
        <w:rPr>
          <w:rFonts w:cs="Calibri"/>
          <w:color w:val="000000"/>
        </w:rPr>
        <w:t>The prevalence of ATTR-CM was estimated using the same sources and methodology previously considered by the PBAC to be underestimated (paras 6.75, 7.12-7.13, Tafamidis PSD, March 2021 meeting).</w:t>
      </w:r>
      <w:r w:rsidRPr="009B152B">
        <w:t xml:space="preserve"> </w:t>
      </w:r>
    </w:p>
    <w:p w14:paraId="745B76B3" w14:textId="5DE9FEF6" w:rsidR="00D6774C" w:rsidRPr="009B152B" w:rsidRDefault="00D6774C" w:rsidP="00934AB0">
      <w:pPr>
        <w:pStyle w:val="ListParagraph"/>
        <w:numPr>
          <w:ilvl w:val="0"/>
          <w:numId w:val="17"/>
        </w:numPr>
        <w:ind w:left="1134"/>
      </w:pPr>
      <w:r w:rsidRPr="009B152B">
        <w:t xml:space="preserve">The diagnostic rates of ATTR-CM and ATTR-CM with NYHA class I-II heart failure in the Australian setting and uptake of tafamidis in the eligible population were assumed and remain uncertain. </w:t>
      </w:r>
    </w:p>
    <w:p w14:paraId="01A442C0" w14:textId="560C847A" w:rsidR="00D6774C" w:rsidRPr="009B152B" w:rsidRDefault="00D6774C" w:rsidP="00934AB0">
      <w:pPr>
        <w:pStyle w:val="ListParagraph"/>
        <w:numPr>
          <w:ilvl w:val="0"/>
          <w:numId w:val="17"/>
        </w:numPr>
        <w:ind w:left="1134"/>
      </w:pPr>
      <w:r w:rsidRPr="009B152B">
        <w:t>The resubmission calculated the incident and prevalent populations treated with tafamidis from the estimated overall prevalent population derived from the epidemiological analysis which would incorporate mortality over time, but inappropriately removed patients who had died from the eligible prevalent pool. The incident and prevalent populations treated with tafamidis were</w:t>
      </w:r>
      <w:r w:rsidR="00692C74" w:rsidRPr="009B152B">
        <w:t xml:space="preserve"> therefore</w:t>
      </w:r>
      <w:r w:rsidRPr="009B152B">
        <w:t xml:space="preserve"> underestimated. </w:t>
      </w:r>
    </w:p>
    <w:p w14:paraId="18A6FAC6" w14:textId="2A3DCD48" w:rsidR="00D6774C" w:rsidRPr="009B152B" w:rsidRDefault="00D6774C" w:rsidP="00934AB0">
      <w:pPr>
        <w:pStyle w:val="ListParagraph"/>
        <w:numPr>
          <w:ilvl w:val="0"/>
          <w:numId w:val="17"/>
        </w:numPr>
        <w:ind w:left="1134"/>
        <w:rPr>
          <w:rFonts w:cs="Calibri"/>
          <w:color w:val="000000"/>
        </w:rPr>
      </w:pPr>
      <w:r w:rsidRPr="009B152B">
        <w:rPr>
          <w:rFonts w:cs="Calibri"/>
          <w:color w:val="000000"/>
        </w:rPr>
        <w:t>The calculated proportions of patients with persistent NYHA class III heart failure may not be reasonable, given the lack of longitudinal data for persistence of heart failure symptoms. In addition, aggregation of patients transitioning to NYHA class III and IV most likely overestimated the discontinuation of tafamidis due to disease progression.</w:t>
      </w:r>
    </w:p>
    <w:p w14:paraId="1FF91235" w14:textId="5132856E" w:rsidR="00F51696" w:rsidRDefault="00A36C31" w:rsidP="00A36C31">
      <w:pPr>
        <w:pStyle w:val="COMexecsumnumberedpara"/>
      </w:pPr>
      <w:r w:rsidRPr="009B152B">
        <w:t xml:space="preserve">In March 2021, </w:t>
      </w:r>
      <w:r w:rsidR="00F51696" w:rsidRPr="009B152B">
        <w:t xml:space="preserve">the PBAC had considered the </w:t>
      </w:r>
      <w:r w:rsidRPr="009B152B">
        <w:t>methodology</w:t>
      </w:r>
      <w:r w:rsidR="00F51696" w:rsidRPr="009B152B">
        <w:t xml:space="preserve"> underestimated</w:t>
      </w:r>
      <w:r w:rsidRPr="009B152B">
        <w:t xml:space="preserve"> the PBS impact, but considered that the approach was appropriate in the context of these estimates being used to implement an RSA, and given the lack of more reliable alternative data on which to base the estimates (para 7.12, Tafamidis PSD, March</w:t>
      </w:r>
      <w:r w:rsidR="00934AB0">
        <w:t> </w:t>
      </w:r>
      <w:r w:rsidRPr="009B152B">
        <w:t xml:space="preserve">2021 meeting). In September 2021, the PBAC had considered that the patient population (i.e. patient numbers derived based on patients with NHYA class I, II and non-persistent class III heart failure) </w:t>
      </w:r>
      <w:r w:rsidR="001C44CB" w:rsidRPr="009B152B">
        <w:t>may form a reasonable basis for the RSA expenditure caps, given that the Committee had previously considered that the efficacy was uncertain in patients with NYHA class III failure (para 10.03, Tafamidis PSD, September</w:t>
      </w:r>
      <w:r w:rsidR="00934AB0">
        <w:t> </w:t>
      </w:r>
      <w:r w:rsidR="001C44CB" w:rsidRPr="009B152B">
        <w:t xml:space="preserve">2021 meeting). At the same time, PBAC remained of the view that a future resubmission should outline an RSA to provide more certainty with respect to the total cost, and to manage the risk associated with use in a broader population in which cost-effectiveness is unknown (para 10.4, Tafamidis PSD, September 2021).  </w:t>
      </w:r>
    </w:p>
    <w:p w14:paraId="0F29595E" w14:textId="77777777" w:rsidR="005F5375" w:rsidRDefault="00CB577E" w:rsidP="00A36C31">
      <w:pPr>
        <w:pStyle w:val="COMexecsumnumberedpara"/>
      </w:pPr>
      <w:r w:rsidRPr="001F4A02">
        <w:t xml:space="preserve">The ESC considered that diagnosis </w:t>
      </w:r>
      <w:r w:rsidR="001B6339" w:rsidRPr="001F4A02">
        <w:t xml:space="preserve">of ATTR-CM </w:t>
      </w:r>
      <w:r w:rsidRPr="001F4A02">
        <w:t>is occurring earlier than previously and</w:t>
      </w:r>
      <w:r w:rsidR="001B6339" w:rsidRPr="001F4A02">
        <w:t xml:space="preserve"> rates of diagnosis may increase further. In addition,</w:t>
      </w:r>
      <w:r w:rsidRPr="001F4A02">
        <w:t xml:space="preserve"> there is a high level of awareness of tafamidis for clinicians and consumers, which is likely to drive rapid uptake if listed on the PBS</w:t>
      </w:r>
      <w:r w:rsidR="00AD1D87" w:rsidRPr="001F4A02">
        <w:t>.</w:t>
      </w:r>
      <w:r w:rsidR="00EB7D25">
        <w:t xml:space="preserve"> </w:t>
      </w:r>
    </w:p>
    <w:p w14:paraId="3318D861" w14:textId="63D355F8" w:rsidR="00CB577E" w:rsidRPr="001F4A02" w:rsidRDefault="00EB7D25" w:rsidP="00A36C31">
      <w:pPr>
        <w:pStyle w:val="COMexecsumnumberedpara"/>
      </w:pPr>
      <w:r>
        <w:t xml:space="preserve">The pre-PBAC </w:t>
      </w:r>
      <w:r w:rsidR="00E7518A">
        <w:t xml:space="preserve">response </w:t>
      </w:r>
      <w:r>
        <w:t xml:space="preserve">agreed that there is inherent cumulative uncertainty in the estimated utilisation, </w:t>
      </w:r>
      <w:r w:rsidR="005F5375">
        <w:t>and stated that a volume-based risk share agreement is proposed to manage the risk of use in a broader population.</w:t>
      </w:r>
    </w:p>
    <w:p w14:paraId="2238DEE9" w14:textId="3E6A228B" w:rsidR="00576972" w:rsidRPr="00C9624D" w:rsidRDefault="00576972" w:rsidP="00606FBA">
      <w:pPr>
        <w:pStyle w:val="COMH2-non-numbered"/>
      </w:pPr>
      <w:bookmarkStart w:id="64" w:name="_Toc22897648"/>
      <w:bookmarkStart w:id="65" w:name="_Toc134118713"/>
      <w:bookmarkStart w:id="66" w:name="_Toc135227619"/>
      <w:r w:rsidRPr="00C9624D">
        <w:t>Quality Use of Medicines</w:t>
      </w:r>
      <w:bookmarkEnd w:id="64"/>
      <w:bookmarkEnd w:id="65"/>
      <w:bookmarkEnd w:id="66"/>
    </w:p>
    <w:p w14:paraId="38BD0AEF" w14:textId="3BEB3430" w:rsidR="00576972" w:rsidRPr="00606FBA" w:rsidRDefault="004C7926" w:rsidP="00606FBA">
      <w:pPr>
        <w:pStyle w:val="COMexecsumnumberedpara"/>
        <w:rPr>
          <w:color w:val="0066FF"/>
        </w:rPr>
      </w:pPr>
      <w:r w:rsidRPr="00E2441C">
        <w:rPr>
          <w:lang w:val="en-US"/>
        </w:rPr>
        <w:t xml:space="preserve">The resubmission proposed </w:t>
      </w:r>
      <w:r>
        <w:rPr>
          <w:lang w:val="en-US"/>
        </w:rPr>
        <w:t xml:space="preserve">providing education for treating clinicians </w:t>
      </w:r>
      <w:r>
        <w:rPr>
          <w:rFonts w:eastAsiaTheme="minorHAnsi"/>
          <w:lang w:eastAsia="en-US"/>
        </w:rPr>
        <w:t xml:space="preserve">on the approved restriction, to ensure that tafamidis </w:t>
      </w:r>
      <w:proofErr w:type="gramStart"/>
      <w:r>
        <w:rPr>
          <w:rFonts w:eastAsiaTheme="minorHAnsi"/>
          <w:lang w:eastAsia="en-US"/>
        </w:rPr>
        <w:t>is prescribed</w:t>
      </w:r>
      <w:proofErr w:type="gramEnd"/>
      <w:r>
        <w:rPr>
          <w:rFonts w:eastAsiaTheme="minorHAnsi"/>
          <w:lang w:eastAsia="en-US"/>
        </w:rPr>
        <w:t xml:space="preserve"> according to the initiation and discontinuation criteria as per the continuation restriction. In addition, the resubmission proposed </w:t>
      </w:r>
      <w:r w:rsidRPr="00730665">
        <w:rPr>
          <w:lang w:val="en-US"/>
        </w:rPr>
        <w:t xml:space="preserve">a training program for </w:t>
      </w:r>
      <w:r>
        <w:rPr>
          <w:lang w:val="en-US"/>
        </w:rPr>
        <w:t>general</w:t>
      </w:r>
      <w:r w:rsidRPr="00730665">
        <w:rPr>
          <w:lang w:val="en-US"/>
        </w:rPr>
        <w:t xml:space="preserve"> practitioners </w:t>
      </w:r>
      <w:r>
        <w:rPr>
          <w:lang w:val="en-US"/>
        </w:rPr>
        <w:t xml:space="preserve">and </w:t>
      </w:r>
      <w:r w:rsidRPr="00730665">
        <w:rPr>
          <w:lang w:val="en-US"/>
        </w:rPr>
        <w:t>specialist</w:t>
      </w:r>
      <w:r>
        <w:rPr>
          <w:lang w:val="en-US"/>
        </w:rPr>
        <w:t>s, patient and carer resource materials and post marketing surveillance including a risk management plan</w:t>
      </w:r>
      <w:r w:rsidRPr="00730665">
        <w:rPr>
          <w:lang w:val="en-US"/>
        </w:rPr>
        <w:t>.</w:t>
      </w:r>
    </w:p>
    <w:p w14:paraId="6015A395" w14:textId="2EDB6A4E" w:rsidR="00576972" w:rsidRPr="00C9624D" w:rsidRDefault="00576972" w:rsidP="00606FBA">
      <w:pPr>
        <w:pStyle w:val="COMH2-non-numbered"/>
      </w:pPr>
      <w:bookmarkStart w:id="67" w:name="_Toc22897649"/>
      <w:bookmarkStart w:id="68" w:name="_Toc134118714"/>
      <w:bookmarkStart w:id="69" w:name="_Toc135227620"/>
      <w:r w:rsidRPr="00C9624D">
        <w:t>Financial Management – Risk Sharing Arrangements</w:t>
      </w:r>
      <w:bookmarkEnd w:id="67"/>
      <w:bookmarkEnd w:id="68"/>
      <w:bookmarkEnd w:id="69"/>
    </w:p>
    <w:p w14:paraId="47538ACD" w14:textId="1F12E192" w:rsidR="000D3453" w:rsidRPr="000D3453" w:rsidRDefault="004C7926" w:rsidP="004C7926">
      <w:pPr>
        <w:pStyle w:val="COMexecsumnumberedpara"/>
        <w:rPr>
          <w:color w:val="0066FF"/>
        </w:rPr>
      </w:pPr>
      <w:bookmarkStart w:id="70" w:name="_Toc22897650"/>
      <w:r w:rsidRPr="000D3453">
        <w:rPr>
          <w:lang w:val="en-US"/>
        </w:rPr>
        <w:t xml:space="preserve">The resubmission proposed a risk sharing arrangement to manage the risk associated with use in a broader population where tafamidis has not </w:t>
      </w:r>
      <w:proofErr w:type="gramStart"/>
      <w:r w:rsidRPr="000D3453">
        <w:rPr>
          <w:lang w:val="en-US"/>
        </w:rPr>
        <w:t>been demonstrated</w:t>
      </w:r>
      <w:proofErr w:type="gramEnd"/>
      <w:r w:rsidRPr="000D3453">
        <w:rPr>
          <w:lang w:val="en-US"/>
        </w:rPr>
        <w:t xml:space="preserve"> to be cost-effective and to reduce the risk of use beyond the stopping rule (i.e. progression to persistent NYHA class III or NYHA class IV heart failure). The proposed caps </w:t>
      </w:r>
      <w:r w:rsidR="00B971EB">
        <w:rPr>
          <w:lang w:val="en-US"/>
        </w:rPr>
        <w:t>were</w:t>
      </w:r>
      <w:r w:rsidR="00B971EB" w:rsidRPr="000D3453">
        <w:rPr>
          <w:lang w:val="en-US"/>
        </w:rPr>
        <w:t xml:space="preserve"> </w:t>
      </w:r>
      <w:r w:rsidRPr="000D3453">
        <w:rPr>
          <w:lang w:val="en-US"/>
        </w:rPr>
        <w:t xml:space="preserve">at </w:t>
      </w:r>
      <w:r w:rsidRPr="005E431C">
        <w:rPr>
          <w:lang w:val="en-US"/>
        </w:rPr>
        <w:t>100% of estimated</w:t>
      </w:r>
      <w:r w:rsidRPr="000D3453">
        <w:rPr>
          <w:lang w:val="en-US"/>
        </w:rPr>
        <w:t xml:space="preserve"> expenditure in Years 1-3 of listing and at 105% of estimated expenditure in Years 4-6 of listing</w:t>
      </w:r>
      <w:proofErr w:type="gramStart"/>
      <w:r w:rsidRPr="000D3453">
        <w:rPr>
          <w:lang w:val="en-US"/>
        </w:rPr>
        <w:t xml:space="preserve">. </w:t>
      </w:r>
      <w:r w:rsidR="0056136A">
        <w:rPr>
          <w:lang w:val="en-US"/>
        </w:rPr>
        <w:t xml:space="preserve"> </w:t>
      </w:r>
      <w:proofErr w:type="gramEnd"/>
      <w:r w:rsidR="0056136A">
        <w:rPr>
          <w:lang w:val="en-US"/>
        </w:rPr>
        <w:t>The proposed rebates</w:t>
      </w:r>
      <w:r w:rsidR="00C76E49">
        <w:rPr>
          <w:lang w:val="en-US"/>
        </w:rPr>
        <w:t xml:space="preserve"> </w:t>
      </w:r>
      <w:r w:rsidR="00B971EB">
        <w:rPr>
          <w:lang w:val="en-US"/>
        </w:rPr>
        <w:t xml:space="preserve">were </w:t>
      </w:r>
      <w:r w:rsidR="00B474C2" w:rsidRPr="004826FD">
        <w:rPr>
          <w:color w:val="000000"/>
          <w:w w:val="15"/>
          <w:shd w:val="solid" w:color="000000" w:fill="000000"/>
          <w:fitText w:val="-20" w:id="-1168367089"/>
          <w:lang w:val="en-US"/>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089"/>
          <w:lang w:val="en-US"/>
          <w14:textFill>
            <w14:solidFill>
              <w14:srgbClr w14:val="000000">
                <w14:alpha w14:val="100000"/>
              </w14:srgbClr>
            </w14:solidFill>
          </w14:textFill>
        </w:rPr>
        <w:t>|</w:t>
      </w:r>
      <w:r w:rsidR="0056136A">
        <w:rPr>
          <w:lang w:val="en-US"/>
        </w:rPr>
        <w:t xml:space="preserve">% </w:t>
      </w:r>
      <w:r w:rsidR="00D83DF0">
        <w:rPr>
          <w:lang w:val="en-US"/>
        </w:rPr>
        <w:t xml:space="preserve">for use above the caps </w:t>
      </w:r>
      <w:r w:rsidR="0056136A">
        <w:rPr>
          <w:lang w:val="en-US"/>
        </w:rPr>
        <w:t xml:space="preserve">in Years 1-3 and </w:t>
      </w:r>
      <w:r w:rsidR="00B474C2" w:rsidRPr="004826FD">
        <w:rPr>
          <w:color w:val="000000"/>
          <w:w w:val="15"/>
          <w:shd w:val="solid" w:color="000000" w:fill="000000"/>
          <w:fitText w:val="-20" w:id="-1168367088"/>
          <w:lang w:val="en-US"/>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088"/>
          <w:lang w:val="en-US"/>
          <w14:textFill>
            <w14:solidFill>
              <w14:srgbClr w14:val="000000">
                <w14:alpha w14:val="100000"/>
              </w14:srgbClr>
            </w14:solidFill>
          </w14:textFill>
        </w:rPr>
        <w:t>|</w:t>
      </w:r>
      <w:r w:rsidR="00C76E49">
        <w:rPr>
          <w:lang w:val="en-US"/>
        </w:rPr>
        <w:t xml:space="preserve">% </w:t>
      </w:r>
      <w:r w:rsidR="00D83DF0">
        <w:rPr>
          <w:lang w:val="en-US"/>
        </w:rPr>
        <w:t>for</w:t>
      </w:r>
      <w:r w:rsidR="00C76E49">
        <w:rPr>
          <w:lang w:val="en-US"/>
        </w:rPr>
        <w:t xml:space="preserve"> Years 4-6</w:t>
      </w:r>
      <w:r w:rsidR="00D83DF0">
        <w:rPr>
          <w:lang w:val="en-US"/>
        </w:rPr>
        <w:t>.</w:t>
      </w:r>
      <w:r w:rsidR="00EB7D25" w:rsidRPr="00EB7D25">
        <w:t xml:space="preserve"> </w:t>
      </w:r>
    </w:p>
    <w:p w14:paraId="04C2EC94" w14:textId="18FC3640" w:rsidR="004C7926" w:rsidRPr="005F5375" w:rsidRDefault="004C7926" w:rsidP="004C7926">
      <w:pPr>
        <w:pStyle w:val="COMexecsumnumberedpara"/>
        <w:rPr>
          <w:color w:val="0066FF"/>
        </w:rPr>
      </w:pPr>
      <w:r w:rsidRPr="000D3453">
        <w:rPr>
          <w:lang w:val="en-US"/>
        </w:rPr>
        <w:t xml:space="preserve">The resubmission </w:t>
      </w:r>
      <w:r w:rsidR="005F5375">
        <w:rPr>
          <w:lang w:val="en-US"/>
        </w:rPr>
        <w:t xml:space="preserve">and pre-PBAC response </w:t>
      </w:r>
      <w:r w:rsidRPr="000D3453">
        <w:rPr>
          <w:lang w:val="en-US"/>
        </w:rPr>
        <w:t>argued that the higher cap (</w:t>
      </w:r>
      <w:r w:rsidRPr="00222948">
        <w:rPr>
          <w:lang w:val="en-US"/>
        </w:rPr>
        <w:t>105%</w:t>
      </w:r>
      <w:r w:rsidRPr="000D3453">
        <w:rPr>
          <w:lang w:val="en-US"/>
        </w:rPr>
        <w:t>) and lower rebate (</w:t>
      </w:r>
      <w:r w:rsidR="00B474C2" w:rsidRPr="004826FD">
        <w:rPr>
          <w:color w:val="000000"/>
          <w:w w:val="15"/>
          <w:shd w:val="solid" w:color="000000" w:fill="000000"/>
          <w:fitText w:val="-20" w:id="-1168367104"/>
          <w:lang w:val="en-US"/>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104"/>
          <w:lang w:val="en-US"/>
          <w14:textFill>
            <w14:solidFill>
              <w14:srgbClr w14:val="000000">
                <w14:alpha w14:val="100000"/>
              </w14:srgbClr>
            </w14:solidFill>
          </w14:textFill>
        </w:rPr>
        <w:t>|</w:t>
      </w:r>
      <w:r w:rsidRPr="000D3453">
        <w:rPr>
          <w:lang w:val="en-US"/>
        </w:rPr>
        <w:t xml:space="preserve">%) proposed for Years 4-6 of listing appropriately accounts for </w:t>
      </w:r>
      <w:r w:rsidRPr="007129A5">
        <w:t xml:space="preserve">uncertainty </w:t>
      </w:r>
      <w:r>
        <w:t xml:space="preserve">in </w:t>
      </w:r>
      <w:r w:rsidRPr="007129A5">
        <w:t xml:space="preserve">diagnosis </w:t>
      </w:r>
      <w:r>
        <w:t xml:space="preserve">rates </w:t>
      </w:r>
      <w:r w:rsidRPr="007129A5">
        <w:t xml:space="preserve">and uptake </w:t>
      </w:r>
      <w:r>
        <w:t>of tafamidis over the later years, given tafamidis is a first-in-field disease modifying medicine for the treatment of ATTR-CM, and is consistent with the upper limit of diagnosis observed in the sensitivity analysis.</w:t>
      </w:r>
    </w:p>
    <w:p w14:paraId="063F2F8E" w14:textId="16F97BE6" w:rsidR="005F5375" w:rsidRDefault="005F5375" w:rsidP="005F5375">
      <w:pPr>
        <w:pStyle w:val="COMexecsumnumberedpara"/>
        <w:rPr>
          <w:snapToGrid/>
          <w:lang w:val="en-US"/>
        </w:rPr>
      </w:pPr>
      <w:r w:rsidRPr="009B152B">
        <w:rPr>
          <w:snapToGrid/>
          <w:lang w:val="en-US"/>
        </w:rPr>
        <w:t>The PBAC</w:t>
      </w:r>
      <w:r>
        <w:rPr>
          <w:snapToGrid/>
          <w:lang w:val="en-US"/>
        </w:rPr>
        <w:t xml:space="preserve"> recalled it</w:t>
      </w:r>
      <w:r w:rsidRPr="009B152B">
        <w:rPr>
          <w:snapToGrid/>
          <w:lang w:val="en-US"/>
        </w:rPr>
        <w:t xml:space="preserve"> previously considered that expenditure caps higher than the resubmission’s estimated financial expenditure would not adequately manage the risk associated with use in a broader population (para 10.1, Tafamidis PSD, March</w:t>
      </w:r>
      <w:r w:rsidR="00934AB0">
        <w:t> </w:t>
      </w:r>
      <w:r w:rsidRPr="009B152B">
        <w:rPr>
          <w:snapToGrid/>
          <w:lang w:val="en-US"/>
        </w:rPr>
        <w:t xml:space="preserve">2021 PBAC meeting with September 2021 Addendum). </w:t>
      </w:r>
      <w:r w:rsidRPr="001F4A02">
        <w:rPr>
          <w:snapToGrid/>
          <w:lang w:val="en-US"/>
        </w:rPr>
        <w:t>The ESC considered the</w:t>
      </w:r>
      <w:r>
        <w:rPr>
          <w:snapToGrid/>
          <w:lang w:val="en-US"/>
        </w:rPr>
        <w:t xml:space="preserve"> </w:t>
      </w:r>
      <w:r w:rsidRPr="009B152B">
        <w:rPr>
          <w:snapToGrid/>
          <w:lang w:val="en-US"/>
        </w:rPr>
        <w:t xml:space="preserve">proposed </w:t>
      </w:r>
      <w:r w:rsidRPr="00222948">
        <w:rPr>
          <w:snapToGrid/>
          <w:lang w:val="en-US"/>
        </w:rPr>
        <w:t>105%</w:t>
      </w:r>
      <w:r w:rsidRPr="009B152B">
        <w:rPr>
          <w:snapToGrid/>
          <w:lang w:val="en-US"/>
        </w:rPr>
        <w:t xml:space="preserve"> cap with </w:t>
      </w:r>
      <w:r w:rsidR="00B474C2" w:rsidRPr="004826FD">
        <w:rPr>
          <w:snapToGrid/>
          <w:color w:val="000000"/>
          <w:w w:val="15"/>
          <w:shd w:val="solid" w:color="000000" w:fill="000000"/>
          <w:fitText w:val="-20" w:id="-1168367103"/>
          <w:lang w:val="en-US"/>
          <w14:textFill>
            <w14:solidFill>
              <w14:srgbClr w14:val="000000">
                <w14:alpha w14:val="100000"/>
              </w14:srgbClr>
            </w14:solidFill>
          </w14:textFill>
        </w:rPr>
        <w:t xml:space="preserve">|  </w:t>
      </w:r>
      <w:r w:rsidR="00B474C2" w:rsidRPr="004826FD">
        <w:rPr>
          <w:snapToGrid/>
          <w:color w:val="000000"/>
          <w:spacing w:val="-69"/>
          <w:w w:val="15"/>
          <w:shd w:val="solid" w:color="000000" w:fill="000000"/>
          <w:fitText w:val="-20" w:id="-1168367103"/>
          <w:lang w:val="en-US"/>
          <w14:textFill>
            <w14:solidFill>
              <w14:srgbClr w14:val="000000">
                <w14:alpha w14:val="100000"/>
              </w14:srgbClr>
            </w14:solidFill>
          </w14:textFill>
        </w:rPr>
        <w:t>|</w:t>
      </w:r>
      <w:r w:rsidRPr="009B152B">
        <w:rPr>
          <w:snapToGrid/>
          <w:lang w:val="en-US"/>
        </w:rPr>
        <w:t xml:space="preserve">% rebate for years 4-6 </w:t>
      </w:r>
      <w:r w:rsidRPr="00B971EB">
        <w:rPr>
          <w:snapToGrid/>
          <w:lang w:val="en-US"/>
        </w:rPr>
        <w:t>would</w:t>
      </w:r>
      <w:r w:rsidRPr="009B152B">
        <w:rPr>
          <w:snapToGrid/>
          <w:lang w:val="en-US"/>
        </w:rPr>
        <w:t xml:space="preserve"> not adequately address the risks associated with use in the broader population or beyond the intended eligible </w:t>
      </w:r>
      <w:r w:rsidRPr="001F4A02">
        <w:rPr>
          <w:snapToGrid/>
          <w:lang w:val="en-US"/>
        </w:rPr>
        <w:t>population in those years.</w:t>
      </w:r>
    </w:p>
    <w:p w14:paraId="2EB3A839" w14:textId="08C8D3EB" w:rsidR="000D3453" w:rsidRPr="000D3453" w:rsidRDefault="000D3453" w:rsidP="000D3453">
      <w:pPr>
        <w:pStyle w:val="COMtablefigcaption"/>
      </w:pPr>
      <w:r>
        <w:t xml:space="preserve">Table </w:t>
      </w:r>
      <w:fldSimple w:instr=" SEQ Table \* ARABIC " w:fldLock="1">
        <w:r w:rsidR="0015761E">
          <w:rPr>
            <w:noProof/>
          </w:rPr>
          <w:t>13</w:t>
        </w:r>
      </w:fldSimple>
      <w:r>
        <w:t>:</w:t>
      </w:r>
      <w:r w:rsidRPr="00FD4ED6">
        <w:t xml:space="preserve"> </w:t>
      </w:r>
      <w:r>
        <w:rPr>
          <w:rFonts w:eastAsia="MS Gothic"/>
        </w:rPr>
        <w:t>Proposed risk shar</w:t>
      </w:r>
      <w:r w:rsidR="004E35A9">
        <w:rPr>
          <w:rFonts w:eastAsia="MS Gothic"/>
        </w:rPr>
        <w:t>ing</w:t>
      </w:r>
      <w:r>
        <w:rPr>
          <w:rFonts w:eastAsia="MS Gothic"/>
        </w:rPr>
        <w:t xml:space="preserve"> arrangement caps based on estimated utilisation of tafamidis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Proposed risk sharing arrangement caps based on estimated utilisation of tafamidis"/>
      </w:tblPr>
      <w:tblGrid>
        <w:gridCol w:w="2263"/>
        <w:gridCol w:w="1134"/>
        <w:gridCol w:w="1134"/>
        <w:gridCol w:w="1134"/>
        <w:gridCol w:w="1134"/>
        <w:gridCol w:w="1134"/>
        <w:gridCol w:w="1134"/>
      </w:tblGrid>
      <w:tr w:rsidR="004C7926" w:rsidRPr="00D91BBF" w14:paraId="592426DA" w14:textId="77777777" w:rsidTr="00471992">
        <w:trPr>
          <w:tblHeader/>
        </w:trPr>
        <w:tc>
          <w:tcPr>
            <w:tcW w:w="2263" w:type="dxa"/>
            <w:tcBorders>
              <w:bottom w:val="single" w:sz="4" w:space="0" w:color="auto"/>
            </w:tcBorders>
            <w:shd w:val="clear" w:color="auto" w:fill="auto"/>
            <w:vAlign w:val="center"/>
          </w:tcPr>
          <w:p w14:paraId="6AC3D7B8" w14:textId="77777777" w:rsidR="004C7926" w:rsidRPr="00D91BBF" w:rsidRDefault="004C7926" w:rsidP="00471992">
            <w:pPr>
              <w:keepNext/>
              <w:rPr>
                <w:rFonts w:ascii="Arial Narrow" w:eastAsia="MS Gothic" w:hAnsi="Arial Narrow"/>
                <w:b/>
                <w:sz w:val="20"/>
                <w:lang w:val="en-US"/>
              </w:rPr>
            </w:pPr>
          </w:p>
        </w:tc>
        <w:tc>
          <w:tcPr>
            <w:tcW w:w="1134" w:type="dxa"/>
            <w:tcBorders>
              <w:bottom w:val="single" w:sz="4" w:space="0" w:color="auto"/>
            </w:tcBorders>
            <w:shd w:val="clear" w:color="auto" w:fill="auto"/>
            <w:vAlign w:val="center"/>
          </w:tcPr>
          <w:p w14:paraId="76378DF9" w14:textId="77777777" w:rsidR="004C7926" w:rsidRPr="00D91BBF" w:rsidRDefault="004C7926" w:rsidP="00471992">
            <w:pPr>
              <w:jc w:val="center"/>
              <w:rPr>
                <w:rFonts w:ascii="Arial Narrow" w:hAnsi="Arial Narrow"/>
                <w:b/>
                <w:sz w:val="20"/>
                <w:szCs w:val="20"/>
              </w:rPr>
            </w:pPr>
            <w:r w:rsidRPr="00D91BBF">
              <w:rPr>
                <w:rFonts w:ascii="Arial Narrow" w:hAnsi="Arial Narrow"/>
                <w:b/>
                <w:sz w:val="20"/>
                <w:szCs w:val="20"/>
              </w:rPr>
              <w:t>Year 1</w:t>
            </w:r>
          </w:p>
          <w:p w14:paraId="4C4E8B62" w14:textId="77777777" w:rsidR="004C7926" w:rsidRPr="00D91BBF" w:rsidRDefault="004C7926" w:rsidP="00471992">
            <w:pPr>
              <w:keepNext/>
              <w:jc w:val="center"/>
              <w:rPr>
                <w:rFonts w:ascii="Arial Narrow" w:eastAsia="MS Gothic" w:hAnsi="Arial Narrow"/>
                <w:b/>
                <w:sz w:val="20"/>
                <w:lang w:val="en-US"/>
              </w:rPr>
            </w:pPr>
            <w:r w:rsidRPr="00D91BBF">
              <w:rPr>
                <w:rFonts w:ascii="Arial Narrow" w:eastAsia="MS Gothic" w:hAnsi="Arial Narrow"/>
                <w:b/>
                <w:sz w:val="20"/>
                <w:szCs w:val="20"/>
                <w:lang w:val="en-US"/>
              </w:rPr>
              <w:t>(2024)</w:t>
            </w:r>
          </w:p>
        </w:tc>
        <w:tc>
          <w:tcPr>
            <w:tcW w:w="1134" w:type="dxa"/>
            <w:tcBorders>
              <w:bottom w:val="single" w:sz="4" w:space="0" w:color="auto"/>
            </w:tcBorders>
            <w:shd w:val="clear" w:color="auto" w:fill="auto"/>
            <w:vAlign w:val="center"/>
          </w:tcPr>
          <w:p w14:paraId="7C46073D" w14:textId="77777777" w:rsidR="004C7926" w:rsidRPr="00D91BBF" w:rsidRDefault="004C7926" w:rsidP="00471992">
            <w:pPr>
              <w:jc w:val="center"/>
              <w:rPr>
                <w:rFonts w:ascii="Arial Narrow" w:hAnsi="Arial Narrow"/>
                <w:b/>
                <w:sz w:val="20"/>
                <w:szCs w:val="20"/>
              </w:rPr>
            </w:pPr>
            <w:r w:rsidRPr="00D91BBF">
              <w:rPr>
                <w:rFonts w:ascii="Arial Narrow" w:hAnsi="Arial Narrow"/>
                <w:b/>
                <w:sz w:val="20"/>
                <w:szCs w:val="20"/>
              </w:rPr>
              <w:t>Year 2</w:t>
            </w:r>
          </w:p>
          <w:p w14:paraId="2590AACB" w14:textId="77777777" w:rsidR="004C7926" w:rsidRPr="00D91BBF" w:rsidRDefault="004C7926" w:rsidP="00471992">
            <w:pPr>
              <w:keepNext/>
              <w:jc w:val="center"/>
              <w:rPr>
                <w:rFonts w:ascii="Arial Narrow" w:eastAsia="MS Gothic" w:hAnsi="Arial Narrow"/>
                <w:b/>
                <w:sz w:val="20"/>
                <w:lang w:val="en-US"/>
              </w:rPr>
            </w:pPr>
            <w:r w:rsidRPr="00D91BBF">
              <w:rPr>
                <w:rFonts w:ascii="Arial Narrow" w:eastAsia="MS Gothic" w:hAnsi="Arial Narrow"/>
                <w:b/>
                <w:sz w:val="20"/>
                <w:szCs w:val="20"/>
                <w:lang w:val="en-US"/>
              </w:rPr>
              <w:t>(2025)</w:t>
            </w:r>
          </w:p>
        </w:tc>
        <w:tc>
          <w:tcPr>
            <w:tcW w:w="1134" w:type="dxa"/>
            <w:tcBorders>
              <w:bottom w:val="single" w:sz="4" w:space="0" w:color="auto"/>
            </w:tcBorders>
            <w:shd w:val="clear" w:color="auto" w:fill="auto"/>
            <w:vAlign w:val="center"/>
          </w:tcPr>
          <w:p w14:paraId="39F4FC7F" w14:textId="77777777" w:rsidR="004C7926" w:rsidRPr="00D91BBF" w:rsidRDefault="004C7926" w:rsidP="00471992">
            <w:pPr>
              <w:jc w:val="center"/>
              <w:rPr>
                <w:rFonts w:ascii="Arial Narrow" w:hAnsi="Arial Narrow"/>
                <w:b/>
                <w:sz w:val="20"/>
                <w:szCs w:val="20"/>
              </w:rPr>
            </w:pPr>
            <w:r w:rsidRPr="00D91BBF">
              <w:rPr>
                <w:rFonts w:ascii="Arial Narrow" w:hAnsi="Arial Narrow"/>
                <w:b/>
                <w:sz w:val="20"/>
                <w:szCs w:val="20"/>
              </w:rPr>
              <w:t>Year 3</w:t>
            </w:r>
          </w:p>
          <w:p w14:paraId="06876A4F" w14:textId="77777777" w:rsidR="004C7926" w:rsidRPr="00D91BBF" w:rsidRDefault="004C7926" w:rsidP="00471992">
            <w:pPr>
              <w:keepNext/>
              <w:jc w:val="center"/>
              <w:rPr>
                <w:rFonts w:ascii="Arial Narrow" w:eastAsia="MS Gothic" w:hAnsi="Arial Narrow"/>
                <w:b/>
                <w:sz w:val="20"/>
                <w:lang w:val="en-US"/>
              </w:rPr>
            </w:pPr>
            <w:r w:rsidRPr="00D91BBF">
              <w:rPr>
                <w:rFonts w:ascii="Arial Narrow" w:eastAsia="MS Gothic" w:hAnsi="Arial Narrow"/>
                <w:b/>
                <w:sz w:val="20"/>
                <w:szCs w:val="20"/>
                <w:lang w:val="en-US"/>
              </w:rPr>
              <w:t>(2026)</w:t>
            </w:r>
          </w:p>
        </w:tc>
        <w:tc>
          <w:tcPr>
            <w:tcW w:w="1134" w:type="dxa"/>
            <w:tcBorders>
              <w:bottom w:val="single" w:sz="4" w:space="0" w:color="auto"/>
            </w:tcBorders>
            <w:shd w:val="clear" w:color="auto" w:fill="auto"/>
            <w:vAlign w:val="center"/>
          </w:tcPr>
          <w:p w14:paraId="140607D5" w14:textId="77777777" w:rsidR="004C7926" w:rsidRPr="00D91BBF" w:rsidRDefault="004C7926" w:rsidP="00471992">
            <w:pPr>
              <w:jc w:val="center"/>
              <w:rPr>
                <w:rFonts w:ascii="Arial Narrow" w:hAnsi="Arial Narrow"/>
                <w:b/>
                <w:sz w:val="20"/>
                <w:szCs w:val="20"/>
              </w:rPr>
            </w:pPr>
            <w:r w:rsidRPr="00D91BBF">
              <w:rPr>
                <w:rFonts w:ascii="Arial Narrow" w:hAnsi="Arial Narrow"/>
                <w:b/>
                <w:sz w:val="20"/>
                <w:szCs w:val="20"/>
              </w:rPr>
              <w:t>Year 4</w:t>
            </w:r>
          </w:p>
          <w:p w14:paraId="46673385" w14:textId="77777777" w:rsidR="004C7926" w:rsidRPr="00D91BBF" w:rsidRDefault="004C7926" w:rsidP="00471992">
            <w:pPr>
              <w:keepNext/>
              <w:jc w:val="center"/>
              <w:rPr>
                <w:rFonts w:ascii="Arial Narrow" w:eastAsia="MS Gothic" w:hAnsi="Arial Narrow"/>
                <w:b/>
                <w:sz w:val="20"/>
                <w:lang w:val="en-US"/>
              </w:rPr>
            </w:pPr>
            <w:r w:rsidRPr="00D91BBF">
              <w:rPr>
                <w:rFonts w:ascii="Arial Narrow" w:eastAsia="MS Gothic" w:hAnsi="Arial Narrow"/>
                <w:b/>
                <w:sz w:val="20"/>
                <w:szCs w:val="20"/>
                <w:lang w:val="en-US"/>
              </w:rPr>
              <w:t>(2027)</w:t>
            </w:r>
          </w:p>
        </w:tc>
        <w:tc>
          <w:tcPr>
            <w:tcW w:w="1134" w:type="dxa"/>
            <w:tcBorders>
              <w:bottom w:val="single" w:sz="4" w:space="0" w:color="auto"/>
            </w:tcBorders>
            <w:shd w:val="clear" w:color="auto" w:fill="auto"/>
            <w:vAlign w:val="center"/>
          </w:tcPr>
          <w:p w14:paraId="0030578D" w14:textId="77777777" w:rsidR="004C7926" w:rsidRPr="00D91BBF" w:rsidRDefault="004C7926" w:rsidP="00471992">
            <w:pPr>
              <w:jc w:val="center"/>
              <w:rPr>
                <w:rFonts w:ascii="Arial Narrow" w:hAnsi="Arial Narrow"/>
                <w:b/>
                <w:sz w:val="20"/>
                <w:szCs w:val="20"/>
              </w:rPr>
            </w:pPr>
            <w:r w:rsidRPr="00D91BBF">
              <w:rPr>
                <w:rFonts w:ascii="Arial Narrow" w:hAnsi="Arial Narrow"/>
                <w:b/>
                <w:sz w:val="20"/>
                <w:szCs w:val="20"/>
              </w:rPr>
              <w:t>Year 5</w:t>
            </w:r>
          </w:p>
          <w:p w14:paraId="599B74B8" w14:textId="77777777" w:rsidR="004C7926" w:rsidRPr="00D91BBF" w:rsidRDefault="004C7926" w:rsidP="00471992">
            <w:pPr>
              <w:keepNext/>
              <w:jc w:val="center"/>
              <w:rPr>
                <w:rFonts w:ascii="Arial Narrow" w:eastAsia="MS Gothic" w:hAnsi="Arial Narrow"/>
                <w:b/>
                <w:sz w:val="20"/>
                <w:lang w:val="en-US"/>
              </w:rPr>
            </w:pPr>
            <w:r w:rsidRPr="00D91BBF">
              <w:rPr>
                <w:rFonts w:ascii="Arial Narrow" w:eastAsia="MS Gothic" w:hAnsi="Arial Narrow"/>
                <w:b/>
                <w:sz w:val="20"/>
                <w:szCs w:val="20"/>
                <w:lang w:val="en-US"/>
              </w:rPr>
              <w:t>(2028)</w:t>
            </w:r>
          </w:p>
        </w:tc>
        <w:tc>
          <w:tcPr>
            <w:tcW w:w="1134" w:type="dxa"/>
            <w:tcBorders>
              <w:bottom w:val="single" w:sz="4" w:space="0" w:color="auto"/>
            </w:tcBorders>
            <w:shd w:val="clear" w:color="auto" w:fill="auto"/>
            <w:vAlign w:val="center"/>
          </w:tcPr>
          <w:p w14:paraId="3BD98F09" w14:textId="77777777" w:rsidR="004C7926" w:rsidRPr="00D91BBF" w:rsidRDefault="004C7926" w:rsidP="00471992">
            <w:pPr>
              <w:jc w:val="center"/>
              <w:rPr>
                <w:rFonts w:ascii="Arial Narrow" w:hAnsi="Arial Narrow"/>
                <w:b/>
                <w:sz w:val="20"/>
                <w:szCs w:val="20"/>
              </w:rPr>
            </w:pPr>
            <w:r w:rsidRPr="00D91BBF">
              <w:rPr>
                <w:rFonts w:ascii="Arial Narrow" w:hAnsi="Arial Narrow"/>
                <w:b/>
                <w:sz w:val="20"/>
                <w:szCs w:val="20"/>
              </w:rPr>
              <w:t>Year 6</w:t>
            </w:r>
          </w:p>
          <w:p w14:paraId="24512C7B" w14:textId="77777777" w:rsidR="004C7926" w:rsidRPr="00D91BBF" w:rsidRDefault="004C7926" w:rsidP="00471992">
            <w:pPr>
              <w:keepNext/>
              <w:jc w:val="center"/>
              <w:rPr>
                <w:rFonts w:ascii="Arial Narrow" w:eastAsia="MS Gothic" w:hAnsi="Arial Narrow"/>
                <w:b/>
                <w:sz w:val="20"/>
                <w:lang w:val="en-US"/>
              </w:rPr>
            </w:pPr>
            <w:r w:rsidRPr="00D91BBF">
              <w:rPr>
                <w:rFonts w:ascii="Arial Narrow" w:eastAsia="MS Gothic" w:hAnsi="Arial Narrow"/>
                <w:b/>
                <w:sz w:val="20"/>
                <w:szCs w:val="20"/>
                <w:lang w:val="en-US"/>
              </w:rPr>
              <w:t>(2029)</w:t>
            </w:r>
          </w:p>
        </w:tc>
      </w:tr>
      <w:tr w:rsidR="004C7926" w:rsidRPr="007129A5" w14:paraId="748D74C1" w14:textId="77777777" w:rsidTr="00471992">
        <w:tc>
          <w:tcPr>
            <w:tcW w:w="2263" w:type="dxa"/>
            <w:tcBorders>
              <w:top w:val="single" w:sz="4" w:space="0" w:color="auto"/>
              <w:bottom w:val="single" w:sz="4" w:space="0" w:color="auto"/>
            </w:tcBorders>
            <w:shd w:val="clear" w:color="auto" w:fill="auto"/>
            <w:vAlign w:val="center"/>
          </w:tcPr>
          <w:p w14:paraId="5AF34D90" w14:textId="77777777" w:rsidR="004C7926" w:rsidRPr="00D91BBF" w:rsidRDefault="004C7926" w:rsidP="00471992">
            <w:pPr>
              <w:keepNext/>
              <w:jc w:val="left"/>
              <w:rPr>
                <w:rFonts w:ascii="Arial Narrow" w:hAnsi="Arial Narrow"/>
                <w:sz w:val="20"/>
                <w:szCs w:val="20"/>
              </w:rPr>
            </w:pPr>
            <w:r w:rsidRPr="007129A5">
              <w:rPr>
                <w:rFonts w:ascii="Arial Narrow" w:hAnsi="Arial Narrow"/>
                <w:sz w:val="20"/>
                <w:szCs w:val="20"/>
              </w:rPr>
              <w:t>Proposed caps</w:t>
            </w:r>
            <w:r>
              <w:rPr>
                <w:rFonts w:ascii="Arial Narrow" w:hAnsi="Arial Narrow"/>
                <w:sz w:val="20"/>
                <w:szCs w:val="20"/>
              </w:rPr>
              <w:t xml:space="preserve"> at estimated expenditure (100%)</w:t>
            </w:r>
          </w:p>
        </w:tc>
        <w:tc>
          <w:tcPr>
            <w:tcW w:w="1134" w:type="dxa"/>
            <w:tcBorders>
              <w:top w:val="single" w:sz="4" w:space="0" w:color="auto"/>
              <w:bottom w:val="single" w:sz="4" w:space="0" w:color="auto"/>
            </w:tcBorders>
            <w:shd w:val="clear" w:color="auto" w:fill="auto"/>
            <w:vAlign w:val="center"/>
          </w:tcPr>
          <w:p w14:paraId="42F37B62" w14:textId="70300380" w:rsidR="004C7926" w:rsidRPr="00AB0B96" w:rsidRDefault="004C7926" w:rsidP="00471992">
            <w:pPr>
              <w:jc w:val="center"/>
              <w:rPr>
                <w:rFonts w:ascii="Arial Narrow" w:hAnsi="Arial Narrow"/>
                <w:sz w:val="20"/>
                <w:szCs w:val="20"/>
                <w:highlight w:val="lightGray"/>
                <w:vertAlign w:val="superscript"/>
              </w:rPr>
            </w:pPr>
            <w:r w:rsidRPr="00CA66AB">
              <w:rPr>
                <w:rFonts w:ascii="Arial Narrow" w:hAnsi="Arial Narrow"/>
                <w:sz w:val="20"/>
                <w:szCs w:val="20"/>
              </w:rPr>
              <w:t>$</w:t>
            </w:r>
            <w:r w:rsidR="00B474C2" w:rsidRPr="00B474C2">
              <w:rPr>
                <w:rFonts w:ascii="Arial Narrow" w:hAnsi="Arial Narrow" w:hint="eastAsia"/>
                <w:color w:val="000000"/>
                <w:w w:val="15"/>
                <w:sz w:val="20"/>
                <w:szCs w:val="20"/>
                <w:shd w:val="solid" w:color="000000" w:fill="000000"/>
                <w:fitText w:val="67" w:id="-1168367102"/>
                <w14:textFill>
                  <w14:solidFill>
                    <w14:srgbClr w14:val="000000">
                      <w14:alpha w14:val="100000"/>
                    </w14:srgbClr>
                  </w14:solidFill>
                </w14:textFill>
              </w:rPr>
              <w:t xml:space="preserve">　</w:t>
            </w:r>
            <w:r w:rsidR="00B474C2" w:rsidRPr="00B474C2">
              <w:rPr>
                <w:rFonts w:ascii="Arial Narrow" w:hAnsi="Arial Narrow"/>
                <w:color w:val="000000"/>
                <w:w w:val="15"/>
                <w:sz w:val="20"/>
                <w:szCs w:val="20"/>
                <w:shd w:val="solid" w:color="000000" w:fill="000000"/>
                <w:fitText w:val="67" w:id="-1168367102"/>
                <w14:textFill>
                  <w14:solidFill>
                    <w14:srgbClr w14:val="000000">
                      <w14:alpha w14:val="100000"/>
                    </w14:srgbClr>
                  </w14:solidFill>
                </w14:textFill>
              </w:rPr>
              <w:t>|</w:t>
            </w:r>
            <w:r w:rsidR="00B474C2" w:rsidRPr="00B474C2">
              <w:rPr>
                <w:rFonts w:ascii="Arial Narrow" w:hAnsi="Arial Narrow" w:hint="eastAsia"/>
                <w:color w:val="000000"/>
                <w:spacing w:val="1"/>
                <w:w w:val="15"/>
                <w:sz w:val="20"/>
                <w:szCs w:val="20"/>
                <w:shd w:val="solid" w:color="000000" w:fill="000000"/>
                <w:fitText w:val="67" w:id="-1168367102"/>
                <w14:textFill>
                  <w14:solidFill>
                    <w14:srgbClr w14:val="000000">
                      <w14:alpha w14:val="100000"/>
                    </w14:srgbClr>
                  </w14:solidFill>
                </w14:textFill>
              </w:rPr>
              <w:t xml:space="preserve">　</w:t>
            </w:r>
            <w:r w:rsidR="00AB0B96" w:rsidRPr="00AB0B96">
              <w:rPr>
                <w:rFonts w:ascii="Arial Narrow" w:hAnsi="Arial Narrow"/>
                <w:sz w:val="20"/>
                <w:szCs w:val="20"/>
                <w:vertAlign w:val="superscript"/>
              </w:rPr>
              <w:t>1</w:t>
            </w:r>
          </w:p>
        </w:tc>
        <w:tc>
          <w:tcPr>
            <w:tcW w:w="1134" w:type="dxa"/>
            <w:tcBorders>
              <w:top w:val="single" w:sz="4" w:space="0" w:color="auto"/>
              <w:bottom w:val="single" w:sz="4" w:space="0" w:color="auto"/>
            </w:tcBorders>
            <w:shd w:val="clear" w:color="auto" w:fill="auto"/>
            <w:vAlign w:val="center"/>
          </w:tcPr>
          <w:p w14:paraId="11D131ED" w14:textId="26D10D7E" w:rsidR="004C7926" w:rsidRPr="00AB0B96" w:rsidRDefault="004C7926" w:rsidP="00471992">
            <w:pPr>
              <w:jc w:val="center"/>
              <w:rPr>
                <w:rFonts w:ascii="Arial Narrow" w:hAnsi="Arial Narrow"/>
                <w:sz w:val="20"/>
                <w:szCs w:val="20"/>
                <w:highlight w:val="lightGray"/>
                <w:vertAlign w:val="superscript"/>
              </w:rPr>
            </w:pPr>
            <w:r w:rsidRPr="00CA66AB">
              <w:rPr>
                <w:rFonts w:ascii="Arial Narrow" w:hAnsi="Arial Narrow"/>
                <w:sz w:val="20"/>
                <w:szCs w:val="20"/>
              </w:rPr>
              <w:t>$</w:t>
            </w:r>
            <w:r w:rsidR="00B474C2" w:rsidRPr="00B474C2">
              <w:rPr>
                <w:rFonts w:ascii="Arial Narrow" w:hAnsi="Arial Narrow" w:hint="eastAsia"/>
                <w:color w:val="000000"/>
                <w:w w:val="15"/>
                <w:sz w:val="20"/>
                <w:szCs w:val="20"/>
                <w:shd w:val="solid" w:color="000000" w:fill="000000"/>
                <w:fitText w:val="67" w:id="-1168367101"/>
                <w14:textFill>
                  <w14:solidFill>
                    <w14:srgbClr w14:val="000000">
                      <w14:alpha w14:val="100000"/>
                    </w14:srgbClr>
                  </w14:solidFill>
                </w14:textFill>
              </w:rPr>
              <w:t xml:space="preserve">　</w:t>
            </w:r>
            <w:r w:rsidR="00B474C2" w:rsidRPr="00B474C2">
              <w:rPr>
                <w:rFonts w:ascii="Arial Narrow" w:hAnsi="Arial Narrow"/>
                <w:color w:val="000000"/>
                <w:w w:val="15"/>
                <w:sz w:val="20"/>
                <w:szCs w:val="20"/>
                <w:shd w:val="solid" w:color="000000" w:fill="000000"/>
                <w:fitText w:val="67" w:id="-1168367101"/>
                <w14:textFill>
                  <w14:solidFill>
                    <w14:srgbClr w14:val="000000">
                      <w14:alpha w14:val="100000"/>
                    </w14:srgbClr>
                  </w14:solidFill>
                </w14:textFill>
              </w:rPr>
              <w:t>|</w:t>
            </w:r>
            <w:r w:rsidR="00B474C2" w:rsidRPr="00B474C2">
              <w:rPr>
                <w:rFonts w:ascii="Arial Narrow" w:hAnsi="Arial Narrow" w:hint="eastAsia"/>
                <w:color w:val="000000"/>
                <w:spacing w:val="1"/>
                <w:w w:val="15"/>
                <w:sz w:val="20"/>
                <w:szCs w:val="20"/>
                <w:shd w:val="solid" w:color="000000" w:fill="000000"/>
                <w:fitText w:val="67" w:id="-1168367101"/>
                <w14:textFill>
                  <w14:solidFill>
                    <w14:srgbClr w14:val="000000">
                      <w14:alpha w14:val="100000"/>
                    </w14:srgbClr>
                  </w14:solidFill>
                </w14:textFill>
              </w:rPr>
              <w:t xml:space="preserve">　</w:t>
            </w:r>
            <w:r w:rsidR="00AB0B96" w:rsidRPr="00AB0B96">
              <w:rPr>
                <w:rFonts w:ascii="Arial Narrow" w:hAnsi="Arial Narrow"/>
                <w:sz w:val="20"/>
                <w:szCs w:val="20"/>
                <w:vertAlign w:val="superscript"/>
              </w:rPr>
              <w:t>3</w:t>
            </w:r>
          </w:p>
        </w:tc>
        <w:tc>
          <w:tcPr>
            <w:tcW w:w="1134" w:type="dxa"/>
            <w:tcBorders>
              <w:top w:val="single" w:sz="4" w:space="0" w:color="auto"/>
              <w:bottom w:val="single" w:sz="4" w:space="0" w:color="auto"/>
            </w:tcBorders>
            <w:shd w:val="clear" w:color="auto" w:fill="auto"/>
            <w:vAlign w:val="center"/>
          </w:tcPr>
          <w:p w14:paraId="217503FA" w14:textId="2502F149" w:rsidR="004C7926" w:rsidRPr="00CA66AB" w:rsidRDefault="004C7926" w:rsidP="00471992">
            <w:pPr>
              <w:jc w:val="center"/>
              <w:rPr>
                <w:rFonts w:ascii="Arial Narrow" w:hAnsi="Arial Narrow"/>
                <w:sz w:val="20"/>
                <w:szCs w:val="20"/>
                <w:highlight w:val="lightGray"/>
              </w:rPr>
            </w:pPr>
            <w:r w:rsidRPr="00CA66AB">
              <w:rPr>
                <w:rFonts w:ascii="Arial Narrow" w:hAnsi="Arial Narrow"/>
                <w:sz w:val="20"/>
                <w:szCs w:val="20"/>
              </w:rPr>
              <w:t>$</w:t>
            </w:r>
            <w:r w:rsidR="00B474C2" w:rsidRPr="00B474C2">
              <w:rPr>
                <w:rFonts w:ascii="Arial Narrow" w:hAnsi="Arial Narrow" w:hint="eastAsia"/>
                <w:color w:val="000000"/>
                <w:w w:val="15"/>
                <w:sz w:val="20"/>
                <w:szCs w:val="20"/>
                <w:shd w:val="solid" w:color="000000" w:fill="000000"/>
                <w:fitText w:val="67" w:id="-1168367100"/>
                <w14:textFill>
                  <w14:solidFill>
                    <w14:srgbClr w14:val="000000">
                      <w14:alpha w14:val="100000"/>
                    </w14:srgbClr>
                  </w14:solidFill>
                </w14:textFill>
              </w:rPr>
              <w:t xml:space="preserve">　</w:t>
            </w:r>
            <w:r w:rsidR="00B474C2" w:rsidRPr="00B474C2">
              <w:rPr>
                <w:rFonts w:ascii="Arial Narrow" w:hAnsi="Arial Narrow"/>
                <w:color w:val="000000"/>
                <w:w w:val="15"/>
                <w:sz w:val="20"/>
                <w:szCs w:val="20"/>
                <w:shd w:val="solid" w:color="000000" w:fill="000000"/>
                <w:fitText w:val="67" w:id="-1168367100"/>
                <w14:textFill>
                  <w14:solidFill>
                    <w14:srgbClr w14:val="000000">
                      <w14:alpha w14:val="100000"/>
                    </w14:srgbClr>
                  </w14:solidFill>
                </w14:textFill>
              </w:rPr>
              <w:t>|</w:t>
            </w:r>
            <w:r w:rsidR="00B474C2" w:rsidRPr="00B474C2">
              <w:rPr>
                <w:rFonts w:ascii="Arial Narrow" w:hAnsi="Arial Narrow" w:hint="eastAsia"/>
                <w:color w:val="000000"/>
                <w:spacing w:val="1"/>
                <w:w w:val="15"/>
                <w:sz w:val="20"/>
                <w:szCs w:val="20"/>
                <w:shd w:val="solid" w:color="000000" w:fill="000000"/>
                <w:fitText w:val="67" w:id="-1168367100"/>
                <w14:textFill>
                  <w14:solidFill>
                    <w14:srgbClr w14:val="000000">
                      <w14:alpha w14:val="100000"/>
                    </w14:srgbClr>
                  </w14:solidFill>
                </w14:textFill>
              </w:rPr>
              <w:t xml:space="preserve">　</w:t>
            </w:r>
            <w:r w:rsidR="00AB0B96">
              <w:rPr>
                <w:rFonts w:ascii="Arial Narrow" w:hAnsi="Arial Narrow"/>
                <w:sz w:val="20"/>
                <w:szCs w:val="20"/>
                <w:vertAlign w:val="superscript"/>
              </w:rPr>
              <w:t>4</w:t>
            </w:r>
          </w:p>
        </w:tc>
        <w:tc>
          <w:tcPr>
            <w:tcW w:w="1134" w:type="dxa"/>
            <w:tcBorders>
              <w:top w:val="single" w:sz="4" w:space="0" w:color="auto"/>
              <w:bottom w:val="single" w:sz="4" w:space="0" w:color="auto"/>
            </w:tcBorders>
            <w:shd w:val="clear" w:color="auto" w:fill="auto"/>
            <w:vAlign w:val="center"/>
          </w:tcPr>
          <w:p w14:paraId="21264E1C" w14:textId="77777777" w:rsidR="004C7926" w:rsidRPr="00D91BBF" w:rsidRDefault="004C7926" w:rsidP="00471992">
            <w:pPr>
              <w:jc w:val="center"/>
              <w:rPr>
                <w:rFonts w:ascii="Arial Narrow" w:hAnsi="Arial Narrow"/>
                <w:sz w:val="20"/>
                <w:szCs w:val="20"/>
              </w:rPr>
            </w:pPr>
            <w:r>
              <w:rPr>
                <w:rFonts w:ascii="Arial Narrow" w:hAnsi="Arial Narrow"/>
                <w:sz w:val="20"/>
                <w:szCs w:val="20"/>
              </w:rPr>
              <w:t>-</w:t>
            </w:r>
          </w:p>
        </w:tc>
        <w:tc>
          <w:tcPr>
            <w:tcW w:w="1134" w:type="dxa"/>
            <w:tcBorders>
              <w:top w:val="single" w:sz="4" w:space="0" w:color="auto"/>
              <w:bottom w:val="single" w:sz="4" w:space="0" w:color="auto"/>
            </w:tcBorders>
            <w:shd w:val="clear" w:color="auto" w:fill="auto"/>
            <w:vAlign w:val="center"/>
          </w:tcPr>
          <w:p w14:paraId="558F5C2A" w14:textId="77777777" w:rsidR="004C7926" w:rsidRPr="00D91BBF" w:rsidRDefault="004C7926" w:rsidP="00471992">
            <w:pPr>
              <w:jc w:val="center"/>
              <w:rPr>
                <w:rFonts w:ascii="Arial Narrow" w:hAnsi="Arial Narrow"/>
                <w:sz w:val="20"/>
                <w:szCs w:val="20"/>
              </w:rPr>
            </w:pPr>
            <w:r>
              <w:rPr>
                <w:rFonts w:ascii="Arial Narrow" w:hAnsi="Arial Narrow"/>
                <w:sz w:val="20"/>
                <w:szCs w:val="20"/>
              </w:rPr>
              <w:t>-</w:t>
            </w:r>
          </w:p>
        </w:tc>
        <w:tc>
          <w:tcPr>
            <w:tcW w:w="1134" w:type="dxa"/>
            <w:tcBorders>
              <w:top w:val="single" w:sz="4" w:space="0" w:color="auto"/>
              <w:bottom w:val="single" w:sz="4" w:space="0" w:color="auto"/>
            </w:tcBorders>
            <w:shd w:val="clear" w:color="auto" w:fill="auto"/>
            <w:vAlign w:val="center"/>
          </w:tcPr>
          <w:p w14:paraId="77CFA8D9" w14:textId="77777777" w:rsidR="004C7926" w:rsidRPr="00D91BBF" w:rsidRDefault="004C7926" w:rsidP="00471992">
            <w:pPr>
              <w:jc w:val="center"/>
              <w:rPr>
                <w:rFonts w:ascii="Arial Narrow" w:hAnsi="Arial Narrow"/>
                <w:sz w:val="20"/>
                <w:szCs w:val="20"/>
              </w:rPr>
            </w:pPr>
            <w:r>
              <w:rPr>
                <w:rFonts w:ascii="Arial Narrow" w:hAnsi="Arial Narrow"/>
                <w:sz w:val="20"/>
                <w:szCs w:val="20"/>
              </w:rPr>
              <w:t>-</w:t>
            </w:r>
          </w:p>
        </w:tc>
      </w:tr>
      <w:tr w:rsidR="00316229" w:rsidRPr="007129A5" w14:paraId="0228E893" w14:textId="77777777" w:rsidTr="00B474C2">
        <w:tc>
          <w:tcPr>
            <w:tcW w:w="2263" w:type="dxa"/>
            <w:tcBorders>
              <w:top w:val="single" w:sz="4" w:space="0" w:color="auto"/>
              <w:bottom w:val="single" w:sz="4" w:space="0" w:color="auto"/>
            </w:tcBorders>
            <w:shd w:val="clear" w:color="auto" w:fill="auto"/>
            <w:vAlign w:val="center"/>
          </w:tcPr>
          <w:p w14:paraId="71C50DEA" w14:textId="20493802" w:rsidR="00316229" w:rsidRPr="007129A5" w:rsidRDefault="00316229" w:rsidP="00316229">
            <w:pPr>
              <w:keepNext/>
              <w:jc w:val="left"/>
              <w:rPr>
                <w:rFonts w:ascii="Arial Narrow" w:hAnsi="Arial Narrow"/>
                <w:sz w:val="20"/>
                <w:szCs w:val="20"/>
              </w:rPr>
            </w:pPr>
            <w:r w:rsidRPr="007129A5">
              <w:rPr>
                <w:rFonts w:ascii="Arial Narrow" w:hAnsi="Arial Narrow"/>
                <w:sz w:val="20"/>
                <w:szCs w:val="20"/>
              </w:rPr>
              <w:t>Proposed caps</w:t>
            </w:r>
            <w:r>
              <w:rPr>
                <w:rFonts w:ascii="Arial Narrow" w:hAnsi="Arial Narrow"/>
                <w:sz w:val="20"/>
                <w:szCs w:val="20"/>
              </w:rPr>
              <w:t xml:space="preserve"> above estimated expenditure (105%, pre-PBAC proposed)</w:t>
            </w:r>
          </w:p>
        </w:tc>
        <w:tc>
          <w:tcPr>
            <w:tcW w:w="1134" w:type="dxa"/>
            <w:tcBorders>
              <w:top w:val="single" w:sz="4" w:space="0" w:color="auto"/>
              <w:bottom w:val="single" w:sz="4" w:space="0" w:color="auto"/>
            </w:tcBorders>
            <w:shd w:val="clear" w:color="auto" w:fill="auto"/>
            <w:vAlign w:val="center"/>
          </w:tcPr>
          <w:p w14:paraId="2FB3C950" w14:textId="77777777" w:rsidR="00316229" w:rsidRPr="007129A5" w:rsidRDefault="00316229" w:rsidP="00316229">
            <w:pPr>
              <w:jc w:val="center"/>
              <w:rPr>
                <w:rFonts w:ascii="Arial Narrow" w:hAnsi="Arial Narrow"/>
                <w:sz w:val="20"/>
                <w:szCs w:val="20"/>
              </w:rPr>
            </w:pPr>
            <w:r>
              <w:rPr>
                <w:rFonts w:ascii="Arial Narrow" w:hAnsi="Arial Narrow"/>
                <w:sz w:val="20"/>
                <w:szCs w:val="20"/>
              </w:rPr>
              <w:t>-</w:t>
            </w:r>
          </w:p>
        </w:tc>
        <w:tc>
          <w:tcPr>
            <w:tcW w:w="1134" w:type="dxa"/>
            <w:tcBorders>
              <w:top w:val="single" w:sz="4" w:space="0" w:color="auto"/>
              <w:bottom w:val="single" w:sz="4" w:space="0" w:color="auto"/>
            </w:tcBorders>
            <w:shd w:val="clear" w:color="auto" w:fill="auto"/>
            <w:vAlign w:val="center"/>
          </w:tcPr>
          <w:p w14:paraId="1F3ECCEB" w14:textId="77777777" w:rsidR="00316229" w:rsidRPr="007129A5" w:rsidRDefault="00316229" w:rsidP="00316229">
            <w:pPr>
              <w:jc w:val="center"/>
              <w:rPr>
                <w:rFonts w:ascii="Arial Narrow" w:hAnsi="Arial Narrow"/>
                <w:sz w:val="20"/>
                <w:szCs w:val="20"/>
              </w:rPr>
            </w:pPr>
            <w:r>
              <w:rPr>
                <w:rFonts w:ascii="Arial Narrow" w:hAnsi="Arial Narrow"/>
                <w:sz w:val="20"/>
                <w:szCs w:val="20"/>
              </w:rPr>
              <w:t>-</w:t>
            </w:r>
          </w:p>
        </w:tc>
        <w:tc>
          <w:tcPr>
            <w:tcW w:w="1134" w:type="dxa"/>
            <w:tcBorders>
              <w:top w:val="single" w:sz="4" w:space="0" w:color="auto"/>
              <w:bottom w:val="single" w:sz="4" w:space="0" w:color="auto"/>
            </w:tcBorders>
            <w:shd w:val="clear" w:color="auto" w:fill="auto"/>
            <w:vAlign w:val="center"/>
          </w:tcPr>
          <w:p w14:paraId="47481874" w14:textId="77777777" w:rsidR="00316229" w:rsidRPr="007129A5" w:rsidRDefault="00316229" w:rsidP="00316229">
            <w:pPr>
              <w:jc w:val="center"/>
              <w:rPr>
                <w:rFonts w:ascii="Arial Narrow" w:hAnsi="Arial Narrow"/>
                <w:sz w:val="20"/>
                <w:szCs w:val="20"/>
              </w:rPr>
            </w:pPr>
            <w:r>
              <w:rPr>
                <w:rFonts w:ascii="Arial Narrow" w:hAnsi="Arial Narrow"/>
                <w:sz w:val="20"/>
                <w:szCs w:val="20"/>
              </w:rPr>
              <w:t>-</w:t>
            </w:r>
          </w:p>
        </w:tc>
        <w:tc>
          <w:tcPr>
            <w:tcW w:w="1134" w:type="dxa"/>
            <w:tcBorders>
              <w:top w:val="single" w:sz="4" w:space="0" w:color="auto"/>
              <w:bottom w:val="single" w:sz="4" w:space="0" w:color="auto"/>
            </w:tcBorders>
            <w:shd w:val="clear" w:color="auto" w:fill="auto"/>
            <w:vAlign w:val="center"/>
          </w:tcPr>
          <w:p w14:paraId="33DF061D" w14:textId="701768AF" w:rsidR="00316229" w:rsidRPr="00CA66AB" w:rsidRDefault="00316229" w:rsidP="00316229">
            <w:pPr>
              <w:jc w:val="center"/>
              <w:rPr>
                <w:rFonts w:ascii="Arial Narrow" w:hAnsi="Arial Narrow"/>
                <w:sz w:val="20"/>
                <w:szCs w:val="20"/>
                <w:highlight w:val="lightGray"/>
              </w:rPr>
            </w:pPr>
            <w:r w:rsidRPr="00CA66AB">
              <w:rPr>
                <w:rFonts w:ascii="Arial Narrow" w:hAnsi="Arial Narrow"/>
                <w:sz w:val="20"/>
                <w:szCs w:val="20"/>
              </w:rPr>
              <w:t>$</w:t>
            </w:r>
            <w:r w:rsidR="00B474C2" w:rsidRPr="00B474C2">
              <w:rPr>
                <w:rFonts w:ascii="Arial Narrow" w:hAnsi="Arial Narrow" w:hint="eastAsia"/>
                <w:color w:val="000000"/>
                <w:w w:val="15"/>
                <w:sz w:val="20"/>
                <w:szCs w:val="20"/>
                <w:shd w:val="solid" w:color="000000" w:fill="000000"/>
                <w:fitText w:val="67" w:id="-1168367099"/>
                <w14:textFill>
                  <w14:solidFill>
                    <w14:srgbClr w14:val="000000">
                      <w14:alpha w14:val="100000"/>
                    </w14:srgbClr>
                  </w14:solidFill>
                </w14:textFill>
              </w:rPr>
              <w:t xml:space="preserve">　</w:t>
            </w:r>
            <w:r w:rsidR="00B474C2" w:rsidRPr="00B474C2">
              <w:rPr>
                <w:rFonts w:ascii="Arial Narrow" w:hAnsi="Arial Narrow"/>
                <w:color w:val="000000"/>
                <w:w w:val="15"/>
                <w:sz w:val="20"/>
                <w:szCs w:val="20"/>
                <w:shd w:val="solid" w:color="000000" w:fill="000000"/>
                <w:fitText w:val="67" w:id="-1168367099"/>
                <w14:textFill>
                  <w14:solidFill>
                    <w14:srgbClr w14:val="000000">
                      <w14:alpha w14:val="100000"/>
                    </w14:srgbClr>
                  </w14:solidFill>
                </w14:textFill>
              </w:rPr>
              <w:t>|</w:t>
            </w:r>
            <w:r w:rsidR="00B474C2" w:rsidRPr="00B474C2">
              <w:rPr>
                <w:rFonts w:ascii="Arial Narrow" w:hAnsi="Arial Narrow" w:hint="eastAsia"/>
                <w:color w:val="000000"/>
                <w:spacing w:val="1"/>
                <w:w w:val="15"/>
                <w:sz w:val="20"/>
                <w:szCs w:val="20"/>
                <w:shd w:val="solid" w:color="000000" w:fill="000000"/>
                <w:fitText w:val="67" w:id="-1168367099"/>
                <w14:textFill>
                  <w14:solidFill>
                    <w14:srgbClr w14:val="000000">
                      <w14:alpha w14:val="100000"/>
                    </w14:srgbClr>
                  </w14:solidFill>
                </w14:textFill>
              </w:rPr>
              <w:t xml:space="preserve">　</w:t>
            </w:r>
            <w:r w:rsidR="00AB0B96" w:rsidRPr="00AB0B96">
              <w:rPr>
                <w:rFonts w:ascii="Arial Narrow" w:hAnsi="Arial Narrow"/>
                <w:sz w:val="20"/>
                <w:szCs w:val="20"/>
                <w:vertAlign w:val="superscript"/>
              </w:rPr>
              <w:t>3</w:t>
            </w:r>
          </w:p>
        </w:tc>
        <w:tc>
          <w:tcPr>
            <w:tcW w:w="1134" w:type="dxa"/>
            <w:tcBorders>
              <w:top w:val="single" w:sz="4" w:space="0" w:color="auto"/>
              <w:bottom w:val="single" w:sz="4" w:space="0" w:color="auto"/>
            </w:tcBorders>
            <w:shd w:val="clear" w:color="auto" w:fill="auto"/>
            <w:vAlign w:val="center"/>
          </w:tcPr>
          <w:p w14:paraId="0DFA5690" w14:textId="62F41F92" w:rsidR="00316229" w:rsidRPr="00AB0B96" w:rsidRDefault="00316229" w:rsidP="00316229">
            <w:pPr>
              <w:jc w:val="center"/>
              <w:rPr>
                <w:rFonts w:ascii="Arial Narrow" w:hAnsi="Arial Narrow"/>
                <w:sz w:val="20"/>
                <w:szCs w:val="20"/>
                <w:highlight w:val="lightGray"/>
                <w:vertAlign w:val="superscript"/>
              </w:rPr>
            </w:pPr>
            <w:r w:rsidRPr="00CA66AB">
              <w:rPr>
                <w:rFonts w:ascii="Arial Narrow" w:hAnsi="Arial Narrow"/>
                <w:sz w:val="20"/>
                <w:szCs w:val="20"/>
              </w:rPr>
              <w:t>$</w:t>
            </w:r>
            <w:r w:rsidR="00B474C2" w:rsidRPr="00B474C2">
              <w:rPr>
                <w:rFonts w:ascii="Arial Narrow" w:hAnsi="Arial Narrow" w:hint="eastAsia"/>
                <w:color w:val="000000"/>
                <w:w w:val="15"/>
                <w:sz w:val="20"/>
                <w:szCs w:val="20"/>
                <w:shd w:val="solid" w:color="000000" w:fill="000000"/>
                <w:fitText w:val="67" w:id="-1168367098"/>
                <w14:textFill>
                  <w14:solidFill>
                    <w14:srgbClr w14:val="000000">
                      <w14:alpha w14:val="100000"/>
                    </w14:srgbClr>
                  </w14:solidFill>
                </w14:textFill>
              </w:rPr>
              <w:t xml:space="preserve">　</w:t>
            </w:r>
            <w:r w:rsidR="00B474C2" w:rsidRPr="00B474C2">
              <w:rPr>
                <w:rFonts w:ascii="Arial Narrow" w:hAnsi="Arial Narrow"/>
                <w:color w:val="000000"/>
                <w:w w:val="15"/>
                <w:sz w:val="20"/>
                <w:szCs w:val="20"/>
                <w:shd w:val="solid" w:color="000000" w:fill="000000"/>
                <w:fitText w:val="67" w:id="-1168367098"/>
                <w14:textFill>
                  <w14:solidFill>
                    <w14:srgbClr w14:val="000000">
                      <w14:alpha w14:val="100000"/>
                    </w14:srgbClr>
                  </w14:solidFill>
                </w14:textFill>
              </w:rPr>
              <w:t>|</w:t>
            </w:r>
            <w:r w:rsidR="00B474C2" w:rsidRPr="00B474C2">
              <w:rPr>
                <w:rFonts w:ascii="Arial Narrow" w:hAnsi="Arial Narrow" w:hint="eastAsia"/>
                <w:color w:val="000000"/>
                <w:spacing w:val="1"/>
                <w:w w:val="15"/>
                <w:sz w:val="20"/>
                <w:szCs w:val="20"/>
                <w:shd w:val="solid" w:color="000000" w:fill="000000"/>
                <w:fitText w:val="67" w:id="-1168367098"/>
                <w14:textFill>
                  <w14:solidFill>
                    <w14:srgbClr w14:val="000000">
                      <w14:alpha w14:val="100000"/>
                    </w14:srgbClr>
                  </w14:solidFill>
                </w14:textFill>
              </w:rPr>
              <w:t xml:space="preserve">　</w:t>
            </w:r>
            <w:r w:rsidR="00AB0B96" w:rsidRPr="00AB0B96">
              <w:rPr>
                <w:rFonts w:ascii="Arial Narrow" w:hAnsi="Arial Narrow"/>
                <w:sz w:val="20"/>
                <w:szCs w:val="20"/>
                <w:vertAlign w:val="superscript"/>
              </w:rPr>
              <w:t>2</w:t>
            </w:r>
          </w:p>
        </w:tc>
        <w:tc>
          <w:tcPr>
            <w:tcW w:w="1134" w:type="dxa"/>
            <w:tcBorders>
              <w:top w:val="single" w:sz="4" w:space="0" w:color="auto"/>
              <w:bottom w:val="single" w:sz="4" w:space="0" w:color="auto"/>
            </w:tcBorders>
            <w:shd w:val="clear" w:color="auto" w:fill="auto"/>
            <w:vAlign w:val="center"/>
          </w:tcPr>
          <w:p w14:paraId="57D7857D" w14:textId="4811DEBC" w:rsidR="00316229" w:rsidRPr="00CA66AB" w:rsidRDefault="00316229" w:rsidP="00316229">
            <w:pPr>
              <w:jc w:val="center"/>
              <w:rPr>
                <w:rFonts w:ascii="Arial Narrow" w:hAnsi="Arial Narrow"/>
                <w:sz w:val="20"/>
                <w:szCs w:val="20"/>
                <w:highlight w:val="lightGray"/>
              </w:rPr>
            </w:pPr>
            <w:r w:rsidRPr="00CA66AB">
              <w:rPr>
                <w:rFonts w:ascii="Arial Narrow" w:hAnsi="Arial Narrow"/>
                <w:sz w:val="20"/>
                <w:szCs w:val="20"/>
              </w:rPr>
              <w:t>$</w:t>
            </w:r>
            <w:r w:rsidR="00B474C2" w:rsidRPr="00B474C2">
              <w:rPr>
                <w:rFonts w:ascii="Arial Narrow" w:hAnsi="Arial Narrow" w:hint="eastAsia"/>
                <w:color w:val="000000"/>
                <w:w w:val="18"/>
                <w:sz w:val="20"/>
                <w:szCs w:val="20"/>
                <w:shd w:val="solid" w:color="000000" w:fill="000000"/>
                <w:fitText w:val="83" w:id="-1168367097"/>
                <w14:textFill>
                  <w14:solidFill>
                    <w14:srgbClr w14:val="000000">
                      <w14:alpha w14:val="100000"/>
                    </w14:srgbClr>
                  </w14:solidFill>
                </w14:textFill>
              </w:rPr>
              <w:t xml:space="preserve">　</w:t>
            </w:r>
            <w:r w:rsidR="00B474C2" w:rsidRPr="00B474C2">
              <w:rPr>
                <w:rFonts w:ascii="Arial Narrow" w:hAnsi="Arial Narrow"/>
                <w:color w:val="000000"/>
                <w:w w:val="18"/>
                <w:sz w:val="20"/>
                <w:szCs w:val="20"/>
                <w:shd w:val="solid" w:color="000000" w:fill="000000"/>
                <w:fitText w:val="83" w:id="-1168367097"/>
                <w14:textFill>
                  <w14:solidFill>
                    <w14:srgbClr w14:val="000000">
                      <w14:alpha w14:val="100000"/>
                    </w14:srgbClr>
                  </w14:solidFill>
                </w14:textFill>
              </w:rPr>
              <w:t>|</w:t>
            </w:r>
            <w:r w:rsidR="00B474C2" w:rsidRPr="00B474C2">
              <w:rPr>
                <w:rFonts w:ascii="Arial Narrow" w:hAnsi="Arial Narrow" w:hint="eastAsia"/>
                <w:color w:val="000000"/>
                <w:spacing w:val="3"/>
                <w:w w:val="18"/>
                <w:sz w:val="20"/>
                <w:szCs w:val="20"/>
                <w:shd w:val="solid" w:color="000000" w:fill="000000"/>
                <w:fitText w:val="83" w:id="-1168367097"/>
                <w14:textFill>
                  <w14:solidFill>
                    <w14:srgbClr w14:val="000000">
                      <w14:alpha w14:val="100000"/>
                    </w14:srgbClr>
                  </w14:solidFill>
                </w14:textFill>
              </w:rPr>
              <w:t xml:space="preserve">　</w:t>
            </w:r>
            <w:r w:rsidR="00AB0B96" w:rsidRPr="00AB0B96">
              <w:rPr>
                <w:rFonts w:ascii="Arial Narrow" w:hAnsi="Arial Narrow"/>
                <w:sz w:val="20"/>
                <w:szCs w:val="20"/>
              </w:rPr>
              <w:t>1</w:t>
            </w:r>
          </w:p>
        </w:tc>
      </w:tr>
      <w:tr w:rsidR="004C7926" w:rsidRPr="007129A5" w14:paraId="6502E206" w14:textId="77777777" w:rsidTr="00B474C2">
        <w:tc>
          <w:tcPr>
            <w:tcW w:w="2263" w:type="dxa"/>
            <w:tcBorders>
              <w:top w:val="single" w:sz="4" w:space="0" w:color="auto"/>
              <w:bottom w:val="single" w:sz="4" w:space="0" w:color="auto"/>
            </w:tcBorders>
            <w:shd w:val="clear" w:color="auto" w:fill="auto"/>
            <w:vAlign w:val="center"/>
          </w:tcPr>
          <w:p w14:paraId="766F12E9" w14:textId="6BFC3F45" w:rsidR="004C7926" w:rsidRPr="007129A5" w:rsidRDefault="004C7926" w:rsidP="00471992">
            <w:pPr>
              <w:keepNext/>
              <w:jc w:val="left"/>
              <w:rPr>
                <w:rFonts w:ascii="Arial Narrow" w:hAnsi="Arial Narrow"/>
                <w:sz w:val="20"/>
                <w:szCs w:val="20"/>
              </w:rPr>
            </w:pPr>
            <w:r w:rsidRPr="007129A5">
              <w:rPr>
                <w:rFonts w:ascii="Arial Narrow" w:hAnsi="Arial Narrow"/>
                <w:sz w:val="20"/>
                <w:szCs w:val="20"/>
              </w:rPr>
              <w:t>Proposed rebate</w:t>
            </w:r>
            <w:r w:rsidR="005E431C">
              <w:rPr>
                <w:rFonts w:ascii="Arial Narrow" w:hAnsi="Arial Narrow"/>
                <w:sz w:val="20"/>
                <w:szCs w:val="20"/>
              </w:rPr>
              <w:t xml:space="preserve"> (%)</w:t>
            </w:r>
          </w:p>
        </w:tc>
        <w:tc>
          <w:tcPr>
            <w:tcW w:w="1134" w:type="dxa"/>
            <w:tcBorders>
              <w:top w:val="single" w:sz="4" w:space="0" w:color="auto"/>
              <w:bottom w:val="single" w:sz="4" w:space="0" w:color="auto"/>
            </w:tcBorders>
            <w:shd w:val="solid" w:color="000000" w:fill="000000"/>
            <w:vAlign w:val="center"/>
          </w:tcPr>
          <w:p w14:paraId="1E3567BD" w14:textId="27BCC848" w:rsidR="004C7926" w:rsidRPr="00B474C2" w:rsidRDefault="00B474C2" w:rsidP="00471992">
            <w:pPr>
              <w:jc w:val="center"/>
              <w:rPr>
                <w:rFonts w:ascii="Arial Narrow" w:hAnsi="Arial Narrow"/>
                <w:sz w:val="20"/>
                <w:szCs w:val="20"/>
              </w:rPr>
            </w:pPr>
            <w:r w:rsidRPr="00B474C2">
              <w:rPr>
                <w:rFonts w:ascii="Arial Narrow" w:hAnsi="Arial Narrow"/>
                <w:color w:val="000000"/>
                <w:sz w:val="20"/>
                <w:szCs w:val="20"/>
                <w14:textFill>
                  <w14:solidFill>
                    <w14:srgbClr w14:val="000000">
                      <w14:alpha w14:val="100000"/>
                    </w14:srgbClr>
                  </w14:solidFill>
                </w14:textFill>
              </w:rPr>
              <w:t>|</w:t>
            </w:r>
          </w:p>
        </w:tc>
        <w:tc>
          <w:tcPr>
            <w:tcW w:w="1134" w:type="dxa"/>
            <w:tcBorders>
              <w:top w:val="single" w:sz="4" w:space="0" w:color="auto"/>
              <w:bottom w:val="single" w:sz="4" w:space="0" w:color="auto"/>
            </w:tcBorders>
            <w:shd w:val="solid" w:color="000000" w:fill="000000"/>
            <w:vAlign w:val="center"/>
          </w:tcPr>
          <w:p w14:paraId="01D98838" w14:textId="0FF706A8" w:rsidR="004C7926" w:rsidRPr="00B474C2" w:rsidRDefault="00B474C2" w:rsidP="00471992">
            <w:pPr>
              <w:jc w:val="center"/>
              <w:rPr>
                <w:rFonts w:ascii="Arial Narrow" w:hAnsi="Arial Narrow"/>
                <w:sz w:val="20"/>
                <w:szCs w:val="20"/>
              </w:rPr>
            </w:pPr>
            <w:r w:rsidRPr="00B474C2">
              <w:rPr>
                <w:rFonts w:ascii="Arial Narrow" w:hAnsi="Arial Narrow"/>
                <w:color w:val="000000"/>
                <w:sz w:val="20"/>
                <w:szCs w:val="20"/>
                <w14:textFill>
                  <w14:solidFill>
                    <w14:srgbClr w14:val="000000">
                      <w14:alpha w14:val="100000"/>
                    </w14:srgbClr>
                  </w14:solidFill>
                </w14:textFill>
              </w:rPr>
              <w:t>|</w:t>
            </w:r>
          </w:p>
        </w:tc>
        <w:tc>
          <w:tcPr>
            <w:tcW w:w="1134" w:type="dxa"/>
            <w:tcBorders>
              <w:top w:val="single" w:sz="4" w:space="0" w:color="auto"/>
              <w:bottom w:val="single" w:sz="4" w:space="0" w:color="auto"/>
            </w:tcBorders>
            <w:shd w:val="solid" w:color="000000" w:fill="000000"/>
            <w:vAlign w:val="center"/>
          </w:tcPr>
          <w:p w14:paraId="114B758F" w14:textId="70E8AF00" w:rsidR="004C7926" w:rsidRPr="00B474C2" w:rsidRDefault="00B474C2" w:rsidP="00471992">
            <w:pPr>
              <w:jc w:val="center"/>
              <w:rPr>
                <w:rFonts w:ascii="Arial Narrow" w:hAnsi="Arial Narrow"/>
                <w:sz w:val="20"/>
                <w:szCs w:val="20"/>
              </w:rPr>
            </w:pPr>
            <w:r w:rsidRPr="00B474C2">
              <w:rPr>
                <w:rFonts w:ascii="Arial Narrow" w:hAnsi="Arial Narrow"/>
                <w:color w:val="000000"/>
                <w:sz w:val="20"/>
                <w:szCs w:val="20"/>
                <w14:textFill>
                  <w14:solidFill>
                    <w14:srgbClr w14:val="000000">
                      <w14:alpha w14:val="100000"/>
                    </w14:srgbClr>
                  </w14:solidFill>
                </w14:textFill>
              </w:rPr>
              <w:t>|</w:t>
            </w:r>
          </w:p>
        </w:tc>
        <w:tc>
          <w:tcPr>
            <w:tcW w:w="1134" w:type="dxa"/>
            <w:tcBorders>
              <w:top w:val="single" w:sz="4" w:space="0" w:color="auto"/>
              <w:bottom w:val="single" w:sz="4" w:space="0" w:color="auto"/>
            </w:tcBorders>
            <w:shd w:val="solid" w:color="000000" w:fill="000000"/>
            <w:vAlign w:val="center"/>
          </w:tcPr>
          <w:p w14:paraId="16E99EAF" w14:textId="3C5C471F" w:rsidR="004C7926" w:rsidRPr="00B474C2" w:rsidRDefault="00B474C2" w:rsidP="00471992">
            <w:pPr>
              <w:jc w:val="center"/>
              <w:rPr>
                <w:rFonts w:ascii="Arial Narrow" w:hAnsi="Arial Narrow"/>
                <w:sz w:val="20"/>
                <w:szCs w:val="20"/>
              </w:rPr>
            </w:pPr>
            <w:r w:rsidRPr="00B474C2">
              <w:rPr>
                <w:rFonts w:ascii="Arial Narrow" w:hAnsi="Arial Narrow"/>
                <w:color w:val="000000"/>
                <w:sz w:val="20"/>
                <w:szCs w:val="20"/>
                <w14:textFill>
                  <w14:solidFill>
                    <w14:srgbClr w14:val="000000">
                      <w14:alpha w14:val="100000"/>
                    </w14:srgbClr>
                  </w14:solidFill>
                </w14:textFill>
              </w:rPr>
              <w:t>|</w:t>
            </w:r>
          </w:p>
        </w:tc>
        <w:tc>
          <w:tcPr>
            <w:tcW w:w="1134" w:type="dxa"/>
            <w:tcBorders>
              <w:top w:val="single" w:sz="4" w:space="0" w:color="auto"/>
              <w:bottom w:val="single" w:sz="4" w:space="0" w:color="auto"/>
            </w:tcBorders>
            <w:shd w:val="solid" w:color="000000" w:fill="000000"/>
            <w:vAlign w:val="center"/>
          </w:tcPr>
          <w:p w14:paraId="1B795EBE" w14:textId="482EFC01" w:rsidR="004C7926" w:rsidRPr="00B474C2" w:rsidRDefault="00B474C2" w:rsidP="00471992">
            <w:pPr>
              <w:jc w:val="center"/>
              <w:rPr>
                <w:rFonts w:ascii="Arial Narrow" w:hAnsi="Arial Narrow"/>
                <w:sz w:val="20"/>
                <w:szCs w:val="20"/>
              </w:rPr>
            </w:pPr>
            <w:r w:rsidRPr="00B474C2">
              <w:rPr>
                <w:rFonts w:ascii="Arial Narrow" w:hAnsi="Arial Narrow"/>
                <w:color w:val="000000"/>
                <w:sz w:val="20"/>
                <w:szCs w:val="20"/>
                <w14:textFill>
                  <w14:solidFill>
                    <w14:srgbClr w14:val="000000">
                      <w14:alpha w14:val="100000"/>
                    </w14:srgbClr>
                  </w14:solidFill>
                </w14:textFill>
              </w:rPr>
              <w:t>|</w:t>
            </w:r>
          </w:p>
        </w:tc>
        <w:tc>
          <w:tcPr>
            <w:tcW w:w="1134" w:type="dxa"/>
            <w:tcBorders>
              <w:top w:val="single" w:sz="4" w:space="0" w:color="auto"/>
              <w:bottom w:val="single" w:sz="4" w:space="0" w:color="auto"/>
            </w:tcBorders>
            <w:shd w:val="solid" w:color="000000" w:fill="000000"/>
            <w:vAlign w:val="center"/>
          </w:tcPr>
          <w:p w14:paraId="1A345739" w14:textId="0CE2EE89" w:rsidR="004C7926" w:rsidRPr="00B474C2" w:rsidRDefault="00B474C2" w:rsidP="00471992">
            <w:pPr>
              <w:jc w:val="center"/>
              <w:rPr>
                <w:rFonts w:ascii="Arial Narrow" w:hAnsi="Arial Narrow"/>
                <w:sz w:val="20"/>
                <w:szCs w:val="20"/>
              </w:rPr>
            </w:pPr>
            <w:r w:rsidRPr="00B474C2">
              <w:rPr>
                <w:rFonts w:ascii="Arial Narrow" w:hAnsi="Arial Narrow"/>
                <w:color w:val="000000"/>
                <w:sz w:val="20"/>
                <w:szCs w:val="20"/>
                <w14:textFill>
                  <w14:solidFill>
                    <w14:srgbClr w14:val="000000">
                      <w14:alpha w14:val="100000"/>
                    </w14:srgbClr>
                  </w14:solidFill>
                </w14:textFill>
              </w:rPr>
              <w:t>|</w:t>
            </w:r>
          </w:p>
        </w:tc>
      </w:tr>
    </w:tbl>
    <w:p w14:paraId="3AA5E27C" w14:textId="7D5A04AA" w:rsidR="004C7926" w:rsidRDefault="004C7926" w:rsidP="00934AB0">
      <w:pPr>
        <w:pStyle w:val="TableFigureFooter"/>
        <w:spacing w:after="0"/>
      </w:pPr>
      <w:r w:rsidRPr="00D91BBF">
        <w:t>Source: Table 4.</w:t>
      </w:r>
      <w:r>
        <w:t>6</w:t>
      </w:r>
      <w:r w:rsidRPr="00D91BBF">
        <w:t>.</w:t>
      </w:r>
      <w:r>
        <w:t>3</w:t>
      </w:r>
      <w:r w:rsidRPr="00D91BBF">
        <w:t xml:space="preserve">, </w:t>
      </w:r>
      <w:r>
        <w:t>p</w:t>
      </w:r>
      <w:r w:rsidRPr="00D91BBF">
        <w:t>2</w:t>
      </w:r>
      <w:r>
        <w:t>77</w:t>
      </w:r>
      <w:r w:rsidRPr="00D91BBF">
        <w:t xml:space="preserve"> of the resubmission.</w:t>
      </w:r>
    </w:p>
    <w:p w14:paraId="74ACE261" w14:textId="77777777" w:rsidR="00AB0B96" w:rsidRPr="009A6D58" w:rsidRDefault="00AB0B96" w:rsidP="00AB0B9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77588EB" w14:textId="74184E77" w:rsidR="00AB0B96" w:rsidRPr="009A6D58" w:rsidRDefault="00AB0B96" w:rsidP="00AB0B96">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AB0B96">
        <w:rPr>
          <w:rFonts w:ascii="Arial Narrow" w:hAnsi="Arial Narrow"/>
          <w:i/>
          <w:sz w:val="18"/>
          <w:szCs w:val="18"/>
        </w:rPr>
        <w:t>$20 million to &lt; $30 million</w:t>
      </w:r>
    </w:p>
    <w:p w14:paraId="126A8021" w14:textId="77777777" w:rsidR="00AB0B96" w:rsidRPr="00AB0B96" w:rsidRDefault="00AB0B96" w:rsidP="00AB0B96">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AB0B96">
        <w:rPr>
          <w:rFonts w:ascii="Arial Narrow" w:hAnsi="Arial Narrow"/>
          <w:i/>
          <w:sz w:val="18"/>
          <w:szCs w:val="18"/>
        </w:rPr>
        <w:t>$30 million to &lt; $40 million</w:t>
      </w:r>
    </w:p>
    <w:p w14:paraId="53CFC02C" w14:textId="55A83C5B" w:rsidR="00AB0B96" w:rsidRDefault="00AB0B96" w:rsidP="00AB0B96">
      <w:pPr>
        <w:rPr>
          <w:rFonts w:ascii="Arial Narrow" w:hAnsi="Arial Narrow"/>
          <w:i/>
          <w:sz w:val="18"/>
          <w:szCs w:val="18"/>
        </w:rPr>
      </w:pPr>
      <w:r>
        <w:rPr>
          <w:rFonts w:ascii="Arial Narrow" w:hAnsi="Arial Narrow"/>
          <w:i/>
          <w:sz w:val="18"/>
          <w:szCs w:val="18"/>
          <w:vertAlign w:val="superscript"/>
        </w:rPr>
        <w:t xml:space="preserve">3 </w:t>
      </w:r>
      <w:r w:rsidRPr="00AB0B96">
        <w:rPr>
          <w:rFonts w:ascii="Arial Narrow" w:hAnsi="Arial Narrow"/>
          <w:i/>
          <w:sz w:val="18"/>
          <w:szCs w:val="18"/>
        </w:rPr>
        <w:t>$40 million to &lt; $50 million</w:t>
      </w:r>
    </w:p>
    <w:p w14:paraId="0171E56C" w14:textId="5425916F" w:rsidR="00AB0B96" w:rsidRDefault="00AB0B96" w:rsidP="00934AB0">
      <w:pPr>
        <w:spacing w:after="120"/>
      </w:pPr>
      <w:r>
        <w:rPr>
          <w:rFonts w:ascii="Arial Narrow" w:hAnsi="Arial Narrow"/>
          <w:i/>
          <w:sz w:val="18"/>
          <w:szCs w:val="18"/>
          <w:vertAlign w:val="superscript"/>
        </w:rPr>
        <w:t>4</w:t>
      </w:r>
      <w:r>
        <w:rPr>
          <w:rFonts w:ascii="Arial Narrow" w:hAnsi="Arial Narrow"/>
          <w:i/>
          <w:sz w:val="18"/>
          <w:szCs w:val="18"/>
        </w:rPr>
        <w:t xml:space="preserve"> </w:t>
      </w:r>
      <w:r w:rsidRPr="00AB0B96">
        <w:rPr>
          <w:rFonts w:ascii="Arial Narrow" w:hAnsi="Arial Narrow"/>
          <w:i/>
          <w:sz w:val="18"/>
          <w:szCs w:val="18"/>
        </w:rPr>
        <w:t>$50 million to &lt; $60 million</w:t>
      </w:r>
    </w:p>
    <w:p w14:paraId="2250F81F" w14:textId="40493873" w:rsidR="00A9171C" w:rsidRPr="00934AB0" w:rsidRDefault="00A9171C" w:rsidP="00934AB0">
      <w:pPr>
        <w:ind w:firstLine="720"/>
        <w:rPr>
          <w:i/>
          <w:iCs/>
        </w:rPr>
      </w:pPr>
      <w:r w:rsidRPr="00A9171C">
        <w:rPr>
          <w:i/>
          <w:iCs/>
        </w:rPr>
        <w:t>For more detail on PBAC’s view, see section 7 PBAC outcome.</w:t>
      </w:r>
    </w:p>
    <w:p w14:paraId="49B675EB" w14:textId="77777777" w:rsidR="00A9171C" w:rsidRPr="0090150D" w:rsidRDefault="00A9171C" w:rsidP="00A9171C">
      <w:pPr>
        <w:pStyle w:val="COMH1numbered"/>
        <w:numPr>
          <w:ilvl w:val="0"/>
          <w:numId w:val="1"/>
        </w:numPr>
      </w:pPr>
      <w:bookmarkStart w:id="71" w:name="_Hlk76381249"/>
      <w:bookmarkStart w:id="72" w:name="_Hlk76377955"/>
      <w:r w:rsidRPr="0090150D">
        <w:t>PBAC Outcome</w:t>
      </w:r>
    </w:p>
    <w:p w14:paraId="32A7E198" w14:textId="4BC0DA91" w:rsidR="003F2E3D" w:rsidRPr="003F2E3D" w:rsidRDefault="00A9171C" w:rsidP="003F2E3D">
      <w:pPr>
        <w:widowControl w:val="0"/>
        <w:numPr>
          <w:ilvl w:val="1"/>
          <w:numId w:val="1"/>
        </w:numPr>
        <w:spacing w:after="120"/>
        <w:ind w:left="720" w:hanging="720"/>
        <w:rPr>
          <w:rFonts w:asciiTheme="minorHAnsi" w:hAnsiTheme="minorHAnsi"/>
          <w:snapToGrid w:val="0"/>
          <w:lang w:val="en-GB"/>
        </w:rPr>
      </w:pPr>
      <w:r w:rsidRPr="003F2E3D">
        <w:rPr>
          <w:rFonts w:asciiTheme="minorHAnsi" w:hAnsiTheme="minorHAnsi"/>
          <w:snapToGrid w:val="0"/>
          <w:lang w:val="en-GB"/>
        </w:rPr>
        <w:t xml:space="preserve">The PBAC recommended the listing of </w:t>
      </w:r>
      <w:r w:rsidR="003F2E3D" w:rsidRPr="003F2E3D">
        <w:rPr>
          <w:rFonts w:asciiTheme="minorHAnsi" w:hAnsiTheme="minorHAnsi"/>
          <w:snapToGrid w:val="0"/>
          <w:lang w:val="en-GB"/>
        </w:rPr>
        <w:t>tafamidis</w:t>
      </w:r>
      <w:r w:rsidR="00681EEB">
        <w:rPr>
          <w:rFonts w:asciiTheme="minorHAnsi" w:hAnsiTheme="minorHAnsi"/>
          <w:snapToGrid w:val="0"/>
          <w:lang w:val="en-GB"/>
        </w:rPr>
        <w:t xml:space="preserve"> for patients with transthyretin amyloid cardiomyopathy, with NHYA class I-II</w:t>
      </w:r>
      <w:r w:rsidR="00D0462D">
        <w:rPr>
          <w:rFonts w:asciiTheme="minorHAnsi" w:hAnsiTheme="minorHAnsi"/>
          <w:snapToGrid w:val="0"/>
          <w:lang w:val="en-GB"/>
        </w:rPr>
        <w:t xml:space="preserve"> heart failure</w:t>
      </w:r>
      <w:r w:rsidR="003F2E3D">
        <w:rPr>
          <w:rFonts w:asciiTheme="minorHAnsi" w:hAnsiTheme="minorHAnsi"/>
          <w:snapToGrid w:val="0"/>
          <w:lang w:val="en-GB"/>
        </w:rPr>
        <w:t xml:space="preserve">. </w:t>
      </w:r>
      <w:r w:rsidR="003F2E3D" w:rsidRPr="003F2E3D">
        <w:rPr>
          <w:rFonts w:asciiTheme="minorHAnsi" w:hAnsiTheme="minorHAnsi"/>
          <w:snapToGrid w:val="0"/>
          <w:lang w:val="en-GB"/>
        </w:rPr>
        <w:t>The PBAC considered that there was a clear clinical benefit for tafamidis, including a reduction in mortality. The PBAC considered that the ICER was high, but would be acceptable at the lower price proposed in the pre-PBAC response, in the context of the high unmet need for this patient population. The PBAC considered that a risk sharing arrangement would be required due to a high risk of utilisation outside the proposed restriction</w:t>
      </w:r>
      <w:r w:rsidR="00EE383B">
        <w:rPr>
          <w:rFonts w:asciiTheme="minorHAnsi" w:hAnsiTheme="minorHAnsi"/>
          <w:snapToGrid w:val="0"/>
          <w:lang w:val="en-GB"/>
        </w:rPr>
        <w:t xml:space="preserve"> and to address</w:t>
      </w:r>
      <w:r w:rsidR="000658D7">
        <w:rPr>
          <w:rFonts w:asciiTheme="minorHAnsi" w:hAnsiTheme="minorHAnsi"/>
          <w:snapToGrid w:val="0"/>
          <w:lang w:val="en-GB"/>
        </w:rPr>
        <w:t xml:space="preserve"> uncertainty around the overall </w:t>
      </w:r>
      <w:r w:rsidR="00EE383B">
        <w:rPr>
          <w:rFonts w:asciiTheme="minorHAnsi" w:hAnsiTheme="minorHAnsi"/>
          <w:snapToGrid w:val="0"/>
          <w:lang w:val="en-GB"/>
        </w:rPr>
        <w:t>financial impact</w:t>
      </w:r>
      <w:r w:rsidR="003F2E3D" w:rsidRPr="003F2E3D">
        <w:rPr>
          <w:rFonts w:asciiTheme="minorHAnsi" w:hAnsiTheme="minorHAnsi"/>
          <w:snapToGrid w:val="0"/>
          <w:lang w:val="en-GB"/>
        </w:rPr>
        <w:t>.</w:t>
      </w:r>
    </w:p>
    <w:p w14:paraId="6029CDA9" w14:textId="77777777" w:rsidR="005B16FB" w:rsidRPr="0046360F" w:rsidRDefault="005B16FB" w:rsidP="005B16FB">
      <w:pPr>
        <w:pStyle w:val="ExecSumBodyText"/>
        <w:numPr>
          <w:ilvl w:val="1"/>
          <w:numId w:val="1"/>
        </w:numPr>
        <w:rPr>
          <w:bCs/>
          <w:lang w:eastAsia="en-US"/>
        </w:rPr>
      </w:pPr>
      <w:r w:rsidRPr="0046360F">
        <w:rPr>
          <w:bCs/>
          <w:lang w:eastAsia="en-US"/>
        </w:rPr>
        <w:t xml:space="preserve">The PBAC acknowledged the consumer comments in continued support of listing tafamidis, and recognised the ongoing impact that a lack of PBS therapies for this condition was having on patients’ prognosis and quality of life. </w:t>
      </w:r>
    </w:p>
    <w:p w14:paraId="52DD7454" w14:textId="3B1C428C" w:rsidR="007D7F09" w:rsidRDefault="007D7F09" w:rsidP="007D7F09">
      <w:pPr>
        <w:pStyle w:val="ExecSumBodyText"/>
        <w:numPr>
          <w:ilvl w:val="1"/>
          <w:numId w:val="1"/>
        </w:numPr>
        <w:rPr>
          <w:snapToGrid/>
          <w:lang w:eastAsia="en-US"/>
        </w:rPr>
      </w:pPr>
      <w:r w:rsidRPr="00EA3F77">
        <w:t>The</w:t>
      </w:r>
      <w:r w:rsidRPr="00EA3F77">
        <w:rPr>
          <w:snapToGrid/>
          <w:lang w:eastAsia="en-US"/>
        </w:rPr>
        <w:t xml:space="preserve"> PBAC </w:t>
      </w:r>
      <w:r>
        <w:rPr>
          <w:snapToGrid/>
          <w:lang w:eastAsia="en-US"/>
        </w:rPr>
        <w:t xml:space="preserve">recalled it previously </w:t>
      </w:r>
      <w:r w:rsidRPr="00EA3F77">
        <w:rPr>
          <w:snapToGrid/>
          <w:lang w:eastAsia="en-US"/>
        </w:rPr>
        <w:t>considered that the resubmission’s proposal for tafamidis to be discontinued in patients with persistent</w:t>
      </w:r>
      <w:r>
        <w:rPr>
          <w:snapToGrid/>
          <w:lang w:eastAsia="en-US"/>
        </w:rPr>
        <w:t xml:space="preserve"> c</w:t>
      </w:r>
      <w:r w:rsidRPr="00EA3F77">
        <w:rPr>
          <w:snapToGrid/>
          <w:lang w:eastAsia="en-US"/>
        </w:rPr>
        <w:t xml:space="preserve">lass III heart failure may be difficult to implement in practice given the subjective nature of </w:t>
      </w:r>
      <w:r>
        <w:rPr>
          <w:snapToGrid/>
          <w:lang w:eastAsia="en-US"/>
        </w:rPr>
        <w:t>NYHA</w:t>
      </w:r>
      <w:r w:rsidRPr="00EA3F77">
        <w:rPr>
          <w:snapToGrid/>
          <w:lang w:eastAsia="en-US"/>
        </w:rPr>
        <w:t xml:space="preserve"> classification and would likely result in </w:t>
      </w:r>
      <w:r>
        <w:rPr>
          <w:snapToGrid/>
          <w:lang w:eastAsia="en-US"/>
        </w:rPr>
        <w:t>use outside the restriction</w:t>
      </w:r>
      <w:r w:rsidR="000834B6">
        <w:rPr>
          <w:snapToGrid/>
          <w:lang w:eastAsia="en-US"/>
        </w:rPr>
        <w:t xml:space="preserve"> </w:t>
      </w:r>
      <w:r w:rsidR="000834B6">
        <w:t>(para 10.2, tafamidis PSD, March</w:t>
      </w:r>
      <w:r w:rsidR="00934AB0">
        <w:t> </w:t>
      </w:r>
      <w:r w:rsidR="000834B6">
        <w:t>2021 PBAC meeting with September 2021 addendum).</w:t>
      </w:r>
      <w:r w:rsidRPr="00EA3F77">
        <w:rPr>
          <w:snapToGrid/>
          <w:lang w:eastAsia="en-US"/>
        </w:rPr>
        <w:t xml:space="preserve"> </w:t>
      </w:r>
      <w:r w:rsidR="000834B6">
        <w:rPr>
          <w:snapToGrid/>
          <w:lang w:eastAsia="en-US"/>
        </w:rPr>
        <w:t xml:space="preserve">The PBAC acknowledged the clinical expert advice that </w:t>
      </w:r>
      <w:r w:rsidR="00EF5446">
        <w:rPr>
          <w:snapToGrid/>
          <w:lang w:eastAsia="en-US"/>
        </w:rPr>
        <w:t>discontinuation of patients with NYHA class III heart failure</w:t>
      </w:r>
      <w:r w:rsidR="000834B6">
        <w:rPr>
          <w:snapToGrid/>
          <w:lang w:eastAsia="en-US"/>
        </w:rPr>
        <w:t xml:space="preserve"> could be managed in practice</w:t>
      </w:r>
      <w:r w:rsidR="00EF5446">
        <w:rPr>
          <w:snapToGrid/>
          <w:lang w:eastAsia="en-US"/>
        </w:rPr>
        <w:t>. The PBAC</w:t>
      </w:r>
      <w:r w:rsidR="000834B6">
        <w:rPr>
          <w:snapToGrid/>
          <w:lang w:eastAsia="en-US"/>
        </w:rPr>
        <w:t xml:space="preserve"> considered that it would be appropriate to include </w:t>
      </w:r>
      <w:r w:rsidR="00EF5446">
        <w:rPr>
          <w:snapToGrid/>
          <w:lang w:eastAsia="en-US"/>
        </w:rPr>
        <w:t xml:space="preserve">this </w:t>
      </w:r>
      <w:r w:rsidR="000834B6">
        <w:rPr>
          <w:snapToGrid/>
          <w:lang w:eastAsia="en-US"/>
        </w:rPr>
        <w:t xml:space="preserve">in the restrictions, though there remained substantial risk of </w:t>
      </w:r>
      <w:r w:rsidR="000834B6" w:rsidRPr="001F4A02">
        <w:t xml:space="preserve">use outside of the restriction in patients commenced on tafamidis who had progressed, but where the patient and the clinician were unwilling to stop the medication in case tafamidis was slowing </w:t>
      </w:r>
      <w:r w:rsidR="009A5872">
        <w:t xml:space="preserve">disease </w:t>
      </w:r>
      <w:r w:rsidR="000834B6" w:rsidRPr="001F4A02">
        <w:t>progression</w:t>
      </w:r>
      <w:r w:rsidR="000834B6">
        <w:t>.</w:t>
      </w:r>
    </w:p>
    <w:p w14:paraId="435C50E4" w14:textId="3DCC3141" w:rsidR="00C45E3C" w:rsidRDefault="000A4A74" w:rsidP="00CC60F1">
      <w:pPr>
        <w:pStyle w:val="ExecSumBodyText"/>
        <w:numPr>
          <w:ilvl w:val="1"/>
          <w:numId w:val="1"/>
        </w:numPr>
      </w:pPr>
      <w:r w:rsidRPr="0046360F">
        <w:t>The PBAC recalled that it had previously accepted the clinical claim that tafamidis is superior in efficacy compared with standard management, and although a moderate amount of uncertainty remained, it</w:t>
      </w:r>
      <w:r>
        <w:t xml:space="preserve"> had previously</w:t>
      </w:r>
      <w:r w:rsidRPr="0046360F">
        <w:t xml:space="preserve"> recognised that tafamidis provided a substantial and clinically relevant improvement in efficacy overall</w:t>
      </w:r>
      <w:r>
        <w:t>.</w:t>
      </w:r>
      <w:r w:rsidR="007D7F09">
        <w:t xml:space="preserve"> The PBAC considered that limiting eligibility to patients with NYHA class I or II heart failure on initiation addressed some uncertainty regarding the magnitude of benefit for the Australian PBS population. </w:t>
      </w:r>
      <w:r>
        <w:t xml:space="preserve">The </w:t>
      </w:r>
      <w:r w:rsidR="00C45E3C">
        <w:t xml:space="preserve">PBAC </w:t>
      </w:r>
      <w:r w:rsidR="000834B6">
        <w:t xml:space="preserve">also </w:t>
      </w:r>
      <w:r w:rsidR="00C45E3C">
        <w:t xml:space="preserve">considered that the </w:t>
      </w:r>
      <w:r w:rsidR="00FE5E75" w:rsidRPr="00CC60F1">
        <w:t>p</w:t>
      </w:r>
      <w:r w:rsidR="00C45E3C" w:rsidRPr="00CC60F1">
        <w:t>ost hoc</w:t>
      </w:r>
      <w:r w:rsidR="00C45E3C">
        <w:t xml:space="preserve"> analyses of the ATTR-ACT and B3461045 long term extension data </w:t>
      </w:r>
      <w:r w:rsidR="00FE5E75">
        <w:t>(</w:t>
      </w:r>
      <w:r w:rsidR="00C45E3C">
        <w:t>updated August 2021 data cut</w:t>
      </w:r>
      <w:r w:rsidR="00FE5E75">
        <w:t>)</w:t>
      </w:r>
      <w:r w:rsidR="00C45E3C">
        <w:t xml:space="preserve"> were </w:t>
      </w:r>
      <w:r w:rsidR="00FE5E75">
        <w:t>supportive of a survival benefit for tafamidis, with a</w:t>
      </w:r>
      <w:r w:rsidR="00C45E3C">
        <w:t xml:space="preserve"> statistically significant reduction in all-cause mortality for patients with baseline NYHA class I/II in the tafamidis 80/61 mg treatment arm compared to the placebo/tafamidis arm</w:t>
      </w:r>
      <w:r w:rsidR="001348AD">
        <w:t xml:space="preserve"> (HR: 0.502; 95%</w:t>
      </w:r>
      <w:r w:rsidR="00EF5446">
        <w:t xml:space="preserve"> </w:t>
      </w:r>
      <w:r w:rsidR="001348AD">
        <w:t>CI: 0.346, 0.727)</w:t>
      </w:r>
      <w:r w:rsidR="00FE5E75">
        <w:t>.</w:t>
      </w:r>
    </w:p>
    <w:p w14:paraId="699CB0F2" w14:textId="7C29C870" w:rsidR="00FE5E75" w:rsidRPr="00CC60F1" w:rsidRDefault="00FE5E75" w:rsidP="00CC60F1">
      <w:pPr>
        <w:pStyle w:val="ExecSumBodyText"/>
        <w:numPr>
          <w:ilvl w:val="1"/>
          <w:numId w:val="1"/>
        </w:numPr>
      </w:pPr>
      <w:r w:rsidRPr="00CC60F1">
        <w:t xml:space="preserve">The PBAC also recalled </w:t>
      </w:r>
      <w:r>
        <w:t xml:space="preserve">its </w:t>
      </w:r>
      <w:r w:rsidR="007D7F09">
        <w:t xml:space="preserve">previous </w:t>
      </w:r>
      <w:r>
        <w:t>concern</w:t>
      </w:r>
      <w:r w:rsidR="000A4A74" w:rsidRPr="0046360F">
        <w:t xml:space="preserve"> that results for key outcomes were similar for the 20 mg and 80 mg doses of tafamidis and that adequate justification for the 80</w:t>
      </w:r>
      <w:r w:rsidR="00040E62">
        <w:t> </w:t>
      </w:r>
      <w:r w:rsidR="000A4A74" w:rsidRPr="0046360F">
        <w:t xml:space="preserve">mg dose rather than the 20 mg had not been provided (paragraphs 7.9 and 7.10, tafamidis PSD, July 2020). </w:t>
      </w:r>
      <w:r w:rsidRPr="00CC60F1">
        <w:t xml:space="preserve">The PBAC noted that longer-term data from the extension study provided in the submission appeared to support a small </w:t>
      </w:r>
      <w:r w:rsidR="00243D3F">
        <w:t>increase</w:t>
      </w:r>
      <w:r w:rsidR="00243D3F" w:rsidRPr="00CC60F1">
        <w:t xml:space="preserve"> </w:t>
      </w:r>
      <w:r w:rsidRPr="00CC60F1">
        <w:t xml:space="preserve">in efficacy </w:t>
      </w:r>
      <w:r w:rsidR="00243D3F">
        <w:t>with</w:t>
      </w:r>
      <w:r w:rsidR="00243D3F" w:rsidRPr="00CC60F1">
        <w:t xml:space="preserve"> </w:t>
      </w:r>
      <w:r w:rsidRPr="00CC60F1">
        <w:t xml:space="preserve">the tafamidis meglumine 80 mg dose over the 20 mg dose. </w:t>
      </w:r>
    </w:p>
    <w:p w14:paraId="26B3D802" w14:textId="089C5978" w:rsidR="00FE5E75" w:rsidRPr="00CC60F1" w:rsidRDefault="00FE5E75" w:rsidP="00FE5E75">
      <w:pPr>
        <w:pStyle w:val="ExecSumBodyText"/>
        <w:numPr>
          <w:ilvl w:val="1"/>
          <w:numId w:val="1"/>
        </w:numPr>
      </w:pPr>
      <w:r w:rsidRPr="00CC60F1">
        <w:t>The PBAC recalled that it</w:t>
      </w:r>
      <w:r w:rsidR="00243D3F">
        <w:t xml:space="preserve"> had</w:t>
      </w:r>
      <w:r w:rsidRPr="00CC60F1">
        <w:t xml:space="preserve"> previously accepted the claim of inferior safety compared with standard management (paragraph 7.9, tafamidis PSD, March</w:t>
      </w:r>
      <w:r w:rsidR="00934AB0">
        <w:t> </w:t>
      </w:r>
      <w:r w:rsidRPr="00CC60F1">
        <w:t>2021 PBAC meeting). The PBAC noted that there remained no significant toxicity or safety signals with tafamidis in the trial, though the safety data for tafamidis were still based on relatively few patients.</w:t>
      </w:r>
    </w:p>
    <w:p w14:paraId="3A05EC4B" w14:textId="6BF48C68" w:rsidR="00BF16ED" w:rsidRPr="00CC60F1" w:rsidRDefault="00952A27" w:rsidP="00653454">
      <w:pPr>
        <w:pStyle w:val="ExecSumBodyText"/>
        <w:numPr>
          <w:ilvl w:val="1"/>
          <w:numId w:val="1"/>
        </w:numPr>
      </w:pPr>
      <w:r w:rsidRPr="00CC60F1">
        <w:t>The PBAC recalled it previously advised that a</w:t>
      </w:r>
      <w:r>
        <w:t xml:space="preserve">n ICER of $80,000 per QALY gained for the model applying the two sensitivity analyses in the March 2021 pre-PBAC response would be acceptable. </w:t>
      </w:r>
      <w:r w:rsidR="004F716B" w:rsidRPr="00CC60F1">
        <w:t xml:space="preserve">The PBAC noted that the </w:t>
      </w:r>
      <w:r w:rsidRPr="00CC60F1">
        <w:t>requested changes had been applied in the resubmission’s economic model, along with application of discontinuation of patients with persistent NYHA class III heart failure. However, the PBAC considered there remained some uncertainty regarding the modelled outcomes; for example, t</w:t>
      </w:r>
      <w:r w:rsidR="00BF16ED" w:rsidRPr="00CC60F1">
        <w:t xml:space="preserve">he model </w:t>
      </w:r>
      <w:r w:rsidR="001907FC">
        <w:t xml:space="preserve">base case </w:t>
      </w:r>
      <w:r w:rsidR="00BF16ED" w:rsidRPr="00CC60F1">
        <w:t>continues to maintain an ongoing treatment benefit on cardiovascular hospitalisations and heart failure disease progression after tafamidis treatment-related discontinuation</w:t>
      </w:r>
      <w:r w:rsidRPr="00CC60F1">
        <w:t>.</w:t>
      </w:r>
      <w:r w:rsidR="00BF16ED" w:rsidRPr="00CC60F1">
        <w:t xml:space="preserve"> </w:t>
      </w:r>
    </w:p>
    <w:p w14:paraId="04C9F02A" w14:textId="5E2B1CFB" w:rsidR="00B971EB" w:rsidRPr="00952A27" w:rsidRDefault="00723DB2" w:rsidP="00952A27">
      <w:pPr>
        <w:pStyle w:val="ExecSumBodyText"/>
        <w:numPr>
          <w:ilvl w:val="1"/>
          <w:numId w:val="1"/>
        </w:numPr>
      </w:pPr>
      <w:r w:rsidRPr="00CC60F1">
        <w:t xml:space="preserve">At the prices proposed in the </w:t>
      </w:r>
      <w:r w:rsidR="00CC60F1" w:rsidRPr="00CC60F1">
        <w:t>pre-PBAC response</w:t>
      </w:r>
      <w:r w:rsidRPr="00CC60F1">
        <w:t xml:space="preserve"> ($</w:t>
      </w:r>
      <w:r w:rsidR="00B474C2" w:rsidRPr="00DD34BF">
        <w:rPr>
          <w:color w:val="000000"/>
          <w:w w:val="60"/>
          <w:shd w:val="solid" w:color="000000" w:fill="000000"/>
          <w:fitText w:val="466" w:id="-1168367096"/>
          <w14:textFill>
            <w14:solidFill>
              <w14:srgbClr w14:val="000000">
                <w14:alpha w14:val="100000"/>
              </w14:srgbClr>
            </w14:solidFill>
          </w14:textFill>
        </w:rPr>
        <w:t>|||  ||</w:t>
      </w:r>
      <w:r w:rsidR="00B474C2" w:rsidRPr="00DD34BF">
        <w:rPr>
          <w:color w:val="000000"/>
          <w:spacing w:val="2"/>
          <w:w w:val="60"/>
          <w:shd w:val="solid" w:color="000000" w:fill="000000"/>
          <w:fitText w:val="466" w:id="-1168367096"/>
          <w14:textFill>
            <w14:solidFill>
              <w14:srgbClr w14:val="000000">
                <w14:alpha w14:val="100000"/>
              </w14:srgbClr>
            </w14:solidFill>
          </w14:textFill>
        </w:rPr>
        <w:t>|</w:t>
      </w:r>
      <w:r w:rsidRPr="00CC60F1">
        <w:t xml:space="preserve"> in years 1-3 and $</w:t>
      </w:r>
      <w:r w:rsidR="00B474C2" w:rsidRPr="00DD34BF">
        <w:rPr>
          <w:color w:val="000000"/>
          <w:w w:val="60"/>
          <w:shd w:val="solid" w:color="000000" w:fill="000000"/>
          <w:fitText w:val="466" w:id="-1168367095"/>
          <w14:textFill>
            <w14:solidFill>
              <w14:srgbClr w14:val="000000">
                <w14:alpha w14:val="100000"/>
              </w14:srgbClr>
            </w14:solidFill>
          </w14:textFill>
        </w:rPr>
        <w:t>|||  ||</w:t>
      </w:r>
      <w:r w:rsidR="00B474C2" w:rsidRPr="00DD34BF">
        <w:rPr>
          <w:color w:val="000000"/>
          <w:spacing w:val="2"/>
          <w:w w:val="60"/>
          <w:shd w:val="solid" w:color="000000" w:fill="000000"/>
          <w:fitText w:val="466" w:id="-1168367095"/>
          <w14:textFill>
            <w14:solidFill>
              <w14:srgbClr w14:val="000000">
                <w14:alpha w14:val="100000"/>
              </w14:srgbClr>
            </w14:solidFill>
          </w14:textFill>
        </w:rPr>
        <w:t>|</w:t>
      </w:r>
      <w:r w:rsidRPr="00CC60F1">
        <w:t xml:space="preserve"> in subsequent years)</w:t>
      </w:r>
      <w:r w:rsidR="00BF16ED" w:rsidRPr="00CC60F1">
        <w:t xml:space="preserve"> </w:t>
      </w:r>
      <w:r w:rsidRPr="00CC60F1">
        <w:t xml:space="preserve">the </w:t>
      </w:r>
      <w:r w:rsidR="00BF16ED" w:rsidRPr="00CC60F1">
        <w:t xml:space="preserve">corrected ICER </w:t>
      </w:r>
      <w:r w:rsidRPr="00CC60F1">
        <w:t>was</w:t>
      </w:r>
      <w:r w:rsidR="00BF16ED" w:rsidRPr="00CC60F1">
        <w:t xml:space="preserve"> </w:t>
      </w:r>
      <w:r w:rsidR="00AB0B96" w:rsidRPr="00AB0B96">
        <w:t>$115,000 to &lt; $135,000</w:t>
      </w:r>
      <w:r w:rsidR="00AB0B96">
        <w:t xml:space="preserve"> </w:t>
      </w:r>
      <w:r w:rsidR="00BF16ED" w:rsidRPr="00CC60F1">
        <w:t xml:space="preserve">per QALY gained. </w:t>
      </w:r>
      <w:r w:rsidR="00B971EB">
        <w:t>The PBAC considered that at a DPMQ of $</w:t>
      </w:r>
      <w:r w:rsidR="00B474C2" w:rsidRPr="004826FD">
        <w:rPr>
          <w:color w:val="000000"/>
          <w:w w:val="15"/>
          <w:shd w:val="solid" w:color="000000" w:fill="000000"/>
          <w:fitText w:val="-20" w:id="-1168367094"/>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094"/>
          <w14:textFill>
            <w14:solidFill>
              <w14:srgbClr w14:val="000000">
                <w14:alpha w14:val="100000"/>
              </w14:srgbClr>
            </w14:solidFill>
          </w14:textFill>
        </w:rPr>
        <w:t>|</w:t>
      </w:r>
      <w:r w:rsidR="00B971EB">
        <w:t xml:space="preserve"> </w:t>
      </w:r>
      <w:r>
        <w:t xml:space="preserve">(the year 1-3 proposed price) </w:t>
      </w:r>
      <w:r w:rsidR="00B971EB">
        <w:t xml:space="preserve">the ICER of </w:t>
      </w:r>
      <w:r w:rsidR="00AB0B96" w:rsidRPr="00AB0B96">
        <w:t>$135,000</w:t>
      </w:r>
      <w:r w:rsidR="00934AB0">
        <w:t> </w:t>
      </w:r>
      <w:r w:rsidR="00AB0B96" w:rsidRPr="00AB0B96">
        <w:t>to</w:t>
      </w:r>
      <w:r w:rsidR="00934AB0">
        <w:t> </w:t>
      </w:r>
      <w:r w:rsidR="00AB0B96" w:rsidRPr="00AB0B96">
        <w:t>&lt;</w:t>
      </w:r>
      <w:r w:rsidR="00934AB0">
        <w:t> </w:t>
      </w:r>
      <w:r w:rsidR="00AB0B96" w:rsidRPr="00AB0B96">
        <w:t>$155,000</w:t>
      </w:r>
      <w:r w:rsidR="00AB0B96">
        <w:t xml:space="preserve"> </w:t>
      </w:r>
      <w:r w:rsidR="00B971EB">
        <w:t xml:space="preserve">per QALY was unacceptably high and uncertain. Notwithstanding the remaining uncertainty in the modelled cost-effectiveness estimates, the PBAC considered that tafamidis would be acceptably cost-effective </w:t>
      </w:r>
      <w:r w:rsidR="00914D75">
        <w:t>based on a cost no higher than</w:t>
      </w:r>
      <w:r w:rsidR="00B971EB">
        <w:t xml:space="preserve"> a DPMQ of $</w:t>
      </w:r>
      <w:r w:rsidR="00B474C2" w:rsidRPr="004826FD">
        <w:rPr>
          <w:color w:val="000000"/>
          <w:w w:val="15"/>
          <w:shd w:val="solid" w:color="000000" w:fill="000000"/>
          <w:fitText w:val="-20" w:id="-1168367093"/>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093"/>
          <w14:textFill>
            <w14:solidFill>
              <w14:srgbClr w14:val="000000">
                <w14:alpha w14:val="100000"/>
              </w14:srgbClr>
            </w14:solidFill>
          </w14:textFill>
        </w:rPr>
        <w:t>|</w:t>
      </w:r>
      <w:r w:rsidR="001907FC">
        <w:t xml:space="preserve"> (ICER of approximately </w:t>
      </w:r>
      <w:r w:rsidR="00AB0B96" w:rsidRPr="00AB0B96">
        <w:t>$95,000</w:t>
      </w:r>
      <w:r w:rsidR="00934AB0">
        <w:t> </w:t>
      </w:r>
      <w:r w:rsidR="00AB0B96" w:rsidRPr="00AB0B96">
        <w:t>to</w:t>
      </w:r>
      <w:r w:rsidR="00934AB0">
        <w:t> </w:t>
      </w:r>
      <w:r w:rsidR="00AB0B96" w:rsidRPr="00AB0B96">
        <w:t>&lt;</w:t>
      </w:r>
      <w:r w:rsidR="00934AB0">
        <w:t> </w:t>
      </w:r>
      <w:r w:rsidR="00AB0B96" w:rsidRPr="00AB0B96">
        <w:t xml:space="preserve">$115,000 </w:t>
      </w:r>
      <w:r w:rsidR="001907FC">
        <w:t>per QALY)</w:t>
      </w:r>
      <w:r w:rsidR="00B971EB">
        <w:t xml:space="preserve">, </w:t>
      </w:r>
      <w:r w:rsidR="00914D75">
        <w:t xml:space="preserve">the price </w:t>
      </w:r>
      <w:r w:rsidR="00B971EB">
        <w:t xml:space="preserve">proposed in the pre-PBAC response for years 4-6. This was in the context of a high unmet clinical need in a relatively small </w:t>
      </w:r>
      <w:r w:rsidR="004F716B">
        <w:t xml:space="preserve">patient </w:t>
      </w:r>
      <w:r w:rsidR="00B971EB">
        <w:t>population, with financial caps to mitigate the risk to the Commonwealth of use in a broader population.</w:t>
      </w:r>
    </w:p>
    <w:p w14:paraId="6CB29ADC" w14:textId="0143C3E7" w:rsidR="00F67E86" w:rsidRDefault="00F67E86" w:rsidP="00CC60F1">
      <w:pPr>
        <w:pStyle w:val="ExecSumBodyText"/>
        <w:numPr>
          <w:ilvl w:val="1"/>
          <w:numId w:val="1"/>
        </w:numPr>
      </w:pPr>
      <w:r>
        <w:t xml:space="preserve">The PBAC recalled it had previously considered that the patient population (i.e. patient numbers derived based on patients with NHYA class I, II and non-persistent class III heart failure) may form a reasonable basis for the RSA expenditure caps (para 10.3, </w:t>
      </w:r>
      <w:r w:rsidR="00131D7A">
        <w:t>t</w:t>
      </w:r>
      <w:r>
        <w:t xml:space="preserve">afamidis PSD, September 2021 </w:t>
      </w:r>
      <w:r w:rsidR="00131D7A">
        <w:t xml:space="preserve">PBAC </w:t>
      </w:r>
      <w:r>
        <w:t xml:space="preserve">meeting). The PBAC considered that there remains </w:t>
      </w:r>
      <w:r w:rsidR="00617AC8">
        <w:t xml:space="preserve">considerable </w:t>
      </w:r>
      <w:r>
        <w:t>uncertainty regarding</w:t>
      </w:r>
      <w:r w:rsidR="00617AC8">
        <w:t xml:space="preserve"> the rate of diagnosis, uptake and continuation of tafamidis, noting that</w:t>
      </w:r>
      <w:r w:rsidR="00131D7A">
        <w:t xml:space="preserve"> </w:t>
      </w:r>
      <w:r w:rsidR="00617AC8">
        <w:t xml:space="preserve">there is a high level of awareness of tafamidis for clinicians and consumers, which is likely to drive rapid uptake if listed on the PBS. </w:t>
      </w:r>
    </w:p>
    <w:p w14:paraId="147BE972" w14:textId="57444598" w:rsidR="00F67E86" w:rsidRPr="00CC60F1" w:rsidRDefault="00617AC8" w:rsidP="00CC60F1">
      <w:pPr>
        <w:pStyle w:val="ExecSumBodyText"/>
        <w:numPr>
          <w:ilvl w:val="1"/>
          <w:numId w:val="1"/>
        </w:numPr>
      </w:pPr>
      <w:r>
        <w:t xml:space="preserve">The </w:t>
      </w:r>
      <w:r w:rsidR="00F67E86">
        <w:t>PBAC remained of the view that an RSA</w:t>
      </w:r>
      <w:r>
        <w:t xml:space="preserve"> would be required</w:t>
      </w:r>
      <w:r w:rsidR="00F67E86">
        <w:t xml:space="preserve"> to provide more certainty with respect to the total cost, and to manage the risk associated with use in a broader population</w:t>
      </w:r>
      <w:r>
        <w:t xml:space="preserve"> and potential continuation in patients progressing to NYHA class III heart failure</w:t>
      </w:r>
      <w:r w:rsidR="00E93438">
        <w:t>,</w:t>
      </w:r>
      <w:r w:rsidR="00F67E86">
        <w:t xml:space="preserve"> in which cost-effectiveness is unknown (para 10.4, </w:t>
      </w:r>
      <w:r w:rsidR="00131D7A">
        <w:t>t</w:t>
      </w:r>
      <w:r w:rsidR="00F67E86">
        <w:t>afamidis PSD, September 2021</w:t>
      </w:r>
      <w:r w:rsidR="00131D7A">
        <w:t xml:space="preserve"> PBAC meeting</w:t>
      </w:r>
      <w:r w:rsidR="00F67E86">
        <w:t xml:space="preserve">). </w:t>
      </w:r>
      <w:r w:rsidRPr="00CC60F1">
        <w:t>The PBAC considered the</w:t>
      </w:r>
      <w:r w:rsidR="00BB7874">
        <w:t xml:space="preserve"> submission’s</w:t>
      </w:r>
      <w:r w:rsidRPr="00CC60F1">
        <w:t xml:space="preserve"> </w:t>
      </w:r>
      <w:r w:rsidR="00BB7874" w:rsidRPr="00CC60F1">
        <w:t>propos</w:t>
      </w:r>
      <w:r w:rsidR="00BB7874">
        <w:t>al for</w:t>
      </w:r>
      <w:r w:rsidR="00BB7874" w:rsidRPr="00CC60F1">
        <w:t xml:space="preserve"> </w:t>
      </w:r>
      <w:r w:rsidRPr="00CC60F1">
        <w:t>cap</w:t>
      </w:r>
      <w:r w:rsidR="00B97BFA">
        <w:t>s to be based above the financial estimates (at 105%)</w:t>
      </w:r>
      <w:r w:rsidRPr="00CC60F1">
        <w:t xml:space="preserve"> with </w:t>
      </w:r>
      <w:r w:rsidR="00BB7874">
        <w:t xml:space="preserve">a </w:t>
      </w:r>
      <w:r w:rsidR="00B474C2" w:rsidRPr="004826FD">
        <w:rPr>
          <w:color w:val="000000"/>
          <w:w w:val="15"/>
          <w:shd w:val="solid" w:color="000000" w:fill="000000"/>
          <w:fitText w:val="-20" w:id="-1168367092"/>
          <w14:textFill>
            <w14:solidFill>
              <w14:srgbClr w14:val="000000">
                <w14:alpha w14:val="100000"/>
              </w14:srgbClr>
            </w14:solidFill>
          </w14:textFill>
        </w:rPr>
        <w:t xml:space="preserve">|  </w:t>
      </w:r>
      <w:r w:rsidR="00B474C2" w:rsidRPr="004826FD">
        <w:rPr>
          <w:color w:val="000000"/>
          <w:spacing w:val="-69"/>
          <w:w w:val="15"/>
          <w:shd w:val="solid" w:color="000000" w:fill="000000"/>
          <w:fitText w:val="-20" w:id="-1168367092"/>
          <w14:textFill>
            <w14:solidFill>
              <w14:srgbClr w14:val="000000">
                <w14:alpha w14:val="100000"/>
              </w14:srgbClr>
            </w14:solidFill>
          </w14:textFill>
        </w:rPr>
        <w:t>|</w:t>
      </w:r>
      <w:r w:rsidRPr="00CC60F1">
        <w:t xml:space="preserve">% rebate for years 4-6 </w:t>
      </w:r>
      <w:r w:rsidR="00402D2B">
        <w:t xml:space="preserve">did not appropriately mitigate risk to government, and </w:t>
      </w:r>
      <w:r w:rsidRPr="00CC60F1">
        <w:t xml:space="preserve">would not adequately address the risks associated with use in the broader population or beyond the intended eligible population in those years. The PBAC considered that financial caps for the RSA should be based </w:t>
      </w:r>
      <w:r w:rsidR="00B97BFA">
        <w:t>at</w:t>
      </w:r>
      <w:r w:rsidRPr="00CC60F1">
        <w:t xml:space="preserve"> </w:t>
      </w:r>
      <w:r w:rsidR="00B97BFA">
        <w:t xml:space="preserve">no higher than </w:t>
      </w:r>
      <w:r w:rsidRPr="00CC60F1">
        <w:t xml:space="preserve">the </w:t>
      </w:r>
      <w:r w:rsidR="00B97BFA">
        <w:t xml:space="preserve">levels of </w:t>
      </w:r>
      <w:r w:rsidRPr="00CC60F1">
        <w:t xml:space="preserve">estimated expenditure, </w:t>
      </w:r>
      <w:r w:rsidR="00131D7A" w:rsidRPr="00CC60F1">
        <w:t>with a 100% rebate for expenditure above the caps</w:t>
      </w:r>
      <w:r w:rsidRPr="00CC60F1">
        <w:t xml:space="preserve">. </w:t>
      </w:r>
    </w:p>
    <w:p w14:paraId="4AB8FC2C" w14:textId="5D76CFBD" w:rsidR="00A9171C" w:rsidRPr="00CC60F1" w:rsidRDefault="00A9171C" w:rsidP="00CC60F1">
      <w:pPr>
        <w:pStyle w:val="ExecSumBodyText"/>
        <w:numPr>
          <w:ilvl w:val="1"/>
          <w:numId w:val="1"/>
        </w:numPr>
      </w:pPr>
      <w:r w:rsidRPr="00CC60F1">
        <w:t xml:space="preserve">The PBAC recommended that the Early Supply Rule should apply. </w:t>
      </w:r>
    </w:p>
    <w:p w14:paraId="78924AB4" w14:textId="39B445AC" w:rsidR="00A9171C" w:rsidRPr="00CC60F1" w:rsidRDefault="00A9171C" w:rsidP="00CC60F1">
      <w:pPr>
        <w:pStyle w:val="ExecSumBodyText"/>
        <w:numPr>
          <w:ilvl w:val="1"/>
          <w:numId w:val="1"/>
        </w:numPr>
      </w:pPr>
      <w:r w:rsidRPr="00CC60F1">
        <w:t>The PBAC found that the criteria prescribed by the National Health (Pharmaceuticals and Vaccines – Cost Recovery) Regulations 2022 for Pricing Pathway A were met. Specifically</w:t>
      </w:r>
      <w:r w:rsidR="00991A2A" w:rsidRPr="00CC60F1">
        <w:t>,</w:t>
      </w:r>
      <w:r w:rsidRPr="00CC60F1">
        <w:t xml:space="preserve"> the PBAC found that in the circumstances of its recommendation </w:t>
      </w:r>
      <w:r w:rsidR="00E93438" w:rsidRPr="00CC60F1">
        <w:t>tafamidis</w:t>
      </w:r>
      <w:r w:rsidRPr="00CC60F1">
        <w:t>:</w:t>
      </w:r>
    </w:p>
    <w:p w14:paraId="1F48CAF6" w14:textId="564BB061" w:rsidR="00A9171C" w:rsidRPr="00763DFB" w:rsidRDefault="00A9171C" w:rsidP="00934AB0">
      <w:pPr>
        <w:widowControl w:val="0"/>
        <w:numPr>
          <w:ilvl w:val="1"/>
          <w:numId w:val="29"/>
        </w:numPr>
        <w:spacing w:after="120"/>
        <w:ind w:left="1134"/>
        <w:rPr>
          <w:rFonts w:asciiTheme="minorHAnsi" w:hAnsiTheme="minorHAnsi" w:cstheme="minorHAnsi"/>
          <w:lang w:val="en-GB"/>
        </w:rPr>
      </w:pPr>
      <w:r w:rsidRPr="00763DFB">
        <w:rPr>
          <w:rFonts w:asciiTheme="minorHAnsi" w:hAnsiTheme="minorHAnsi" w:cstheme="minorHAnsi"/>
          <w:lang w:val="en-GB"/>
        </w:rPr>
        <w:t>The treatment is</w:t>
      </w:r>
      <w:r w:rsidR="00E93438">
        <w:rPr>
          <w:rFonts w:asciiTheme="minorHAnsi" w:hAnsiTheme="minorHAnsi" w:cstheme="minorHAnsi"/>
          <w:lang w:val="en-GB"/>
        </w:rPr>
        <w:t xml:space="preserve"> </w:t>
      </w:r>
      <w:r w:rsidRPr="00763DFB">
        <w:rPr>
          <w:rFonts w:asciiTheme="minorHAnsi" w:hAnsiTheme="minorHAnsi" w:cstheme="minorHAnsi"/>
          <w:lang w:val="en-GB"/>
        </w:rPr>
        <w:t>expected to provide a substantial and clinically relevant improvement in efficacy</w:t>
      </w:r>
      <w:r w:rsidR="00E93438">
        <w:rPr>
          <w:rFonts w:asciiTheme="minorHAnsi" w:hAnsiTheme="minorHAnsi" w:cstheme="minorHAnsi"/>
          <w:lang w:val="en-GB"/>
        </w:rPr>
        <w:t xml:space="preserve"> compared with standard management in terms of survival and cardiovascular-related hospitalisations</w:t>
      </w:r>
      <w:r w:rsidRPr="00763DFB">
        <w:rPr>
          <w:rFonts w:asciiTheme="minorHAnsi" w:hAnsiTheme="minorHAnsi" w:cstheme="minorHAnsi"/>
          <w:lang w:val="en-GB"/>
        </w:rPr>
        <w:t xml:space="preserve">; </w:t>
      </w:r>
    </w:p>
    <w:p w14:paraId="469F04AD" w14:textId="18A55E6D" w:rsidR="00A9171C" w:rsidRPr="00763DFB" w:rsidRDefault="00A9171C" w:rsidP="00934AB0">
      <w:pPr>
        <w:widowControl w:val="0"/>
        <w:numPr>
          <w:ilvl w:val="1"/>
          <w:numId w:val="29"/>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treatment is expected to address a high and urgent unmet clinical need </w:t>
      </w:r>
      <w:r w:rsidR="00E93438">
        <w:rPr>
          <w:rFonts w:asciiTheme="minorHAnsi" w:hAnsiTheme="minorHAnsi" w:cstheme="minorHAnsi"/>
          <w:lang w:val="en-GB"/>
        </w:rPr>
        <w:t>as there are no effective alternative treatments for this patient population</w:t>
      </w:r>
      <w:r w:rsidRPr="00763DFB">
        <w:rPr>
          <w:rFonts w:asciiTheme="minorHAnsi" w:hAnsiTheme="minorHAnsi" w:cstheme="minorHAnsi"/>
          <w:lang w:val="en-GB"/>
        </w:rPr>
        <w:t>;</w:t>
      </w:r>
    </w:p>
    <w:p w14:paraId="03227BE0" w14:textId="77777777" w:rsidR="00E93438" w:rsidRPr="00E93438" w:rsidRDefault="00A9171C" w:rsidP="00934AB0">
      <w:pPr>
        <w:widowControl w:val="0"/>
        <w:numPr>
          <w:ilvl w:val="1"/>
          <w:numId w:val="29"/>
        </w:numPr>
        <w:spacing w:after="120"/>
        <w:ind w:left="1134"/>
        <w:rPr>
          <w:rFonts w:asciiTheme="minorHAnsi" w:hAnsiTheme="minorHAnsi"/>
          <w:bCs/>
          <w:snapToGrid w:val="0"/>
          <w:lang w:val="en-GB"/>
        </w:rPr>
      </w:pPr>
      <w:r w:rsidRPr="00763DFB">
        <w:rPr>
          <w:rFonts w:asciiTheme="minorHAnsi" w:hAnsiTheme="minorHAnsi" w:cstheme="minorHAnsi"/>
          <w:lang w:val="en-GB"/>
        </w:rPr>
        <w:t>It would be in the public interest for the subsequent pricing application to be progressed under Pricing Pathway A on the basis of the preceding findings</w:t>
      </w:r>
      <w:r w:rsidR="00E93438">
        <w:rPr>
          <w:rFonts w:asciiTheme="minorHAnsi" w:hAnsiTheme="minorHAnsi" w:cstheme="minorHAnsi"/>
          <w:lang w:val="en-GB"/>
        </w:rPr>
        <w:t xml:space="preserve">. </w:t>
      </w:r>
      <w:r w:rsidRPr="00763DFB">
        <w:rPr>
          <w:rFonts w:asciiTheme="minorHAnsi" w:hAnsiTheme="minorHAnsi" w:cstheme="minorHAnsi"/>
          <w:lang w:val="en-GB"/>
        </w:rPr>
        <w:t xml:space="preserve"> </w:t>
      </w:r>
    </w:p>
    <w:p w14:paraId="186D33A9" w14:textId="77777777" w:rsidR="00E93438" w:rsidRPr="00E93438" w:rsidRDefault="00A9171C" w:rsidP="00E93438">
      <w:pPr>
        <w:pStyle w:val="COMexecsumnumberedpara"/>
        <w:rPr>
          <w:bCs/>
          <w:lang w:val="en-GB"/>
        </w:rPr>
      </w:pPr>
      <w:r w:rsidRPr="00525B39">
        <w:rPr>
          <w:lang w:val="en-GB"/>
        </w:rPr>
        <w:t>The PBAC noted that this submission is not eligible for an Independent Review</w:t>
      </w:r>
      <w:r w:rsidR="00E93438">
        <w:rPr>
          <w:lang w:val="en-GB"/>
        </w:rPr>
        <w:t xml:space="preserve"> as it received a positive recommendation</w:t>
      </w:r>
      <w:r w:rsidRPr="00525B39">
        <w:rPr>
          <w:lang w:val="en-GB"/>
        </w:rPr>
        <w:t xml:space="preserve">. </w:t>
      </w:r>
    </w:p>
    <w:p w14:paraId="6BBEC3BD" w14:textId="77777777" w:rsidR="00A9171C" w:rsidRPr="00525B39" w:rsidRDefault="00A9171C" w:rsidP="00A9171C">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A18FB57" w14:textId="13C8C669" w:rsidR="00E93438" w:rsidRPr="00934AB0" w:rsidRDefault="00A9171C" w:rsidP="00934AB0">
      <w:pPr>
        <w:rPr>
          <w:rFonts w:asciiTheme="minorHAnsi" w:hAnsiTheme="minorHAnsi"/>
          <w:bCs/>
          <w:snapToGrid w:val="0"/>
          <w:lang w:val="en-GB"/>
        </w:rPr>
      </w:pPr>
      <w:r w:rsidRPr="00525B39">
        <w:rPr>
          <w:rFonts w:asciiTheme="minorHAnsi" w:hAnsiTheme="minorHAnsi"/>
          <w:bCs/>
          <w:snapToGrid w:val="0"/>
          <w:lang w:val="en-GB"/>
        </w:rPr>
        <w:t>Recommended</w:t>
      </w:r>
    </w:p>
    <w:bookmarkEnd w:id="71"/>
    <w:p w14:paraId="4BB1DB81" w14:textId="77777777" w:rsidR="00A9171C" w:rsidRPr="00F237A4" w:rsidRDefault="00A9171C" w:rsidP="00A9171C">
      <w:pPr>
        <w:pStyle w:val="COMH1numbered"/>
        <w:numPr>
          <w:ilvl w:val="0"/>
          <w:numId w:val="1"/>
        </w:numPr>
        <w:rPr>
          <w:b w:val="0"/>
          <w:bCs/>
          <w:iCs/>
          <w:lang w:val="en-GB"/>
        </w:rPr>
      </w:pPr>
      <w:r w:rsidRPr="00525B39">
        <w:rPr>
          <w:bCs/>
          <w:lang w:val="en-GB"/>
        </w:rPr>
        <w:t>Recommended listing</w:t>
      </w:r>
    </w:p>
    <w:bookmarkEnd w:id="72"/>
    <w:p w14:paraId="7901FDAC" w14:textId="4C0AFD7C" w:rsidR="00991A2A" w:rsidRPr="00C01CC7" w:rsidRDefault="00991A2A" w:rsidP="00991A2A">
      <w:pPr>
        <w:pStyle w:val="COMexecsumnumberedpara"/>
        <w:rPr>
          <w:rFonts w:eastAsia="Calibri"/>
        </w:rPr>
      </w:pPr>
      <w:r>
        <w:rPr>
          <w:rFonts w:eastAsia="Calibri"/>
        </w:rPr>
        <w:t>Add new medicinal product as follows:</w:t>
      </w:r>
    </w:p>
    <w:tbl>
      <w:tblPr>
        <w:tblStyle w:val="TableGrid"/>
        <w:tblW w:w="5000" w:type="pct"/>
        <w:tblLayout w:type="fixed"/>
        <w:tblLook w:val="0000" w:firstRow="0" w:lastRow="0" w:firstColumn="0" w:lastColumn="0" w:noHBand="0" w:noVBand="0"/>
      </w:tblPr>
      <w:tblGrid>
        <w:gridCol w:w="1129"/>
        <w:gridCol w:w="2584"/>
        <w:gridCol w:w="1036"/>
        <w:gridCol w:w="907"/>
        <w:gridCol w:w="908"/>
        <w:gridCol w:w="779"/>
        <w:gridCol w:w="1674"/>
      </w:tblGrid>
      <w:tr w:rsidR="00E21732" w:rsidRPr="002A262A" w14:paraId="429FD621" w14:textId="77777777" w:rsidTr="00FE1CAC">
        <w:trPr>
          <w:trHeight w:val="20"/>
        </w:trPr>
        <w:tc>
          <w:tcPr>
            <w:tcW w:w="9017" w:type="dxa"/>
            <w:gridSpan w:val="7"/>
          </w:tcPr>
          <w:p w14:paraId="34A8A3F3" w14:textId="77777777" w:rsidR="00E21732" w:rsidRPr="002A262A" w:rsidRDefault="00E21732" w:rsidP="00FE1CAC">
            <w:pPr>
              <w:keepNext/>
              <w:ind w:left="-57"/>
              <w:rPr>
                <w:rFonts w:ascii="Arial Narrow" w:eastAsia="Calibri" w:hAnsi="Arial Narrow"/>
                <w:sz w:val="20"/>
                <w:szCs w:val="20"/>
              </w:rPr>
            </w:pPr>
            <w:r w:rsidRPr="002A262A">
              <w:rPr>
                <w:rFonts w:ascii="Arial Narrow" w:eastAsia="Calibri" w:hAnsi="Arial Narrow"/>
                <w:b/>
                <w:sz w:val="20"/>
                <w:szCs w:val="20"/>
              </w:rPr>
              <w:t xml:space="preserve">Category / Program: </w:t>
            </w:r>
            <w:r w:rsidRPr="002A262A">
              <w:rPr>
                <w:rFonts w:ascii="Arial Narrow" w:eastAsia="Calibri" w:hAnsi="Arial Narrow"/>
                <w:sz w:val="20"/>
                <w:szCs w:val="20"/>
              </w:rPr>
              <w:t xml:space="preserve">GENERAL – General Schedule (Code GE) </w:t>
            </w:r>
          </w:p>
          <w:p w14:paraId="44A68096" w14:textId="77777777" w:rsidR="00E21732" w:rsidRPr="002A262A" w:rsidRDefault="00E21732" w:rsidP="00FE1CAC">
            <w:pPr>
              <w:keepNext/>
              <w:ind w:left="-57"/>
              <w:rPr>
                <w:rFonts w:ascii="Arial Narrow" w:eastAsia="Calibri" w:hAnsi="Arial Narrow"/>
                <w:b/>
                <w:sz w:val="20"/>
                <w:szCs w:val="20"/>
              </w:rPr>
            </w:pPr>
          </w:p>
        </w:tc>
      </w:tr>
      <w:tr w:rsidR="00E21732" w:rsidRPr="002A262A" w14:paraId="453DA5AA" w14:textId="77777777" w:rsidTr="00FE1CAC">
        <w:trPr>
          <w:trHeight w:val="20"/>
        </w:trPr>
        <w:tc>
          <w:tcPr>
            <w:tcW w:w="3713" w:type="dxa"/>
            <w:gridSpan w:val="2"/>
          </w:tcPr>
          <w:p w14:paraId="08E68F73" w14:textId="77777777" w:rsidR="00E21732" w:rsidRPr="002A262A" w:rsidRDefault="00E21732" w:rsidP="00FE1CAC">
            <w:pPr>
              <w:keepNext/>
              <w:ind w:left="-57"/>
              <w:rPr>
                <w:rFonts w:ascii="Arial Narrow" w:eastAsia="Calibri" w:hAnsi="Arial Narrow"/>
                <w:b/>
                <w:bCs/>
                <w:sz w:val="20"/>
                <w:szCs w:val="20"/>
              </w:rPr>
            </w:pPr>
            <w:r w:rsidRPr="002A262A">
              <w:rPr>
                <w:rFonts w:ascii="Arial Narrow" w:eastAsia="Calibri" w:hAnsi="Arial Narrow"/>
                <w:b/>
                <w:bCs/>
                <w:sz w:val="20"/>
                <w:szCs w:val="20"/>
              </w:rPr>
              <w:t>MEDICINAL PRODUCT</w:t>
            </w:r>
          </w:p>
          <w:p w14:paraId="1019F1FE" w14:textId="77777777" w:rsidR="00E21732" w:rsidRPr="002A262A" w:rsidRDefault="00E21732" w:rsidP="00FE1CAC">
            <w:pPr>
              <w:keepNext/>
              <w:ind w:left="-57"/>
              <w:rPr>
                <w:rFonts w:ascii="Arial Narrow" w:eastAsia="Calibri" w:hAnsi="Arial Narrow"/>
                <w:b/>
                <w:sz w:val="20"/>
                <w:szCs w:val="20"/>
              </w:rPr>
            </w:pPr>
            <w:r w:rsidRPr="002A262A">
              <w:rPr>
                <w:rFonts w:ascii="Arial Narrow" w:eastAsia="Calibri" w:hAnsi="Arial Narrow"/>
                <w:b/>
                <w:bCs/>
                <w:sz w:val="20"/>
                <w:szCs w:val="20"/>
              </w:rPr>
              <w:t>medicinal product pack</w:t>
            </w:r>
          </w:p>
        </w:tc>
        <w:tc>
          <w:tcPr>
            <w:tcW w:w="1036" w:type="dxa"/>
          </w:tcPr>
          <w:p w14:paraId="4E654E20" w14:textId="77777777" w:rsidR="00E21732" w:rsidRPr="002A262A" w:rsidRDefault="00E21732" w:rsidP="00FE1CAC">
            <w:pPr>
              <w:keepNext/>
              <w:ind w:left="-57"/>
              <w:jc w:val="center"/>
              <w:rPr>
                <w:rFonts w:ascii="Arial Narrow" w:eastAsia="Calibri" w:hAnsi="Arial Narrow"/>
                <w:b/>
                <w:sz w:val="20"/>
                <w:szCs w:val="20"/>
              </w:rPr>
            </w:pPr>
            <w:r w:rsidRPr="002A262A">
              <w:rPr>
                <w:rFonts w:ascii="Arial Narrow" w:eastAsia="Calibri" w:hAnsi="Arial Narrow"/>
                <w:b/>
                <w:sz w:val="20"/>
                <w:szCs w:val="20"/>
              </w:rPr>
              <w:t>PBS item code</w:t>
            </w:r>
          </w:p>
        </w:tc>
        <w:tc>
          <w:tcPr>
            <w:tcW w:w="907" w:type="dxa"/>
          </w:tcPr>
          <w:p w14:paraId="1F730BF3" w14:textId="77777777" w:rsidR="00E21732" w:rsidRPr="002A262A" w:rsidRDefault="00E21732" w:rsidP="00FE1CAC">
            <w:pPr>
              <w:keepNext/>
              <w:ind w:left="-57"/>
              <w:jc w:val="center"/>
              <w:rPr>
                <w:rFonts w:ascii="Arial Narrow" w:eastAsia="Calibri" w:hAnsi="Arial Narrow"/>
                <w:b/>
                <w:sz w:val="20"/>
                <w:szCs w:val="20"/>
              </w:rPr>
            </w:pPr>
            <w:r w:rsidRPr="002A262A">
              <w:rPr>
                <w:rFonts w:ascii="Arial Narrow" w:eastAsia="Calibri" w:hAnsi="Arial Narrow"/>
                <w:b/>
                <w:sz w:val="20"/>
                <w:szCs w:val="20"/>
              </w:rPr>
              <w:t>Max. qty packs</w:t>
            </w:r>
          </w:p>
        </w:tc>
        <w:tc>
          <w:tcPr>
            <w:tcW w:w="908" w:type="dxa"/>
          </w:tcPr>
          <w:p w14:paraId="1B9E3974" w14:textId="77777777" w:rsidR="00E21732" w:rsidRPr="002A262A" w:rsidRDefault="00E21732" w:rsidP="00FE1CAC">
            <w:pPr>
              <w:keepNext/>
              <w:ind w:left="-57"/>
              <w:jc w:val="center"/>
              <w:rPr>
                <w:rFonts w:ascii="Arial Narrow" w:eastAsia="Calibri" w:hAnsi="Arial Narrow"/>
                <w:b/>
                <w:sz w:val="20"/>
                <w:szCs w:val="20"/>
              </w:rPr>
            </w:pPr>
            <w:r w:rsidRPr="002A262A">
              <w:rPr>
                <w:rFonts w:ascii="Arial Narrow" w:eastAsia="Calibri" w:hAnsi="Arial Narrow"/>
                <w:b/>
                <w:sz w:val="20"/>
                <w:szCs w:val="20"/>
              </w:rPr>
              <w:t>Max. qty units</w:t>
            </w:r>
          </w:p>
        </w:tc>
        <w:tc>
          <w:tcPr>
            <w:tcW w:w="779" w:type="dxa"/>
          </w:tcPr>
          <w:p w14:paraId="200ED841" w14:textId="77777777" w:rsidR="00E21732" w:rsidRPr="002A262A" w:rsidRDefault="00E21732" w:rsidP="00FE1CAC">
            <w:pPr>
              <w:keepNext/>
              <w:ind w:left="-57"/>
              <w:jc w:val="center"/>
              <w:rPr>
                <w:rFonts w:ascii="Arial Narrow" w:eastAsia="Calibri" w:hAnsi="Arial Narrow"/>
                <w:b/>
                <w:sz w:val="20"/>
                <w:szCs w:val="20"/>
              </w:rPr>
            </w:pPr>
            <w:r w:rsidRPr="002A262A">
              <w:rPr>
                <w:rFonts w:ascii="Arial Narrow" w:eastAsia="Calibri" w:hAnsi="Arial Narrow"/>
                <w:b/>
                <w:sz w:val="20"/>
                <w:szCs w:val="20"/>
              </w:rPr>
              <w:t>№.of</w:t>
            </w:r>
          </w:p>
          <w:p w14:paraId="748B0988" w14:textId="77777777" w:rsidR="00E21732" w:rsidRPr="002A262A" w:rsidRDefault="00E21732" w:rsidP="00FE1CAC">
            <w:pPr>
              <w:keepNext/>
              <w:ind w:left="-57"/>
              <w:jc w:val="center"/>
              <w:rPr>
                <w:rFonts w:ascii="Arial Narrow" w:eastAsia="Calibri" w:hAnsi="Arial Narrow"/>
                <w:b/>
                <w:sz w:val="20"/>
                <w:szCs w:val="20"/>
              </w:rPr>
            </w:pPr>
            <w:r w:rsidRPr="002A262A">
              <w:rPr>
                <w:rFonts w:ascii="Arial Narrow" w:eastAsia="Calibri" w:hAnsi="Arial Narrow"/>
                <w:b/>
                <w:sz w:val="20"/>
                <w:szCs w:val="20"/>
              </w:rPr>
              <w:t>Rpts</w:t>
            </w:r>
          </w:p>
        </w:tc>
        <w:tc>
          <w:tcPr>
            <w:tcW w:w="1674" w:type="dxa"/>
          </w:tcPr>
          <w:p w14:paraId="14F99108" w14:textId="77777777" w:rsidR="00E21732" w:rsidRPr="002A262A" w:rsidRDefault="00E21732" w:rsidP="00FE1CAC">
            <w:pPr>
              <w:keepNext/>
              <w:ind w:left="-57"/>
              <w:rPr>
                <w:rFonts w:ascii="Arial Narrow" w:eastAsia="Calibri" w:hAnsi="Arial Narrow"/>
                <w:b/>
                <w:sz w:val="20"/>
                <w:szCs w:val="20"/>
                <w:lang w:val="fr-FR"/>
              </w:rPr>
            </w:pPr>
            <w:r w:rsidRPr="002A262A">
              <w:rPr>
                <w:rFonts w:ascii="Arial Narrow" w:eastAsia="Calibri" w:hAnsi="Arial Narrow"/>
                <w:b/>
                <w:sz w:val="20"/>
                <w:szCs w:val="20"/>
              </w:rPr>
              <w:t>Available brands</w:t>
            </w:r>
          </w:p>
        </w:tc>
      </w:tr>
      <w:tr w:rsidR="00E21732" w:rsidRPr="002A262A" w14:paraId="24378C25" w14:textId="77777777" w:rsidTr="00FE1CAC">
        <w:trPr>
          <w:trHeight w:val="20"/>
        </w:trPr>
        <w:tc>
          <w:tcPr>
            <w:tcW w:w="9017" w:type="dxa"/>
            <w:gridSpan w:val="7"/>
          </w:tcPr>
          <w:p w14:paraId="690948B7" w14:textId="77777777" w:rsidR="00E21732" w:rsidRPr="002A262A" w:rsidRDefault="00E21732" w:rsidP="00FE1CAC">
            <w:pPr>
              <w:keepLines/>
              <w:ind w:left="-57"/>
              <w:rPr>
                <w:rFonts w:ascii="Arial Narrow" w:eastAsia="Calibri" w:hAnsi="Arial Narrow" w:cs="Calibri"/>
                <w:sz w:val="20"/>
                <w:szCs w:val="20"/>
              </w:rPr>
            </w:pPr>
            <w:r w:rsidRPr="002A262A">
              <w:rPr>
                <w:rFonts w:ascii="Arial Narrow" w:eastAsia="Calibri" w:hAnsi="Arial Narrow"/>
                <w:sz w:val="20"/>
                <w:szCs w:val="20"/>
              </w:rPr>
              <w:t>TAFAMIDIS</w:t>
            </w:r>
          </w:p>
        </w:tc>
      </w:tr>
      <w:tr w:rsidR="00E21732" w:rsidRPr="002A262A" w14:paraId="320670A7" w14:textId="77777777" w:rsidTr="00FE1CAC">
        <w:trPr>
          <w:trHeight w:val="20"/>
        </w:trPr>
        <w:tc>
          <w:tcPr>
            <w:tcW w:w="3713" w:type="dxa"/>
            <w:gridSpan w:val="2"/>
          </w:tcPr>
          <w:p w14:paraId="02081DFE"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sz w:val="20"/>
                <w:szCs w:val="20"/>
              </w:rPr>
              <w:t>tafamidis 61 mg capsule, 30</w:t>
            </w:r>
          </w:p>
        </w:tc>
        <w:tc>
          <w:tcPr>
            <w:tcW w:w="1036" w:type="dxa"/>
          </w:tcPr>
          <w:p w14:paraId="0C7355BE" w14:textId="77777777" w:rsidR="00E21732" w:rsidRPr="002A262A" w:rsidRDefault="00E21732" w:rsidP="00FE1CAC">
            <w:pPr>
              <w:keepNext/>
              <w:ind w:left="-57"/>
              <w:jc w:val="center"/>
              <w:rPr>
                <w:rFonts w:ascii="Arial Narrow" w:eastAsia="Calibri" w:hAnsi="Arial Narrow"/>
                <w:sz w:val="20"/>
                <w:szCs w:val="20"/>
              </w:rPr>
            </w:pPr>
            <w:r w:rsidRPr="002A262A">
              <w:rPr>
                <w:rFonts w:ascii="Arial Narrow" w:eastAsia="Calibri" w:hAnsi="Arial Narrow"/>
                <w:sz w:val="20"/>
                <w:szCs w:val="20"/>
              </w:rPr>
              <w:t>NEW</w:t>
            </w:r>
          </w:p>
          <w:p w14:paraId="3FAD23E8" w14:textId="77777777" w:rsidR="00E21732" w:rsidRPr="002A262A" w:rsidRDefault="00E21732" w:rsidP="00FE1CAC">
            <w:pPr>
              <w:keepNext/>
              <w:ind w:left="-57"/>
              <w:jc w:val="center"/>
              <w:rPr>
                <w:rFonts w:ascii="Arial Narrow" w:eastAsia="Calibri" w:hAnsi="Arial Narrow"/>
                <w:sz w:val="20"/>
                <w:szCs w:val="20"/>
                <w:vertAlign w:val="subscript"/>
              </w:rPr>
            </w:pPr>
            <w:r w:rsidRPr="002A262A">
              <w:rPr>
                <w:rFonts w:ascii="Arial Narrow" w:eastAsia="Calibri" w:hAnsi="Arial Narrow"/>
                <w:sz w:val="20"/>
                <w:szCs w:val="20"/>
                <w:vertAlign w:val="subscript"/>
              </w:rPr>
              <w:t>MP</w:t>
            </w:r>
          </w:p>
        </w:tc>
        <w:tc>
          <w:tcPr>
            <w:tcW w:w="907" w:type="dxa"/>
          </w:tcPr>
          <w:p w14:paraId="7047497F" w14:textId="77777777" w:rsidR="00E21732" w:rsidRPr="002A262A" w:rsidRDefault="00E21732" w:rsidP="00FE1CAC">
            <w:pPr>
              <w:keepNext/>
              <w:ind w:left="-57"/>
              <w:jc w:val="center"/>
              <w:rPr>
                <w:rFonts w:ascii="Arial Narrow" w:eastAsia="Calibri" w:hAnsi="Arial Narrow"/>
                <w:sz w:val="20"/>
                <w:szCs w:val="20"/>
              </w:rPr>
            </w:pPr>
            <w:r w:rsidRPr="002A262A">
              <w:rPr>
                <w:rFonts w:ascii="Arial Narrow" w:eastAsia="Calibri" w:hAnsi="Arial Narrow"/>
                <w:sz w:val="20"/>
                <w:szCs w:val="20"/>
              </w:rPr>
              <w:t>1</w:t>
            </w:r>
          </w:p>
        </w:tc>
        <w:tc>
          <w:tcPr>
            <w:tcW w:w="908" w:type="dxa"/>
          </w:tcPr>
          <w:p w14:paraId="79DB6FF7" w14:textId="77777777" w:rsidR="00E21732" w:rsidRPr="002A262A" w:rsidRDefault="00E21732" w:rsidP="00FE1CAC">
            <w:pPr>
              <w:keepNext/>
              <w:ind w:left="-57"/>
              <w:jc w:val="center"/>
              <w:rPr>
                <w:rFonts w:ascii="Arial Narrow" w:eastAsia="Calibri" w:hAnsi="Arial Narrow"/>
                <w:sz w:val="20"/>
                <w:szCs w:val="20"/>
              </w:rPr>
            </w:pPr>
            <w:r w:rsidRPr="002A262A">
              <w:rPr>
                <w:rFonts w:ascii="Arial Narrow" w:eastAsia="Calibri" w:hAnsi="Arial Narrow"/>
                <w:sz w:val="20"/>
                <w:szCs w:val="20"/>
              </w:rPr>
              <w:t>30</w:t>
            </w:r>
          </w:p>
        </w:tc>
        <w:tc>
          <w:tcPr>
            <w:tcW w:w="779" w:type="dxa"/>
          </w:tcPr>
          <w:p w14:paraId="7263470C" w14:textId="77777777" w:rsidR="00E21732" w:rsidRPr="002A262A" w:rsidRDefault="00E21732" w:rsidP="00FE1CAC">
            <w:pPr>
              <w:keepNext/>
              <w:ind w:left="-57"/>
              <w:jc w:val="center"/>
              <w:rPr>
                <w:rFonts w:ascii="Arial Narrow" w:eastAsia="Calibri" w:hAnsi="Arial Narrow"/>
                <w:sz w:val="20"/>
                <w:szCs w:val="20"/>
              </w:rPr>
            </w:pPr>
            <w:r w:rsidRPr="002A262A">
              <w:rPr>
                <w:rFonts w:ascii="Arial Narrow" w:eastAsia="Calibri" w:hAnsi="Arial Narrow"/>
                <w:sz w:val="20"/>
                <w:szCs w:val="20"/>
              </w:rPr>
              <w:t>5</w:t>
            </w:r>
          </w:p>
        </w:tc>
        <w:tc>
          <w:tcPr>
            <w:tcW w:w="1674" w:type="dxa"/>
          </w:tcPr>
          <w:p w14:paraId="65A97BFC" w14:textId="77777777" w:rsidR="00E21732" w:rsidRPr="002A262A" w:rsidRDefault="00E21732" w:rsidP="00FE1CAC">
            <w:pPr>
              <w:keepNext/>
              <w:ind w:left="-57"/>
              <w:rPr>
                <w:rFonts w:ascii="Arial Narrow" w:eastAsia="Calibri" w:hAnsi="Arial Narrow"/>
                <w:sz w:val="20"/>
                <w:szCs w:val="20"/>
              </w:rPr>
            </w:pPr>
            <w:r w:rsidRPr="002A262A">
              <w:rPr>
                <w:rFonts w:ascii="Arial Narrow" w:eastAsia="Calibri" w:hAnsi="Arial Narrow" w:cs="Calibri"/>
                <w:sz w:val="20"/>
                <w:szCs w:val="20"/>
              </w:rPr>
              <w:t>Vyndamax</w:t>
            </w:r>
          </w:p>
        </w:tc>
      </w:tr>
      <w:tr w:rsidR="00E21732" w:rsidRPr="002A262A" w14:paraId="2D28D0B0" w14:textId="77777777" w:rsidTr="00FE1CAC">
        <w:trPr>
          <w:trHeight w:val="20"/>
        </w:trPr>
        <w:tc>
          <w:tcPr>
            <w:tcW w:w="9017" w:type="dxa"/>
            <w:gridSpan w:val="7"/>
          </w:tcPr>
          <w:p w14:paraId="3C1C850B" w14:textId="77777777" w:rsidR="00E21732" w:rsidRPr="002A262A" w:rsidRDefault="00E21732" w:rsidP="00FE1CAC">
            <w:pPr>
              <w:keepNext/>
              <w:ind w:left="-57"/>
              <w:jc w:val="right"/>
              <w:rPr>
                <w:rFonts w:ascii="Arial Narrow" w:eastAsia="Calibri" w:hAnsi="Arial Narrow" w:cs="Calibri"/>
                <w:sz w:val="20"/>
                <w:szCs w:val="20"/>
              </w:rPr>
            </w:pPr>
            <w:r w:rsidRPr="002A262A">
              <w:rPr>
                <w:rFonts w:ascii="Arial Narrow" w:eastAsia="Calibri" w:hAnsi="Arial Narrow" w:cs="Calibri"/>
                <w:sz w:val="20"/>
                <w:szCs w:val="20"/>
              </w:rPr>
              <w:t>Early supply rule applies? Yes</w:t>
            </w:r>
          </w:p>
        </w:tc>
      </w:tr>
      <w:tr w:rsidR="00E21732" w:rsidRPr="002A262A" w14:paraId="0E2BAF1F" w14:textId="77777777" w:rsidTr="00FE1CAC">
        <w:trPr>
          <w:trHeight w:val="20"/>
        </w:trPr>
        <w:tc>
          <w:tcPr>
            <w:tcW w:w="9017" w:type="dxa"/>
            <w:gridSpan w:val="7"/>
          </w:tcPr>
          <w:p w14:paraId="11DAB3AD" w14:textId="77777777" w:rsidR="00E21732" w:rsidRPr="002A262A" w:rsidRDefault="00E21732" w:rsidP="00FE1CAC">
            <w:pPr>
              <w:rPr>
                <w:rFonts w:ascii="Arial Narrow" w:eastAsia="Calibri" w:hAnsi="Arial Narrow"/>
                <w:b/>
                <w:sz w:val="20"/>
                <w:szCs w:val="20"/>
              </w:rPr>
            </w:pPr>
          </w:p>
        </w:tc>
      </w:tr>
      <w:tr w:rsidR="00E21732" w:rsidRPr="002A262A" w14:paraId="732B38AB" w14:textId="77777777" w:rsidTr="00FE1CAC">
        <w:trPr>
          <w:trHeight w:val="20"/>
        </w:trPr>
        <w:tc>
          <w:tcPr>
            <w:tcW w:w="9017" w:type="dxa"/>
            <w:gridSpan w:val="7"/>
          </w:tcPr>
          <w:p w14:paraId="3CE9DF60" w14:textId="77777777" w:rsidR="00E21732" w:rsidRPr="002A262A" w:rsidRDefault="00E21732" w:rsidP="00FE1CAC">
            <w:pPr>
              <w:ind w:left="-57"/>
              <w:rPr>
                <w:rFonts w:ascii="Arial Narrow" w:eastAsia="Calibri" w:hAnsi="Arial Narrow"/>
                <w:i/>
                <w:sz w:val="20"/>
                <w:szCs w:val="20"/>
              </w:rPr>
            </w:pPr>
            <w:r w:rsidRPr="002A262A">
              <w:rPr>
                <w:rFonts w:ascii="Arial Narrow" w:eastAsia="Calibri" w:hAnsi="Arial Narrow"/>
                <w:i/>
                <w:sz w:val="20"/>
                <w:szCs w:val="20"/>
              </w:rPr>
              <w:t>Common ‘Notes’ applying to all attached restriction summaries:</w:t>
            </w:r>
          </w:p>
        </w:tc>
      </w:tr>
      <w:tr w:rsidR="00E21732" w:rsidRPr="002A262A" w14:paraId="419BFF1D" w14:textId="77777777" w:rsidTr="00FE1CAC">
        <w:trPr>
          <w:trHeight w:val="20"/>
        </w:trPr>
        <w:tc>
          <w:tcPr>
            <w:tcW w:w="1129" w:type="dxa"/>
          </w:tcPr>
          <w:p w14:paraId="5C29ED4F" w14:textId="77777777" w:rsidR="00E21732" w:rsidRPr="002A262A" w:rsidRDefault="00E21732" w:rsidP="00FE1CAC">
            <w:pPr>
              <w:jc w:val="center"/>
              <w:rPr>
                <w:rFonts w:ascii="Arial Narrow" w:eastAsia="Calibri" w:hAnsi="Arial Narrow"/>
                <w:bCs/>
                <w:sz w:val="20"/>
                <w:szCs w:val="20"/>
              </w:rPr>
            </w:pPr>
            <w:r w:rsidRPr="002A262A">
              <w:rPr>
                <w:rFonts w:ascii="Arial Narrow" w:eastAsia="Calibri" w:hAnsi="Arial Narrow"/>
                <w:bCs/>
                <w:sz w:val="20"/>
                <w:szCs w:val="20"/>
              </w:rPr>
              <w:t>7606</w:t>
            </w:r>
          </w:p>
        </w:tc>
        <w:tc>
          <w:tcPr>
            <w:tcW w:w="7888" w:type="dxa"/>
            <w:gridSpan w:val="6"/>
          </w:tcPr>
          <w:p w14:paraId="4F81CCD6" w14:textId="77777777" w:rsidR="00E21732" w:rsidRPr="002A262A" w:rsidRDefault="00E21732" w:rsidP="00FE1CAC">
            <w:pPr>
              <w:ind w:left="-57"/>
              <w:rPr>
                <w:rFonts w:ascii="Arial Narrow" w:eastAsia="Calibri" w:hAnsi="Arial Narrow"/>
                <w:iCs/>
                <w:sz w:val="20"/>
                <w:szCs w:val="20"/>
              </w:rPr>
            </w:pPr>
            <w:r w:rsidRPr="002A262A">
              <w:rPr>
                <w:rFonts w:ascii="Arial Narrow" w:eastAsia="Calibri" w:hAnsi="Arial Narrow"/>
                <w:b/>
                <w:bCs/>
                <w:iCs/>
                <w:sz w:val="20"/>
                <w:szCs w:val="20"/>
              </w:rPr>
              <w:t xml:space="preserve">Administrative Advice: </w:t>
            </w:r>
            <w:r w:rsidRPr="002A262A">
              <w:rPr>
                <w:rFonts w:ascii="Arial Narrow" w:eastAsia="Calibri" w:hAnsi="Arial Narrow"/>
                <w:bCs/>
                <w:iCs/>
                <w:sz w:val="20"/>
                <w:szCs w:val="20"/>
              </w:rPr>
              <w:t>No increase in the maximum number of repeats may be authorised.</w:t>
            </w:r>
          </w:p>
        </w:tc>
      </w:tr>
      <w:tr w:rsidR="00E21732" w:rsidRPr="002A262A" w14:paraId="4B456299" w14:textId="77777777" w:rsidTr="00FE1CAC">
        <w:trPr>
          <w:trHeight w:val="20"/>
        </w:trPr>
        <w:tc>
          <w:tcPr>
            <w:tcW w:w="1129" w:type="dxa"/>
          </w:tcPr>
          <w:p w14:paraId="1896DF6B" w14:textId="77777777" w:rsidR="00E21732" w:rsidRPr="002A262A" w:rsidRDefault="00E21732" w:rsidP="00FE1CAC">
            <w:pPr>
              <w:jc w:val="center"/>
              <w:rPr>
                <w:rFonts w:ascii="Arial Narrow" w:eastAsia="Calibri" w:hAnsi="Arial Narrow"/>
                <w:bCs/>
                <w:sz w:val="20"/>
                <w:szCs w:val="20"/>
              </w:rPr>
            </w:pPr>
            <w:r w:rsidRPr="002A262A">
              <w:rPr>
                <w:rFonts w:ascii="Arial Narrow" w:eastAsia="Calibri" w:hAnsi="Arial Narrow"/>
                <w:bCs/>
                <w:sz w:val="20"/>
                <w:szCs w:val="20"/>
              </w:rPr>
              <w:t>7607</w:t>
            </w:r>
          </w:p>
        </w:tc>
        <w:tc>
          <w:tcPr>
            <w:tcW w:w="7888" w:type="dxa"/>
            <w:gridSpan w:val="6"/>
          </w:tcPr>
          <w:p w14:paraId="6F05C437" w14:textId="77777777" w:rsidR="00E21732" w:rsidRPr="002A262A" w:rsidRDefault="00E21732" w:rsidP="00FE1CAC">
            <w:pPr>
              <w:ind w:left="-57"/>
              <w:rPr>
                <w:rFonts w:ascii="Arial Narrow" w:eastAsia="Calibri" w:hAnsi="Arial Narrow"/>
                <w:iCs/>
                <w:sz w:val="20"/>
                <w:szCs w:val="20"/>
              </w:rPr>
            </w:pPr>
            <w:r w:rsidRPr="002A262A">
              <w:rPr>
                <w:rFonts w:ascii="Arial Narrow" w:eastAsia="Calibri" w:hAnsi="Arial Narrow"/>
                <w:b/>
                <w:bCs/>
                <w:iCs/>
                <w:sz w:val="20"/>
                <w:szCs w:val="20"/>
              </w:rPr>
              <w:t xml:space="preserve">Administrative Advice: </w:t>
            </w:r>
            <w:r w:rsidRPr="002A262A">
              <w:rPr>
                <w:rFonts w:ascii="Arial Narrow" w:eastAsia="Calibri" w:hAnsi="Arial Narrow"/>
                <w:bCs/>
                <w:iCs/>
                <w:sz w:val="20"/>
                <w:szCs w:val="20"/>
              </w:rPr>
              <w:t>No increase in the maximum quantity or number of units may be authorised.</w:t>
            </w:r>
          </w:p>
        </w:tc>
      </w:tr>
      <w:tr w:rsidR="00E21732" w:rsidRPr="002A262A" w14:paraId="20BF6E3C" w14:textId="77777777" w:rsidTr="00FE1CAC">
        <w:trPr>
          <w:trHeight w:val="20"/>
        </w:trPr>
        <w:tc>
          <w:tcPr>
            <w:tcW w:w="1129" w:type="dxa"/>
          </w:tcPr>
          <w:p w14:paraId="3FE461B9" w14:textId="77777777" w:rsidR="00E21732" w:rsidRPr="002A262A" w:rsidRDefault="00E21732" w:rsidP="00FE1CAC">
            <w:pPr>
              <w:jc w:val="center"/>
              <w:rPr>
                <w:rFonts w:ascii="Arial Narrow" w:eastAsia="Calibri" w:hAnsi="Arial Narrow"/>
                <w:b/>
                <w:sz w:val="20"/>
                <w:szCs w:val="20"/>
              </w:rPr>
            </w:pPr>
            <w:r w:rsidRPr="002A262A">
              <w:rPr>
                <w:rFonts w:ascii="Arial Narrow" w:hAnsi="Arial Narrow"/>
                <w:sz w:val="20"/>
                <w:szCs w:val="20"/>
              </w:rPr>
              <w:t>7608</w:t>
            </w:r>
          </w:p>
        </w:tc>
        <w:tc>
          <w:tcPr>
            <w:tcW w:w="7888" w:type="dxa"/>
            <w:gridSpan w:val="6"/>
          </w:tcPr>
          <w:p w14:paraId="3785BD64" w14:textId="77777777" w:rsidR="00E21732" w:rsidRPr="002A262A" w:rsidRDefault="00E21732" w:rsidP="00FE1CAC">
            <w:pPr>
              <w:ind w:left="-57"/>
              <w:rPr>
                <w:rFonts w:ascii="Arial Narrow" w:eastAsia="Calibri" w:hAnsi="Arial Narrow"/>
                <w:b/>
                <w:bCs/>
                <w:sz w:val="20"/>
                <w:szCs w:val="20"/>
              </w:rPr>
            </w:pPr>
            <w:r w:rsidRPr="002A262A">
              <w:rPr>
                <w:rFonts w:ascii="Arial Narrow" w:eastAsia="Calibri" w:hAnsi="Arial Narrow"/>
                <w:b/>
                <w:bCs/>
                <w:sz w:val="20"/>
                <w:szCs w:val="20"/>
              </w:rPr>
              <w:t xml:space="preserve">Administrative Advice: </w:t>
            </w:r>
            <w:r w:rsidRPr="002A262A">
              <w:rPr>
                <w:rFonts w:ascii="Arial Narrow" w:eastAsia="Calibri" w:hAnsi="Arial Narrow"/>
                <w:sz w:val="20"/>
                <w:szCs w:val="20"/>
              </w:rPr>
              <w:t>Special Pricing Arrangements apply.</w:t>
            </w:r>
          </w:p>
        </w:tc>
      </w:tr>
      <w:tr w:rsidR="00E21732" w:rsidRPr="002A262A" w14:paraId="005681B2" w14:textId="77777777" w:rsidTr="00FE1CAC">
        <w:trPr>
          <w:trHeight w:val="20"/>
        </w:trPr>
        <w:tc>
          <w:tcPr>
            <w:tcW w:w="1129" w:type="dxa"/>
          </w:tcPr>
          <w:p w14:paraId="6AF4C385" w14:textId="77777777" w:rsidR="00E21732" w:rsidRPr="002A262A" w:rsidRDefault="00E21732" w:rsidP="00FE1CAC">
            <w:pPr>
              <w:jc w:val="center"/>
              <w:rPr>
                <w:rFonts w:ascii="Arial Narrow" w:hAnsi="Arial Narrow"/>
                <w:sz w:val="20"/>
                <w:szCs w:val="20"/>
              </w:rPr>
            </w:pPr>
          </w:p>
        </w:tc>
        <w:tc>
          <w:tcPr>
            <w:tcW w:w="7888" w:type="dxa"/>
            <w:gridSpan w:val="6"/>
          </w:tcPr>
          <w:p w14:paraId="4AFDA958" w14:textId="77777777" w:rsidR="00E21732" w:rsidRPr="002A262A" w:rsidRDefault="00E21732" w:rsidP="00FE1CAC">
            <w:pPr>
              <w:rPr>
                <w:rFonts w:ascii="Arial Narrow" w:eastAsia="Calibri" w:hAnsi="Arial Narrow"/>
                <w:b/>
                <w:bCs/>
                <w:sz w:val="20"/>
                <w:szCs w:val="20"/>
              </w:rPr>
            </w:pPr>
          </w:p>
        </w:tc>
      </w:tr>
      <w:tr w:rsidR="00E21732" w:rsidRPr="002A262A" w14:paraId="262B1F1C" w14:textId="77777777" w:rsidTr="00FE1CAC">
        <w:trPr>
          <w:trHeight w:val="20"/>
        </w:trPr>
        <w:tc>
          <w:tcPr>
            <w:tcW w:w="9017" w:type="dxa"/>
            <w:gridSpan w:val="7"/>
          </w:tcPr>
          <w:p w14:paraId="11BA2C49" w14:textId="2793C6EB" w:rsidR="00E21732" w:rsidRPr="002A262A" w:rsidRDefault="00E21732" w:rsidP="00FE1CAC">
            <w:pPr>
              <w:ind w:left="-57"/>
              <w:rPr>
                <w:rFonts w:ascii="Arial Narrow" w:eastAsia="Calibri" w:hAnsi="Arial Narrow"/>
                <w:b/>
                <w:sz w:val="20"/>
                <w:szCs w:val="20"/>
              </w:rPr>
            </w:pPr>
            <w:r w:rsidRPr="002A262A">
              <w:rPr>
                <w:rFonts w:ascii="Arial Narrow" w:eastAsia="Calibri" w:hAnsi="Arial Narrow"/>
                <w:b/>
                <w:sz w:val="20"/>
                <w:szCs w:val="20"/>
              </w:rPr>
              <w:t xml:space="preserve">Restriction Summary [new 1] / Authority Required </w:t>
            </w:r>
          </w:p>
          <w:p w14:paraId="2E419CDA" w14:textId="77777777" w:rsidR="00E21732" w:rsidRPr="002A262A" w:rsidRDefault="00E21732" w:rsidP="00FE1CAC">
            <w:pPr>
              <w:ind w:left="-57"/>
              <w:rPr>
                <w:rFonts w:ascii="Arial Narrow" w:eastAsia="Calibri" w:hAnsi="Arial Narrow"/>
                <w:b/>
                <w:bCs/>
                <w:sz w:val="20"/>
                <w:szCs w:val="20"/>
              </w:rPr>
            </w:pPr>
          </w:p>
        </w:tc>
      </w:tr>
      <w:tr w:rsidR="00E21732" w:rsidRPr="002A262A" w14:paraId="103EDEBD" w14:textId="77777777" w:rsidTr="00FE1CAC">
        <w:trPr>
          <w:trHeight w:val="20"/>
        </w:trPr>
        <w:tc>
          <w:tcPr>
            <w:tcW w:w="1129" w:type="dxa"/>
          </w:tcPr>
          <w:p w14:paraId="5F553EE6" w14:textId="6B42E5CF" w:rsidR="00E21732" w:rsidRPr="002A262A" w:rsidRDefault="00E21732" w:rsidP="00FE1CAC">
            <w:pPr>
              <w:jc w:val="center"/>
              <w:rPr>
                <w:rFonts w:ascii="Arial Narrow" w:eastAsia="Calibri" w:hAnsi="Arial Narrow"/>
                <w:sz w:val="20"/>
                <w:szCs w:val="20"/>
              </w:rPr>
            </w:pPr>
          </w:p>
        </w:tc>
        <w:tc>
          <w:tcPr>
            <w:tcW w:w="7888" w:type="dxa"/>
            <w:gridSpan w:val="6"/>
            <w:hideMark/>
          </w:tcPr>
          <w:p w14:paraId="645AF391"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Indication:</w:t>
            </w:r>
            <w:r w:rsidRPr="002A262A">
              <w:rPr>
                <w:rFonts w:ascii="Arial Narrow" w:eastAsia="Calibri" w:hAnsi="Arial Narrow"/>
                <w:sz w:val="20"/>
                <w:szCs w:val="20"/>
              </w:rPr>
              <w:t xml:space="preserve"> </w:t>
            </w:r>
            <w:r w:rsidRPr="002A262A">
              <w:rPr>
                <w:rFonts w:ascii="Arial Narrow" w:eastAsia="Calibri" w:hAnsi="Arial Narrow" w:cs="Calibri"/>
                <w:sz w:val="20"/>
                <w:szCs w:val="20"/>
              </w:rPr>
              <w:t>Transthyretin amyloid cardiomyopathy</w:t>
            </w:r>
          </w:p>
        </w:tc>
      </w:tr>
      <w:tr w:rsidR="00E21732" w:rsidRPr="002A262A" w14:paraId="6E841DE5" w14:textId="77777777" w:rsidTr="00FE1CAC">
        <w:trPr>
          <w:trHeight w:val="20"/>
        </w:trPr>
        <w:tc>
          <w:tcPr>
            <w:tcW w:w="1129" w:type="dxa"/>
          </w:tcPr>
          <w:p w14:paraId="56F3C310" w14:textId="77777777" w:rsidR="00E21732" w:rsidRPr="002A262A" w:rsidRDefault="00E21732" w:rsidP="00FE1CAC">
            <w:pPr>
              <w:jc w:val="center"/>
              <w:rPr>
                <w:rFonts w:ascii="Arial Narrow" w:eastAsia="Calibri" w:hAnsi="Arial Narrow"/>
                <w:sz w:val="20"/>
                <w:szCs w:val="20"/>
              </w:rPr>
            </w:pPr>
          </w:p>
        </w:tc>
        <w:tc>
          <w:tcPr>
            <w:tcW w:w="7888" w:type="dxa"/>
            <w:gridSpan w:val="6"/>
          </w:tcPr>
          <w:p w14:paraId="608F24D0" w14:textId="77777777" w:rsidR="00E21732" w:rsidRPr="002A262A" w:rsidRDefault="00E21732" w:rsidP="00FE1CAC">
            <w:pPr>
              <w:ind w:left="-57"/>
              <w:rPr>
                <w:rFonts w:ascii="Arial Narrow" w:eastAsia="Calibri" w:hAnsi="Arial Narrow"/>
                <w:b/>
                <w:bCs/>
                <w:sz w:val="20"/>
                <w:szCs w:val="20"/>
              </w:rPr>
            </w:pPr>
          </w:p>
        </w:tc>
      </w:tr>
      <w:tr w:rsidR="00E21732" w:rsidRPr="002A262A" w14:paraId="3C67BE85" w14:textId="77777777" w:rsidTr="00FE1CAC">
        <w:trPr>
          <w:trHeight w:val="20"/>
        </w:trPr>
        <w:tc>
          <w:tcPr>
            <w:tcW w:w="1129" w:type="dxa"/>
          </w:tcPr>
          <w:p w14:paraId="5D7BCE54" w14:textId="77777777" w:rsidR="00E21732" w:rsidRPr="002A262A" w:rsidRDefault="00E21732" w:rsidP="00FE1CAC">
            <w:pPr>
              <w:jc w:val="center"/>
              <w:rPr>
                <w:rFonts w:ascii="Arial Narrow" w:eastAsia="Calibri" w:hAnsi="Arial Narrow"/>
                <w:sz w:val="20"/>
                <w:szCs w:val="20"/>
              </w:rPr>
            </w:pPr>
          </w:p>
        </w:tc>
        <w:tc>
          <w:tcPr>
            <w:tcW w:w="7888" w:type="dxa"/>
            <w:gridSpan w:val="6"/>
            <w:hideMark/>
          </w:tcPr>
          <w:p w14:paraId="71A75B55"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Treatment Phase:</w:t>
            </w:r>
            <w:r w:rsidRPr="002A262A">
              <w:rPr>
                <w:rFonts w:ascii="Arial Narrow" w:eastAsia="Calibri" w:hAnsi="Arial Narrow"/>
                <w:sz w:val="20"/>
                <w:szCs w:val="20"/>
              </w:rPr>
              <w:t xml:space="preserve"> </w:t>
            </w:r>
            <w:r w:rsidRPr="002A262A">
              <w:rPr>
                <w:rFonts w:ascii="Arial Narrow" w:eastAsia="Calibri" w:hAnsi="Arial Narrow" w:cs="Calibri"/>
                <w:sz w:val="20"/>
                <w:szCs w:val="20"/>
              </w:rPr>
              <w:t>First PBS-subsidised prescription for this drug</w:t>
            </w:r>
          </w:p>
        </w:tc>
      </w:tr>
      <w:tr w:rsidR="00E21732" w:rsidRPr="002A262A" w14:paraId="548BBF3D" w14:textId="77777777" w:rsidTr="00FE1CAC">
        <w:trPr>
          <w:trHeight w:val="20"/>
        </w:trPr>
        <w:tc>
          <w:tcPr>
            <w:tcW w:w="1129" w:type="dxa"/>
          </w:tcPr>
          <w:p w14:paraId="7304CADB" w14:textId="77777777" w:rsidR="00E21732" w:rsidRPr="002A262A" w:rsidRDefault="00E21732" w:rsidP="00FE1CAC">
            <w:pPr>
              <w:jc w:val="center"/>
              <w:rPr>
                <w:rFonts w:ascii="Arial Narrow" w:eastAsia="Calibri" w:hAnsi="Arial Narrow"/>
                <w:sz w:val="20"/>
                <w:szCs w:val="20"/>
              </w:rPr>
            </w:pPr>
          </w:p>
        </w:tc>
        <w:tc>
          <w:tcPr>
            <w:tcW w:w="7888" w:type="dxa"/>
            <w:gridSpan w:val="6"/>
          </w:tcPr>
          <w:p w14:paraId="19E72BE5" w14:textId="77777777" w:rsidR="00E21732" w:rsidRPr="002A262A" w:rsidRDefault="00E21732" w:rsidP="00FE1CAC">
            <w:pPr>
              <w:ind w:left="-57"/>
              <w:rPr>
                <w:rFonts w:ascii="Arial Narrow" w:eastAsia="Calibri" w:hAnsi="Arial Narrow"/>
                <w:b/>
                <w:bCs/>
                <w:sz w:val="20"/>
                <w:szCs w:val="20"/>
              </w:rPr>
            </w:pPr>
          </w:p>
        </w:tc>
      </w:tr>
      <w:tr w:rsidR="00E21732" w:rsidRPr="002A262A" w14:paraId="3C69508F" w14:textId="77777777" w:rsidTr="00FE1CAC">
        <w:trPr>
          <w:trHeight w:val="20"/>
        </w:trPr>
        <w:tc>
          <w:tcPr>
            <w:tcW w:w="1129" w:type="dxa"/>
          </w:tcPr>
          <w:p w14:paraId="10347934" w14:textId="00771822" w:rsidR="00E21732" w:rsidRPr="002A262A" w:rsidRDefault="00E21732" w:rsidP="00FE1CAC">
            <w:pPr>
              <w:jc w:val="center"/>
              <w:rPr>
                <w:rFonts w:ascii="Arial Narrow" w:eastAsia="Calibri" w:hAnsi="Arial Narrow"/>
                <w:sz w:val="20"/>
                <w:szCs w:val="20"/>
              </w:rPr>
            </w:pPr>
          </w:p>
        </w:tc>
        <w:tc>
          <w:tcPr>
            <w:tcW w:w="7888" w:type="dxa"/>
            <w:gridSpan w:val="6"/>
            <w:hideMark/>
          </w:tcPr>
          <w:p w14:paraId="481A84E6"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 xml:space="preserve">Clinical criteria: </w:t>
            </w:r>
          </w:p>
        </w:tc>
      </w:tr>
      <w:tr w:rsidR="00E21732" w:rsidRPr="002A262A" w14:paraId="1C1C2CCA" w14:textId="77777777" w:rsidTr="00FE1CAC">
        <w:trPr>
          <w:trHeight w:val="20"/>
        </w:trPr>
        <w:tc>
          <w:tcPr>
            <w:tcW w:w="1129" w:type="dxa"/>
          </w:tcPr>
          <w:p w14:paraId="2F445218" w14:textId="73E59369" w:rsidR="00E21732" w:rsidRPr="002A262A" w:rsidRDefault="00E21732" w:rsidP="00FE1CAC">
            <w:pPr>
              <w:jc w:val="center"/>
              <w:rPr>
                <w:rFonts w:ascii="Arial Narrow" w:eastAsia="Calibri" w:hAnsi="Arial Narrow"/>
                <w:sz w:val="20"/>
                <w:szCs w:val="20"/>
              </w:rPr>
            </w:pPr>
          </w:p>
        </w:tc>
        <w:tc>
          <w:tcPr>
            <w:tcW w:w="7888" w:type="dxa"/>
            <w:gridSpan w:val="6"/>
          </w:tcPr>
          <w:p w14:paraId="6B0E3BE2" w14:textId="77777777" w:rsidR="00E21732" w:rsidRPr="002A262A" w:rsidRDefault="00E21732" w:rsidP="00FE1CAC">
            <w:pPr>
              <w:ind w:left="-57"/>
              <w:rPr>
                <w:rFonts w:ascii="Arial Narrow" w:eastAsia="Calibri" w:hAnsi="Arial Narrow" w:cs="Calibri"/>
                <w:bCs/>
                <w:strike/>
                <w:sz w:val="20"/>
                <w:szCs w:val="20"/>
              </w:rPr>
            </w:pPr>
            <w:r w:rsidRPr="002A262A">
              <w:rPr>
                <w:rFonts w:ascii="Arial Narrow" w:hAnsi="Arial Narrow"/>
                <w:sz w:val="20"/>
                <w:szCs w:val="20"/>
              </w:rPr>
              <w:t>The treatment must be for wild-type transthyretin-mediated amyloid cardiomyopathy, with documented evidence of transthyretin precursor protein present; or</w:t>
            </w:r>
          </w:p>
        </w:tc>
      </w:tr>
      <w:tr w:rsidR="00E21732" w:rsidRPr="002A262A" w14:paraId="35502004" w14:textId="77777777" w:rsidTr="00FE1CAC">
        <w:trPr>
          <w:trHeight w:val="20"/>
        </w:trPr>
        <w:tc>
          <w:tcPr>
            <w:tcW w:w="1129" w:type="dxa"/>
          </w:tcPr>
          <w:p w14:paraId="7FEEF335" w14:textId="495512CA" w:rsidR="00E21732" w:rsidRPr="002A262A" w:rsidRDefault="00E21732" w:rsidP="00FE1CAC">
            <w:pPr>
              <w:jc w:val="center"/>
              <w:rPr>
                <w:rFonts w:ascii="Arial Narrow" w:eastAsia="Calibri" w:hAnsi="Arial Narrow"/>
                <w:sz w:val="20"/>
                <w:szCs w:val="20"/>
              </w:rPr>
            </w:pPr>
          </w:p>
        </w:tc>
        <w:tc>
          <w:tcPr>
            <w:tcW w:w="7888" w:type="dxa"/>
            <w:gridSpan w:val="6"/>
          </w:tcPr>
          <w:p w14:paraId="0CF53071" w14:textId="77777777" w:rsidR="00E21732" w:rsidRPr="002A262A" w:rsidRDefault="00E21732" w:rsidP="00FE1CAC">
            <w:pPr>
              <w:ind w:left="-57"/>
              <w:rPr>
                <w:rFonts w:ascii="Arial Narrow" w:eastAsia="Calibri" w:hAnsi="Arial Narrow" w:cs="Calibri"/>
                <w:bCs/>
                <w:sz w:val="20"/>
                <w:szCs w:val="20"/>
              </w:rPr>
            </w:pPr>
            <w:r w:rsidRPr="002A262A">
              <w:rPr>
                <w:rFonts w:ascii="Arial Narrow" w:eastAsia="Calibri" w:hAnsi="Arial Narrow" w:cs="Arial Narrow"/>
                <w:sz w:val="20"/>
                <w:szCs w:val="20"/>
              </w:rPr>
              <w:t>The treatment must be for variant transthyretin-mediated (also known as hereditary transthyretin-mediated) amyloid cardiomyopathy, with documented evidence of transthyretin precursor protein present</w:t>
            </w:r>
          </w:p>
        </w:tc>
      </w:tr>
      <w:tr w:rsidR="00E21732" w:rsidRPr="002A262A" w14:paraId="5A2474BC" w14:textId="77777777" w:rsidTr="00FE1CAC">
        <w:trPr>
          <w:trHeight w:val="20"/>
        </w:trPr>
        <w:tc>
          <w:tcPr>
            <w:tcW w:w="1129" w:type="dxa"/>
          </w:tcPr>
          <w:p w14:paraId="5DE8FF6F" w14:textId="77777777" w:rsidR="00E21732" w:rsidRPr="002A262A" w:rsidRDefault="00E21732" w:rsidP="00FE1CAC">
            <w:pPr>
              <w:jc w:val="center"/>
              <w:rPr>
                <w:rFonts w:ascii="Arial Narrow" w:eastAsia="Calibri" w:hAnsi="Arial Narrow"/>
                <w:sz w:val="20"/>
                <w:szCs w:val="20"/>
              </w:rPr>
            </w:pPr>
          </w:p>
        </w:tc>
        <w:tc>
          <w:tcPr>
            <w:tcW w:w="7888" w:type="dxa"/>
            <w:gridSpan w:val="6"/>
            <w:hideMark/>
          </w:tcPr>
          <w:p w14:paraId="4E9C3830"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AND</w:t>
            </w:r>
          </w:p>
        </w:tc>
      </w:tr>
      <w:tr w:rsidR="00E21732" w:rsidRPr="002A262A" w14:paraId="2E6CA33C" w14:textId="77777777" w:rsidTr="00FE1CAC">
        <w:trPr>
          <w:trHeight w:val="20"/>
        </w:trPr>
        <w:tc>
          <w:tcPr>
            <w:tcW w:w="1129" w:type="dxa"/>
          </w:tcPr>
          <w:p w14:paraId="439F2E55" w14:textId="5FBEA71F" w:rsidR="00E21732" w:rsidRPr="002A262A" w:rsidRDefault="00E21732" w:rsidP="00FE1CAC">
            <w:pPr>
              <w:jc w:val="center"/>
              <w:rPr>
                <w:rFonts w:ascii="Arial Narrow" w:eastAsia="Calibri" w:hAnsi="Arial Narrow"/>
                <w:sz w:val="20"/>
                <w:szCs w:val="20"/>
              </w:rPr>
            </w:pPr>
          </w:p>
        </w:tc>
        <w:tc>
          <w:tcPr>
            <w:tcW w:w="7888" w:type="dxa"/>
            <w:gridSpan w:val="6"/>
            <w:hideMark/>
          </w:tcPr>
          <w:p w14:paraId="4CC14B25"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Clinical criteria:</w:t>
            </w:r>
          </w:p>
        </w:tc>
      </w:tr>
      <w:tr w:rsidR="00E21732" w:rsidRPr="002A262A" w14:paraId="37D04E2B" w14:textId="77777777" w:rsidTr="00FE1CAC">
        <w:trPr>
          <w:trHeight w:val="20"/>
        </w:trPr>
        <w:tc>
          <w:tcPr>
            <w:tcW w:w="1129" w:type="dxa"/>
          </w:tcPr>
          <w:p w14:paraId="18BEF1A4" w14:textId="301E4500" w:rsidR="00E21732" w:rsidRPr="002A262A" w:rsidRDefault="00E21732" w:rsidP="00FE1CAC">
            <w:pPr>
              <w:jc w:val="center"/>
              <w:rPr>
                <w:rFonts w:ascii="Arial Narrow" w:eastAsia="Calibri" w:hAnsi="Arial Narrow"/>
                <w:sz w:val="20"/>
                <w:szCs w:val="20"/>
              </w:rPr>
            </w:pPr>
          </w:p>
        </w:tc>
        <w:tc>
          <w:tcPr>
            <w:tcW w:w="7888" w:type="dxa"/>
            <w:gridSpan w:val="6"/>
          </w:tcPr>
          <w:p w14:paraId="7048E6EF" w14:textId="77777777" w:rsidR="00E21732" w:rsidRPr="002A262A" w:rsidRDefault="00E21732" w:rsidP="00FE1CAC">
            <w:pPr>
              <w:ind w:left="-57"/>
              <w:rPr>
                <w:rFonts w:ascii="Arial Narrow" w:eastAsia="Calibri" w:hAnsi="Arial Narrow" w:cs="Calibri"/>
                <w:sz w:val="20"/>
                <w:szCs w:val="20"/>
              </w:rPr>
            </w:pPr>
            <w:r w:rsidRPr="002A262A">
              <w:rPr>
                <w:rFonts w:ascii="Arial Narrow" w:eastAsia="Calibri" w:hAnsi="Arial Narrow" w:cs="Calibri"/>
                <w:sz w:val="20"/>
                <w:szCs w:val="20"/>
              </w:rPr>
              <w:t>Patient must have experienced at least one episode of hospitalisation that was a direct result of heart failure; or</w:t>
            </w:r>
          </w:p>
        </w:tc>
      </w:tr>
      <w:tr w:rsidR="00E21732" w:rsidRPr="002A262A" w14:paraId="54BBE4E5" w14:textId="77777777" w:rsidTr="00FE1CAC">
        <w:trPr>
          <w:trHeight w:val="20"/>
        </w:trPr>
        <w:tc>
          <w:tcPr>
            <w:tcW w:w="1129" w:type="dxa"/>
          </w:tcPr>
          <w:p w14:paraId="4D539E76" w14:textId="1449EAB1" w:rsidR="00E21732" w:rsidRPr="002A262A" w:rsidRDefault="00E21732" w:rsidP="00FE1CAC">
            <w:pPr>
              <w:jc w:val="center"/>
              <w:rPr>
                <w:rFonts w:ascii="Arial Narrow" w:eastAsia="Calibri" w:hAnsi="Arial Narrow"/>
                <w:sz w:val="20"/>
                <w:szCs w:val="20"/>
              </w:rPr>
            </w:pPr>
          </w:p>
        </w:tc>
        <w:tc>
          <w:tcPr>
            <w:tcW w:w="7888" w:type="dxa"/>
            <w:gridSpan w:val="6"/>
          </w:tcPr>
          <w:p w14:paraId="1BF302B7" w14:textId="77777777" w:rsidR="00E21732" w:rsidRPr="002A262A" w:rsidRDefault="00E21732" w:rsidP="00FE1CAC">
            <w:pPr>
              <w:ind w:left="-57"/>
              <w:rPr>
                <w:rFonts w:ascii="Arial Narrow" w:eastAsia="Calibri" w:hAnsi="Arial Narrow" w:cs="Calibri"/>
                <w:sz w:val="20"/>
                <w:szCs w:val="20"/>
              </w:rPr>
            </w:pPr>
            <w:r w:rsidRPr="002A262A">
              <w:rPr>
                <w:rFonts w:ascii="Arial Narrow" w:eastAsia="Calibri" w:hAnsi="Arial Narrow" w:cs="Calibri"/>
                <w:sz w:val="20"/>
                <w:szCs w:val="20"/>
              </w:rPr>
              <w:t>Patient must have clinical evidence of heart failure without hospitalisation that required treatment with a diuretic for improvement</w:t>
            </w:r>
          </w:p>
        </w:tc>
      </w:tr>
      <w:tr w:rsidR="00E21732" w:rsidRPr="002A262A" w14:paraId="4294A2FD" w14:textId="77777777" w:rsidTr="00FE1CAC">
        <w:trPr>
          <w:trHeight w:val="20"/>
        </w:trPr>
        <w:tc>
          <w:tcPr>
            <w:tcW w:w="1129" w:type="dxa"/>
          </w:tcPr>
          <w:p w14:paraId="47490ACB" w14:textId="77777777" w:rsidR="00E21732" w:rsidRPr="002A262A" w:rsidRDefault="00E21732" w:rsidP="00FE1CAC">
            <w:pPr>
              <w:jc w:val="center"/>
              <w:rPr>
                <w:rFonts w:ascii="Arial Narrow" w:eastAsia="Calibri" w:hAnsi="Arial Narrow"/>
                <w:sz w:val="20"/>
                <w:szCs w:val="20"/>
              </w:rPr>
            </w:pPr>
          </w:p>
        </w:tc>
        <w:tc>
          <w:tcPr>
            <w:tcW w:w="7888" w:type="dxa"/>
            <w:gridSpan w:val="6"/>
            <w:hideMark/>
          </w:tcPr>
          <w:p w14:paraId="582FF346"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AND</w:t>
            </w:r>
          </w:p>
        </w:tc>
      </w:tr>
      <w:tr w:rsidR="00E21732" w:rsidRPr="002A262A" w14:paraId="3D60F7B9" w14:textId="77777777" w:rsidTr="00FE1CAC">
        <w:trPr>
          <w:trHeight w:val="20"/>
        </w:trPr>
        <w:tc>
          <w:tcPr>
            <w:tcW w:w="1129" w:type="dxa"/>
          </w:tcPr>
          <w:p w14:paraId="5B3DA697" w14:textId="72BD4C08" w:rsidR="00E21732" w:rsidRPr="002A262A" w:rsidRDefault="00E21732" w:rsidP="00FE1CAC">
            <w:pPr>
              <w:jc w:val="center"/>
              <w:rPr>
                <w:rFonts w:ascii="Arial Narrow" w:eastAsia="Calibri" w:hAnsi="Arial Narrow"/>
                <w:sz w:val="20"/>
                <w:szCs w:val="20"/>
              </w:rPr>
            </w:pPr>
          </w:p>
        </w:tc>
        <w:tc>
          <w:tcPr>
            <w:tcW w:w="7888" w:type="dxa"/>
            <w:gridSpan w:val="6"/>
            <w:hideMark/>
          </w:tcPr>
          <w:p w14:paraId="672CD129"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Clinical criteria:</w:t>
            </w:r>
          </w:p>
        </w:tc>
      </w:tr>
      <w:tr w:rsidR="00E21732" w:rsidRPr="002A262A" w14:paraId="6CE2D6B6" w14:textId="77777777" w:rsidTr="00FE1CAC">
        <w:trPr>
          <w:trHeight w:val="20"/>
        </w:trPr>
        <w:tc>
          <w:tcPr>
            <w:tcW w:w="1129" w:type="dxa"/>
          </w:tcPr>
          <w:p w14:paraId="4C0C4847" w14:textId="17B32979" w:rsidR="00E21732" w:rsidRPr="002A262A" w:rsidRDefault="00E21732" w:rsidP="00FE1CAC">
            <w:pPr>
              <w:jc w:val="center"/>
              <w:rPr>
                <w:rFonts w:ascii="Arial Narrow" w:eastAsia="Calibri" w:hAnsi="Arial Narrow"/>
                <w:sz w:val="20"/>
                <w:szCs w:val="20"/>
              </w:rPr>
            </w:pPr>
          </w:p>
        </w:tc>
        <w:tc>
          <w:tcPr>
            <w:tcW w:w="7888" w:type="dxa"/>
            <w:gridSpan w:val="6"/>
          </w:tcPr>
          <w:p w14:paraId="0E3D9DFE" w14:textId="77777777" w:rsidR="00E21732" w:rsidRPr="002A262A" w:rsidRDefault="00E21732" w:rsidP="00FE1CAC">
            <w:pPr>
              <w:ind w:left="-57"/>
              <w:rPr>
                <w:rFonts w:ascii="Arial Narrow" w:eastAsia="Calibri" w:hAnsi="Arial Narrow" w:cs="Calibri"/>
                <w:bCs/>
                <w:sz w:val="20"/>
                <w:szCs w:val="20"/>
              </w:rPr>
            </w:pPr>
            <w:r w:rsidRPr="002A262A">
              <w:rPr>
                <w:rFonts w:ascii="Arial Narrow" w:eastAsia="Calibri" w:hAnsi="Arial Narrow" w:cs="Arial Narrow"/>
                <w:sz w:val="20"/>
                <w:szCs w:val="20"/>
              </w:rPr>
              <w:t>Patient must have/have had New York Heart Association class I heart failure at the time of commencing this drug; or</w:t>
            </w:r>
          </w:p>
        </w:tc>
      </w:tr>
      <w:tr w:rsidR="00E21732" w:rsidRPr="002A262A" w14:paraId="1F79C631" w14:textId="77777777" w:rsidTr="00FE1CAC">
        <w:trPr>
          <w:trHeight w:val="20"/>
        </w:trPr>
        <w:tc>
          <w:tcPr>
            <w:tcW w:w="1129" w:type="dxa"/>
          </w:tcPr>
          <w:p w14:paraId="55540238" w14:textId="4F4ABA5B" w:rsidR="00E21732" w:rsidRPr="002A262A" w:rsidRDefault="00E21732" w:rsidP="00FE1CAC">
            <w:pPr>
              <w:jc w:val="center"/>
              <w:rPr>
                <w:rFonts w:ascii="Arial Narrow" w:eastAsia="Calibri" w:hAnsi="Arial Narrow"/>
                <w:sz w:val="20"/>
                <w:szCs w:val="20"/>
              </w:rPr>
            </w:pPr>
          </w:p>
        </w:tc>
        <w:tc>
          <w:tcPr>
            <w:tcW w:w="7888" w:type="dxa"/>
            <w:gridSpan w:val="6"/>
          </w:tcPr>
          <w:p w14:paraId="12E61329" w14:textId="77777777" w:rsidR="00E21732" w:rsidRPr="002A262A" w:rsidRDefault="00E21732" w:rsidP="00FE1CAC">
            <w:pPr>
              <w:ind w:left="-57"/>
              <w:rPr>
                <w:rFonts w:ascii="Arial Narrow" w:eastAsia="Calibri" w:hAnsi="Arial Narrow" w:cs="Calibri"/>
                <w:bCs/>
                <w:sz w:val="20"/>
                <w:szCs w:val="20"/>
              </w:rPr>
            </w:pPr>
            <w:r w:rsidRPr="002A262A">
              <w:rPr>
                <w:rFonts w:ascii="Arial Narrow" w:eastAsia="Calibri" w:hAnsi="Arial Narrow" w:cs="Arial Narrow"/>
                <w:sz w:val="20"/>
                <w:szCs w:val="20"/>
              </w:rPr>
              <w:t>Patient must have/have had New York Heart Association class II heart failure at the time of commencing this drug</w:t>
            </w:r>
          </w:p>
        </w:tc>
      </w:tr>
      <w:tr w:rsidR="00E21732" w:rsidRPr="002A262A" w14:paraId="6C7DB2E8" w14:textId="77777777" w:rsidTr="00FE1CAC">
        <w:trPr>
          <w:trHeight w:val="20"/>
        </w:trPr>
        <w:tc>
          <w:tcPr>
            <w:tcW w:w="1129" w:type="dxa"/>
          </w:tcPr>
          <w:p w14:paraId="1DB5056B" w14:textId="77777777" w:rsidR="00E21732" w:rsidRPr="002A262A" w:rsidRDefault="00E21732" w:rsidP="00FE1CAC">
            <w:pPr>
              <w:jc w:val="center"/>
              <w:rPr>
                <w:rFonts w:ascii="Arial Narrow" w:eastAsia="Calibri" w:hAnsi="Arial Narrow"/>
                <w:sz w:val="20"/>
                <w:szCs w:val="20"/>
              </w:rPr>
            </w:pPr>
          </w:p>
        </w:tc>
        <w:tc>
          <w:tcPr>
            <w:tcW w:w="7888" w:type="dxa"/>
            <w:gridSpan w:val="6"/>
          </w:tcPr>
          <w:p w14:paraId="449D9584" w14:textId="77777777" w:rsidR="00E21732" w:rsidRPr="002A262A" w:rsidRDefault="00E21732" w:rsidP="00FE1CAC">
            <w:pPr>
              <w:ind w:left="-57"/>
              <w:rPr>
                <w:rFonts w:ascii="Arial Narrow" w:eastAsia="Calibri" w:hAnsi="Arial Narrow"/>
                <w:b/>
                <w:bCs/>
                <w:iCs/>
                <w:sz w:val="20"/>
                <w:szCs w:val="20"/>
              </w:rPr>
            </w:pPr>
            <w:r w:rsidRPr="002A262A">
              <w:rPr>
                <w:rFonts w:ascii="Arial Narrow" w:eastAsia="Calibri" w:hAnsi="Arial Narrow" w:cs="Calibri"/>
                <w:b/>
                <w:bCs/>
                <w:iCs/>
                <w:sz w:val="20"/>
                <w:szCs w:val="20"/>
              </w:rPr>
              <w:t>AND</w:t>
            </w:r>
          </w:p>
        </w:tc>
      </w:tr>
      <w:tr w:rsidR="00E21732" w:rsidRPr="002A262A" w14:paraId="0AF4F653" w14:textId="77777777" w:rsidTr="00FE1CAC">
        <w:trPr>
          <w:trHeight w:val="20"/>
        </w:trPr>
        <w:tc>
          <w:tcPr>
            <w:tcW w:w="1129" w:type="dxa"/>
          </w:tcPr>
          <w:p w14:paraId="2D4552D6" w14:textId="00DC2621" w:rsidR="00E21732" w:rsidRPr="002A262A" w:rsidRDefault="00E21732" w:rsidP="00FE1CAC">
            <w:pPr>
              <w:jc w:val="center"/>
              <w:rPr>
                <w:rFonts w:ascii="Arial Narrow" w:eastAsia="Calibri" w:hAnsi="Arial Narrow"/>
                <w:sz w:val="20"/>
                <w:szCs w:val="20"/>
              </w:rPr>
            </w:pPr>
          </w:p>
        </w:tc>
        <w:tc>
          <w:tcPr>
            <w:tcW w:w="7888" w:type="dxa"/>
            <w:gridSpan w:val="6"/>
          </w:tcPr>
          <w:p w14:paraId="5787AC97" w14:textId="77777777" w:rsidR="00E21732" w:rsidRPr="002A262A" w:rsidRDefault="00E21732" w:rsidP="00FE1CAC">
            <w:pPr>
              <w:ind w:left="-57"/>
              <w:rPr>
                <w:rFonts w:ascii="Arial Narrow" w:eastAsia="Calibri" w:hAnsi="Arial Narrow"/>
                <w:b/>
                <w:bCs/>
                <w:sz w:val="20"/>
                <w:szCs w:val="20"/>
              </w:rPr>
            </w:pPr>
            <w:r w:rsidRPr="002A262A">
              <w:rPr>
                <w:rFonts w:ascii="Arial Narrow" w:eastAsia="Calibri" w:hAnsi="Arial Narrow" w:cs="Calibri"/>
                <w:b/>
                <w:bCs/>
                <w:sz w:val="20"/>
                <w:szCs w:val="20"/>
              </w:rPr>
              <w:t>Clinical criteria:</w:t>
            </w:r>
            <w:r w:rsidRPr="002A262A">
              <w:rPr>
                <w:rFonts w:ascii="Arial Narrow" w:eastAsia="Calibri" w:hAnsi="Arial Narrow"/>
                <w:sz w:val="20"/>
                <w:szCs w:val="20"/>
              </w:rPr>
              <w:t xml:space="preserve"> </w:t>
            </w:r>
          </w:p>
        </w:tc>
      </w:tr>
      <w:tr w:rsidR="00E21732" w:rsidRPr="002A262A" w14:paraId="09E98C11" w14:textId="77777777" w:rsidTr="00FE1CAC">
        <w:trPr>
          <w:trHeight w:val="20"/>
        </w:trPr>
        <w:tc>
          <w:tcPr>
            <w:tcW w:w="1129" w:type="dxa"/>
          </w:tcPr>
          <w:p w14:paraId="729A7CFB" w14:textId="18AF7723" w:rsidR="00E21732" w:rsidRPr="002A262A" w:rsidRDefault="00E21732" w:rsidP="00FE1CAC">
            <w:pPr>
              <w:jc w:val="center"/>
              <w:rPr>
                <w:rFonts w:ascii="Arial Narrow" w:eastAsia="Calibri" w:hAnsi="Arial Narrow"/>
                <w:sz w:val="20"/>
                <w:szCs w:val="20"/>
              </w:rPr>
            </w:pPr>
          </w:p>
        </w:tc>
        <w:tc>
          <w:tcPr>
            <w:tcW w:w="7888" w:type="dxa"/>
            <w:gridSpan w:val="6"/>
          </w:tcPr>
          <w:p w14:paraId="2BB9972E" w14:textId="77777777" w:rsidR="00E21732" w:rsidRPr="002A262A" w:rsidRDefault="00E21732" w:rsidP="00FE1CAC">
            <w:pPr>
              <w:ind w:left="-57"/>
              <w:rPr>
                <w:rFonts w:ascii="Arial Narrow" w:eastAsia="Calibri" w:hAnsi="Arial Narrow"/>
                <w:b/>
                <w:bCs/>
                <w:sz w:val="20"/>
                <w:szCs w:val="20"/>
              </w:rPr>
            </w:pPr>
            <w:r w:rsidRPr="002A262A">
              <w:rPr>
                <w:rFonts w:ascii="Arial Narrow" w:eastAsia="Calibri" w:hAnsi="Arial Narrow" w:cs="Calibri"/>
                <w:bCs/>
                <w:sz w:val="20"/>
                <w:szCs w:val="20"/>
              </w:rPr>
              <w:t>Patient must have an end-diastolic interventricular septal wall thickness of at least 12 mm on imaging</w:t>
            </w:r>
          </w:p>
        </w:tc>
      </w:tr>
      <w:tr w:rsidR="00E21732" w:rsidRPr="002A262A" w14:paraId="6141FEDB" w14:textId="77777777" w:rsidTr="00FE1CAC">
        <w:trPr>
          <w:trHeight w:val="20"/>
        </w:trPr>
        <w:tc>
          <w:tcPr>
            <w:tcW w:w="1129" w:type="dxa"/>
          </w:tcPr>
          <w:p w14:paraId="5FAF1F2C" w14:textId="77777777" w:rsidR="00E21732" w:rsidRPr="002A262A" w:rsidRDefault="00E21732" w:rsidP="00FE1CAC">
            <w:pPr>
              <w:jc w:val="center"/>
              <w:rPr>
                <w:rFonts w:ascii="Arial Narrow" w:eastAsia="Calibri" w:hAnsi="Arial Narrow"/>
                <w:sz w:val="20"/>
                <w:szCs w:val="20"/>
              </w:rPr>
            </w:pPr>
          </w:p>
        </w:tc>
        <w:tc>
          <w:tcPr>
            <w:tcW w:w="7888" w:type="dxa"/>
            <w:gridSpan w:val="6"/>
          </w:tcPr>
          <w:p w14:paraId="5C4BC143" w14:textId="77777777" w:rsidR="00E21732" w:rsidRPr="002A262A" w:rsidRDefault="00E21732" w:rsidP="00FE1CAC">
            <w:pPr>
              <w:ind w:left="-57"/>
              <w:rPr>
                <w:rFonts w:ascii="Arial Narrow" w:eastAsia="Calibri" w:hAnsi="Arial Narrow" w:cs="Calibri"/>
                <w:bCs/>
                <w:sz w:val="20"/>
                <w:szCs w:val="20"/>
                <w:lang w:val="en-US"/>
              </w:rPr>
            </w:pPr>
            <w:r w:rsidRPr="002A262A">
              <w:rPr>
                <w:rFonts w:ascii="Arial Narrow" w:eastAsia="Calibri" w:hAnsi="Arial Narrow"/>
                <w:b/>
                <w:bCs/>
                <w:sz w:val="20"/>
                <w:szCs w:val="20"/>
              </w:rPr>
              <w:t>AND</w:t>
            </w:r>
          </w:p>
        </w:tc>
      </w:tr>
      <w:tr w:rsidR="00E21732" w:rsidRPr="002A262A" w14:paraId="080F7B37" w14:textId="77777777" w:rsidTr="00FE1CAC">
        <w:trPr>
          <w:trHeight w:val="20"/>
        </w:trPr>
        <w:tc>
          <w:tcPr>
            <w:tcW w:w="1129" w:type="dxa"/>
          </w:tcPr>
          <w:p w14:paraId="3BDAF764" w14:textId="1E7A4792" w:rsidR="00E21732" w:rsidRPr="002A262A" w:rsidRDefault="00E21732" w:rsidP="00FE1CAC">
            <w:pPr>
              <w:jc w:val="center"/>
              <w:rPr>
                <w:rFonts w:ascii="Arial Narrow" w:eastAsia="Calibri" w:hAnsi="Arial Narrow"/>
                <w:sz w:val="20"/>
                <w:szCs w:val="20"/>
              </w:rPr>
            </w:pPr>
          </w:p>
        </w:tc>
        <w:tc>
          <w:tcPr>
            <w:tcW w:w="7888" w:type="dxa"/>
            <w:gridSpan w:val="6"/>
          </w:tcPr>
          <w:p w14:paraId="5A519D61" w14:textId="77777777" w:rsidR="00E21732" w:rsidRPr="002A262A" w:rsidRDefault="00E21732" w:rsidP="00FE1CAC">
            <w:pPr>
              <w:ind w:left="-57"/>
              <w:rPr>
                <w:rFonts w:ascii="Arial Narrow" w:eastAsia="Calibri" w:hAnsi="Arial Narrow" w:cs="Calibri"/>
                <w:bCs/>
                <w:sz w:val="20"/>
                <w:szCs w:val="20"/>
                <w:lang w:val="en-US"/>
              </w:rPr>
            </w:pPr>
            <w:r w:rsidRPr="002A262A">
              <w:rPr>
                <w:rFonts w:ascii="Arial Narrow" w:eastAsia="Calibri" w:hAnsi="Arial Narrow"/>
                <w:b/>
                <w:bCs/>
                <w:sz w:val="20"/>
                <w:szCs w:val="20"/>
              </w:rPr>
              <w:t>Clinical criteria:</w:t>
            </w:r>
          </w:p>
        </w:tc>
      </w:tr>
      <w:tr w:rsidR="00E21732" w:rsidRPr="002A262A" w14:paraId="299D40F4" w14:textId="77777777" w:rsidTr="001059CF">
        <w:trPr>
          <w:trHeight w:val="20"/>
        </w:trPr>
        <w:tc>
          <w:tcPr>
            <w:tcW w:w="1129" w:type="dxa"/>
            <w:shd w:val="clear" w:color="auto" w:fill="auto"/>
          </w:tcPr>
          <w:p w14:paraId="54F6B2D0" w14:textId="54186073" w:rsidR="00E21732" w:rsidRPr="002A262A" w:rsidRDefault="00E21732" w:rsidP="00FE1CAC">
            <w:pPr>
              <w:jc w:val="center"/>
              <w:rPr>
                <w:rFonts w:ascii="Arial Narrow" w:eastAsia="Calibri" w:hAnsi="Arial Narrow"/>
                <w:sz w:val="20"/>
                <w:szCs w:val="20"/>
              </w:rPr>
            </w:pPr>
          </w:p>
        </w:tc>
        <w:tc>
          <w:tcPr>
            <w:tcW w:w="7888" w:type="dxa"/>
            <w:gridSpan w:val="6"/>
            <w:shd w:val="clear" w:color="auto" w:fill="auto"/>
          </w:tcPr>
          <w:p w14:paraId="1736BA7E" w14:textId="77777777" w:rsidR="00E21732" w:rsidRPr="002A262A" w:rsidRDefault="00E21732" w:rsidP="00FE1CAC">
            <w:pPr>
              <w:ind w:left="-57"/>
              <w:rPr>
                <w:rFonts w:ascii="Arial Narrow" w:eastAsia="Calibri" w:hAnsi="Arial Narrow" w:cs="Calibri"/>
                <w:bCs/>
                <w:sz w:val="20"/>
                <w:szCs w:val="20"/>
                <w:lang w:val="en-US"/>
              </w:rPr>
            </w:pPr>
            <w:r w:rsidRPr="002A262A">
              <w:rPr>
                <w:rFonts w:ascii="Arial Narrow" w:eastAsia="Calibri" w:hAnsi="Arial Narrow" w:cs="Calibri"/>
                <w:bCs/>
                <w:sz w:val="20"/>
                <w:szCs w:val="20"/>
                <w:lang w:val="en-US"/>
              </w:rPr>
              <w:t>Patient must have an estimated glomerular filtration rate (eGFR) greater than 25 ml/minute/1.73 m</w:t>
            </w:r>
            <w:r w:rsidRPr="002A262A">
              <w:rPr>
                <w:rFonts w:ascii="Arial Narrow" w:eastAsia="Calibri" w:hAnsi="Arial Narrow" w:cs="Calibri"/>
                <w:bCs/>
                <w:sz w:val="20"/>
                <w:szCs w:val="20"/>
                <w:vertAlign w:val="superscript"/>
                <w:lang w:val="en-US"/>
              </w:rPr>
              <w:t>2</w:t>
            </w:r>
          </w:p>
        </w:tc>
      </w:tr>
      <w:tr w:rsidR="00E21732" w:rsidRPr="002A262A" w14:paraId="31E87566" w14:textId="77777777" w:rsidTr="00FE1CAC">
        <w:trPr>
          <w:trHeight w:val="20"/>
        </w:trPr>
        <w:tc>
          <w:tcPr>
            <w:tcW w:w="1129" w:type="dxa"/>
          </w:tcPr>
          <w:p w14:paraId="10D18791" w14:textId="77777777" w:rsidR="00E21732" w:rsidRPr="002A262A" w:rsidRDefault="00E21732" w:rsidP="00FE1CAC">
            <w:pPr>
              <w:jc w:val="center"/>
              <w:rPr>
                <w:rFonts w:ascii="Arial Narrow" w:hAnsi="Arial Narrow"/>
                <w:sz w:val="20"/>
                <w:szCs w:val="20"/>
              </w:rPr>
            </w:pPr>
          </w:p>
        </w:tc>
        <w:tc>
          <w:tcPr>
            <w:tcW w:w="7888" w:type="dxa"/>
            <w:gridSpan w:val="6"/>
          </w:tcPr>
          <w:p w14:paraId="514A7E9F" w14:textId="77777777" w:rsidR="00E21732" w:rsidRPr="002A262A" w:rsidRDefault="00E21732" w:rsidP="00FE1CAC">
            <w:pPr>
              <w:ind w:left="-57"/>
              <w:rPr>
                <w:rFonts w:ascii="Arial Narrow" w:eastAsia="Calibri" w:hAnsi="Arial Narrow" w:cs="Calibri"/>
                <w:bCs/>
                <w:sz w:val="20"/>
                <w:szCs w:val="20"/>
                <w:lang w:val="en-US"/>
              </w:rPr>
            </w:pPr>
          </w:p>
        </w:tc>
      </w:tr>
      <w:tr w:rsidR="00E21732" w:rsidRPr="002A262A" w14:paraId="391D527A" w14:textId="77777777" w:rsidTr="00FE1CAC">
        <w:trPr>
          <w:trHeight w:val="20"/>
        </w:trPr>
        <w:tc>
          <w:tcPr>
            <w:tcW w:w="1129" w:type="dxa"/>
          </w:tcPr>
          <w:p w14:paraId="3DECA984" w14:textId="46390B02" w:rsidR="00E21732" w:rsidRPr="002A262A" w:rsidRDefault="00E21732" w:rsidP="00FE1CAC">
            <w:pPr>
              <w:jc w:val="center"/>
              <w:rPr>
                <w:rFonts w:ascii="Arial Narrow" w:eastAsia="Calibri" w:hAnsi="Arial Narrow"/>
                <w:sz w:val="20"/>
                <w:szCs w:val="20"/>
              </w:rPr>
            </w:pPr>
          </w:p>
        </w:tc>
        <w:tc>
          <w:tcPr>
            <w:tcW w:w="7888" w:type="dxa"/>
            <w:gridSpan w:val="6"/>
            <w:hideMark/>
          </w:tcPr>
          <w:p w14:paraId="3B2FF02A"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Treatment criteria:</w:t>
            </w:r>
          </w:p>
        </w:tc>
      </w:tr>
      <w:tr w:rsidR="00E21732" w:rsidRPr="002A262A" w14:paraId="1204F36D" w14:textId="77777777" w:rsidTr="00FE1CAC">
        <w:trPr>
          <w:trHeight w:val="20"/>
        </w:trPr>
        <w:tc>
          <w:tcPr>
            <w:tcW w:w="1129" w:type="dxa"/>
          </w:tcPr>
          <w:p w14:paraId="3A6775FE" w14:textId="77777777" w:rsidR="00E21732" w:rsidRPr="002A262A" w:rsidRDefault="00E21732" w:rsidP="00FE1CAC">
            <w:pPr>
              <w:jc w:val="center"/>
              <w:rPr>
                <w:rFonts w:ascii="Arial Narrow" w:eastAsia="Calibri" w:hAnsi="Arial Narrow"/>
                <w:sz w:val="20"/>
                <w:szCs w:val="20"/>
              </w:rPr>
            </w:pPr>
          </w:p>
        </w:tc>
        <w:tc>
          <w:tcPr>
            <w:tcW w:w="7888" w:type="dxa"/>
            <w:gridSpan w:val="6"/>
            <w:hideMark/>
          </w:tcPr>
          <w:p w14:paraId="2E266532" w14:textId="77777777" w:rsidR="00E21732" w:rsidRPr="002A262A" w:rsidRDefault="00E21732" w:rsidP="00FE1CAC">
            <w:pPr>
              <w:autoSpaceDE w:val="0"/>
              <w:autoSpaceDN w:val="0"/>
              <w:adjustRightInd w:val="0"/>
              <w:ind w:left="-57"/>
              <w:rPr>
                <w:rFonts w:ascii="Arial Narrow" w:eastAsia="Calibri" w:hAnsi="Arial Narrow" w:cs="Arial Narrow"/>
                <w:sz w:val="20"/>
                <w:szCs w:val="20"/>
              </w:rPr>
            </w:pPr>
            <w:r w:rsidRPr="002A262A">
              <w:rPr>
                <w:rFonts w:ascii="Arial Narrow" w:eastAsia="Calibri" w:hAnsi="Arial Narrow" w:cs="Calibri"/>
                <w:sz w:val="20"/>
                <w:szCs w:val="20"/>
              </w:rPr>
              <w:t>Must be treated by a medical practitioner who is any of the following: (i) a cardiologist, (ii) a consultant physician with experience in the management of amyloid disorders; this authority application must be sought by the same medical practitioner providing treatment</w:t>
            </w:r>
          </w:p>
        </w:tc>
      </w:tr>
      <w:tr w:rsidR="00E21732" w:rsidRPr="002A262A" w14:paraId="6147F639" w14:textId="77777777" w:rsidTr="00FE1CAC">
        <w:trPr>
          <w:trHeight w:val="20"/>
        </w:trPr>
        <w:tc>
          <w:tcPr>
            <w:tcW w:w="1129" w:type="dxa"/>
          </w:tcPr>
          <w:p w14:paraId="62FB6247" w14:textId="77777777" w:rsidR="00E21732" w:rsidRPr="002A262A" w:rsidRDefault="00E21732" w:rsidP="00FE1CAC">
            <w:pPr>
              <w:jc w:val="center"/>
              <w:rPr>
                <w:rFonts w:ascii="Arial Narrow" w:eastAsia="Calibri" w:hAnsi="Arial Narrow"/>
                <w:sz w:val="20"/>
                <w:szCs w:val="20"/>
              </w:rPr>
            </w:pPr>
          </w:p>
        </w:tc>
        <w:tc>
          <w:tcPr>
            <w:tcW w:w="7888" w:type="dxa"/>
            <w:gridSpan w:val="6"/>
          </w:tcPr>
          <w:p w14:paraId="60F63B25" w14:textId="77777777" w:rsidR="00E21732" w:rsidRPr="002A262A" w:rsidRDefault="00E21732" w:rsidP="00FE1CAC">
            <w:pPr>
              <w:autoSpaceDE w:val="0"/>
              <w:autoSpaceDN w:val="0"/>
              <w:adjustRightInd w:val="0"/>
              <w:ind w:left="-57"/>
              <w:rPr>
                <w:rFonts w:ascii="Arial Narrow" w:eastAsia="Calibri" w:hAnsi="Arial Narrow" w:cs="Calibri"/>
                <w:sz w:val="20"/>
                <w:szCs w:val="20"/>
              </w:rPr>
            </w:pPr>
          </w:p>
        </w:tc>
      </w:tr>
      <w:tr w:rsidR="00E21732" w:rsidRPr="002A262A" w14:paraId="58BEA832" w14:textId="77777777" w:rsidTr="00FE1CAC">
        <w:trPr>
          <w:trHeight w:val="20"/>
        </w:trPr>
        <w:tc>
          <w:tcPr>
            <w:tcW w:w="1129" w:type="dxa"/>
          </w:tcPr>
          <w:p w14:paraId="07CE8CDD" w14:textId="33261E86" w:rsidR="00E21732" w:rsidRPr="002A262A" w:rsidRDefault="00E21732" w:rsidP="00FE1CAC">
            <w:pPr>
              <w:jc w:val="center"/>
              <w:rPr>
                <w:rFonts w:ascii="Arial Narrow" w:eastAsia="Calibri" w:hAnsi="Arial Narrow"/>
                <w:sz w:val="20"/>
                <w:szCs w:val="20"/>
              </w:rPr>
            </w:pPr>
          </w:p>
        </w:tc>
        <w:tc>
          <w:tcPr>
            <w:tcW w:w="7888" w:type="dxa"/>
            <w:gridSpan w:val="6"/>
            <w:hideMark/>
          </w:tcPr>
          <w:p w14:paraId="19FEAFA3" w14:textId="77777777" w:rsidR="00E21732" w:rsidRPr="002A262A" w:rsidRDefault="00E21732" w:rsidP="00FE1CAC">
            <w:pPr>
              <w:ind w:left="-57"/>
              <w:rPr>
                <w:rFonts w:ascii="Arial Narrow" w:eastAsia="Calibri" w:hAnsi="Arial Narrow"/>
                <w:b/>
                <w:bCs/>
                <w:sz w:val="20"/>
                <w:szCs w:val="20"/>
              </w:rPr>
            </w:pPr>
            <w:r w:rsidRPr="002A262A">
              <w:rPr>
                <w:rFonts w:ascii="Arial Narrow" w:eastAsia="Calibri" w:hAnsi="Arial Narrow"/>
                <w:b/>
                <w:bCs/>
                <w:sz w:val="20"/>
                <w:szCs w:val="20"/>
              </w:rPr>
              <w:t xml:space="preserve">Prescribing Instructions: </w:t>
            </w:r>
          </w:p>
          <w:p w14:paraId="5AA4C047" w14:textId="77777777" w:rsidR="00E21732" w:rsidRPr="002A262A" w:rsidRDefault="00E21732" w:rsidP="00FE1CAC">
            <w:pPr>
              <w:ind w:left="-57"/>
              <w:rPr>
                <w:rFonts w:ascii="Arial Narrow" w:eastAsia="Calibri" w:hAnsi="Arial Narrow" w:cs="Calibri"/>
                <w:bCs/>
                <w:sz w:val="20"/>
                <w:szCs w:val="20"/>
              </w:rPr>
            </w:pPr>
            <w:r w:rsidRPr="002A262A">
              <w:rPr>
                <w:rFonts w:ascii="Arial Narrow" w:eastAsia="Calibri" w:hAnsi="Arial Narrow" w:cs="Calibri"/>
                <w:bCs/>
                <w:sz w:val="20"/>
                <w:szCs w:val="20"/>
              </w:rPr>
              <w:t>The authority application must be made in writing and must include:</w:t>
            </w:r>
          </w:p>
          <w:p w14:paraId="7D71493E" w14:textId="77777777" w:rsidR="00E21732" w:rsidRPr="002A262A" w:rsidRDefault="00E21732" w:rsidP="00FE1CAC">
            <w:pPr>
              <w:ind w:left="-57"/>
              <w:rPr>
                <w:rFonts w:ascii="Arial Narrow" w:eastAsia="Calibri" w:hAnsi="Arial Narrow" w:cs="Calibri"/>
                <w:bCs/>
                <w:sz w:val="20"/>
                <w:szCs w:val="20"/>
              </w:rPr>
            </w:pPr>
            <w:r w:rsidRPr="002A262A">
              <w:rPr>
                <w:rFonts w:ascii="Arial Narrow" w:eastAsia="Calibri" w:hAnsi="Arial Narrow" w:cs="Calibri"/>
                <w:bCs/>
                <w:sz w:val="20"/>
                <w:szCs w:val="20"/>
              </w:rPr>
              <w:t>(1) a completed authority prescription form; and</w:t>
            </w:r>
          </w:p>
          <w:p w14:paraId="7E13CD79" w14:textId="77777777" w:rsidR="00E21732" w:rsidRPr="002A262A" w:rsidRDefault="00E21732" w:rsidP="00FE1CAC">
            <w:pPr>
              <w:ind w:left="-57"/>
              <w:rPr>
                <w:rFonts w:ascii="Arial Narrow" w:eastAsia="Calibri" w:hAnsi="Arial Narrow"/>
                <w:i/>
                <w:iCs/>
                <w:strike/>
                <w:sz w:val="20"/>
                <w:szCs w:val="20"/>
              </w:rPr>
            </w:pPr>
            <w:r w:rsidRPr="002A262A">
              <w:rPr>
                <w:rFonts w:ascii="Arial Narrow" w:eastAsia="Calibri" w:hAnsi="Arial Narrow" w:cs="Arial Narrow"/>
                <w:sz w:val="20"/>
                <w:szCs w:val="20"/>
              </w:rPr>
              <w:t>(2)</w:t>
            </w:r>
            <w:r w:rsidRPr="002A262A">
              <w:rPr>
                <w:rFonts w:ascii="Arial Narrow" w:eastAsia="Calibri" w:hAnsi="Arial Narrow" w:cs="Arial Narrow"/>
                <w:i/>
                <w:iCs/>
                <w:sz w:val="20"/>
                <w:szCs w:val="20"/>
              </w:rPr>
              <w:t xml:space="preserve"> </w:t>
            </w:r>
            <w:r w:rsidRPr="002A262A">
              <w:rPr>
                <w:rFonts w:ascii="Arial Narrow" w:eastAsia="Calibri" w:hAnsi="Arial Narrow" w:cs="Arial Narrow"/>
                <w:sz w:val="20"/>
                <w:szCs w:val="20"/>
              </w:rPr>
              <w:t>a completed authority application form relevant to the indication and treatment phase (the latest version is located on the website specified in the Administrative Advice).</w:t>
            </w:r>
          </w:p>
        </w:tc>
      </w:tr>
      <w:tr w:rsidR="00E21732" w:rsidRPr="002A262A" w14:paraId="69E42EE4" w14:textId="77777777" w:rsidTr="001059CF">
        <w:trPr>
          <w:cantSplit/>
          <w:trHeight w:val="20"/>
        </w:trPr>
        <w:tc>
          <w:tcPr>
            <w:tcW w:w="1129" w:type="dxa"/>
            <w:shd w:val="clear" w:color="auto" w:fill="auto"/>
          </w:tcPr>
          <w:p w14:paraId="753DAB52" w14:textId="586DBEA3" w:rsidR="00E21732" w:rsidRPr="002A262A" w:rsidRDefault="00E21732" w:rsidP="00FE1CAC">
            <w:pPr>
              <w:jc w:val="center"/>
              <w:rPr>
                <w:rFonts w:ascii="Arial Narrow" w:eastAsia="Calibri" w:hAnsi="Arial Narrow"/>
                <w:sz w:val="20"/>
                <w:szCs w:val="20"/>
              </w:rPr>
            </w:pPr>
          </w:p>
        </w:tc>
        <w:tc>
          <w:tcPr>
            <w:tcW w:w="7888" w:type="dxa"/>
            <w:gridSpan w:val="6"/>
            <w:shd w:val="clear" w:color="auto" w:fill="auto"/>
          </w:tcPr>
          <w:p w14:paraId="59E26F6F" w14:textId="77777777" w:rsidR="00E21732" w:rsidRPr="002A262A" w:rsidRDefault="00E21732" w:rsidP="00FE1CAC">
            <w:pPr>
              <w:ind w:left="-57"/>
              <w:rPr>
                <w:rFonts w:ascii="Arial Narrow" w:eastAsia="Calibri" w:hAnsi="Arial Narrow"/>
                <w:b/>
                <w:bCs/>
                <w:sz w:val="20"/>
                <w:szCs w:val="20"/>
              </w:rPr>
            </w:pPr>
            <w:r w:rsidRPr="002A262A">
              <w:rPr>
                <w:rFonts w:ascii="Arial Narrow" w:eastAsia="Calibri" w:hAnsi="Arial Narrow"/>
                <w:b/>
                <w:bCs/>
                <w:sz w:val="20"/>
                <w:szCs w:val="20"/>
              </w:rPr>
              <w:t xml:space="preserve">Prescribing Instructions: </w:t>
            </w:r>
          </w:p>
          <w:p w14:paraId="5ED9DEE6"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sz w:val="20"/>
                <w:szCs w:val="20"/>
              </w:rPr>
              <w:t>Evidence of clinical findings to establish the diagnosis:</w:t>
            </w:r>
          </w:p>
          <w:p w14:paraId="6748F4C5" w14:textId="1D24AEFF" w:rsidR="00E21732" w:rsidRPr="002A262A" w:rsidRDefault="00E21732" w:rsidP="00FE1CAC">
            <w:pPr>
              <w:ind w:left="-57"/>
              <w:rPr>
                <w:rFonts w:ascii="Arial Narrow" w:eastAsia="Calibri" w:hAnsi="Arial Narrow" w:cs="Calibri"/>
                <w:bCs/>
                <w:sz w:val="20"/>
                <w:szCs w:val="20"/>
                <w:lang w:val="en-US"/>
              </w:rPr>
            </w:pPr>
            <w:r w:rsidRPr="002A262A">
              <w:rPr>
                <w:rFonts w:ascii="Arial Narrow" w:eastAsia="Calibri" w:hAnsi="Arial Narrow" w:cs="Calibri"/>
                <w:bCs/>
                <w:sz w:val="20"/>
                <w:szCs w:val="20"/>
                <w:lang w:val="en-US"/>
              </w:rPr>
              <w:t xml:space="preserve">In this authority application, confirm that there </w:t>
            </w:r>
            <w:proofErr w:type="gramStart"/>
            <w:r w:rsidRPr="002A262A">
              <w:rPr>
                <w:rFonts w:ascii="Arial Narrow" w:eastAsia="Calibri" w:hAnsi="Arial Narrow" w:cs="Calibri"/>
                <w:bCs/>
                <w:sz w:val="20"/>
                <w:szCs w:val="20"/>
                <w:lang w:val="en-US"/>
              </w:rPr>
              <w:t>is documented</w:t>
            </w:r>
            <w:proofErr w:type="gramEnd"/>
            <w:r w:rsidRPr="002A262A">
              <w:rPr>
                <w:rFonts w:ascii="Arial Narrow" w:eastAsia="Calibri" w:hAnsi="Arial Narrow" w:cs="Calibri"/>
                <w:bCs/>
                <w:sz w:val="20"/>
                <w:szCs w:val="20"/>
                <w:lang w:val="en-US"/>
              </w:rPr>
              <w:t xml:space="preserve"> evidence of transthyretin precursor protein through </w:t>
            </w:r>
            <w:r w:rsidR="001059CF" w:rsidRPr="002A262A">
              <w:rPr>
                <w:rFonts w:ascii="Arial Narrow" w:eastAsia="Calibri" w:hAnsi="Arial Narrow" w:cs="Calibri"/>
                <w:bCs/>
                <w:sz w:val="20"/>
                <w:szCs w:val="20"/>
                <w:lang w:val="en-US"/>
              </w:rPr>
              <w:t>either (1) alone, or, both (2) and (3), from the list below</w:t>
            </w:r>
            <w:r w:rsidRPr="002A262A">
              <w:rPr>
                <w:rFonts w:ascii="Arial Narrow" w:eastAsia="Calibri" w:hAnsi="Arial Narrow" w:cs="Calibri"/>
                <w:bCs/>
                <w:sz w:val="20"/>
                <w:szCs w:val="20"/>
                <w:lang w:val="en-US"/>
              </w:rPr>
              <w:t xml:space="preserve">: </w:t>
            </w:r>
          </w:p>
          <w:p w14:paraId="74E313E3" w14:textId="77777777" w:rsidR="00E21732" w:rsidRPr="002A262A" w:rsidRDefault="00E21732" w:rsidP="00FE1CAC">
            <w:pPr>
              <w:ind w:left="-57"/>
              <w:rPr>
                <w:rFonts w:ascii="Arial Narrow" w:eastAsia="Calibri" w:hAnsi="Arial Narrow" w:cs="Calibri"/>
                <w:bCs/>
                <w:sz w:val="20"/>
                <w:szCs w:val="20"/>
                <w:lang w:val="en-US"/>
              </w:rPr>
            </w:pPr>
          </w:p>
          <w:p w14:paraId="467EE200" w14:textId="77777777" w:rsidR="00E21732" w:rsidRPr="002A262A" w:rsidRDefault="00E21732" w:rsidP="001059CF">
            <w:pPr>
              <w:spacing w:after="120"/>
              <w:ind w:left="-57"/>
              <w:rPr>
                <w:rFonts w:ascii="Arial Narrow" w:eastAsia="Calibri" w:hAnsi="Arial Narrow" w:cs="Calibri"/>
                <w:bCs/>
                <w:sz w:val="20"/>
                <w:szCs w:val="20"/>
                <w:lang w:val="en-US"/>
              </w:rPr>
            </w:pPr>
            <w:r w:rsidRPr="002A262A">
              <w:rPr>
                <w:rFonts w:ascii="Arial Narrow" w:eastAsia="Calibri" w:hAnsi="Arial Narrow" w:cs="Calibri"/>
                <w:bCs/>
                <w:sz w:val="20"/>
                <w:szCs w:val="20"/>
                <w:lang w:val="en-US"/>
              </w:rPr>
              <w:t xml:space="preserve">Confirm the following has </w:t>
            </w:r>
            <w:proofErr w:type="gramStart"/>
            <w:r w:rsidRPr="002A262A">
              <w:rPr>
                <w:rFonts w:ascii="Arial Narrow" w:eastAsia="Calibri" w:hAnsi="Arial Narrow" w:cs="Calibri"/>
                <w:bCs/>
                <w:sz w:val="20"/>
                <w:szCs w:val="20"/>
                <w:lang w:val="en-US"/>
              </w:rPr>
              <w:t>been completed</w:t>
            </w:r>
            <w:proofErr w:type="gramEnd"/>
            <w:r w:rsidRPr="002A262A">
              <w:rPr>
                <w:rFonts w:ascii="Arial Narrow" w:eastAsia="Calibri" w:hAnsi="Arial Narrow" w:cs="Calibri"/>
                <w:bCs/>
                <w:sz w:val="20"/>
                <w:szCs w:val="20"/>
                <w:lang w:val="en-US"/>
              </w:rPr>
              <w:t>:</w:t>
            </w:r>
          </w:p>
          <w:p w14:paraId="2E7AE577" w14:textId="7EA9371F" w:rsidR="001059CF" w:rsidRPr="002A262A" w:rsidRDefault="001059CF" w:rsidP="001059CF">
            <w:pPr>
              <w:spacing w:after="120"/>
              <w:ind w:left="-57"/>
              <w:rPr>
                <w:rFonts w:ascii="Arial Narrow" w:eastAsia="Calibri" w:hAnsi="Arial Narrow" w:cs="Calibri"/>
                <w:bCs/>
                <w:sz w:val="20"/>
                <w:szCs w:val="20"/>
                <w:lang w:val="en-US"/>
              </w:rPr>
            </w:pPr>
            <w:r w:rsidRPr="002A262A">
              <w:rPr>
                <w:rFonts w:ascii="Arial Narrow" w:eastAsia="Calibri" w:hAnsi="Arial Narrow" w:cs="Calibri"/>
                <w:bCs/>
                <w:sz w:val="20"/>
                <w:szCs w:val="20"/>
                <w:lang w:val="en-US"/>
              </w:rPr>
              <w:t>(1) amyloid expert centre histology findings derived via immunohistochemistry or mass spectrometry; OR</w:t>
            </w:r>
          </w:p>
          <w:p w14:paraId="0CB101A1" w14:textId="6750A6C8" w:rsidR="00E21732" w:rsidRPr="002A262A" w:rsidRDefault="001059CF" w:rsidP="001059CF">
            <w:pPr>
              <w:ind w:left="-57"/>
              <w:rPr>
                <w:rFonts w:ascii="Arial Narrow" w:eastAsia="Calibri" w:hAnsi="Arial Narrow" w:cs="Calibri"/>
                <w:bCs/>
                <w:sz w:val="20"/>
                <w:szCs w:val="20"/>
                <w:lang w:val="en-US"/>
              </w:rPr>
            </w:pPr>
            <w:r w:rsidRPr="002A262A">
              <w:rPr>
                <w:rFonts w:ascii="Arial Narrow" w:eastAsia="Calibri" w:hAnsi="Arial Narrow" w:cs="Calibri"/>
                <w:bCs/>
                <w:sz w:val="20"/>
                <w:szCs w:val="20"/>
                <w:lang w:val="en-US"/>
              </w:rPr>
              <w:t xml:space="preserve">(2) </w:t>
            </w:r>
            <w:r w:rsidR="00E21732" w:rsidRPr="002A262A">
              <w:rPr>
                <w:rFonts w:ascii="Arial Narrow" w:eastAsia="Calibri" w:hAnsi="Arial Narrow" w:cs="Calibri"/>
                <w:bCs/>
                <w:sz w:val="20"/>
                <w:szCs w:val="20"/>
                <w:lang w:val="en-US"/>
              </w:rPr>
              <w:t>bone scintigraphy with grade 2-3 finding</w:t>
            </w:r>
          </w:p>
          <w:p w14:paraId="7D9838FA" w14:textId="77777777" w:rsidR="00E21732" w:rsidRPr="002A262A" w:rsidRDefault="00E21732" w:rsidP="00FE1CAC">
            <w:pPr>
              <w:pStyle w:val="ListBullet"/>
              <w:numPr>
                <w:ilvl w:val="0"/>
                <w:numId w:val="0"/>
              </w:numPr>
              <w:ind w:left="-57"/>
              <w:rPr>
                <w:rFonts w:ascii="Arial Narrow" w:eastAsia="Calibri" w:hAnsi="Arial Narrow" w:cs="Calibri"/>
                <w:bCs/>
                <w:sz w:val="20"/>
                <w:szCs w:val="20"/>
                <w:lang w:val="en-US"/>
              </w:rPr>
            </w:pPr>
            <w:r w:rsidRPr="002A262A">
              <w:rPr>
                <w:rFonts w:ascii="Arial Narrow" w:eastAsia="Calibri" w:hAnsi="Arial Narrow" w:cs="Calibri"/>
                <w:bCs/>
                <w:sz w:val="20"/>
                <w:szCs w:val="20"/>
                <w:lang w:val="en-US"/>
              </w:rPr>
              <w:t>AND</w:t>
            </w:r>
          </w:p>
          <w:p w14:paraId="41309C2F" w14:textId="5E334C1A" w:rsidR="00E21732" w:rsidRPr="002A262A" w:rsidRDefault="001059CF" w:rsidP="001059CF">
            <w:pPr>
              <w:pStyle w:val="ListBullet"/>
              <w:numPr>
                <w:ilvl w:val="0"/>
                <w:numId w:val="0"/>
              </w:numPr>
              <w:ind w:left="-57"/>
              <w:rPr>
                <w:rFonts w:ascii="Arial Narrow" w:hAnsi="Arial Narrow"/>
                <w:sz w:val="20"/>
                <w:szCs w:val="20"/>
              </w:rPr>
            </w:pPr>
            <w:r w:rsidRPr="002A262A">
              <w:rPr>
                <w:rFonts w:ascii="Arial Narrow" w:eastAsia="Calibri" w:hAnsi="Arial Narrow" w:cs="Calibri"/>
                <w:bCs/>
                <w:snapToGrid w:val="0"/>
                <w:sz w:val="20"/>
                <w:szCs w:val="20"/>
                <w:lang w:val="en-US"/>
              </w:rPr>
              <w:t>(3</w:t>
            </w:r>
            <w:r w:rsidRPr="002A262A">
              <w:rPr>
                <w:rFonts w:ascii="Arial Narrow" w:hAnsi="Arial Narrow"/>
                <w:sz w:val="20"/>
                <w:szCs w:val="20"/>
              </w:rPr>
              <w:t xml:space="preserve">) </w:t>
            </w:r>
            <w:r w:rsidR="00E21732" w:rsidRPr="002A262A">
              <w:rPr>
                <w:rFonts w:ascii="Arial Narrow" w:hAnsi="Arial Narrow"/>
                <w:sz w:val="20"/>
                <w:szCs w:val="20"/>
              </w:rPr>
              <w:t>Confirm that there are</w:t>
            </w:r>
            <w:r w:rsidRPr="002A262A">
              <w:rPr>
                <w:rFonts w:ascii="Arial Narrow" w:hAnsi="Arial Narrow"/>
                <w:sz w:val="20"/>
                <w:szCs w:val="20"/>
              </w:rPr>
              <w:t xml:space="preserve"> </w:t>
            </w:r>
            <w:r w:rsidR="00E21732" w:rsidRPr="002A262A">
              <w:rPr>
                <w:rFonts w:ascii="Arial Narrow" w:hAnsi="Arial Narrow"/>
                <w:sz w:val="20"/>
                <w:szCs w:val="20"/>
              </w:rPr>
              <w:t xml:space="preserve">negative results for monoclonal protein on each of the following three tests: </w:t>
            </w:r>
          </w:p>
          <w:p w14:paraId="00E48DFF" w14:textId="77777777" w:rsidR="00E21732" w:rsidRPr="002A262A" w:rsidRDefault="00E21732" w:rsidP="00FE1CAC">
            <w:pPr>
              <w:ind w:left="174"/>
              <w:rPr>
                <w:rFonts w:ascii="Arial Narrow" w:eastAsia="Calibri" w:hAnsi="Arial Narrow" w:cs="Calibri"/>
                <w:bCs/>
                <w:sz w:val="20"/>
                <w:szCs w:val="20"/>
                <w:lang w:val="en-US"/>
              </w:rPr>
            </w:pPr>
            <w:r w:rsidRPr="002A262A">
              <w:rPr>
                <w:rFonts w:ascii="Arial Narrow" w:eastAsia="Calibri" w:hAnsi="Arial Narrow" w:cs="Calibri"/>
                <w:bCs/>
                <w:sz w:val="20"/>
                <w:szCs w:val="20"/>
                <w:lang w:val="en-US"/>
              </w:rPr>
              <w:t xml:space="preserve">(a) serum immunofixation (also known as protein electrophoresis) </w:t>
            </w:r>
          </w:p>
          <w:p w14:paraId="5B2817B9" w14:textId="77777777" w:rsidR="00E21732" w:rsidRPr="002A262A" w:rsidRDefault="00E21732" w:rsidP="00FE1CAC">
            <w:pPr>
              <w:ind w:left="174"/>
              <w:rPr>
                <w:rFonts w:ascii="Arial Narrow" w:eastAsia="Calibri" w:hAnsi="Arial Narrow" w:cs="Calibri"/>
                <w:bCs/>
                <w:sz w:val="20"/>
                <w:szCs w:val="20"/>
                <w:lang w:val="en-US"/>
              </w:rPr>
            </w:pPr>
            <w:r w:rsidRPr="002A262A">
              <w:rPr>
                <w:rFonts w:ascii="Arial Narrow" w:eastAsia="Calibri" w:hAnsi="Arial Narrow" w:cs="Calibri"/>
                <w:bCs/>
                <w:sz w:val="20"/>
                <w:szCs w:val="20"/>
                <w:lang w:val="en-US"/>
              </w:rPr>
              <w:t xml:space="preserve">(b) urine immunofixation </w:t>
            </w:r>
          </w:p>
          <w:p w14:paraId="2C22F4DE" w14:textId="77777777" w:rsidR="00E21732" w:rsidRPr="002A262A" w:rsidRDefault="00E21732" w:rsidP="00FE1CAC">
            <w:pPr>
              <w:ind w:left="174"/>
              <w:rPr>
                <w:rFonts w:ascii="Arial Narrow" w:eastAsia="Calibri" w:hAnsi="Arial Narrow" w:cs="Calibri"/>
                <w:bCs/>
                <w:sz w:val="20"/>
                <w:szCs w:val="20"/>
                <w:lang w:val="en-US"/>
              </w:rPr>
            </w:pPr>
            <w:r w:rsidRPr="002A262A">
              <w:rPr>
                <w:rFonts w:ascii="Arial Narrow" w:eastAsia="Calibri" w:hAnsi="Arial Narrow" w:cs="Calibri"/>
                <w:bCs/>
                <w:sz w:val="20"/>
                <w:szCs w:val="20"/>
                <w:lang w:val="en-US"/>
              </w:rPr>
              <w:t>(c) serum free light chains blood test</w:t>
            </w:r>
          </w:p>
          <w:p w14:paraId="71E7F818" w14:textId="77777777" w:rsidR="00E21732" w:rsidRPr="002A262A" w:rsidRDefault="00E21732" w:rsidP="00FE1CAC">
            <w:pPr>
              <w:ind w:left="-57"/>
              <w:rPr>
                <w:rFonts w:ascii="Arial Narrow" w:eastAsia="Calibri" w:hAnsi="Arial Narrow" w:cs="Calibri"/>
                <w:bCs/>
                <w:sz w:val="20"/>
                <w:szCs w:val="20"/>
                <w:lang w:val="en-US"/>
              </w:rPr>
            </w:pPr>
          </w:p>
          <w:p w14:paraId="6B25A60E" w14:textId="159044D5" w:rsidR="00E21732" w:rsidRPr="002A262A" w:rsidRDefault="001059CF" w:rsidP="00FE1CAC">
            <w:pPr>
              <w:ind w:left="-57"/>
              <w:rPr>
                <w:rFonts w:ascii="Arial Narrow" w:eastAsia="Calibri" w:hAnsi="Arial Narrow"/>
                <w:sz w:val="20"/>
                <w:szCs w:val="20"/>
              </w:rPr>
            </w:pPr>
            <w:r w:rsidRPr="002A262A">
              <w:rPr>
                <w:rFonts w:ascii="Arial Narrow" w:hAnsi="Arial Narrow"/>
                <w:sz w:val="20"/>
                <w:szCs w:val="20"/>
              </w:rPr>
              <w:t>State which of (1) to (3) above has been completed</w:t>
            </w:r>
            <w:r w:rsidRPr="002A262A">
              <w:rPr>
                <w:rFonts w:ascii="Arial Narrow" w:eastAsia="Calibri" w:hAnsi="Arial Narrow"/>
                <w:sz w:val="20"/>
                <w:szCs w:val="20"/>
              </w:rPr>
              <w:t>, as well as the</w:t>
            </w:r>
            <w:r w:rsidR="00E21732" w:rsidRPr="002A262A">
              <w:rPr>
                <w:rFonts w:ascii="Arial Narrow" w:eastAsia="Calibri" w:hAnsi="Arial Narrow"/>
                <w:sz w:val="20"/>
                <w:szCs w:val="20"/>
              </w:rPr>
              <w:t xml:space="preserve">: </w:t>
            </w:r>
          </w:p>
          <w:p w14:paraId="1E605250" w14:textId="5AAD6117" w:rsidR="00E21732" w:rsidRPr="002A262A" w:rsidRDefault="00E21732" w:rsidP="00E21732">
            <w:pPr>
              <w:pStyle w:val="ListParagraph"/>
              <w:numPr>
                <w:ilvl w:val="0"/>
                <w:numId w:val="32"/>
              </w:numPr>
              <w:tabs>
                <w:tab w:val="left" w:pos="174"/>
              </w:tabs>
              <w:spacing w:after="0"/>
              <w:ind w:left="32" w:firstLine="0"/>
              <w:rPr>
                <w:rFonts w:ascii="Arial Narrow" w:eastAsia="Calibri" w:hAnsi="Arial Narrow"/>
                <w:sz w:val="20"/>
                <w:szCs w:val="20"/>
              </w:rPr>
            </w:pPr>
            <w:r w:rsidRPr="002A262A">
              <w:rPr>
                <w:rFonts w:ascii="Arial Narrow" w:eastAsia="Calibri" w:hAnsi="Arial Narrow"/>
                <w:sz w:val="20"/>
                <w:szCs w:val="20"/>
              </w:rPr>
              <w:t xml:space="preserve">date of the finding, </w:t>
            </w:r>
          </w:p>
          <w:p w14:paraId="704277D7" w14:textId="487294A9" w:rsidR="00E21732" w:rsidRPr="002A262A" w:rsidRDefault="00E21732" w:rsidP="00E21732">
            <w:pPr>
              <w:pStyle w:val="ListParagraph"/>
              <w:numPr>
                <w:ilvl w:val="0"/>
                <w:numId w:val="32"/>
              </w:numPr>
              <w:tabs>
                <w:tab w:val="left" w:pos="174"/>
              </w:tabs>
              <w:spacing w:after="0"/>
              <w:ind w:left="32" w:firstLine="0"/>
              <w:rPr>
                <w:rFonts w:ascii="Arial Narrow" w:eastAsia="Calibri" w:hAnsi="Arial Narrow"/>
                <w:sz w:val="20"/>
                <w:szCs w:val="20"/>
              </w:rPr>
            </w:pPr>
            <w:r w:rsidRPr="002A262A">
              <w:rPr>
                <w:rFonts w:ascii="Arial Narrow" w:eastAsia="Calibri" w:hAnsi="Arial Narrow"/>
                <w:sz w:val="20"/>
                <w:szCs w:val="20"/>
              </w:rPr>
              <w:t xml:space="preserve">imaging/pathology report number/code that links the finding to the patient, </w:t>
            </w:r>
          </w:p>
          <w:p w14:paraId="40FC5676" w14:textId="6EBDE10C" w:rsidR="00E21732" w:rsidRPr="002A262A" w:rsidRDefault="00E21732" w:rsidP="00E21732">
            <w:pPr>
              <w:pStyle w:val="ListParagraph"/>
              <w:numPr>
                <w:ilvl w:val="0"/>
                <w:numId w:val="32"/>
              </w:numPr>
              <w:tabs>
                <w:tab w:val="left" w:pos="174"/>
              </w:tabs>
              <w:spacing w:after="0"/>
              <w:ind w:left="32" w:firstLine="0"/>
              <w:rPr>
                <w:rFonts w:ascii="Arial Narrow" w:eastAsia="Calibri" w:hAnsi="Arial Narrow"/>
                <w:sz w:val="20"/>
                <w:szCs w:val="20"/>
              </w:rPr>
            </w:pPr>
            <w:r w:rsidRPr="002A262A">
              <w:rPr>
                <w:rFonts w:ascii="Arial Narrow" w:eastAsia="Calibri" w:hAnsi="Arial Narrow"/>
                <w:sz w:val="20"/>
                <w:szCs w:val="20"/>
              </w:rPr>
              <w:t>name of the amyloid expert centre in this authority application.</w:t>
            </w:r>
          </w:p>
          <w:p w14:paraId="2B8DC150" w14:textId="77777777" w:rsidR="00E21732" w:rsidRPr="002A262A" w:rsidRDefault="00E21732" w:rsidP="00FE1CAC">
            <w:pPr>
              <w:ind w:left="-57"/>
              <w:rPr>
                <w:rFonts w:ascii="Arial Narrow" w:eastAsia="Calibri" w:hAnsi="Arial Narrow"/>
                <w:sz w:val="20"/>
                <w:szCs w:val="20"/>
              </w:rPr>
            </w:pPr>
          </w:p>
          <w:p w14:paraId="783DE8BC"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sz w:val="20"/>
                <w:szCs w:val="20"/>
              </w:rPr>
              <w:t>For end-diastolic interventricular septal wall thickness (at least 12 mm), confirm that:</w:t>
            </w:r>
          </w:p>
          <w:p w14:paraId="7A1669DB" w14:textId="77777777" w:rsidR="00E21732" w:rsidRPr="002A262A" w:rsidRDefault="00E21732" w:rsidP="00E21732">
            <w:pPr>
              <w:pStyle w:val="ListParagraph"/>
              <w:numPr>
                <w:ilvl w:val="0"/>
                <w:numId w:val="33"/>
              </w:numPr>
              <w:tabs>
                <w:tab w:val="left" w:pos="174"/>
              </w:tabs>
              <w:spacing w:after="0"/>
              <w:ind w:left="-57" w:firstLine="57"/>
              <w:rPr>
                <w:rFonts w:ascii="Arial Narrow" w:eastAsia="Calibri" w:hAnsi="Arial Narrow"/>
                <w:sz w:val="20"/>
                <w:szCs w:val="20"/>
              </w:rPr>
            </w:pPr>
            <w:r w:rsidRPr="002A262A">
              <w:rPr>
                <w:rFonts w:ascii="Arial Narrow" w:eastAsia="Calibri" w:hAnsi="Arial Narrow"/>
                <w:sz w:val="20"/>
                <w:szCs w:val="20"/>
              </w:rPr>
              <w:t xml:space="preserve">imaging (echocardiogram or magnetic resonance imaging) has been undertaken; and </w:t>
            </w:r>
          </w:p>
          <w:p w14:paraId="48E7F69C" w14:textId="77777777" w:rsidR="00E21732" w:rsidRPr="002A262A" w:rsidRDefault="00E21732" w:rsidP="00E21732">
            <w:pPr>
              <w:pStyle w:val="ListParagraph"/>
              <w:numPr>
                <w:ilvl w:val="0"/>
                <w:numId w:val="33"/>
              </w:numPr>
              <w:tabs>
                <w:tab w:val="left" w:pos="174"/>
              </w:tabs>
              <w:spacing w:after="0"/>
              <w:ind w:left="-57" w:firstLine="57"/>
              <w:rPr>
                <w:rFonts w:ascii="Arial Narrow" w:eastAsia="Calibri" w:hAnsi="Arial Narrow"/>
                <w:sz w:val="20"/>
                <w:szCs w:val="20"/>
              </w:rPr>
            </w:pPr>
            <w:r w:rsidRPr="002A262A">
              <w:rPr>
                <w:rFonts w:ascii="Arial Narrow" w:eastAsia="Calibri" w:hAnsi="Arial Narrow"/>
                <w:sz w:val="20"/>
                <w:szCs w:val="20"/>
              </w:rPr>
              <w:t xml:space="preserve">that the imaging report is stored in the patient’s medical records. </w:t>
            </w:r>
          </w:p>
          <w:p w14:paraId="05ECA8D9" w14:textId="77777777" w:rsidR="00E21732" w:rsidRPr="002A262A" w:rsidRDefault="00E21732" w:rsidP="00FE1CAC">
            <w:pPr>
              <w:ind w:left="-57"/>
              <w:rPr>
                <w:rFonts w:ascii="Arial Narrow" w:eastAsia="Calibri" w:hAnsi="Arial Narrow"/>
                <w:sz w:val="20"/>
                <w:szCs w:val="20"/>
              </w:rPr>
            </w:pPr>
          </w:p>
          <w:p w14:paraId="63164F11"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sz w:val="20"/>
                <w:szCs w:val="20"/>
              </w:rPr>
              <w:t>State the date that the imaging was performed and the thickness (in mm) in this authority application.</w:t>
            </w:r>
          </w:p>
        </w:tc>
      </w:tr>
      <w:tr w:rsidR="00E21732" w:rsidRPr="002A262A" w14:paraId="37E36B98" w14:textId="77777777" w:rsidTr="00FE1CAC">
        <w:trPr>
          <w:trHeight w:val="20"/>
        </w:trPr>
        <w:tc>
          <w:tcPr>
            <w:tcW w:w="1129" w:type="dxa"/>
          </w:tcPr>
          <w:p w14:paraId="2C8453F6" w14:textId="053769C1" w:rsidR="00E21732" w:rsidRPr="002A262A" w:rsidRDefault="00E21732" w:rsidP="00FE1CAC">
            <w:pPr>
              <w:jc w:val="center"/>
              <w:rPr>
                <w:rFonts w:ascii="Arial Narrow" w:hAnsi="Arial Narrow"/>
                <w:sz w:val="20"/>
                <w:szCs w:val="20"/>
              </w:rPr>
            </w:pPr>
          </w:p>
        </w:tc>
        <w:tc>
          <w:tcPr>
            <w:tcW w:w="7888" w:type="dxa"/>
            <w:gridSpan w:val="6"/>
          </w:tcPr>
          <w:p w14:paraId="6B95DE94" w14:textId="77777777" w:rsidR="00E21732" w:rsidRPr="002A262A" w:rsidRDefault="00E21732" w:rsidP="00FE1CAC">
            <w:pPr>
              <w:ind w:left="-57"/>
              <w:rPr>
                <w:rFonts w:ascii="Arial Narrow" w:eastAsia="Calibri" w:hAnsi="Arial Narrow"/>
                <w:b/>
                <w:bCs/>
                <w:sz w:val="20"/>
                <w:szCs w:val="20"/>
              </w:rPr>
            </w:pPr>
            <w:r w:rsidRPr="002A262A">
              <w:rPr>
                <w:rFonts w:ascii="Arial Narrow" w:eastAsia="Calibri" w:hAnsi="Arial Narrow"/>
                <w:b/>
                <w:bCs/>
                <w:sz w:val="20"/>
                <w:szCs w:val="20"/>
              </w:rPr>
              <w:t xml:space="preserve">Prescribing Instructions: </w:t>
            </w:r>
          </w:p>
          <w:p w14:paraId="6F88C847" w14:textId="77777777" w:rsidR="00E21732" w:rsidRPr="002A262A" w:rsidRDefault="00E21732" w:rsidP="00FE1CAC">
            <w:pPr>
              <w:autoSpaceDE w:val="0"/>
              <w:autoSpaceDN w:val="0"/>
              <w:adjustRightInd w:val="0"/>
              <w:ind w:left="-57"/>
              <w:rPr>
                <w:rFonts w:ascii="Arial Narrow" w:eastAsia="Calibri" w:hAnsi="Arial Narrow" w:cs="Calibri"/>
                <w:bCs/>
                <w:sz w:val="20"/>
                <w:szCs w:val="20"/>
              </w:rPr>
            </w:pPr>
            <w:r w:rsidRPr="002A262A">
              <w:rPr>
                <w:rFonts w:ascii="Arial Narrow" w:eastAsia="Calibri" w:hAnsi="Arial Narrow" w:cs="Calibri"/>
                <w:bCs/>
                <w:sz w:val="20"/>
                <w:szCs w:val="20"/>
              </w:rPr>
              <w:t>Where this authority application is to transition a patient from non-PBS subsidised to PBS-subsidised supply (i.e. a ‘grandfathered’ patient), confirm the following:</w:t>
            </w:r>
          </w:p>
          <w:p w14:paraId="6D783703" w14:textId="77777777" w:rsidR="00E21732" w:rsidRPr="002A262A" w:rsidRDefault="00E21732" w:rsidP="00FE1CAC">
            <w:pPr>
              <w:autoSpaceDE w:val="0"/>
              <w:autoSpaceDN w:val="0"/>
              <w:adjustRightInd w:val="0"/>
              <w:ind w:left="-57"/>
              <w:rPr>
                <w:rFonts w:ascii="Arial Narrow" w:eastAsia="Calibri" w:hAnsi="Arial Narrow"/>
                <w:b/>
                <w:bCs/>
                <w:sz w:val="20"/>
                <w:szCs w:val="20"/>
              </w:rPr>
            </w:pPr>
            <w:r w:rsidRPr="002A262A">
              <w:rPr>
                <w:rFonts w:ascii="Arial Narrow" w:eastAsia="Calibri" w:hAnsi="Arial Narrow" w:cs="Calibri"/>
                <w:bCs/>
                <w:sz w:val="20"/>
                <w:szCs w:val="20"/>
              </w:rPr>
              <w:t>(i) the patient’s heart failure has not worsened to persistent New York Heart Association Class III/IV heart failure while taking this drug.</w:t>
            </w:r>
          </w:p>
        </w:tc>
      </w:tr>
      <w:tr w:rsidR="00E21732" w:rsidRPr="002A262A" w14:paraId="7F251DA7" w14:textId="77777777" w:rsidTr="00FE1CAC">
        <w:trPr>
          <w:trHeight w:val="20"/>
        </w:trPr>
        <w:tc>
          <w:tcPr>
            <w:tcW w:w="1129" w:type="dxa"/>
          </w:tcPr>
          <w:p w14:paraId="2AA389A6" w14:textId="77777777" w:rsidR="00E21732" w:rsidRPr="002A262A" w:rsidRDefault="00E21732" w:rsidP="00FE1CAC">
            <w:pPr>
              <w:jc w:val="center"/>
              <w:rPr>
                <w:rFonts w:ascii="Arial Narrow" w:hAnsi="Arial Narrow"/>
                <w:sz w:val="20"/>
                <w:szCs w:val="20"/>
              </w:rPr>
            </w:pPr>
          </w:p>
        </w:tc>
        <w:tc>
          <w:tcPr>
            <w:tcW w:w="7888" w:type="dxa"/>
            <w:gridSpan w:val="6"/>
          </w:tcPr>
          <w:p w14:paraId="5EE48091" w14:textId="77777777" w:rsidR="00E21732" w:rsidRPr="002A262A" w:rsidRDefault="00E21732" w:rsidP="00FE1CAC">
            <w:pPr>
              <w:ind w:left="-57"/>
              <w:rPr>
                <w:rFonts w:ascii="Arial Narrow" w:eastAsia="Calibri" w:hAnsi="Arial Narrow"/>
                <w:b/>
                <w:bCs/>
                <w:sz w:val="20"/>
                <w:szCs w:val="20"/>
              </w:rPr>
            </w:pPr>
          </w:p>
        </w:tc>
      </w:tr>
      <w:tr w:rsidR="00E21732" w:rsidRPr="002A262A" w14:paraId="2D74A82E" w14:textId="77777777" w:rsidTr="00FE1CAC">
        <w:trPr>
          <w:trHeight w:val="20"/>
        </w:trPr>
        <w:tc>
          <w:tcPr>
            <w:tcW w:w="1129" w:type="dxa"/>
          </w:tcPr>
          <w:p w14:paraId="2CBA2F05" w14:textId="00EDCEFF" w:rsidR="00E21732" w:rsidRPr="002A262A" w:rsidRDefault="00E21732" w:rsidP="00FE1CAC">
            <w:pPr>
              <w:jc w:val="center"/>
              <w:rPr>
                <w:rFonts w:ascii="Arial Narrow" w:eastAsia="Calibri" w:hAnsi="Arial Narrow"/>
                <w:sz w:val="20"/>
                <w:szCs w:val="20"/>
              </w:rPr>
            </w:pPr>
          </w:p>
        </w:tc>
        <w:tc>
          <w:tcPr>
            <w:tcW w:w="7888" w:type="dxa"/>
            <w:gridSpan w:val="6"/>
            <w:hideMark/>
          </w:tcPr>
          <w:p w14:paraId="7DAA9101" w14:textId="77777777" w:rsidR="00E21732" w:rsidRPr="002A262A" w:rsidRDefault="00E21732" w:rsidP="00FE1CAC">
            <w:pPr>
              <w:ind w:left="-57"/>
              <w:rPr>
                <w:rFonts w:ascii="Arial Narrow" w:eastAsia="Calibri" w:hAnsi="Arial Narrow" w:cs="Calibri"/>
                <w:bCs/>
                <w:sz w:val="20"/>
                <w:szCs w:val="20"/>
              </w:rPr>
            </w:pPr>
            <w:r w:rsidRPr="002A262A">
              <w:rPr>
                <w:rFonts w:ascii="Arial Narrow" w:eastAsia="Calibri" w:hAnsi="Arial Narrow" w:cs="Calibri"/>
                <w:b/>
                <w:bCs/>
                <w:sz w:val="20"/>
                <w:szCs w:val="20"/>
              </w:rPr>
              <w:t>Administrative Advice:</w:t>
            </w:r>
            <w:r w:rsidRPr="002A262A">
              <w:rPr>
                <w:rFonts w:ascii="Arial Narrow" w:eastAsia="Calibri" w:hAnsi="Arial Narrow" w:cs="Calibri"/>
                <w:bCs/>
                <w:sz w:val="20"/>
                <w:szCs w:val="20"/>
              </w:rPr>
              <w:t xml:space="preserve"> </w:t>
            </w:r>
          </w:p>
          <w:p w14:paraId="1389CA6D" w14:textId="77777777" w:rsidR="00E21732" w:rsidRPr="002A262A" w:rsidRDefault="00E21732" w:rsidP="00FE1CAC">
            <w:pPr>
              <w:ind w:left="-57"/>
              <w:textAlignment w:val="baseline"/>
              <w:rPr>
                <w:rFonts w:ascii="Arial Narrow" w:eastAsia="Calibri" w:hAnsi="Arial Narrow" w:cs="Open Sans"/>
                <w:bCs/>
                <w:sz w:val="20"/>
                <w:szCs w:val="20"/>
                <w:bdr w:val="none" w:sz="0" w:space="0" w:color="auto" w:frame="1"/>
              </w:rPr>
            </w:pPr>
            <w:r w:rsidRPr="002A262A">
              <w:rPr>
                <w:rFonts w:ascii="Arial Narrow" w:eastAsia="Calibri" w:hAnsi="Arial Narrow" w:cs="Open Sans"/>
                <w:bCs/>
                <w:sz w:val="20"/>
                <w:szCs w:val="20"/>
                <w:bdr w:val="none" w:sz="0" w:space="0" w:color="auto" w:frame="1"/>
              </w:rPr>
              <w:t>Any queries concerning the arrangements to prescribe may be directed to Services Australia on 1800 700 270 (hours of operation 8 a.m. to 5 p.m. Monday to Friday).</w:t>
            </w:r>
          </w:p>
          <w:p w14:paraId="28278334" w14:textId="77777777" w:rsidR="00E21732" w:rsidRPr="002A262A" w:rsidRDefault="00E21732" w:rsidP="00FE1CAC">
            <w:pPr>
              <w:ind w:left="-57"/>
              <w:textAlignment w:val="baseline"/>
              <w:rPr>
                <w:rFonts w:ascii="Arial Narrow" w:eastAsia="Calibri" w:hAnsi="Arial Narrow" w:cs="Open Sans"/>
                <w:bCs/>
                <w:sz w:val="20"/>
                <w:szCs w:val="20"/>
                <w:bdr w:val="none" w:sz="0" w:space="0" w:color="auto" w:frame="1"/>
              </w:rPr>
            </w:pPr>
          </w:p>
          <w:p w14:paraId="0EE11FEF" w14:textId="77777777" w:rsidR="00E21732" w:rsidRPr="002A262A" w:rsidRDefault="00E21732" w:rsidP="00FE1CAC">
            <w:pPr>
              <w:ind w:left="-57"/>
              <w:textAlignment w:val="baseline"/>
              <w:rPr>
                <w:rFonts w:ascii="Arial Narrow" w:eastAsia="Calibri" w:hAnsi="Arial Narrow" w:cs="Open Sans"/>
                <w:bCs/>
                <w:sz w:val="20"/>
                <w:szCs w:val="20"/>
                <w:bdr w:val="none" w:sz="0" w:space="0" w:color="auto" w:frame="1"/>
              </w:rPr>
            </w:pPr>
            <w:r w:rsidRPr="002A262A">
              <w:rPr>
                <w:rFonts w:ascii="Arial Narrow" w:eastAsia="Calibri" w:hAnsi="Arial Narrow" w:cs="Open Sans"/>
                <w:bCs/>
                <w:sz w:val="20"/>
                <w:szCs w:val="20"/>
                <w:bdr w:val="none" w:sz="0" w:space="0" w:color="auto" w:frame="1"/>
              </w:rPr>
              <w:t>Prescribing information (including Authority Application forms and other relevant documentation as applicable) is available on the Services Australia website at www.servicesaustralia.gov.au</w:t>
            </w:r>
          </w:p>
          <w:p w14:paraId="6D92D695" w14:textId="77777777" w:rsidR="00E21732" w:rsidRPr="002A262A" w:rsidRDefault="00E21732" w:rsidP="00FE1CAC">
            <w:pPr>
              <w:ind w:left="-57"/>
              <w:textAlignment w:val="baseline"/>
              <w:rPr>
                <w:rFonts w:ascii="Arial Narrow" w:eastAsia="Calibri" w:hAnsi="Arial Narrow" w:cs="Open Sans"/>
                <w:bCs/>
                <w:strike/>
                <w:sz w:val="20"/>
                <w:szCs w:val="20"/>
                <w:bdr w:val="none" w:sz="0" w:space="0" w:color="auto" w:frame="1"/>
              </w:rPr>
            </w:pPr>
          </w:p>
          <w:p w14:paraId="353F0C43" w14:textId="77777777" w:rsidR="00E21732" w:rsidRPr="002A262A" w:rsidRDefault="00E21732" w:rsidP="00FE1CAC">
            <w:pPr>
              <w:ind w:left="-57"/>
              <w:textAlignment w:val="baseline"/>
              <w:rPr>
                <w:rFonts w:ascii="Arial Narrow" w:eastAsia="Calibri" w:hAnsi="Arial Narrow" w:cs="Open Sans"/>
                <w:bCs/>
                <w:sz w:val="20"/>
                <w:szCs w:val="20"/>
                <w:bdr w:val="none" w:sz="0" w:space="0" w:color="auto" w:frame="1"/>
              </w:rPr>
            </w:pPr>
            <w:r w:rsidRPr="002A262A">
              <w:rPr>
                <w:rFonts w:ascii="Arial Narrow" w:eastAsia="Calibri" w:hAnsi="Arial Narrow" w:cs="Open Sans"/>
                <w:bCs/>
                <w:sz w:val="20"/>
                <w:szCs w:val="20"/>
                <w:bdr w:val="none" w:sz="0" w:space="0" w:color="auto" w:frame="1"/>
              </w:rPr>
              <w:t>Applications for authorisation under this restriction should be made in real time using the Online PBS Authorities system (see www.servicesaustralia.gov.au/hpos)</w:t>
            </w:r>
          </w:p>
          <w:p w14:paraId="4EC6432D" w14:textId="77777777" w:rsidR="00E21732" w:rsidRPr="002A262A" w:rsidRDefault="00E21732" w:rsidP="00FE1CAC">
            <w:pPr>
              <w:ind w:left="-57"/>
              <w:textAlignment w:val="baseline"/>
              <w:rPr>
                <w:rFonts w:ascii="Arial Narrow" w:eastAsia="Calibri" w:hAnsi="Arial Narrow" w:cs="Open Sans"/>
                <w:bCs/>
                <w:sz w:val="20"/>
                <w:szCs w:val="20"/>
                <w:bdr w:val="none" w:sz="0" w:space="0" w:color="auto" w:frame="1"/>
              </w:rPr>
            </w:pPr>
          </w:p>
          <w:p w14:paraId="270BF136" w14:textId="77777777" w:rsidR="00E21732" w:rsidRPr="002A262A" w:rsidRDefault="00E21732" w:rsidP="00FE1CAC">
            <w:pPr>
              <w:ind w:left="-57"/>
              <w:textAlignment w:val="baseline"/>
              <w:rPr>
                <w:rFonts w:ascii="Arial Narrow" w:eastAsia="Calibri" w:hAnsi="Arial Narrow" w:cs="Open Sans"/>
                <w:bCs/>
                <w:sz w:val="20"/>
                <w:szCs w:val="20"/>
                <w:bdr w:val="none" w:sz="0" w:space="0" w:color="auto" w:frame="1"/>
              </w:rPr>
            </w:pPr>
            <w:r w:rsidRPr="002A262A">
              <w:rPr>
                <w:rFonts w:ascii="Arial Narrow" w:eastAsia="Calibri" w:hAnsi="Arial Narrow" w:cs="Open Sans"/>
                <w:bCs/>
                <w:sz w:val="20"/>
                <w:szCs w:val="20"/>
                <w:bdr w:val="none" w:sz="0" w:space="0" w:color="auto" w:frame="1"/>
              </w:rPr>
              <w:t>Alternatively, applications for authority to prescribe can be submitted online using the form upload facility in Health Professional Online Services (HPOS) at www.servicesaustralia.gov.au/hpos</w:t>
            </w:r>
          </w:p>
          <w:p w14:paraId="1031729F" w14:textId="77777777" w:rsidR="00E21732" w:rsidRPr="002A262A" w:rsidRDefault="00E21732" w:rsidP="00FE1CAC">
            <w:pPr>
              <w:ind w:left="-57"/>
              <w:textAlignment w:val="baseline"/>
              <w:rPr>
                <w:rFonts w:ascii="Arial Narrow" w:eastAsia="Calibri" w:hAnsi="Arial Narrow" w:cs="Open Sans"/>
                <w:bCs/>
                <w:sz w:val="20"/>
                <w:szCs w:val="20"/>
                <w:bdr w:val="none" w:sz="0" w:space="0" w:color="auto" w:frame="1"/>
              </w:rPr>
            </w:pPr>
            <w:r w:rsidRPr="002A262A">
              <w:rPr>
                <w:rFonts w:ascii="Arial Narrow" w:eastAsia="Calibri" w:hAnsi="Arial Narrow" w:cs="Open Sans"/>
                <w:bCs/>
                <w:sz w:val="20"/>
                <w:szCs w:val="20"/>
                <w:bdr w:val="none" w:sz="0" w:space="0" w:color="auto" w:frame="1"/>
              </w:rPr>
              <w:t>Or mailed to:</w:t>
            </w:r>
          </w:p>
          <w:p w14:paraId="5406F49C" w14:textId="77777777" w:rsidR="00E21732" w:rsidRPr="002A262A" w:rsidRDefault="00E21732" w:rsidP="00FE1CAC">
            <w:pPr>
              <w:ind w:left="-57"/>
              <w:textAlignment w:val="baseline"/>
              <w:rPr>
                <w:rFonts w:ascii="Arial Narrow" w:eastAsia="Calibri" w:hAnsi="Arial Narrow" w:cs="Open Sans"/>
                <w:bCs/>
                <w:sz w:val="20"/>
                <w:szCs w:val="20"/>
                <w:bdr w:val="none" w:sz="0" w:space="0" w:color="auto" w:frame="1"/>
              </w:rPr>
            </w:pPr>
            <w:r w:rsidRPr="002A262A">
              <w:rPr>
                <w:rFonts w:ascii="Arial Narrow" w:eastAsia="Calibri" w:hAnsi="Arial Narrow" w:cs="Open Sans"/>
                <w:bCs/>
                <w:sz w:val="20"/>
                <w:szCs w:val="20"/>
                <w:bdr w:val="none" w:sz="0" w:space="0" w:color="auto" w:frame="1"/>
              </w:rPr>
              <w:t>Services Australia</w:t>
            </w:r>
          </w:p>
          <w:p w14:paraId="29E2DD04" w14:textId="77777777" w:rsidR="00E21732" w:rsidRPr="002A262A" w:rsidRDefault="00E21732" w:rsidP="00FE1CAC">
            <w:pPr>
              <w:ind w:left="-57"/>
              <w:textAlignment w:val="baseline"/>
              <w:rPr>
                <w:rFonts w:ascii="Arial Narrow" w:eastAsia="Calibri" w:hAnsi="Arial Narrow" w:cs="Open Sans"/>
                <w:bCs/>
                <w:sz w:val="20"/>
                <w:szCs w:val="20"/>
                <w:bdr w:val="none" w:sz="0" w:space="0" w:color="auto" w:frame="1"/>
              </w:rPr>
            </w:pPr>
            <w:r w:rsidRPr="002A262A">
              <w:rPr>
                <w:rFonts w:ascii="Arial Narrow" w:eastAsia="Calibri" w:hAnsi="Arial Narrow" w:cs="Open Sans"/>
                <w:bCs/>
                <w:sz w:val="20"/>
                <w:szCs w:val="20"/>
                <w:bdr w:val="none" w:sz="0" w:space="0" w:color="auto" w:frame="1"/>
              </w:rPr>
              <w:t>Complex Drugs</w:t>
            </w:r>
          </w:p>
          <w:p w14:paraId="7F459BD8" w14:textId="77777777" w:rsidR="00E21732" w:rsidRPr="002A262A" w:rsidRDefault="00E21732" w:rsidP="00FE1CAC">
            <w:pPr>
              <w:ind w:left="-57"/>
              <w:textAlignment w:val="baseline"/>
              <w:rPr>
                <w:rFonts w:ascii="Arial Narrow" w:eastAsia="Calibri" w:hAnsi="Arial Narrow" w:cs="Open Sans"/>
                <w:bCs/>
                <w:sz w:val="20"/>
                <w:szCs w:val="20"/>
                <w:bdr w:val="none" w:sz="0" w:space="0" w:color="auto" w:frame="1"/>
              </w:rPr>
            </w:pPr>
            <w:r w:rsidRPr="002A262A">
              <w:rPr>
                <w:rFonts w:ascii="Arial Narrow" w:eastAsia="Calibri" w:hAnsi="Arial Narrow" w:cs="Open Sans"/>
                <w:bCs/>
                <w:sz w:val="20"/>
                <w:szCs w:val="20"/>
                <w:bdr w:val="none" w:sz="0" w:space="0" w:color="auto" w:frame="1"/>
              </w:rPr>
              <w:t>Reply Paid 9826</w:t>
            </w:r>
          </w:p>
          <w:p w14:paraId="2C78B2EB"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cs="Open Sans"/>
                <w:bCs/>
                <w:sz w:val="20"/>
                <w:szCs w:val="20"/>
                <w:bdr w:val="none" w:sz="0" w:space="0" w:color="auto" w:frame="1"/>
              </w:rPr>
              <w:t>HOBART TAS 7001</w:t>
            </w:r>
          </w:p>
        </w:tc>
      </w:tr>
      <w:tr w:rsidR="00E21732" w:rsidRPr="002A262A" w14:paraId="396CF5CD" w14:textId="77777777" w:rsidTr="006F1FCC">
        <w:trPr>
          <w:trHeight w:val="20"/>
        </w:trPr>
        <w:tc>
          <w:tcPr>
            <w:tcW w:w="1129" w:type="dxa"/>
            <w:shd w:val="clear" w:color="auto" w:fill="auto"/>
          </w:tcPr>
          <w:p w14:paraId="061F580C" w14:textId="3E2AAA89" w:rsidR="00E21732" w:rsidRPr="002A262A" w:rsidRDefault="00E21732" w:rsidP="00FE1CAC">
            <w:pPr>
              <w:jc w:val="center"/>
              <w:rPr>
                <w:rFonts w:ascii="Arial Narrow" w:hAnsi="Arial Narrow"/>
                <w:sz w:val="20"/>
                <w:szCs w:val="20"/>
              </w:rPr>
            </w:pPr>
          </w:p>
        </w:tc>
        <w:tc>
          <w:tcPr>
            <w:tcW w:w="7888" w:type="dxa"/>
            <w:gridSpan w:val="6"/>
            <w:shd w:val="clear" w:color="auto" w:fill="auto"/>
          </w:tcPr>
          <w:p w14:paraId="7B818039" w14:textId="77777777" w:rsidR="00E21732" w:rsidRPr="002A262A" w:rsidRDefault="00E21732" w:rsidP="00FE1CAC">
            <w:pPr>
              <w:ind w:left="-57"/>
              <w:rPr>
                <w:rFonts w:ascii="Arial Narrow" w:eastAsia="Calibri" w:hAnsi="Arial Narrow" w:cs="Calibri"/>
                <w:b/>
                <w:bCs/>
                <w:sz w:val="20"/>
                <w:szCs w:val="20"/>
              </w:rPr>
            </w:pPr>
            <w:r w:rsidRPr="002A262A">
              <w:rPr>
                <w:rFonts w:ascii="Arial Narrow" w:eastAsia="Calibri" w:hAnsi="Arial Narrow" w:cs="Calibri"/>
                <w:b/>
                <w:bCs/>
                <w:sz w:val="20"/>
                <w:szCs w:val="20"/>
              </w:rPr>
              <w:t>Administrative Advice:</w:t>
            </w:r>
          </w:p>
          <w:p w14:paraId="32210FEE" w14:textId="77777777" w:rsidR="00E21732" w:rsidRPr="002A262A" w:rsidRDefault="00E21732" w:rsidP="00FE1CAC">
            <w:pPr>
              <w:ind w:left="-57"/>
              <w:rPr>
                <w:rFonts w:ascii="Arial Narrow" w:eastAsia="Calibri" w:hAnsi="Arial Narrow" w:cs="Calibri"/>
                <w:sz w:val="20"/>
                <w:szCs w:val="20"/>
              </w:rPr>
            </w:pPr>
            <w:r w:rsidRPr="002A262A">
              <w:rPr>
                <w:rFonts w:ascii="Arial Narrow" w:eastAsia="Calibri" w:hAnsi="Arial Narrow" w:cs="Calibri"/>
                <w:sz w:val="20"/>
                <w:szCs w:val="20"/>
              </w:rPr>
              <w:t>The Australian Amyloid Network provides a list of clinic centres that manage amyloidosis. It also provides a list of Australian anatomical pathology laboratories to be contacted for tissue review and immunohistochemistry for amyloid typing. For the purposes of this restriction, these providers are considered to be amyloid expert centres.</w:t>
            </w:r>
          </w:p>
        </w:tc>
      </w:tr>
      <w:tr w:rsidR="00E21732" w:rsidRPr="002A262A" w14:paraId="4502F40C" w14:textId="77777777" w:rsidTr="00FE1CAC">
        <w:trPr>
          <w:trHeight w:val="43"/>
        </w:trPr>
        <w:tc>
          <w:tcPr>
            <w:tcW w:w="9017" w:type="dxa"/>
            <w:gridSpan w:val="7"/>
          </w:tcPr>
          <w:p w14:paraId="241E993C" w14:textId="77777777" w:rsidR="00E21732" w:rsidRPr="002A262A" w:rsidRDefault="00E21732" w:rsidP="00FE1CAC">
            <w:pPr>
              <w:rPr>
                <w:rFonts w:ascii="Arial Narrow" w:eastAsia="Calibri" w:hAnsi="Arial Narrow"/>
                <w:b/>
                <w:bCs/>
                <w:iCs/>
                <w:sz w:val="20"/>
                <w:szCs w:val="20"/>
              </w:rPr>
            </w:pPr>
          </w:p>
          <w:p w14:paraId="44E94B85" w14:textId="77777777" w:rsidR="00E21732" w:rsidRPr="002A262A" w:rsidRDefault="00E21732" w:rsidP="00FE1CAC">
            <w:pPr>
              <w:rPr>
                <w:rFonts w:ascii="Arial Narrow" w:eastAsia="Calibri" w:hAnsi="Arial Narrow"/>
                <w:b/>
                <w:bCs/>
                <w:iCs/>
                <w:sz w:val="20"/>
                <w:szCs w:val="20"/>
              </w:rPr>
            </w:pPr>
          </w:p>
        </w:tc>
      </w:tr>
      <w:tr w:rsidR="00E21732" w:rsidRPr="002A262A" w14:paraId="09C7BBAE" w14:textId="77777777" w:rsidTr="00FE1CAC">
        <w:tc>
          <w:tcPr>
            <w:tcW w:w="9017" w:type="dxa"/>
            <w:gridSpan w:val="7"/>
          </w:tcPr>
          <w:p w14:paraId="1D595C2F" w14:textId="77777777" w:rsidR="00E21732" w:rsidRPr="002A262A" w:rsidRDefault="00E21732" w:rsidP="00FE1CAC">
            <w:pPr>
              <w:ind w:left="-57"/>
              <w:rPr>
                <w:rFonts w:ascii="Arial Narrow" w:eastAsia="Calibri" w:hAnsi="Arial Narrow"/>
                <w:b/>
                <w:sz w:val="20"/>
                <w:szCs w:val="20"/>
              </w:rPr>
            </w:pPr>
            <w:r w:rsidRPr="002A262A">
              <w:rPr>
                <w:rFonts w:ascii="Arial Narrow" w:eastAsia="Calibri" w:hAnsi="Arial Narrow"/>
                <w:b/>
                <w:sz w:val="20"/>
                <w:szCs w:val="20"/>
              </w:rPr>
              <w:t>Restriction Summary [new 2] / Treatment of Concept: [new 2.1]: Authority Required</w:t>
            </w:r>
          </w:p>
          <w:p w14:paraId="0832392A" w14:textId="77777777" w:rsidR="00E21732" w:rsidRPr="002A262A" w:rsidRDefault="00E21732" w:rsidP="00FE1CAC">
            <w:pPr>
              <w:ind w:left="57"/>
              <w:rPr>
                <w:rFonts w:ascii="Arial Narrow" w:eastAsia="Calibri" w:hAnsi="Arial Narrow"/>
                <w:b/>
                <w:sz w:val="20"/>
                <w:szCs w:val="20"/>
              </w:rPr>
            </w:pPr>
            <w:r w:rsidRPr="002A262A">
              <w:rPr>
                <w:rFonts w:ascii="Arial Narrow" w:eastAsia="Calibri" w:hAnsi="Arial Narrow"/>
                <w:b/>
                <w:sz w:val="20"/>
                <w:szCs w:val="20"/>
              </w:rPr>
              <w:t xml:space="preserve"> </w:t>
            </w:r>
          </w:p>
        </w:tc>
      </w:tr>
      <w:tr w:rsidR="00E21732" w:rsidRPr="002A262A" w14:paraId="5D0BD3C4" w14:textId="77777777" w:rsidTr="00FE1CAC">
        <w:tc>
          <w:tcPr>
            <w:tcW w:w="1129" w:type="dxa"/>
          </w:tcPr>
          <w:p w14:paraId="4E77B742" w14:textId="05DD0F75" w:rsidR="00E21732" w:rsidRPr="002A262A" w:rsidRDefault="00E21732" w:rsidP="00FE1CAC">
            <w:pPr>
              <w:jc w:val="center"/>
              <w:rPr>
                <w:rFonts w:ascii="Arial Narrow" w:eastAsia="Calibri" w:hAnsi="Arial Narrow"/>
                <w:sz w:val="20"/>
                <w:szCs w:val="20"/>
              </w:rPr>
            </w:pPr>
          </w:p>
        </w:tc>
        <w:tc>
          <w:tcPr>
            <w:tcW w:w="7888" w:type="dxa"/>
            <w:gridSpan w:val="6"/>
            <w:hideMark/>
          </w:tcPr>
          <w:p w14:paraId="61BE4FE4"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Indication:</w:t>
            </w:r>
            <w:r w:rsidRPr="002A262A">
              <w:rPr>
                <w:rFonts w:ascii="Arial Narrow" w:eastAsia="Calibri" w:hAnsi="Arial Narrow"/>
                <w:sz w:val="20"/>
                <w:szCs w:val="20"/>
              </w:rPr>
              <w:t xml:space="preserve"> </w:t>
            </w:r>
            <w:r w:rsidRPr="002A262A">
              <w:rPr>
                <w:rFonts w:ascii="Arial Narrow" w:eastAsia="Calibri" w:hAnsi="Arial Narrow" w:cs="Calibri"/>
                <w:bCs/>
                <w:sz w:val="20"/>
                <w:szCs w:val="20"/>
              </w:rPr>
              <w:t>Transthyretin amyloid cardiomyopathy</w:t>
            </w:r>
          </w:p>
        </w:tc>
      </w:tr>
      <w:tr w:rsidR="00E21732" w:rsidRPr="002A262A" w14:paraId="099FE5FB" w14:textId="77777777" w:rsidTr="00FE1CAC">
        <w:tc>
          <w:tcPr>
            <w:tcW w:w="1129" w:type="dxa"/>
          </w:tcPr>
          <w:p w14:paraId="29C7DC4C" w14:textId="77777777" w:rsidR="00E21732" w:rsidRPr="002A262A" w:rsidRDefault="00E21732" w:rsidP="00FE1CAC">
            <w:pPr>
              <w:jc w:val="center"/>
              <w:rPr>
                <w:rFonts w:ascii="Arial Narrow" w:hAnsi="Arial Narrow"/>
                <w:sz w:val="20"/>
                <w:szCs w:val="20"/>
              </w:rPr>
            </w:pPr>
          </w:p>
        </w:tc>
        <w:tc>
          <w:tcPr>
            <w:tcW w:w="7888" w:type="dxa"/>
            <w:gridSpan w:val="6"/>
          </w:tcPr>
          <w:p w14:paraId="735B1E22" w14:textId="77777777" w:rsidR="00E21732" w:rsidRPr="002A262A" w:rsidRDefault="00E21732" w:rsidP="00FE1CAC">
            <w:pPr>
              <w:ind w:left="-57"/>
              <w:rPr>
                <w:rFonts w:ascii="Arial Narrow" w:eastAsia="Calibri" w:hAnsi="Arial Narrow"/>
                <w:b/>
                <w:bCs/>
                <w:sz w:val="20"/>
                <w:szCs w:val="20"/>
              </w:rPr>
            </w:pPr>
          </w:p>
        </w:tc>
      </w:tr>
      <w:tr w:rsidR="00E21732" w:rsidRPr="002A262A" w14:paraId="30B5CBC2" w14:textId="77777777" w:rsidTr="00FE1CAC">
        <w:tc>
          <w:tcPr>
            <w:tcW w:w="1129" w:type="dxa"/>
          </w:tcPr>
          <w:p w14:paraId="564689C0" w14:textId="77777777" w:rsidR="00E21732" w:rsidRPr="002A262A" w:rsidRDefault="00E21732" w:rsidP="00FE1CAC">
            <w:pPr>
              <w:jc w:val="center"/>
              <w:rPr>
                <w:rFonts w:ascii="Arial Narrow" w:eastAsia="Calibri" w:hAnsi="Arial Narrow"/>
                <w:sz w:val="20"/>
                <w:szCs w:val="20"/>
              </w:rPr>
            </w:pPr>
          </w:p>
        </w:tc>
        <w:tc>
          <w:tcPr>
            <w:tcW w:w="7888" w:type="dxa"/>
            <w:gridSpan w:val="6"/>
            <w:hideMark/>
          </w:tcPr>
          <w:p w14:paraId="6B1F7419" w14:textId="77777777" w:rsidR="00E21732" w:rsidRPr="002A262A" w:rsidRDefault="00E21732" w:rsidP="00FE1CAC">
            <w:pPr>
              <w:ind w:left="-57"/>
              <w:rPr>
                <w:rFonts w:ascii="Arial Narrow" w:eastAsia="Calibri" w:hAnsi="Arial Narrow"/>
                <w:i/>
                <w:iCs/>
                <w:sz w:val="20"/>
                <w:szCs w:val="20"/>
              </w:rPr>
            </w:pPr>
            <w:r w:rsidRPr="002A262A">
              <w:rPr>
                <w:rFonts w:ascii="Arial Narrow" w:eastAsia="Calibri" w:hAnsi="Arial Narrow"/>
                <w:b/>
                <w:bCs/>
                <w:sz w:val="20"/>
                <w:szCs w:val="20"/>
              </w:rPr>
              <w:t>Treatment Phase:</w:t>
            </w:r>
            <w:r w:rsidRPr="002A262A">
              <w:rPr>
                <w:rFonts w:ascii="Arial Narrow" w:eastAsia="Calibri" w:hAnsi="Arial Narrow"/>
                <w:sz w:val="20"/>
                <w:szCs w:val="20"/>
              </w:rPr>
              <w:t xml:space="preserve"> </w:t>
            </w:r>
            <w:r w:rsidRPr="002A262A">
              <w:rPr>
                <w:rFonts w:ascii="Arial Narrow" w:hAnsi="Arial Narrow"/>
                <w:color w:val="333333"/>
                <w:sz w:val="20"/>
                <w:szCs w:val="20"/>
              </w:rPr>
              <w:t>Second and subsequent PBS-subsidised prescriptions for this drug</w:t>
            </w:r>
          </w:p>
        </w:tc>
      </w:tr>
      <w:tr w:rsidR="00E21732" w:rsidRPr="002A262A" w14:paraId="0722BE40" w14:textId="77777777" w:rsidTr="00FE1CAC">
        <w:tc>
          <w:tcPr>
            <w:tcW w:w="1129" w:type="dxa"/>
          </w:tcPr>
          <w:p w14:paraId="4956A1E0" w14:textId="77777777" w:rsidR="00E21732" w:rsidRPr="002A262A" w:rsidRDefault="00E21732" w:rsidP="00FE1CAC">
            <w:pPr>
              <w:jc w:val="center"/>
              <w:rPr>
                <w:rFonts w:ascii="Arial Narrow" w:eastAsia="Calibri" w:hAnsi="Arial Narrow"/>
                <w:sz w:val="20"/>
                <w:szCs w:val="20"/>
              </w:rPr>
            </w:pPr>
          </w:p>
        </w:tc>
        <w:tc>
          <w:tcPr>
            <w:tcW w:w="7888" w:type="dxa"/>
            <w:gridSpan w:val="6"/>
          </w:tcPr>
          <w:p w14:paraId="1B8CE465" w14:textId="77777777" w:rsidR="00E21732" w:rsidRPr="002A262A" w:rsidRDefault="00E21732" w:rsidP="00FE1CAC">
            <w:pPr>
              <w:ind w:left="-57"/>
              <w:rPr>
                <w:rFonts w:ascii="Arial Narrow" w:eastAsia="Calibri" w:hAnsi="Arial Narrow"/>
                <w:b/>
                <w:bCs/>
                <w:sz w:val="20"/>
                <w:szCs w:val="20"/>
              </w:rPr>
            </w:pPr>
          </w:p>
        </w:tc>
      </w:tr>
      <w:tr w:rsidR="00E21732" w:rsidRPr="002A262A" w14:paraId="48211CC8" w14:textId="77777777" w:rsidTr="00FE1CAC">
        <w:tc>
          <w:tcPr>
            <w:tcW w:w="1129" w:type="dxa"/>
          </w:tcPr>
          <w:p w14:paraId="5AE962A2" w14:textId="0CA6B79A" w:rsidR="00E21732" w:rsidRPr="002A262A" w:rsidRDefault="00E21732" w:rsidP="00FE1CAC">
            <w:pPr>
              <w:jc w:val="center"/>
              <w:rPr>
                <w:rFonts w:ascii="Arial Narrow" w:eastAsia="Calibri" w:hAnsi="Arial Narrow"/>
                <w:sz w:val="20"/>
                <w:szCs w:val="20"/>
              </w:rPr>
            </w:pPr>
          </w:p>
        </w:tc>
        <w:tc>
          <w:tcPr>
            <w:tcW w:w="7888" w:type="dxa"/>
            <w:gridSpan w:val="6"/>
            <w:hideMark/>
          </w:tcPr>
          <w:p w14:paraId="4679C255"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 xml:space="preserve">Clinical criteria: </w:t>
            </w:r>
          </w:p>
        </w:tc>
      </w:tr>
      <w:tr w:rsidR="00E21732" w:rsidRPr="002A262A" w14:paraId="0E88BFD8" w14:textId="77777777" w:rsidTr="00FE1CAC">
        <w:tc>
          <w:tcPr>
            <w:tcW w:w="1129" w:type="dxa"/>
          </w:tcPr>
          <w:p w14:paraId="3959FFB2" w14:textId="72DE35FB" w:rsidR="00E21732" w:rsidRPr="002A262A" w:rsidRDefault="00E21732" w:rsidP="00FE1CAC">
            <w:pPr>
              <w:jc w:val="center"/>
              <w:rPr>
                <w:rFonts w:ascii="Arial Narrow" w:eastAsia="Calibri" w:hAnsi="Arial Narrow"/>
                <w:sz w:val="20"/>
                <w:szCs w:val="20"/>
              </w:rPr>
            </w:pPr>
          </w:p>
        </w:tc>
        <w:tc>
          <w:tcPr>
            <w:tcW w:w="7888" w:type="dxa"/>
            <w:gridSpan w:val="6"/>
            <w:hideMark/>
          </w:tcPr>
          <w:p w14:paraId="4CB31DBD"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cs="Calibri"/>
                <w:sz w:val="20"/>
                <w:szCs w:val="20"/>
              </w:rPr>
              <w:t>Patient must have previously received PBS-subsidised treatment with this drug for this condition,</w:t>
            </w:r>
          </w:p>
        </w:tc>
      </w:tr>
      <w:tr w:rsidR="00E21732" w:rsidRPr="002A262A" w14:paraId="4C480315" w14:textId="77777777" w:rsidTr="00FE1CAC">
        <w:tc>
          <w:tcPr>
            <w:tcW w:w="1129" w:type="dxa"/>
          </w:tcPr>
          <w:p w14:paraId="2F346F54" w14:textId="77777777" w:rsidR="00E21732" w:rsidRPr="002A262A" w:rsidRDefault="00E21732" w:rsidP="00FE1CAC">
            <w:pPr>
              <w:jc w:val="center"/>
              <w:rPr>
                <w:rFonts w:ascii="Arial Narrow" w:eastAsia="Calibri" w:hAnsi="Arial Narrow"/>
                <w:sz w:val="20"/>
                <w:szCs w:val="20"/>
              </w:rPr>
            </w:pPr>
          </w:p>
        </w:tc>
        <w:tc>
          <w:tcPr>
            <w:tcW w:w="7888" w:type="dxa"/>
            <w:gridSpan w:val="6"/>
            <w:hideMark/>
          </w:tcPr>
          <w:p w14:paraId="099FA34A"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AND</w:t>
            </w:r>
          </w:p>
        </w:tc>
      </w:tr>
      <w:tr w:rsidR="00E21732" w:rsidRPr="002A262A" w14:paraId="4F545710" w14:textId="77777777" w:rsidTr="00FE1CAC">
        <w:tc>
          <w:tcPr>
            <w:tcW w:w="1129" w:type="dxa"/>
          </w:tcPr>
          <w:p w14:paraId="01AB1520" w14:textId="51C9D060" w:rsidR="00E21732" w:rsidRPr="002A262A" w:rsidRDefault="00E21732" w:rsidP="00FE1CAC">
            <w:pPr>
              <w:jc w:val="center"/>
              <w:rPr>
                <w:rFonts w:ascii="Arial Narrow" w:eastAsia="Calibri" w:hAnsi="Arial Narrow"/>
                <w:sz w:val="20"/>
                <w:szCs w:val="20"/>
              </w:rPr>
            </w:pPr>
          </w:p>
        </w:tc>
        <w:tc>
          <w:tcPr>
            <w:tcW w:w="7888" w:type="dxa"/>
            <w:gridSpan w:val="6"/>
            <w:hideMark/>
          </w:tcPr>
          <w:p w14:paraId="1B560D99"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Clinical criteria:</w:t>
            </w:r>
          </w:p>
        </w:tc>
      </w:tr>
      <w:tr w:rsidR="00E21732" w:rsidRPr="002A262A" w14:paraId="72102A37" w14:textId="77777777" w:rsidTr="00FE1CAC">
        <w:tc>
          <w:tcPr>
            <w:tcW w:w="1129" w:type="dxa"/>
          </w:tcPr>
          <w:p w14:paraId="719CDF4B" w14:textId="464BC5D2" w:rsidR="00E21732" w:rsidRPr="002A262A" w:rsidRDefault="00E21732" w:rsidP="00FE1CAC">
            <w:pPr>
              <w:jc w:val="center"/>
              <w:rPr>
                <w:rFonts w:ascii="Arial Narrow" w:eastAsia="Calibri" w:hAnsi="Arial Narrow"/>
                <w:sz w:val="20"/>
                <w:szCs w:val="20"/>
              </w:rPr>
            </w:pPr>
          </w:p>
        </w:tc>
        <w:tc>
          <w:tcPr>
            <w:tcW w:w="7888" w:type="dxa"/>
            <w:gridSpan w:val="6"/>
            <w:hideMark/>
          </w:tcPr>
          <w:p w14:paraId="2A2F4253"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cs="Calibri"/>
                <w:bCs/>
                <w:sz w:val="20"/>
                <w:szCs w:val="20"/>
                <w:lang w:val="en-US"/>
              </w:rPr>
              <w:t>Patient must have an estimated glomerular filtration rate (eGFR) greater than 25 ml/minute/1.73 m</w:t>
            </w:r>
            <w:r w:rsidRPr="002A262A">
              <w:rPr>
                <w:rFonts w:ascii="Arial Narrow" w:eastAsia="Calibri" w:hAnsi="Arial Narrow" w:cs="Calibri"/>
                <w:bCs/>
                <w:sz w:val="20"/>
                <w:szCs w:val="20"/>
                <w:vertAlign w:val="superscript"/>
                <w:lang w:val="en-US"/>
              </w:rPr>
              <w:t>2</w:t>
            </w:r>
          </w:p>
        </w:tc>
      </w:tr>
      <w:tr w:rsidR="00E21732" w:rsidRPr="002A262A" w14:paraId="4970F9A0" w14:textId="77777777" w:rsidTr="00FE1CAC">
        <w:tc>
          <w:tcPr>
            <w:tcW w:w="1129" w:type="dxa"/>
          </w:tcPr>
          <w:p w14:paraId="7130656E" w14:textId="77777777" w:rsidR="00E21732" w:rsidRPr="002A262A" w:rsidRDefault="00E21732" w:rsidP="00FE1CAC">
            <w:pPr>
              <w:jc w:val="center"/>
              <w:rPr>
                <w:rFonts w:ascii="Arial Narrow" w:eastAsia="Calibri" w:hAnsi="Arial Narrow"/>
                <w:sz w:val="20"/>
                <w:szCs w:val="20"/>
              </w:rPr>
            </w:pPr>
          </w:p>
        </w:tc>
        <w:tc>
          <w:tcPr>
            <w:tcW w:w="7888" w:type="dxa"/>
            <w:gridSpan w:val="6"/>
            <w:hideMark/>
          </w:tcPr>
          <w:p w14:paraId="68B02B10"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AND</w:t>
            </w:r>
          </w:p>
        </w:tc>
      </w:tr>
      <w:tr w:rsidR="00E21732" w:rsidRPr="002A262A" w14:paraId="6E49D5DB" w14:textId="77777777" w:rsidTr="002A262A">
        <w:tc>
          <w:tcPr>
            <w:tcW w:w="1129" w:type="dxa"/>
            <w:shd w:val="clear" w:color="auto" w:fill="auto"/>
          </w:tcPr>
          <w:p w14:paraId="0E254FC9" w14:textId="63F0E60C" w:rsidR="00E21732" w:rsidRPr="002A262A" w:rsidRDefault="00E21732" w:rsidP="00FE1CAC">
            <w:pPr>
              <w:jc w:val="center"/>
              <w:rPr>
                <w:rFonts w:ascii="Arial Narrow" w:eastAsia="Calibri" w:hAnsi="Arial Narrow"/>
                <w:sz w:val="20"/>
                <w:szCs w:val="20"/>
              </w:rPr>
            </w:pPr>
          </w:p>
        </w:tc>
        <w:tc>
          <w:tcPr>
            <w:tcW w:w="7888" w:type="dxa"/>
            <w:gridSpan w:val="6"/>
            <w:shd w:val="clear" w:color="auto" w:fill="auto"/>
            <w:hideMark/>
          </w:tcPr>
          <w:p w14:paraId="487291A2"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Clinical criteria:</w:t>
            </w:r>
          </w:p>
        </w:tc>
      </w:tr>
      <w:tr w:rsidR="00E21732" w:rsidRPr="002A262A" w14:paraId="43B99050" w14:textId="77777777" w:rsidTr="002A262A">
        <w:tc>
          <w:tcPr>
            <w:tcW w:w="1129" w:type="dxa"/>
            <w:shd w:val="clear" w:color="auto" w:fill="auto"/>
          </w:tcPr>
          <w:p w14:paraId="4AACD001" w14:textId="2BB6559E" w:rsidR="00E21732" w:rsidRPr="002A262A" w:rsidRDefault="00E21732" w:rsidP="00FE1CAC">
            <w:pPr>
              <w:jc w:val="center"/>
              <w:rPr>
                <w:rFonts w:ascii="Arial Narrow" w:eastAsia="Calibri" w:hAnsi="Arial Narrow"/>
                <w:sz w:val="20"/>
                <w:szCs w:val="20"/>
              </w:rPr>
            </w:pPr>
          </w:p>
        </w:tc>
        <w:tc>
          <w:tcPr>
            <w:tcW w:w="7888" w:type="dxa"/>
            <w:gridSpan w:val="6"/>
            <w:shd w:val="clear" w:color="auto" w:fill="auto"/>
            <w:hideMark/>
          </w:tcPr>
          <w:p w14:paraId="62B48E07" w14:textId="536C9898" w:rsidR="00E21732" w:rsidRPr="002A262A" w:rsidRDefault="00E21732" w:rsidP="00FE1CAC">
            <w:pPr>
              <w:ind w:left="-57"/>
              <w:rPr>
                <w:rFonts w:ascii="Arial Narrow" w:hAnsi="Arial Narrow"/>
                <w:sz w:val="20"/>
                <w:szCs w:val="20"/>
              </w:rPr>
            </w:pPr>
            <w:r w:rsidRPr="002A262A">
              <w:rPr>
                <w:rFonts w:ascii="Arial Narrow" w:hAnsi="Arial Narrow"/>
                <w:sz w:val="20"/>
                <w:szCs w:val="20"/>
              </w:rPr>
              <w:t>The treatment must be ceased where the patient’s heart failure has worsened to persistent New York Heart Association (NYHA) Class III/IV heart failure.</w:t>
            </w:r>
          </w:p>
        </w:tc>
      </w:tr>
      <w:tr w:rsidR="00E21732" w:rsidRPr="002A262A" w14:paraId="1C0A8F74" w14:textId="77777777" w:rsidTr="00FE1CAC">
        <w:tc>
          <w:tcPr>
            <w:tcW w:w="1129" w:type="dxa"/>
          </w:tcPr>
          <w:p w14:paraId="40E22ADF" w14:textId="77777777" w:rsidR="00E21732" w:rsidRPr="002A262A" w:rsidRDefault="00E21732" w:rsidP="00FE1CAC">
            <w:pPr>
              <w:jc w:val="center"/>
              <w:rPr>
                <w:rFonts w:ascii="Arial Narrow" w:eastAsia="Calibri" w:hAnsi="Arial Narrow"/>
                <w:sz w:val="20"/>
                <w:szCs w:val="20"/>
              </w:rPr>
            </w:pPr>
          </w:p>
        </w:tc>
        <w:tc>
          <w:tcPr>
            <w:tcW w:w="7888" w:type="dxa"/>
            <w:gridSpan w:val="6"/>
          </w:tcPr>
          <w:p w14:paraId="3F9396BC" w14:textId="77777777" w:rsidR="00E21732" w:rsidRPr="002A262A" w:rsidRDefault="00E21732" w:rsidP="00FE1CAC">
            <w:pPr>
              <w:ind w:left="-57"/>
              <w:rPr>
                <w:rFonts w:ascii="Arial Narrow" w:eastAsia="Calibri" w:hAnsi="Arial Narrow" w:cs="Calibri"/>
                <w:bCs/>
                <w:strike/>
                <w:sz w:val="20"/>
                <w:szCs w:val="20"/>
              </w:rPr>
            </w:pPr>
            <w:r w:rsidRPr="002A262A">
              <w:rPr>
                <w:rFonts w:ascii="Arial Narrow" w:eastAsia="Calibri" w:hAnsi="Arial Narrow"/>
                <w:b/>
                <w:bCs/>
                <w:sz w:val="20"/>
                <w:szCs w:val="20"/>
              </w:rPr>
              <w:t>AND</w:t>
            </w:r>
          </w:p>
        </w:tc>
      </w:tr>
      <w:tr w:rsidR="00E21732" w:rsidRPr="002A262A" w14:paraId="187976E7" w14:textId="77777777" w:rsidTr="00FE1CAC">
        <w:tc>
          <w:tcPr>
            <w:tcW w:w="1129" w:type="dxa"/>
          </w:tcPr>
          <w:p w14:paraId="5C2E10DB" w14:textId="0CFF6086" w:rsidR="00E21732" w:rsidRPr="002A262A" w:rsidRDefault="00E21732" w:rsidP="00FE1CAC">
            <w:pPr>
              <w:jc w:val="center"/>
              <w:rPr>
                <w:rFonts w:ascii="Arial Narrow" w:eastAsia="Calibri" w:hAnsi="Arial Narrow"/>
                <w:sz w:val="20"/>
                <w:szCs w:val="20"/>
              </w:rPr>
            </w:pPr>
          </w:p>
        </w:tc>
        <w:tc>
          <w:tcPr>
            <w:tcW w:w="7888" w:type="dxa"/>
            <w:gridSpan w:val="6"/>
          </w:tcPr>
          <w:p w14:paraId="6E4998D8" w14:textId="77777777" w:rsidR="00E21732" w:rsidRPr="002A262A" w:rsidRDefault="00E21732" w:rsidP="00FE1CAC">
            <w:pPr>
              <w:ind w:left="-57"/>
              <w:rPr>
                <w:rFonts w:ascii="Arial Narrow" w:eastAsia="Calibri" w:hAnsi="Arial Narrow" w:cs="Calibri"/>
                <w:bCs/>
                <w:strike/>
                <w:sz w:val="20"/>
                <w:szCs w:val="20"/>
              </w:rPr>
            </w:pPr>
            <w:r w:rsidRPr="002A262A">
              <w:rPr>
                <w:rFonts w:ascii="Arial Narrow" w:eastAsia="Calibri" w:hAnsi="Arial Narrow"/>
                <w:b/>
                <w:bCs/>
                <w:sz w:val="20"/>
                <w:szCs w:val="20"/>
              </w:rPr>
              <w:t>Clinical criteria:</w:t>
            </w:r>
          </w:p>
        </w:tc>
      </w:tr>
      <w:tr w:rsidR="00E21732" w:rsidRPr="002A262A" w14:paraId="05E920E2" w14:textId="77777777" w:rsidTr="00FE1CAC">
        <w:tc>
          <w:tcPr>
            <w:tcW w:w="1129" w:type="dxa"/>
          </w:tcPr>
          <w:p w14:paraId="06D34D12" w14:textId="3C26AB27" w:rsidR="00E21732" w:rsidRPr="002A262A" w:rsidRDefault="00E21732" w:rsidP="00FE1CAC">
            <w:pPr>
              <w:jc w:val="center"/>
              <w:rPr>
                <w:rFonts w:ascii="Arial Narrow" w:eastAsia="Calibri" w:hAnsi="Arial Narrow"/>
                <w:sz w:val="20"/>
                <w:szCs w:val="20"/>
              </w:rPr>
            </w:pPr>
          </w:p>
        </w:tc>
        <w:tc>
          <w:tcPr>
            <w:tcW w:w="7888" w:type="dxa"/>
            <w:gridSpan w:val="6"/>
          </w:tcPr>
          <w:p w14:paraId="73405426" w14:textId="77777777" w:rsidR="00E21732" w:rsidRPr="002A262A" w:rsidRDefault="00E21732" w:rsidP="00FE1CAC">
            <w:pPr>
              <w:ind w:left="-57"/>
              <w:rPr>
                <w:rFonts w:ascii="Arial Narrow" w:eastAsia="Calibri" w:hAnsi="Arial Narrow" w:cs="Calibri"/>
                <w:bCs/>
                <w:sz w:val="20"/>
                <w:szCs w:val="20"/>
              </w:rPr>
            </w:pPr>
            <w:r w:rsidRPr="002A262A">
              <w:rPr>
                <w:rFonts w:ascii="Arial Narrow" w:eastAsia="Calibri" w:hAnsi="Arial Narrow" w:cs="Calibri"/>
                <w:bCs/>
                <w:sz w:val="20"/>
                <w:szCs w:val="20"/>
              </w:rPr>
              <w:t>The treatment must be ceased where the patient has received any of: (i) a heart transplant, (ii) a liver transplant, (iii) an implanted ventricular assist device.</w:t>
            </w:r>
          </w:p>
        </w:tc>
      </w:tr>
      <w:tr w:rsidR="00E21732" w:rsidRPr="002A262A" w14:paraId="0DC8EA5A" w14:textId="77777777" w:rsidTr="00FE1CAC">
        <w:tc>
          <w:tcPr>
            <w:tcW w:w="1129" w:type="dxa"/>
          </w:tcPr>
          <w:p w14:paraId="5B9F20F1" w14:textId="77777777" w:rsidR="00E21732" w:rsidRPr="002A262A" w:rsidRDefault="00E21732" w:rsidP="00FE1CAC">
            <w:pPr>
              <w:jc w:val="center"/>
              <w:rPr>
                <w:rFonts w:ascii="Arial Narrow" w:hAnsi="Arial Narrow"/>
                <w:sz w:val="20"/>
                <w:szCs w:val="20"/>
              </w:rPr>
            </w:pPr>
          </w:p>
        </w:tc>
        <w:tc>
          <w:tcPr>
            <w:tcW w:w="7888" w:type="dxa"/>
            <w:gridSpan w:val="6"/>
          </w:tcPr>
          <w:p w14:paraId="02BFA927" w14:textId="77777777" w:rsidR="00E21732" w:rsidRPr="002A262A" w:rsidRDefault="00E21732" w:rsidP="00FE1CAC">
            <w:pPr>
              <w:ind w:left="-57"/>
              <w:rPr>
                <w:rFonts w:ascii="Arial Narrow" w:eastAsia="Calibri" w:hAnsi="Arial Narrow"/>
                <w:b/>
                <w:bCs/>
                <w:sz w:val="20"/>
                <w:szCs w:val="20"/>
              </w:rPr>
            </w:pPr>
          </w:p>
        </w:tc>
      </w:tr>
      <w:tr w:rsidR="00E21732" w:rsidRPr="002A262A" w14:paraId="1981FE17" w14:textId="77777777" w:rsidTr="00FE1CAC">
        <w:tc>
          <w:tcPr>
            <w:tcW w:w="1129" w:type="dxa"/>
          </w:tcPr>
          <w:p w14:paraId="6FD3467A" w14:textId="3280D308" w:rsidR="00E21732" w:rsidRPr="002A262A" w:rsidRDefault="00E21732" w:rsidP="00FE1CAC">
            <w:pPr>
              <w:jc w:val="center"/>
              <w:rPr>
                <w:rFonts w:ascii="Arial Narrow" w:eastAsia="Calibri" w:hAnsi="Arial Narrow"/>
                <w:sz w:val="20"/>
                <w:szCs w:val="20"/>
              </w:rPr>
            </w:pPr>
          </w:p>
        </w:tc>
        <w:tc>
          <w:tcPr>
            <w:tcW w:w="7888" w:type="dxa"/>
            <w:gridSpan w:val="6"/>
            <w:hideMark/>
          </w:tcPr>
          <w:p w14:paraId="1743A79D" w14:textId="77777777" w:rsidR="00E21732" w:rsidRPr="002A262A" w:rsidRDefault="00E21732" w:rsidP="00FE1CAC">
            <w:pPr>
              <w:ind w:left="-57"/>
              <w:rPr>
                <w:rFonts w:ascii="Arial Narrow" w:eastAsia="Calibri" w:hAnsi="Arial Narrow"/>
                <w:sz w:val="20"/>
                <w:szCs w:val="20"/>
              </w:rPr>
            </w:pPr>
            <w:r w:rsidRPr="002A262A">
              <w:rPr>
                <w:rFonts w:ascii="Arial Narrow" w:eastAsia="Calibri" w:hAnsi="Arial Narrow"/>
                <w:b/>
                <w:bCs/>
                <w:sz w:val="20"/>
                <w:szCs w:val="20"/>
              </w:rPr>
              <w:t>Treatment criteria:</w:t>
            </w:r>
          </w:p>
        </w:tc>
      </w:tr>
      <w:tr w:rsidR="00E21732" w:rsidRPr="002A262A" w14:paraId="6EAC54AD" w14:textId="77777777" w:rsidTr="00FE1CAC">
        <w:tc>
          <w:tcPr>
            <w:tcW w:w="1129" w:type="dxa"/>
          </w:tcPr>
          <w:p w14:paraId="593823DE" w14:textId="132CA7E9" w:rsidR="00E21732" w:rsidRPr="002A262A" w:rsidRDefault="00E21732" w:rsidP="00FE1CAC">
            <w:pPr>
              <w:jc w:val="center"/>
              <w:rPr>
                <w:rFonts w:ascii="Arial Narrow" w:eastAsia="Calibri" w:hAnsi="Arial Narrow"/>
                <w:sz w:val="20"/>
                <w:szCs w:val="20"/>
              </w:rPr>
            </w:pPr>
          </w:p>
        </w:tc>
        <w:tc>
          <w:tcPr>
            <w:tcW w:w="7888" w:type="dxa"/>
            <w:gridSpan w:val="6"/>
            <w:hideMark/>
          </w:tcPr>
          <w:p w14:paraId="59C4D1AA" w14:textId="77777777" w:rsidR="00E21732" w:rsidRPr="002A262A" w:rsidRDefault="00E21732" w:rsidP="00FE1CAC">
            <w:pPr>
              <w:autoSpaceDE w:val="0"/>
              <w:autoSpaceDN w:val="0"/>
              <w:adjustRightInd w:val="0"/>
              <w:ind w:left="-57"/>
              <w:rPr>
                <w:rFonts w:ascii="Arial Narrow" w:eastAsia="Calibri" w:hAnsi="Arial Narrow" w:cs="Arial Narrow"/>
                <w:strike/>
                <w:sz w:val="20"/>
                <w:szCs w:val="20"/>
              </w:rPr>
            </w:pPr>
            <w:r w:rsidRPr="002A262A">
              <w:rPr>
                <w:rFonts w:ascii="Arial Narrow" w:eastAsia="Calibri" w:hAnsi="Arial Narrow" w:cs="Calibri"/>
                <w:sz w:val="20"/>
                <w:szCs w:val="20"/>
              </w:rPr>
              <w:t>Must be treated by a medical practitioner who is any of the following: (i) a cardiologist, (ii) a consultant physician with experience in the management of amyloid disorders; this authority application must be sought by the same medical practitioner providing treatment.</w:t>
            </w:r>
          </w:p>
        </w:tc>
      </w:tr>
      <w:tr w:rsidR="00E21732" w:rsidRPr="002A262A" w14:paraId="7006BCAB" w14:textId="77777777" w:rsidTr="00FE1CAC">
        <w:tc>
          <w:tcPr>
            <w:tcW w:w="1129" w:type="dxa"/>
          </w:tcPr>
          <w:p w14:paraId="64395C98" w14:textId="77777777" w:rsidR="00E21732" w:rsidRPr="002A262A" w:rsidRDefault="00E21732" w:rsidP="00FE1CAC">
            <w:pPr>
              <w:jc w:val="center"/>
              <w:rPr>
                <w:rFonts w:ascii="Arial Narrow" w:eastAsia="Calibri" w:hAnsi="Arial Narrow"/>
                <w:sz w:val="20"/>
                <w:szCs w:val="20"/>
              </w:rPr>
            </w:pPr>
          </w:p>
        </w:tc>
        <w:tc>
          <w:tcPr>
            <w:tcW w:w="7888" w:type="dxa"/>
            <w:gridSpan w:val="6"/>
          </w:tcPr>
          <w:p w14:paraId="07A214DB" w14:textId="77777777" w:rsidR="00E21732" w:rsidRPr="002A262A" w:rsidRDefault="00E21732" w:rsidP="00FE1CAC">
            <w:pPr>
              <w:autoSpaceDE w:val="0"/>
              <w:autoSpaceDN w:val="0"/>
              <w:adjustRightInd w:val="0"/>
              <w:ind w:left="-57"/>
              <w:rPr>
                <w:rFonts w:ascii="Arial Narrow" w:eastAsia="Calibri" w:hAnsi="Arial Narrow" w:cs="Calibri"/>
                <w:i/>
                <w:iCs/>
                <w:strike/>
                <w:sz w:val="20"/>
                <w:szCs w:val="20"/>
              </w:rPr>
            </w:pPr>
          </w:p>
        </w:tc>
      </w:tr>
      <w:tr w:rsidR="00E21732" w:rsidRPr="002A262A" w14:paraId="71CBAFE2" w14:textId="77777777" w:rsidTr="002A262A">
        <w:tc>
          <w:tcPr>
            <w:tcW w:w="1129" w:type="dxa"/>
            <w:shd w:val="clear" w:color="auto" w:fill="auto"/>
          </w:tcPr>
          <w:p w14:paraId="76FCA80C" w14:textId="33324C7E" w:rsidR="00E21732" w:rsidRPr="002A262A" w:rsidRDefault="00E21732" w:rsidP="00FE1CAC">
            <w:pPr>
              <w:jc w:val="center"/>
              <w:rPr>
                <w:rFonts w:ascii="Arial Narrow" w:eastAsia="Calibri" w:hAnsi="Arial Narrow"/>
                <w:sz w:val="20"/>
                <w:szCs w:val="20"/>
              </w:rPr>
            </w:pPr>
          </w:p>
        </w:tc>
        <w:tc>
          <w:tcPr>
            <w:tcW w:w="7888" w:type="dxa"/>
            <w:gridSpan w:val="6"/>
            <w:shd w:val="clear" w:color="auto" w:fill="auto"/>
            <w:hideMark/>
          </w:tcPr>
          <w:p w14:paraId="55C7DEFA" w14:textId="77777777" w:rsidR="00E21732" w:rsidRPr="002A262A" w:rsidRDefault="00E21732" w:rsidP="00FE1CAC">
            <w:pPr>
              <w:ind w:left="-57"/>
              <w:rPr>
                <w:rFonts w:ascii="Arial Narrow" w:eastAsia="Calibri" w:hAnsi="Arial Narrow" w:cs="Calibri"/>
                <w:b/>
                <w:bCs/>
                <w:sz w:val="20"/>
                <w:szCs w:val="20"/>
              </w:rPr>
            </w:pPr>
            <w:r w:rsidRPr="002A262A">
              <w:rPr>
                <w:rFonts w:ascii="Arial Narrow" w:eastAsia="Calibri" w:hAnsi="Arial Narrow" w:cs="Calibri"/>
                <w:b/>
                <w:bCs/>
                <w:sz w:val="20"/>
                <w:szCs w:val="20"/>
              </w:rPr>
              <w:t>Prescribing Instructions:</w:t>
            </w:r>
          </w:p>
          <w:p w14:paraId="6FC1F828" w14:textId="77777777" w:rsidR="00E21732" w:rsidRPr="002A262A" w:rsidRDefault="00E21732" w:rsidP="00FE1CAC">
            <w:pPr>
              <w:ind w:left="-57"/>
              <w:rPr>
                <w:rFonts w:ascii="Arial Narrow" w:eastAsia="Calibri" w:hAnsi="Arial Narrow" w:cs="Calibri"/>
                <w:sz w:val="20"/>
                <w:szCs w:val="20"/>
              </w:rPr>
            </w:pPr>
            <w:r w:rsidRPr="002A262A">
              <w:rPr>
                <w:rFonts w:ascii="Arial Narrow" w:eastAsia="Calibri" w:hAnsi="Arial Narrow" w:cs="Calibri"/>
                <w:sz w:val="20"/>
                <w:szCs w:val="20"/>
              </w:rPr>
              <w:t>Confirm whether heart failure has worsened to NYHA Class III/IV since the last authority application (yes/no).</w:t>
            </w:r>
          </w:p>
          <w:p w14:paraId="7F5A007A" w14:textId="77777777" w:rsidR="00E21732" w:rsidRPr="002A262A" w:rsidRDefault="00E21732" w:rsidP="00FE1CAC">
            <w:pPr>
              <w:ind w:left="-57"/>
              <w:rPr>
                <w:rFonts w:ascii="Arial Narrow" w:eastAsia="Calibri" w:hAnsi="Arial Narrow" w:cs="Calibri"/>
                <w:sz w:val="20"/>
                <w:szCs w:val="20"/>
              </w:rPr>
            </w:pPr>
            <w:r w:rsidRPr="002A262A">
              <w:rPr>
                <w:rFonts w:ascii="Arial Narrow" w:eastAsia="Calibri" w:hAnsi="Arial Narrow" w:cs="Calibri"/>
                <w:sz w:val="20"/>
                <w:szCs w:val="20"/>
              </w:rPr>
              <w:t xml:space="preserve">If ‘no’, continued PBS-subsidy is available. </w:t>
            </w:r>
          </w:p>
          <w:p w14:paraId="3AD14287" w14:textId="77777777" w:rsidR="00E21732" w:rsidRPr="002A262A" w:rsidRDefault="00E21732" w:rsidP="00FE1CAC">
            <w:pPr>
              <w:ind w:left="-57"/>
              <w:rPr>
                <w:rFonts w:ascii="Arial Narrow" w:eastAsia="Calibri" w:hAnsi="Arial Narrow" w:cs="Calibri"/>
                <w:sz w:val="20"/>
                <w:szCs w:val="20"/>
              </w:rPr>
            </w:pPr>
            <w:r w:rsidRPr="002A262A">
              <w:rPr>
                <w:rFonts w:ascii="Arial Narrow" w:eastAsia="Calibri" w:hAnsi="Arial Narrow" w:cs="Calibri"/>
                <w:sz w:val="20"/>
                <w:szCs w:val="20"/>
              </w:rPr>
              <w:t>If ‘yes’, continued PBS-subsidy is available, but the prescriber must undertake a review of the patient within 3 months to determine whether the worsening heart failure was transient or persistent. Prescribe no more than 2 repeat prescriptions in such an instance.</w:t>
            </w:r>
          </w:p>
          <w:p w14:paraId="08F218C7" w14:textId="77777777" w:rsidR="00E21732" w:rsidRPr="002A262A" w:rsidRDefault="00E21732" w:rsidP="00FE1CAC">
            <w:pPr>
              <w:ind w:left="-57"/>
              <w:rPr>
                <w:rFonts w:ascii="Arial Narrow" w:eastAsia="Calibri" w:hAnsi="Arial Narrow" w:cs="Calibri"/>
                <w:sz w:val="20"/>
                <w:szCs w:val="20"/>
              </w:rPr>
            </w:pPr>
          </w:p>
          <w:p w14:paraId="4AAD34B4" w14:textId="77777777" w:rsidR="00E21732" w:rsidRPr="002A262A" w:rsidRDefault="00E21732" w:rsidP="00FE1CAC">
            <w:pPr>
              <w:ind w:left="-57"/>
              <w:rPr>
                <w:rFonts w:ascii="Arial Narrow" w:eastAsia="Calibri" w:hAnsi="Arial Narrow" w:cs="Calibri"/>
                <w:i/>
                <w:iCs/>
                <w:sz w:val="20"/>
                <w:szCs w:val="20"/>
              </w:rPr>
            </w:pPr>
            <w:r w:rsidRPr="002A262A">
              <w:rPr>
                <w:rFonts w:ascii="Arial Narrow" w:eastAsia="Calibri" w:hAnsi="Arial Narrow" w:cs="Calibri"/>
                <w:sz w:val="20"/>
                <w:szCs w:val="20"/>
              </w:rPr>
              <w:t>Where this subsequent clinical review finds that the heart failure persists as NYHA Class III/IV heart failure despite active treatment with this drug, then PBS-subsidy is not available.</w:t>
            </w:r>
          </w:p>
        </w:tc>
      </w:tr>
      <w:tr w:rsidR="00E21732" w:rsidRPr="002A262A" w14:paraId="3CB833E2" w14:textId="77777777" w:rsidTr="00FE1CAC">
        <w:tc>
          <w:tcPr>
            <w:tcW w:w="1129" w:type="dxa"/>
          </w:tcPr>
          <w:p w14:paraId="2E2770C8" w14:textId="77777777" w:rsidR="00E21732" w:rsidRPr="002A262A" w:rsidRDefault="00E21732" w:rsidP="00FE1CAC">
            <w:pPr>
              <w:jc w:val="center"/>
              <w:rPr>
                <w:rFonts w:ascii="Arial Narrow" w:eastAsia="Calibri" w:hAnsi="Arial Narrow"/>
                <w:sz w:val="20"/>
                <w:szCs w:val="20"/>
              </w:rPr>
            </w:pPr>
          </w:p>
        </w:tc>
        <w:tc>
          <w:tcPr>
            <w:tcW w:w="7888" w:type="dxa"/>
            <w:gridSpan w:val="6"/>
          </w:tcPr>
          <w:p w14:paraId="3A1E6FEA" w14:textId="77777777" w:rsidR="00E21732" w:rsidRPr="002A262A" w:rsidRDefault="00E21732" w:rsidP="00FE1CAC">
            <w:pPr>
              <w:ind w:left="-57"/>
              <w:rPr>
                <w:rFonts w:ascii="Arial Narrow" w:eastAsia="Calibri" w:hAnsi="Arial Narrow" w:cs="Calibri"/>
                <w:b/>
                <w:bCs/>
                <w:sz w:val="20"/>
                <w:szCs w:val="20"/>
              </w:rPr>
            </w:pPr>
          </w:p>
        </w:tc>
      </w:tr>
      <w:tr w:rsidR="00E21732" w:rsidRPr="002A262A" w14:paraId="26778A54" w14:textId="77777777" w:rsidTr="00FE1CAC">
        <w:tc>
          <w:tcPr>
            <w:tcW w:w="1129" w:type="dxa"/>
          </w:tcPr>
          <w:p w14:paraId="654D4DDF" w14:textId="33CD764B" w:rsidR="00E21732" w:rsidRPr="002A262A" w:rsidRDefault="00E21732" w:rsidP="00FE1CAC">
            <w:pPr>
              <w:jc w:val="center"/>
              <w:rPr>
                <w:rFonts w:ascii="Arial Narrow" w:eastAsia="Calibri" w:hAnsi="Arial Narrow"/>
                <w:sz w:val="20"/>
                <w:szCs w:val="20"/>
              </w:rPr>
            </w:pPr>
          </w:p>
        </w:tc>
        <w:tc>
          <w:tcPr>
            <w:tcW w:w="7888" w:type="dxa"/>
            <w:gridSpan w:val="6"/>
          </w:tcPr>
          <w:p w14:paraId="61B14EC8" w14:textId="77777777" w:rsidR="00E21732" w:rsidRPr="002A262A" w:rsidRDefault="00E21732" w:rsidP="00FE1CAC">
            <w:pPr>
              <w:ind w:left="-57"/>
              <w:rPr>
                <w:rFonts w:ascii="Arial Narrow" w:eastAsia="Calibri" w:hAnsi="Arial Narrow"/>
                <w:bCs/>
                <w:sz w:val="20"/>
                <w:szCs w:val="20"/>
              </w:rPr>
            </w:pPr>
            <w:r w:rsidRPr="002A262A">
              <w:rPr>
                <w:rFonts w:ascii="Arial Narrow" w:eastAsia="Calibri" w:hAnsi="Arial Narrow"/>
                <w:b/>
                <w:bCs/>
                <w:sz w:val="20"/>
                <w:szCs w:val="20"/>
              </w:rPr>
              <w:t xml:space="preserve">Administrative Advice: </w:t>
            </w:r>
          </w:p>
          <w:p w14:paraId="6A2848A3" w14:textId="77777777" w:rsidR="00E21732" w:rsidRPr="002A262A" w:rsidRDefault="00E21732" w:rsidP="00FE1CAC">
            <w:pPr>
              <w:ind w:left="-57"/>
              <w:rPr>
                <w:rFonts w:ascii="Arial Narrow" w:eastAsia="Calibri" w:hAnsi="Arial Narrow"/>
                <w:bCs/>
                <w:sz w:val="20"/>
                <w:szCs w:val="20"/>
              </w:rPr>
            </w:pPr>
            <w:r w:rsidRPr="002A262A">
              <w:rPr>
                <w:rFonts w:ascii="Arial Narrow" w:eastAsia="Calibri" w:hAnsi="Arial Narrow"/>
                <w:b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16C172B1" w14:textId="77777777" w:rsidR="00991A2A" w:rsidRDefault="00991A2A" w:rsidP="006B0C9E"/>
    <w:p w14:paraId="4C07E3CE" w14:textId="71B455C6" w:rsidR="00A9171C" w:rsidRPr="00934AB0" w:rsidRDefault="00B76633" w:rsidP="006B0C9E">
      <w:pPr>
        <w:rPr>
          <w:rFonts w:asciiTheme="minorHAnsi" w:hAnsiTheme="minorHAnsi"/>
          <w:b/>
          <w:bCs/>
          <w:snapToGrid w:val="0"/>
        </w:rPr>
      </w:pPr>
      <w:r w:rsidRPr="00930A4A">
        <w:rPr>
          <w:rFonts w:eastAsia="Calibri"/>
          <w:b/>
          <w:bCs/>
          <w:i/>
          <w:iCs/>
        </w:rPr>
        <w:t>These restrictions may be subject to further review. Should there be any changes made to the restriction the sponsor will be informed.</w:t>
      </w:r>
    </w:p>
    <w:bookmarkEnd w:id="70"/>
    <w:p w14:paraId="563E6A9A" w14:textId="5704265A" w:rsidR="00AB0B96" w:rsidRDefault="00AB0B96" w:rsidP="00AB0B96">
      <w:pPr>
        <w:pStyle w:val="COMH1numbered"/>
        <w:numPr>
          <w:ilvl w:val="0"/>
          <w:numId w:val="1"/>
        </w:numPr>
        <w:rPr>
          <w:bCs/>
          <w:lang w:val="en-GB"/>
        </w:rPr>
      </w:pPr>
      <w:r w:rsidRPr="00C07617">
        <w:t xml:space="preserve">Context </w:t>
      </w:r>
      <w:r w:rsidRPr="00AB0B96">
        <w:rPr>
          <w:bCs/>
          <w:lang w:val="en-GB"/>
        </w:rPr>
        <w:t>for</w:t>
      </w:r>
      <w:r w:rsidRPr="00C07617">
        <w:t xml:space="preserve"> Decision</w:t>
      </w:r>
    </w:p>
    <w:p w14:paraId="338C89A3" w14:textId="77777777" w:rsidR="00AB0B96" w:rsidRPr="007129F2" w:rsidRDefault="00AB0B96" w:rsidP="00AB0B96">
      <w:pPr>
        <w:spacing w:after="120"/>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188F713" w14:textId="038A1480" w:rsidR="00AB0B96" w:rsidRPr="00C07617" w:rsidRDefault="00AB0B96" w:rsidP="00AB0B96">
      <w:pPr>
        <w:pStyle w:val="COMH1numbered"/>
        <w:numPr>
          <w:ilvl w:val="0"/>
          <w:numId w:val="1"/>
        </w:numPr>
        <w:rPr>
          <w:b w:val="0"/>
        </w:rPr>
      </w:pPr>
      <w:r w:rsidRPr="00AB0B96">
        <w:rPr>
          <w:bCs/>
          <w:lang w:val="en-GB"/>
        </w:rPr>
        <w:t>Sponsor’s</w:t>
      </w:r>
      <w:r>
        <w:t xml:space="preserve"> Comment</w:t>
      </w:r>
    </w:p>
    <w:p w14:paraId="15C2E37C" w14:textId="490A4D8C" w:rsidR="0074472E" w:rsidRPr="0074472E" w:rsidRDefault="0074472E" w:rsidP="0074472E">
      <w:pPr>
        <w:spacing w:after="120"/>
        <w:ind w:left="709"/>
        <w:rPr>
          <w:rFonts w:asciiTheme="minorHAnsi" w:hAnsiTheme="minorHAnsi"/>
          <w:bCs/>
          <w:lang w:val="en-GB"/>
        </w:rPr>
      </w:pPr>
      <w:r w:rsidRPr="0074472E">
        <w:rPr>
          <w:rFonts w:asciiTheme="minorHAnsi" w:hAnsiTheme="minorHAnsi"/>
          <w:bCs/>
          <w:lang w:val="en-GB"/>
        </w:rPr>
        <w:t>Pfizer welcomes the PBAC’s recommendation for PBS-listing of tafamidis for the treatment of transthyretin amyloid cardiomyopathy and looks forward to making this treatment available for patients with this debilitating and life-threatening condition.</w:t>
      </w:r>
    </w:p>
    <w:p w14:paraId="10048F4F" w14:textId="78C95902" w:rsidR="0079392B" w:rsidRPr="00E16372" w:rsidRDefault="0079392B" w:rsidP="006B0C9E"/>
    <w:sectPr w:rsidR="0079392B" w:rsidRPr="00E16372" w:rsidSect="00B32960">
      <w:headerReference w:type="default" r:id="rId9"/>
      <w:footerReference w:type="default" r:id="rId1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3FCA" w14:textId="77777777" w:rsidR="00774DE1" w:rsidRDefault="00774DE1" w:rsidP="00124A51">
      <w:r>
        <w:separator/>
      </w:r>
    </w:p>
    <w:p w14:paraId="35FB0093" w14:textId="77777777" w:rsidR="00774DE1" w:rsidRDefault="00774DE1"/>
    <w:p w14:paraId="7951D939" w14:textId="77777777" w:rsidR="00774DE1" w:rsidRDefault="00774DE1"/>
  </w:endnote>
  <w:endnote w:type="continuationSeparator" w:id="0">
    <w:p w14:paraId="363CEA54" w14:textId="77777777" w:rsidR="00774DE1" w:rsidRDefault="00774DE1" w:rsidP="00124A51">
      <w:r>
        <w:continuationSeparator/>
      </w:r>
    </w:p>
    <w:p w14:paraId="59F66BFC" w14:textId="77777777" w:rsidR="00774DE1" w:rsidRDefault="00774DE1"/>
    <w:p w14:paraId="5D9989B9" w14:textId="77777777" w:rsidR="00774DE1" w:rsidRDefault="00774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TNEJMQuadraat">
    <w:altName w:val="MS Gothic"/>
    <w:panose1 w:val="00000000000000000000"/>
    <w:charset w:val="80"/>
    <w:family w:val="roman"/>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73EB" w14:textId="77777777" w:rsidR="003E0E5D" w:rsidRDefault="003E0E5D" w:rsidP="00753B29">
    <w:pPr>
      <w:jc w:val="center"/>
    </w:pPr>
  </w:p>
  <w:p w14:paraId="37484CD3" w14:textId="4A053BB5" w:rsidR="00D843F2" w:rsidRPr="001F4A02" w:rsidRDefault="004826FD" w:rsidP="00753B29">
    <w:pPr>
      <w:jc w:val="center"/>
      <w:rPr>
        <w:b/>
        <w:bCs/>
      </w:rPr>
    </w:pPr>
    <w:sdt>
      <w:sdtPr>
        <w:rPr>
          <w:b/>
          <w:bCs/>
        </w:rPr>
        <w:id w:val="1036156457"/>
        <w:docPartObj>
          <w:docPartGallery w:val="Page Numbers (Bottom of Page)"/>
          <w:docPartUnique/>
        </w:docPartObj>
      </w:sdtPr>
      <w:sdtEndPr>
        <w:rPr>
          <w:noProof/>
        </w:rPr>
      </w:sdtEndPr>
      <w:sdtContent>
        <w:r w:rsidR="00D843F2" w:rsidRPr="001F4A02">
          <w:rPr>
            <w:b/>
            <w:bCs/>
          </w:rPr>
          <w:fldChar w:fldCharType="begin"/>
        </w:r>
        <w:r w:rsidR="00D843F2" w:rsidRPr="001F4A02">
          <w:rPr>
            <w:b/>
            <w:bCs/>
          </w:rPr>
          <w:instrText xml:space="preserve"> PAGE   \* MERGEFORMAT </w:instrText>
        </w:r>
        <w:r w:rsidR="00D843F2" w:rsidRPr="001F4A02">
          <w:rPr>
            <w:b/>
            <w:bCs/>
          </w:rPr>
          <w:fldChar w:fldCharType="separate"/>
        </w:r>
        <w:r w:rsidR="00D843F2" w:rsidRPr="001F4A02">
          <w:rPr>
            <w:b/>
            <w:bCs/>
            <w:noProof/>
          </w:rPr>
          <w:t>2</w:t>
        </w:r>
        <w:r w:rsidR="00D843F2" w:rsidRPr="001F4A02">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9417" w14:textId="77777777" w:rsidR="00774DE1" w:rsidRDefault="00774DE1" w:rsidP="00124A51">
      <w:r>
        <w:separator/>
      </w:r>
    </w:p>
    <w:p w14:paraId="6171E45C" w14:textId="77777777" w:rsidR="00774DE1" w:rsidRDefault="00774DE1"/>
    <w:p w14:paraId="69528B7D" w14:textId="77777777" w:rsidR="00774DE1" w:rsidRDefault="00774DE1"/>
  </w:footnote>
  <w:footnote w:type="continuationSeparator" w:id="0">
    <w:p w14:paraId="01E155F6" w14:textId="77777777" w:rsidR="00774DE1" w:rsidRDefault="00774DE1" w:rsidP="00124A51">
      <w:r>
        <w:continuationSeparator/>
      </w:r>
    </w:p>
    <w:p w14:paraId="3CAB7EA8" w14:textId="77777777" w:rsidR="00774DE1" w:rsidRDefault="00774DE1"/>
    <w:p w14:paraId="1A26C708" w14:textId="77777777" w:rsidR="00774DE1" w:rsidRDefault="00774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0C5E8B01" w:rsidR="00D843F2" w:rsidRPr="00195452" w:rsidRDefault="000721A2" w:rsidP="003C2DE2">
    <w:pPr>
      <w:jc w:val="center"/>
      <w:rPr>
        <w:rFonts w:asciiTheme="minorHAnsi" w:hAnsiTheme="minorHAnsi"/>
        <w:i/>
        <w:color w:val="808080"/>
      </w:rPr>
    </w:pPr>
    <w:r>
      <w:rPr>
        <w:rFonts w:asciiTheme="minorHAnsi" w:hAnsiTheme="minorHAnsi"/>
        <w:i/>
        <w:color w:val="808080"/>
      </w:rPr>
      <w:t>Public Summary Document</w:t>
    </w:r>
    <w:r w:rsidR="006B0C9E">
      <w:rPr>
        <w:rFonts w:asciiTheme="minorHAnsi" w:hAnsiTheme="minorHAnsi"/>
        <w:i/>
        <w:color w:val="808080"/>
      </w:rPr>
      <w:t xml:space="preserve"> </w:t>
    </w:r>
    <w:r w:rsidR="001F4A02">
      <w:rPr>
        <w:rFonts w:asciiTheme="minorHAnsi" w:hAnsiTheme="minorHAnsi"/>
        <w:i/>
        <w:color w:val="808080"/>
      </w:rPr>
      <w:t xml:space="preserve">– </w:t>
    </w:r>
    <w:r w:rsidR="00142FF5">
      <w:rPr>
        <w:rFonts w:asciiTheme="minorHAnsi" w:hAnsiTheme="minorHAnsi"/>
        <w:i/>
        <w:color w:val="808080"/>
      </w:rPr>
      <w:t>July</w:t>
    </w:r>
    <w:r w:rsidR="001F4A02">
      <w:rPr>
        <w:rFonts w:asciiTheme="minorHAnsi" w:hAnsiTheme="minorHAnsi"/>
        <w:i/>
        <w:color w:val="808080"/>
      </w:rPr>
      <w:t xml:space="preserve"> </w:t>
    </w:r>
    <w:r w:rsidR="00D843F2">
      <w:rPr>
        <w:rFonts w:asciiTheme="minorHAnsi" w:hAnsiTheme="minorHAnsi"/>
        <w:i/>
        <w:color w:val="808080"/>
      </w:rPr>
      <w:t>202</w:t>
    </w:r>
    <w:r w:rsidR="00142FF5">
      <w:rPr>
        <w:rFonts w:asciiTheme="minorHAnsi" w:hAnsiTheme="minorHAnsi"/>
        <w:i/>
        <w:color w:val="808080"/>
      </w:rPr>
      <w:t>3</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3EC6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9174CE"/>
    <w:multiLevelType w:val="hybridMultilevel"/>
    <w:tmpl w:val="87F2DBBE"/>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 w15:restartNumberingAfterBreak="0">
    <w:nsid w:val="03CA0582"/>
    <w:multiLevelType w:val="hybridMultilevel"/>
    <w:tmpl w:val="844CC3F2"/>
    <w:lvl w:ilvl="0" w:tplc="76202A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264565"/>
    <w:multiLevelType w:val="hybridMultilevel"/>
    <w:tmpl w:val="D9901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5C4F8A"/>
    <w:multiLevelType w:val="hybridMultilevel"/>
    <w:tmpl w:val="3F9A8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6F5AA2"/>
    <w:multiLevelType w:val="hybridMultilevel"/>
    <w:tmpl w:val="947E3E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E659C7"/>
    <w:multiLevelType w:val="hybridMultilevel"/>
    <w:tmpl w:val="EAE010B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2C296656"/>
    <w:multiLevelType w:val="hybridMultilevel"/>
    <w:tmpl w:val="3774B2AC"/>
    <w:lvl w:ilvl="0" w:tplc="BF56B93A">
      <w:numFmt w:val="bullet"/>
      <w:lvlText w:val="-"/>
      <w:lvlJc w:val="left"/>
      <w:pPr>
        <w:ind w:left="720" w:hanging="360"/>
      </w:pPr>
      <w:rPr>
        <w:rFonts w:ascii="Calibri" w:eastAsia="Times New Roman" w:hAnsi="Calibri" w:hint="default"/>
      </w:rPr>
    </w:lvl>
    <w:lvl w:ilvl="1" w:tplc="FFFFFFFF">
      <w:numFmt w:val="bullet"/>
      <w:lvlText w:val="-"/>
      <w:lvlJc w:val="left"/>
      <w:pPr>
        <w:ind w:left="1440" w:hanging="360"/>
      </w:pPr>
      <w:rPr>
        <w:rFonts w:ascii="Arial Narrow" w:eastAsiaTheme="majorEastAsia" w:hAnsi="Arial Narrow" w:cstheme="maj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A1482B"/>
    <w:multiLevelType w:val="hybridMultilevel"/>
    <w:tmpl w:val="7466D8F8"/>
    <w:lvl w:ilvl="0" w:tplc="4640715E">
      <w:start w:val="1"/>
      <w:numFmt w:val="decimal"/>
      <w:lvlText w:val="%1."/>
      <w:lvlJc w:val="left"/>
      <w:pPr>
        <w:ind w:left="829" w:hanging="360"/>
      </w:pPr>
      <w:rPr>
        <w:rFonts w:hint="default"/>
        <w:b w:val="0"/>
        <w:bCs/>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6" w15:restartNumberingAfterBreak="0">
    <w:nsid w:val="38F70AB7"/>
    <w:multiLevelType w:val="hybridMultilevel"/>
    <w:tmpl w:val="14B4BDDE"/>
    <w:lvl w:ilvl="0" w:tplc="76D8A3E8">
      <w:start w:val="1"/>
      <w:numFmt w:val="decimal"/>
      <w:lvlText w:val="%1."/>
      <w:lvlJc w:val="left"/>
      <w:pPr>
        <w:ind w:left="720" w:hanging="360"/>
      </w:pPr>
      <w:rPr>
        <w:rFonts w:asciiTheme="minorHAnsi" w:hAnsiTheme="minorHAnsi" w:cstheme="minorHAnsi" w:hint="default"/>
        <w:b w:val="0"/>
        <w:i w:val="0"/>
        <w:iCs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A102CA"/>
    <w:multiLevelType w:val="hybridMultilevel"/>
    <w:tmpl w:val="F8C8BD22"/>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arrow" w:eastAsiaTheme="majorEastAsia" w:hAnsi="Arial Narrow" w:cstheme="maj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7C2D8A"/>
    <w:multiLevelType w:val="hybridMultilevel"/>
    <w:tmpl w:val="534E726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67A6"/>
    <w:multiLevelType w:val="hybridMultilevel"/>
    <w:tmpl w:val="FAB8EED8"/>
    <w:lvl w:ilvl="0" w:tplc="8708BEC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E7050"/>
    <w:multiLevelType w:val="hybridMultilevel"/>
    <w:tmpl w:val="72A8FFE0"/>
    <w:lvl w:ilvl="0" w:tplc="872409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0B002D"/>
    <w:multiLevelType w:val="hybridMultilevel"/>
    <w:tmpl w:val="2FB0D9A8"/>
    <w:lvl w:ilvl="0" w:tplc="A87E739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5F0010"/>
    <w:multiLevelType w:val="hybridMultilevel"/>
    <w:tmpl w:val="35CEA6B8"/>
    <w:lvl w:ilvl="0" w:tplc="BB30B7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F76284"/>
    <w:multiLevelType w:val="hybridMultilevel"/>
    <w:tmpl w:val="534E726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703271"/>
    <w:multiLevelType w:val="hybridMultilevel"/>
    <w:tmpl w:val="844CC3F2"/>
    <w:lvl w:ilvl="0" w:tplc="76202AE8">
      <w:start w:val="1"/>
      <w:numFmt w:val="lowerRoman"/>
      <w:lvlText w:val="(%1)"/>
      <w:lvlJc w:val="left"/>
      <w:pPr>
        <w:ind w:left="258" w:hanging="720"/>
      </w:pPr>
      <w:rPr>
        <w:rFonts w:hint="default"/>
      </w:rPr>
    </w:lvl>
    <w:lvl w:ilvl="1" w:tplc="0C090019" w:tentative="1">
      <w:start w:val="1"/>
      <w:numFmt w:val="lowerLetter"/>
      <w:lvlText w:val="%2."/>
      <w:lvlJc w:val="left"/>
      <w:pPr>
        <w:ind w:left="618" w:hanging="360"/>
      </w:pPr>
    </w:lvl>
    <w:lvl w:ilvl="2" w:tplc="0C09001B" w:tentative="1">
      <w:start w:val="1"/>
      <w:numFmt w:val="lowerRoman"/>
      <w:lvlText w:val="%3."/>
      <w:lvlJc w:val="right"/>
      <w:pPr>
        <w:ind w:left="1338" w:hanging="180"/>
      </w:pPr>
    </w:lvl>
    <w:lvl w:ilvl="3" w:tplc="0C09000F" w:tentative="1">
      <w:start w:val="1"/>
      <w:numFmt w:val="decimal"/>
      <w:lvlText w:val="%4."/>
      <w:lvlJc w:val="left"/>
      <w:pPr>
        <w:ind w:left="2058" w:hanging="360"/>
      </w:pPr>
    </w:lvl>
    <w:lvl w:ilvl="4" w:tplc="0C090019" w:tentative="1">
      <w:start w:val="1"/>
      <w:numFmt w:val="lowerLetter"/>
      <w:lvlText w:val="%5."/>
      <w:lvlJc w:val="left"/>
      <w:pPr>
        <w:ind w:left="2778" w:hanging="360"/>
      </w:pPr>
    </w:lvl>
    <w:lvl w:ilvl="5" w:tplc="0C09001B" w:tentative="1">
      <w:start w:val="1"/>
      <w:numFmt w:val="lowerRoman"/>
      <w:lvlText w:val="%6."/>
      <w:lvlJc w:val="right"/>
      <w:pPr>
        <w:ind w:left="3498" w:hanging="180"/>
      </w:pPr>
    </w:lvl>
    <w:lvl w:ilvl="6" w:tplc="0C09000F" w:tentative="1">
      <w:start w:val="1"/>
      <w:numFmt w:val="decimal"/>
      <w:lvlText w:val="%7."/>
      <w:lvlJc w:val="left"/>
      <w:pPr>
        <w:ind w:left="4218" w:hanging="360"/>
      </w:pPr>
    </w:lvl>
    <w:lvl w:ilvl="7" w:tplc="0C090019" w:tentative="1">
      <w:start w:val="1"/>
      <w:numFmt w:val="lowerLetter"/>
      <w:lvlText w:val="%8."/>
      <w:lvlJc w:val="left"/>
      <w:pPr>
        <w:ind w:left="4938" w:hanging="360"/>
      </w:pPr>
    </w:lvl>
    <w:lvl w:ilvl="8" w:tplc="0C09001B" w:tentative="1">
      <w:start w:val="1"/>
      <w:numFmt w:val="lowerRoman"/>
      <w:lvlText w:val="%9."/>
      <w:lvlJc w:val="right"/>
      <w:pPr>
        <w:ind w:left="5658" w:hanging="180"/>
      </w:pPr>
    </w:lvl>
  </w:abstractNum>
  <w:abstractNum w:abstractNumId="30" w15:restartNumberingAfterBreak="0">
    <w:nsid w:val="784D033C"/>
    <w:multiLevelType w:val="multilevel"/>
    <w:tmpl w:val="45FC285E"/>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38247657">
    <w:abstractNumId w:val="30"/>
  </w:num>
  <w:num w:numId="2" w16cid:durableId="878391821">
    <w:abstractNumId w:val="19"/>
  </w:num>
  <w:num w:numId="3" w16cid:durableId="1531332873">
    <w:abstractNumId w:val="20"/>
  </w:num>
  <w:num w:numId="4" w16cid:durableId="1363168565">
    <w:abstractNumId w:val="0"/>
  </w:num>
  <w:num w:numId="5" w16cid:durableId="2054382016">
    <w:abstractNumId w:val="30"/>
  </w:num>
  <w:num w:numId="6" w16cid:durableId="1699159433">
    <w:abstractNumId w:val="9"/>
  </w:num>
  <w:num w:numId="7" w16cid:durableId="576205000">
    <w:abstractNumId w:val="23"/>
  </w:num>
  <w:num w:numId="8" w16cid:durableId="1114523769">
    <w:abstractNumId w:val="18"/>
  </w:num>
  <w:num w:numId="9" w16cid:durableId="525407869">
    <w:abstractNumId w:val="25"/>
  </w:num>
  <w:num w:numId="10" w16cid:durableId="1492718649">
    <w:abstractNumId w:val="8"/>
  </w:num>
  <w:num w:numId="11" w16cid:durableId="409231000">
    <w:abstractNumId w:val="21"/>
  </w:num>
  <w:num w:numId="12" w16cid:durableId="1727803129">
    <w:abstractNumId w:val="29"/>
  </w:num>
  <w:num w:numId="13" w16cid:durableId="950011705">
    <w:abstractNumId w:val="16"/>
  </w:num>
  <w:num w:numId="14" w16cid:durableId="1223370009">
    <w:abstractNumId w:val="15"/>
  </w:num>
  <w:num w:numId="15" w16cid:durableId="1248421825">
    <w:abstractNumId w:val="3"/>
  </w:num>
  <w:num w:numId="16" w16cid:durableId="1246376295">
    <w:abstractNumId w:val="6"/>
  </w:num>
  <w:num w:numId="17" w16cid:durableId="609506294">
    <w:abstractNumId w:val="7"/>
  </w:num>
  <w:num w:numId="18" w16cid:durableId="1781096978">
    <w:abstractNumId w:val="13"/>
  </w:num>
  <w:num w:numId="19" w16cid:durableId="171574753">
    <w:abstractNumId w:val="12"/>
  </w:num>
  <w:num w:numId="20" w16cid:durableId="390157003">
    <w:abstractNumId w:val="27"/>
  </w:num>
  <w:num w:numId="21" w16cid:durableId="1580555968">
    <w:abstractNumId w:val="4"/>
  </w:num>
  <w:num w:numId="22" w16cid:durableId="1868369800">
    <w:abstractNumId w:val="24"/>
  </w:num>
  <w:num w:numId="23" w16cid:durableId="793595780">
    <w:abstractNumId w:val="5"/>
  </w:num>
  <w:num w:numId="24" w16cid:durableId="1682774163">
    <w:abstractNumId w:val="1"/>
  </w:num>
  <w:num w:numId="25" w16cid:durableId="1033459666">
    <w:abstractNumId w:val="11"/>
  </w:num>
  <w:num w:numId="26" w16cid:durableId="1939674850">
    <w:abstractNumId w:val="14"/>
  </w:num>
  <w:num w:numId="27" w16cid:durableId="646134091">
    <w:abstractNumId w:val="10"/>
  </w:num>
  <w:num w:numId="28" w16cid:durableId="15264904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8217363">
    <w:abstractNumId w:val="28"/>
  </w:num>
  <w:num w:numId="30" w16cid:durableId="4080441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6206142">
    <w:abstractNumId w:val="22"/>
  </w:num>
  <w:num w:numId="32" w16cid:durableId="2119988769">
    <w:abstractNumId w:val="17"/>
  </w:num>
  <w:num w:numId="33" w16cid:durableId="1323000652">
    <w:abstractNumId w:val="2"/>
  </w:num>
  <w:num w:numId="34" w16cid:durableId="1836456533">
    <w:abstractNumId w:val="30"/>
  </w:num>
  <w:num w:numId="35" w16cid:durableId="98641540">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790"/>
    <w:rsid w:val="00000B8D"/>
    <w:rsid w:val="0000110B"/>
    <w:rsid w:val="00001250"/>
    <w:rsid w:val="0000172E"/>
    <w:rsid w:val="00002562"/>
    <w:rsid w:val="000032E1"/>
    <w:rsid w:val="00003499"/>
    <w:rsid w:val="000039B7"/>
    <w:rsid w:val="000056B9"/>
    <w:rsid w:val="00005AE1"/>
    <w:rsid w:val="00005EFD"/>
    <w:rsid w:val="000061CB"/>
    <w:rsid w:val="000062B9"/>
    <w:rsid w:val="000062F3"/>
    <w:rsid w:val="0000639A"/>
    <w:rsid w:val="00006541"/>
    <w:rsid w:val="000101A4"/>
    <w:rsid w:val="00011283"/>
    <w:rsid w:val="0001215A"/>
    <w:rsid w:val="000123A8"/>
    <w:rsid w:val="000125BB"/>
    <w:rsid w:val="00012D37"/>
    <w:rsid w:val="0001306B"/>
    <w:rsid w:val="000130A0"/>
    <w:rsid w:val="00013247"/>
    <w:rsid w:val="000137EB"/>
    <w:rsid w:val="00013C1D"/>
    <w:rsid w:val="0001540E"/>
    <w:rsid w:val="00015886"/>
    <w:rsid w:val="000162EF"/>
    <w:rsid w:val="00016C23"/>
    <w:rsid w:val="00016E1D"/>
    <w:rsid w:val="00017C24"/>
    <w:rsid w:val="00020194"/>
    <w:rsid w:val="000207C9"/>
    <w:rsid w:val="0002225F"/>
    <w:rsid w:val="000228B5"/>
    <w:rsid w:val="0002337A"/>
    <w:rsid w:val="00023763"/>
    <w:rsid w:val="0002381F"/>
    <w:rsid w:val="00023AB6"/>
    <w:rsid w:val="00023AF8"/>
    <w:rsid w:val="00024EB5"/>
    <w:rsid w:val="00025B32"/>
    <w:rsid w:val="00026A99"/>
    <w:rsid w:val="00026E25"/>
    <w:rsid w:val="000274B8"/>
    <w:rsid w:val="00027EF0"/>
    <w:rsid w:val="00031827"/>
    <w:rsid w:val="00031A38"/>
    <w:rsid w:val="000321F4"/>
    <w:rsid w:val="00032961"/>
    <w:rsid w:val="0003296D"/>
    <w:rsid w:val="00032D9C"/>
    <w:rsid w:val="00033863"/>
    <w:rsid w:val="000341D5"/>
    <w:rsid w:val="00034F09"/>
    <w:rsid w:val="00035036"/>
    <w:rsid w:val="00035040"/>
    <w:rsid w:val="000350B6"/>
    <w:rsid w:val="00035AF4"/>
    <w:rsid w:val="00035DC0"/>
    <w:rsid w:val="00036829"/>
    <w:rsid w:val="000370E1"/>
    <w:rsid w:val="0003745A"/>
    <w:rsid w:val="00037C82"/>
    <w:rsid w:val="00040895"/>
    <w:rsid w:val="00040D91"/>
    <w:rsid w:val="00040E62"/>
    <w:rsid w:val="000410A0"/>
    <w:rsid w:val="00041D0B"/>
    <w:rsid w:val="00041F49"/>
    <w:rsid w:val="000426D5"/>
    <w:rsid w:val="00042896"/>
    <w:rsid w:val="00042C54"/>
    <w:rsid w:val="000435EE"/>
    <w:rsid w:val="00043C37"/>
    <w:rsid w:val="00043EC2"/>
    <w:rsid w:val="00044ADC"/>
    <w:rsid w:val="00045017"/>
    <w:rsid w:val="00045A2B"/>
    <w:rsid w:val="0004698F"/>
    <w:rsid w:val="00046D64"/>
    <w:rsid w:val="00047F26"/>
    <w:rsid w:val="000508C2"/>
    <w:rsid w:val="00051CCC"/>
    <w:rsid w:val="000526C1"/>
    <w:rsid w:val="000539D0"/>
    <w:rsid w:val="00053B3C"/>
    <w:rsid w:val="00053FD8"/>
    <w:rsid w:val="00054621"/>
    <w:rsid w:val="000546D7"/>
    <w:rsid w:val="00054A8D"/>
    <w:rsid w:val="00054FF7"/>
    <w:rsid w:val="00056270"/>
    <w:rsid w:val="00056ECF"/>
    <w:rsid w:val="000604DF"/>
    <w:rsid w:val="00062324"/>
    <w:rsid w:val="0006471F"/>
    <w:rsid w:val="000648D6"/>
    <w:rsid w:val="000653B5"/>
    <w:rsid w:val="000658D7"/>
    <w:rsid w:val="00065FDA"/>
    <w:rsid w:val="00066360"/>
    <w:rsid w:val="000665F7"/>
    <w:rsid w:val="00066AF8"/>
    <w:rsid w:val="00066EDB"/>
    <w:rsid w:val="00071248"/>
    <w:rsid w:val="000720B9"/>
    <w:rsid w:val="000721A2"/>
    <w:rsid w:val="00073458"/>
    <w:rsid w:val="000737F7"/>
    <w:rsid w:val="00073DBA"/>
    <w:rsid w:val="0007470A"/>
    <w:rsid w:val="00074FCE"/>
    <w:rsid w:val="00075184"/>
    <w:rsid w:val="0007672F"/>
    <w:rsid w:val="00076B54"/>
    <w:rsid w:val="000774F0"/>
    <w:rsid w:val="00080909"/>
    <w:rsid w:val="000812CA"/>
    <w:rsid w:val="000818D6"/>
    <w:rsid w:val="00081C08"/>
    <w:rsid w:val="00081E63"/>
    <w:rsid w:val="0008258D"/>
    <w:rsid w:val="000833D7"/>
    <w:rsid w:val="000834B6"/>
    <w:rsid w:val="00083B5C"/>
    <w:rsid w:val="00083E39"/>
    <w:rsid w:val="00083E99"/>
    <w:rsid w:val="00084FA8"/>
    <w:rsid w:val="000850FB"/>
    <w:rsid w:val="000856C5"/>
    <w:rsid w:val="00085C31"/>
    <w:rsid w:val="00090142"/>
    <w:rsid w:val="000902D9"/>
    <w:rsid w:val="0009048F"/>
    <w:rsid w:val="0009053F"/>
    <w:rsid w:val="00090C7E"/>
    <w:rsid w:val="000911AC"/>
    <w:rsid w:val="00091281"/>
    <w:rsid w:val="0009168A"/>
    <w:rsid w:val="00092178"/>
    <w:rsid w:val="00092506"/>
    <w:rsid w:val="00092600"/>
    <w:rsid w:val="0009262B"/>
    <w:rsid w:val="00093310"/>
    <w:rsid w:val="000934DE"/>
    <w:rsid w:val="000936A5"/>
    <w:rsid w:val="0009384C"/>
    <w:rsid w:val="0009412F"/>
    <w:rsid w:val="00094421"/>
    <w:rsid w:val="0009445C"/>
    <w:rsid w:val="00095200"/>
    <w:rsid w:val="00095FE5"/>
    <w:rsid w:val="00096284"/>
    <w:rsid w:val="00097F77"/>
    <w:rsid w:val="000A0564"/>
    <w:rsid w:val="000A1BC0"/>
    <w:rsid w:val="000A2654"/>
    <w:rsid w:val="000A2F9E"/>
    <w:rsid w:val="000A3341"/>
    <w:rsid w:val="000A3E22"/>
    <w:rsid w:val="000A3E47"/>
    <w:rsid w:val="000A42C7"/>
    <w:rsid w:val="000A455F"/>
    <w:rsid w:val="000A4A74"/>
    <w:rsid w:val="000A522B"/>
    <w:rsid w:val="000A534F"/>
    <w:rsid w:val="000A545D"/>
    <w:rsid w:val="000A6039"/>
    <w:rsid w:val="000A66D2"/>
    <w:rsid w:val="000A7453"/>
    <w:rsid w:val="000A7AA7"/>
    <w:rsid w:val="000A7B48"/>
    <w:rsid w:val="000A7D08"/>
    <w:rsid w:val="000B0121"/>
    <w:rsid w:val="000B0670"/>
    <w:rsid w:val="000B069B"/>
    <w:rsid w:val="000B0E75"/>
    <w:rsid w:val="000B15C4"/>
    <w:rsid w:val="000B2227"/>
    <w:rsid w:val="000B2DCB"/>
    <w:rsid w:val="000B3DC2"/>
    <w:rsid w:val="000B473E"/>
    <w:rsid w:val="000B47A3"/>
    <w:rsid w:val="000B5CE0"/>
    <w:rsid w:val="000B69DD"/>
    <w:rsid w:val="000B6CAC"/>
    <w:rsid w:val="000B7612"/>
    <w:rsid w:val="000B78AE"/>
    <w:rsid w:val="000B7CFA"/>
    <w:rsid w:val="000C0EF6"/>
    <w:rsid w:val="000C3DF9"/>
    <w:rsid w:val="000C4CF2"/>
    <w:rsid w:val="000C560F"/>
    <w:rsid w:val="000C56D4"/>
    <w:rsid w:val="000C5835"/>
    <w:rsid w:val="000C6713"/>
    <w:rsid w:val="000C7CF0"/>
    <w:rsid w:val="000D0149"/>
    <w:rsid w:val="000D08DB"/>
    <w:rsid w:val="000D1BFC"/>
    <w:rsid w:val="000D1D5D"/>
    <w:rsid w:val="000D281A"/>
    <w:rsid w:val="000D2848"/>
    <w:rsid w:val="000D326A"/>
    <w:rsid w:val="000D33A3"/>
    <w:rsid w:val="000D3453"/>
    <w:rsid w:val="000D4D2F"/>
    <w:rsid w:val="000D5106"/>
    <w:rsid w:val="000D51FB"/>
    <w:rsid w:val="000D6B81"/>
    <w:rsid w:val="000D6EF2"/>
    <w:rsid w:val="000D7D6D"/>
    <w:rsid w:val="000E0640"/>
    <w:rsid w:val="000E0F3F"/>
    <w:rsid w:val="000E1298"/>
    <w:rsid w:val="000E135D"/>
    <w:rsid w:val="000E1B61"/>
    <w:rsid w:val="000E267C"/>
    <w:rsid w:val="000E2903"/>
    <w:rsid w:val="000E310F"/>
    <w:rsid w:val="000E3232"/>
    <w:rsid w:val="000E7765"/>
    <w:rsid w:val="000E7B06"/>
    <w:rsid w:val="000F00BA"/>
    <w:rsid w:val="000F011A"/>
    <w:rsid w:val="000F1C85"/>
    <w:rsid w:val="000F316A"/>
    <w:rsid w:val="000F379F"/>
    <w:rsid w:val="000F3B4C"/>
    <w:rsid w:val="000F3C74"/>
    <w:rsid w:val="000F3FE6"/>
    <w:rsid w:val="000F4BB8"/>
    <w:rsid w:val="000F4CBF"/>
    <w:rsid w:val="000F4FA9"/>
    <w:rsid w:val="000F5099"/>
    <w:rsid w:val="000F5115"/>
    <w:rsid w:val="000F53FB"/>
    <w:rsid w:val="000F624E"/>
    <w:rsid w:val="000F64E3"/>
    <w:rsid w:val="000F7012"/>
    <w:rsid w:val="000F7127"/>
    <w:rsid w:val="000F7B54"/>
    <w:rsid w:val="001000B3"/>
    <w:rsid w:val="00100F8A"/>
    <w:rsid w:val="00101621"/>
    <w:rsid w:val="0010452E"/>
    <w:rsid w:val="00104E16"/>
    <w:rsid w:val="00105014"/>
    <w:rsid w:val="001050A7"/>
    <w:rsid w:val="001059CF"/>
    <w:rsid w:val="00105AE2"/>
    <w:rsid w:val="001060C6"/>
    <w:rsid w:val="00106B80"/>
    <w:rsid w:val="00106F01"/>
    <w:rsid w:val="00107570"/>
    <w:rsid w:val="00107856"/>
    <w:rsid w:val="0011032E"/>
    <w:rsid w:val="001118E2"/>
    <w:rsid w:val="00112DF9"/>
    <w:rsid w:val="0011348B"/>
    <w:rsid w:val="001143AB"/>
    <w:rsid w:val="001146DE"/>
    <w:rsid w:val="00115162"/>
    <w:rsid w:val="001153DB"/>
    <w:rsid w:val="00115982"/>
    <w:rsid w:val="00115E42"/>
    <w:rsid w:val="00116141"/>
    <w:rsid w:val="00116B32"/>
    <w:rsid w:val="00116C53"/>
    <w:rsid w:val="0012088D"/>
    <w:rsid w:val="00121799"/>
    <w:rsid w:val="001222FC"/>
    <w:rsid w:val="00123902"/>
    <w:rsid w:val="00123BE3"/>
    <w:rsid w:val="00123F9B"/>
    <w:rsid w:val="00124A51"/>
    <w:rsid w:val="00125C56"/>
    <w:rsid w:val="00125E14"/>
    <w:rsid w:val="001262EB"/>
    <w:rsid w:val="00126621"/>
    <w:rsid w:val="00126B1D"/>
    <w:rsid w:val="00127653"/>
    <w:rsid w:val="0012779F"/>
    <w:rsid w:val="001301E9"/>
    <w:rsid w:val="00130241"/>
    <w:rsid w:val="00131388"/>
    <w:rsid w:val="0013158E"/>
    <w:rsid w:val="00131D7A"/>
    <w:rsid w:val="00131D82"/>
    <w:rsid w:val="00132B22"/>
    <w:rsid w:val="00133880"/>
    <w:rsid w:val="00133CA8"/>
    <w:rsid w:val="00133D36"/>
    <w:rsid w:val="0013483A"/>
    <w:rsid w:val="001348AD"/>
    <w:rsid w:val="00134956"/>
    <w:rsid w:val="00135150"/>
    <w:rsid w:val="0013591E"/>
    <w:rsid w:val="001359C6"/>
    <w:rsid w:val="0013607E"/>
    <w:rsid w:val="00136C12"/>
    <w:rsid w:val="00136D1A"/>
    <w:rsid w:val="00137140"/>
    <w:rsid w:val="00137645"/>
    <w:rsid w:val="001377AC"/>
    <w:rsid w:val="0014015A"/>
    <w:rsid w:val="00140E99"/>
    <w:rsid w:val="00141B63"/>
    <w:rsid w:val="00141F71"/>
    <w:rsid w:val="00142D38"/>
    <w:rsid w:val="00142FF5"/>
    <w:rsid w:val="00143F67"/>
    <w:rsid w:val="001442C1"/>
    <w:rsid w:val="0014434E"/>
    <w:rsid w:val="00145234"/>
    <w:rsid w:val="00145540"/>
    <w:rsid w:val="001456B0"/>
    <w:rsid w:val="00145C01"/>
    <w:rsid w:val="00145CE5"/>
    <w:rsid w:val="00146E50"/>
    <w:rsid w:val="00146F52"/>
    <w:rsid w:val="001473FD"/>
    <w:rsid w:val="0014749D"/>
    <w:rsid w:val="0015034C"/>
    <w:rsid w:val="00150523"/>
    <w:rsid w:val="00150E54"/>
    <w:rsid w:val="00151792"/>
    <w:rsid w:val="001547AB"/>
    <w:rsid w:val="00155663"/>
    <w:rsid w:val="0015626E"/>
    <w:rsid w:val="00156F8F"/>
    <w:rsid w:val="00157130"/>
    <w:rsid w:val="001573CA"/>
    <w:rsid w:val="0015761E"/>
    <w:rsid w:val="001576B1"/>
    <w:rsid w:val="001578DA"/>
    <w:rsid w:val="0016047B"/>
    <w:rsid w:val="00160A4C"/>
    <w:rsid w:val="00162913"/>
    <w:rsid w:val="00162BE4"/>
    <w:rsid w:val="00162F53"/>
    <w:rsid w:val="00163BDF"/>
    <w:rsid w:val="00163E81"/>
    <w:rsid w:val="00163EFF"/>
    <w:rsid w:val="00163F66"/>
    <w:rsid w:val="001643B9"/>
    <w:rsid w:val="0016478E"/>
    <w:rsid w:val="00165125"/>
    <w:rsid w:val="00165811"/>
    <w:rsid w:val="00165EC4"/>
    <w:rsid w:val="001661FB"/>
    <w:rsid w:val="001671A0"/>
    <w:rsid w:val="001675AE"/>
    <w:rsid w:val="0016767F"/>
    <w:rsid w:val="00170105"/>
    <w:rsid w:val="00170992"/>
    <w:rsid w:val="00173077"/>
    <w:rsid w:val="00173565"/>
    <w:rsid w:val="00173B07"/>
    <w:rsid w:val="001751FA"/>
    <w:rsid w:val="00175456"/>
    <w:rsid w:val="00176D5C"/>
    <w:rsid w:val="001771C7"/>
    <w:rsid w:val="001771EE"/>
    <w:rsid w:val="001776EA"/>
    <w:rsid w:val="001812E1"/>
    <w:rsid w:val="001815EC"/>
    <w:rsid w:val="00181C10"/>
    <w:rsid w:val="00181D9C"/>
    <w:rsid w:val="00182454"/>
    <w:rsid w:val="001837FF"/>
    <w:rsid w:val="00183D4C"/>
    <w:rsid w:val="0018455A"/>
    <w:rsid w:val="00184B0E"/>
    <w:rsid w:val="00184B49"/>
    <w:rsid w:val="00185808"/>
    <w:rsid w:val="001861EB"/>
    <w:rsid w:val="00186D90"/>
    <w:rsid w:val="0018752F"/>
    <w:rsid w:val="001907FC"/>
    <w:rsid w:val="001918A3"/>
    <w:rsid w:val="00193838"/>
    <w:rsid w:val="00193A52"/>
    <w:rsid w:val="001943B5"/>
    <w:rsid w:val="00194AD8"/>
    <w:rsid w:val="00195222"/>
    <w:rsid w:val="00195452"/>
    <w:rsid w:val="00195D24"/>
    <w:rsid w:val="001965EA"/>
    <w:rsid w:val="00196943"/>
    <w:rsid w:val="001975D8"/>
    <w:rsid w:val="001978BD"/>
    <w:rsid w:val="001978D4"/>
    <w:rsid w:val="001A117C"/>
    <w:rsid w:val="001A16A2"/>
    <w:rsid w:val="001A178E"/>
    <w:rsid w:val="001A1BBD"/>
    <w:rsid w:val="001A23A4"/>
    <w:rsid w:val="001A2BA4"/>
    <w:rsid w:val="001A2F79"/>
    <w:rsid w:val="001A33F3"/>
    <w:rsid w:val="001A4135"/>
    <w:rsid w:val="001A43FA"/>
    <w:rsid w:val="001A47C5"/>
    <w:rsid w:val="001A59FB"/>
    <w:rsid w:val="001A5E9E"/>
    <w:rsid w:val="001A6354"/>
    <w:rsid w:val="001A6366"/>
    <w:rsid w:val="001A64D8"/>
    <w:rsid w:val="001A7AE8"/>
    <w:rsid w:val="001A7F25"/>
    <w:rsid w:val="001B01C1"/>
    <w:rsid w:val="001B07CD"/>
    <w:rsid w:val="001B0F74"/>
    <w:rsid w:val="001B16A6"/>
    <w:rsid w:val="001B16E3"/>
    <w:rsid w:val="001B1CBD"/>
    <w:rsid w:val="001B1FD6"/>
    <w:rsid w:val="001B204E"/>
    <w:rsid w:val="001B2372"/>
    <w:rsid w:val="001B2BBB"/>
    <w:rsid w:val="001B3443"/>
    <w:rsid w:val="001B46E8"/>
    <w:rsid w:val="001B4AB6"/>
    <w:rsid w:val="001B4BB3"/>
    <w:rsid w:val="001B4D20"/>
    <w:rsid w:val="001B53FB"/>
    <w:rsid w:val="001B5C1C"/>
    <w:rsid w:val="001B615D"/>
    <w:rsid w:val="001B6339"/>
    <w:rsid w:val="001B67C7"/>
    <w:rsid w:val="001B6836"/>
    <w:rsid w:val="001B79E2"/>
    <w:rsid w:val="001B7A4F"/>
    <w:rsid w:val="001B7E3B"/>
    <w:rsid w:val="001B7F84"/>
    <w:rsid w:val="001C1641"/>
    <w:rsid w:val="001C2969"/>
    <w:rsid w:val="001C2A9B"/>
    <w:rsid w:val="001C3D8E"/>
    <w:rsid w:val="001C3DD6"/>
    <w:rsid w:val="001C4299"/>
    <w:rsid w:val="001C44CB"/>
    <w:rsid w:val="001C4874"/>
    <w:rsid w:val="001C4B33"/>
    <w:rsid w:val="001C4D08"/>
    <w:rsid w:val="001C4F09"/>
    <w:rsid w:val="001C5F94"/>
    <w:rsid w:val="001C6B4D"/>
    <w:rsid w:val="001C6E66"/>
    <w:rsid w:val="001C7417"/>
    <w:rsid w:val="001C776C"/>
    <w:rsid w:val="001D00F3"/>
    <w:rsid w:val="001D1100"/>
    <w:rsid w:val="001D1391"/>
    <w:rsid w:val="001D1983"/>
    <w:rsid w:val="001D25D7"/>
    <w:rsid w:val="001D2730"/>
    <w:rsid w:val="001D2E7B"/>
    <w:rsid w:val="001D3761"/>
    <w:rsid w:val="001D3D2B"/>
    <w:rsid w:val="001D438C"/>
    <w:rsid w:val="001D4B3B"/>
    <w:rsid w:val="001D5007"/>
    <w:rsid w:val="001D50B2"/>
    <w:rsid w:val="001D5C0C"/>
    <w:rsid w:val="001D62DF"/>
    <w:rsid w:val="001D71F4"/>
    <w:rsid w:val="001D7645"/>
    <w:rsid w:val="001E094C"/>
    <w:rsid w:val="001E173D"/>
    <w:rsid w:val="001E1E86"/>
    <w:rsid w:val="001E1F56"/>
    <w:rsid w:val="001E238E"/>
    <w:rsid w:val="001E2483"/>
    <w:rsid w:val="001E2B1E"/>
    <w:rsid w:val="001E2B43"/>
    <w:rsid w:val="001E2B97"/>
    <w:rsid w:val="001E2BEE"/>
    <w:rsid w:val="001E2CFF"/>
    <w:rsid w:val="001E2F24"/>
    <w:rsid w:val="001E30D4"/>
    <w:rsid w:val="001E34DF"/>
    <w:rsid w:val="001E40DD"/>
    <w:rsid w:val="001E52EB"/>
    <w:rsid w:val="001E5CAC"/>
    <w:rsid w:val="001E5F2E"/>
    <w:rsid w:val="001E60CC"/>
    <w:rsid w:val="001E61D2"/>
    <w:rsid w:val="001E6790"/>
    <w:rsid w:val="001E6D45"/>
    <w:rsid w:val="001E740C"/>
    <w:rsid w:val="001E7C0C"/>
    <w:rsid w:val="001F1235"/>
    <w:rsid w:val="001F1CB3"/>
    <w:rsid w:val="001F2F3E"/>
    <w:rsid w:val="001F38B5"/>
    <w:rsid w:val="001F4081"/>
    <w:rsid w:val="001F493A"/>
    <w:rsid w:val="001F4A02"/>
    <w:rsid w:val="001F5067"/>
    <w:rsid w:val="001F5754"/>
    <w:rsid w:val="001F627D"/>
    <w:rsid w:val="001F6E83"/>
    <w:rsid w:val="001F7361"/>
    <w:rsid w:val="001F74F1"/>
    <w:rsid w:val="001F7561"/>
    <w:rsid w:val="001F75AA"/>
    <w:rsid w:val="001F7B5E"/>
    <w:rsid w:val="00200103"/>
    <w:rsid w:val="00200141"/>
    <w:rsid w:val="002011B0"/>
    <w:rsid w:val="00201686"/>
    <w:rsid w:val="0020253B"/>
    <w:rsid w:val="00203181"/>
    <w:rsid w:val="00203783"/>
    <w:rsid w:val="0020385F"/>
    <w:rsid w:val="00204B44"/>
    <w:rsid w:val="00204F75"/>
    <w:rsid w:val="0020511A"/>
    <w:rsid w:val="002057C2"/>
    <w:rsid w:val="002068A0"/>
    <w:rsid w:val="002069D7"/>
    <w:rsid w:val="00207021"/>
    <w:rsid w:val="0020732F"/>
    <w:rsid w:val="00207416"/>
    <w:rsid w:val="00207C40"/>
    <w:rsid w:val="00207D00"/>
    <w:rsid w:val="00207D5F"/>
    <w:rsid w:val="002105C1"/>
    <w:rsid w:val="00210743"/>
    <w:rsid w:val="002116FD"/>
    <w:rsid w:val="002119A6"/>
    <w:rsid w:val="002121EA"/>
    <w:rsid w:val="00212937"/>
    <w:rsid w:val="00213417"/>
    <w:rsid w:val="00213E33"/>
    <w:rsid w:val="00213EF5"/>
    <w:rsid w:val="00216BF5"/>
    <w:rsid w:val="002170B6"/>
    <w:rsid w:val="002172B1"/>
    <w:rsid w:val="002179CC"/>
    <w:rsid w:val="00217E7D"/>
    <w:rsid w:val="00220799"/>
    <w:rsid w:val="0022128C"/>
    <w:rsid w:val="002216FD"/>
    <w:rsid w:val="00221BD5"/>
    <w:rsid w:val="002221E2"/>
    <w:rsid w:val="00222948"/>
    <w:rsid w:val="00222AFC"/>
    <w:rsid w:val="00222CAD"/>
    <w:rsid w:val="00223705"/>
    <w:rsid w:val="00223B49"/>
    <w:rsid w:val="00223D5A"/>
    <w:rsid w:val="00224DD4"/>
    <w:rsid w:val="00224E1A"/>
    <w:rsid w:val="0022664E"/>
    <w:rsid w:val="00226BD7"/>
    <w:rsid w:val="002278A0"/>
    <w:rsid w:val="00227CE0"/>
    <w:rsid w:val="002309CC"/>
    <w:rsid w:val="00231BA9"/>
    <w:rsid w:val="0023205C"/>
    <w:rsid w:val="0023209F"/>
    <w:rsid w:val="00232503"/>
    <w:rsid w:val="0023299C"/>
    <w:rsid w:val="00232C9B"/>
    <w:rsid w:val="0023362A"/>
    <w:rsid w:val="00233C01"/>
    <w:rsid w:val="00233CDC"/>
    <w:rsid w:val="0023413C"/>
    <w:rsid w:val="00234387"/>
    <w:rsid w:val="002346F0"/>
    <w:rsid w:val="00235B3E"/>
    <w:rsid w:val="0023629D"/>
    <w:rsid w:val="00236594"/>
    <w:rsid w:val="00236F1D"/>
    <w:rsid w:val="0023716A"/>
    <w:rsid w:val="00237255"/>
    <w:rsid w:val="002377BC"/>
    <w:rsid w:val="002424AF"/>
    <w:rsid w:val="002439DC"/>
    <w:rsid w:val="00243D3F"/>
    <w:rsid w:val="002441D2"/>
    <w:rsid w:val="00244DC8"/>
    <w:rsid w:val="002458BA"/>
    <w:rsid w:val="00245CE9"/>
    <w:rsid w:val="0024636C"/>
    <w:rsid w:val="002468A8"/>
    <w:rsid w:val="00247925"/>
    <w:rsid w:val="00251006"/>
    <w:rsid w:val="002514FA"/>
    <w:rsid w:val="002524D5"/>
    <w:rsid w:val="00252D8C"/>
    <w:rsid w:val="00253881"/>
    <w:rsid w:val="00253B1D"/>
    <w:rsid w:val="002549CD"/>
    <w:rsid w:val="00254DCF"/>
    <w:rsid w:val="0025534B"/>
    <w:rsid w:val="00255BB7"/>
    <w:rsid w:val="0025611D"/>
    <w:rsid w:val="00257541"/>
    <w:rsid w:val="00257906"/>
    <w:rsid w:val="00257A39"/>
    <w:rsid w:val="00257AC4"/>
    <w:rsid w:val="00257BBE"/>
    <w:rsid w:val="00260656"/>
    <w:rsid w:val="002608C8"/>
    <w:rsid w:val="00260E05"/>
    <w:rsid w:val="00261EC5"/>
    <w:rsid w:val="00261EEF"/>
    <w:rsid w:val="00262278"/>
    <w:rsid w:val="00262A1A"/>
    <w:rsid w:val="00262A87"/>
    <w:rsid w:val="00263E6F"/>
    <w:rsid w:val="00264D26"/>
    <w:rsid w:val="0026550E"/>
    <w:rsid w:val="0026689C"/>
    <w:rsid w:val="00267642"/>
    <w:rsid w:val="002676FA"/>
    <w:rsid w:val="00267AEA"/>
    <w:rsid w:val="002700E6"/>
    <w:rsid w:val="00270E24"/>
    <w:rsid w:val="0027294B"/>
    <w:rsid w:val="00273EB4"/>
    <w:rsid w:val="00274682"/>
    <w:rsid w:val="00274C3B"/>
    <w:rsid w:val="00275158"/>
    <w:rsid w:val="002752A5"/>
    <w:rsid w:val="002754D2"/>
    <w:rsid w:val="00275C5A"/>
    <w:rsid w:val="00276158"/>
    <w:rsid w:val="00277220"/>
    <w:rsid w:val="0028047B"/>
    <w:rsid w:val="00280C4C"/>
    <w:rsid w:val="00280CF3"/>
    <w:rsid w:val="00280D36"/>
    <w:rsid w:val="00281014"/>
    <w:rsid w:val="002814B9"/>
    <w:rsid w:val="00281AB3"/>
    <w:rsid w:val="00282F14"/>
    <w:rsid w:val="00284DFC"/>
    <w:rsid w:val="00284FD4"/>
    <w:rsid w:val="00285BCE"/>
    <w:rsid w:val="0028665D"/>
    <w:rsid w:val="00286EE5"/>
    <w:rsid w:val="0028752C"/>
    <w:rsid w:val="002912DF"/>
    <w:rsid w:val="00291889"/>
    <w:rsid w:val="00293214"/>
    <w:rsid w:val="0029417F"/>
    <w:rsid w:val="002949A8"/>
    <w:rsid w:val="00294EDB"/>
    <w:rsid w:val="00295776"/>
    <w:rsid w:val="00297F3E"/>
    <w:rsid w:val="002A0357"/>
    <w:rsid w:val="002A0989"/>
    <w:rsid w:val="002A09A7"/>
    <w:rsid w:val="002A0EF2"/>
    <w:rsid w:val="002A1429"/>
    <w:rsid w:val="002A14AB"/>
    <w:rsid w:val="002A262A"/>
    <w:rsid w:val="002A2ADE"/>
    <w:rsid w:val="002A2D43"/>
    <w:rsid w:val="002A2F50"/>
    <w:rsid w:val="002A3456"/>
    <w:rsid w:val="002A3F0E"/>
    <w:rsid w:val="002A4B6D"/>
    <w:rsid w:val="002A73CE"/>
    <w:rsid w:val="002A7943"/>
    <w:rsid w:val="002B05A1"/>
    <w:rsid w:val="002B09A4"/>
    <w:rsid w:val="002B09B7"/>
    <w:rsid w:val="002B126B"/>
    <w:rsid w:val="002B16B1"/>
    <w:rsid w:val="002B198E"/>
    <w:rsid w:val="002B1C1F"/>
    <w:rsid w:val="002B20CF"/>
    <w:rsid w:val="002B32BB"/>
    <w:rsid w:val="002B3EBC"/>
    <w:rsid w:val="002B432F"/>
    <w:rsid w:val="002B468E"/>
    <w:rsid w:val="002B4747"/>
    <w:rsid w:val="002B4B93"/>
    <w:rsid w:val="002B52E5"/>
    <w:rsid w:val="002B5F5D"/>
    <w:rsid w:val="002B62B3"/>
    <w:rsid w:val="002B6475"/>
    <w:rsid w:val="002B64A3"/>
    <w:rsid w:val="002B66F4"/>
    <w:rsid w:val="002B6754"/>
    <w:rsid w:val="002B6933"/>
    <w:rsid w:val="002B6CCE"/>
    <w:rsid w:val="002B6FD9"/>
    <w:rsid w:val="002B7C4B"/>
    <w:rsid w:val="002C00B7"/>
    <w:rsid w:val="002C0256"/>
    <w:rsid w:val="002C06C2"/>
    <w:rsid w:val="002C0A53"/>
    <w:rsid w:val="002C2510"/>
    <w:rsid w:val="002C2775"/>
    <w:rsid w:val="002C27C1"/>
    <w:rsid w:val="002C3508"/>
    <w:rsid w:val="002C36E3"/>
    <w:rsid w:val="002C4065"/>
    <w:rsid w:val="002C5099"/>
    <w:rsid w:val="002C5889"/>
    <w:rsid w:val="002C65A5"/>
    <w:rsid w:val="002C71CE"/>
    <w:rsid w:val="002C735C"/>
    <w:rsid w:val="002D08F8"/>
    <w:rsid w:val="002D0F74"/>
    <w:rsid w:val="002D1DA5"/>
    <w:rsid w:val="002D245E"/>
    <w:rsid w:val="002D25AF"/>
    <w:rsid w:val="002D3598"/>
    <w:rsid w:val="002D361E"/>
    <w:rsid w:val="002D3957"/>
    <w:rsid w:val="002D3D75"/>
    <w:rsid w:val="002D5611"/>
    <w:rsid w:val="002D577C"/>
    <w:rsid w:val="002D5F68"/>
    <w:rsid w:val="002D6A62"/>
    <w:rsid w:val="002D6EA2"/>
    <w:rsid w:val="002D7832"/>
    <w:rsid w:val="002E0271"/>
    <w:rsid w:val="002E1071"/>
    <w:rsid w:val="002E15B9"/>
    <w:rsid w:val="002E2158"/>
    <w:rsid w:val="002E2CBD"/>
    <w:rsid w:val="002E4CEB"/>
    <w:rsid w:val="002E4F02"/>
    <w:rsid w:val="002E5054"/>
    <w:rsid w:val="002E5446"/>
    <w:rsid w:val="002E7722"/>
    <w:rsid w:val="002E7B77"/>
    <w:rsid w:val="002F02E7"/>
    <w:rsid w:val="002F06F4"/>
    <w:rsid w:val="002F07BA"/>
    <w:rsid w:val="002F0DA9"/>
    <w:rsid w:val="002F1014"/>
    <w:rsid w:val="002F1E3B"/>
    <w:rsid w:val="002F218F"/>
    <w:rsid w:val="002F2E82"/>
    <w:rsid w:val="002F4785"/>
    <w:rsid w:val="002F5191"/>
    <w:rsid w:val="002F52F5"/>
    <w:rsid w:val="002F5C8B"/>
    <w:rsid w:val="002F643C"/>
    <w:rsid w:val="002F6F90"/>
    <w:rsid w:val="002F71C0"/>
    <w:rsid w:val="002F74F1"/>
    <w:rsid w:val="003003C4"/>
    <w:rsid w:val="00301017"/>
    <w:rsid w:val="0030155F"/>
    <w:rsid w:val="00304D9B"/>
    <w:rsid w:val="003050F3"/>
    <w:rsid w:val="0030587B"/>
    <w:rsid w:val="00306643"/>
    <w:rsid w:val="003069CB"/>
    <w:rsid w:val="00306A34"/>
    <w:rsid w:val="00306D98"/>
    <w:rsid w:val="00307603"/>
    <w:rsid w:val="0030786C"/>
    <w:rsid w:val="00307B87"/>
    <w:rsid w:val="00307FAC"/>
    <w:rsid w:val="003101FC"/>
    <w:rsid w:val="0031031A"/>
    <w:rsid w:val="00310981"/>
    <w:rsid w:val="00311D86"/>
    <w:rsid w:val="00311D9B"/>
    <w:rsid w:val="003124D9"/>
    <w:rsid w:val="00312594"/>
    <w:rsid w:val="003126C7"/>
    <w:rsid w:val="00312F1D"/>
    <w:rsid w:val="003130D3"/>
    <w:rsid w:val="00313792"/>
    <w:rsid w:val="00313C33"/>
    <w:rsid w:val="00313E60"/>
    <w:rsid w:val="00314DAF"/>
    <w:rsid w:val="00315069"/>
    <w:rsid w:val="00315445"/>
    <w:rsid w:val="00315498"/>
    <w:rsid w:val="00316229"/>
    <w:rsid w:val="00316474"/>
    <w:rsid w:val="0031677D"/>
    <w:rsid w:val="0031680A"/>
    <w:rsid w:val="0031730E"/>
    <w:rsid w:val="00317C05"/>
    <w:rsid w:val="003211A5"/>
    <w:rsid w:val="003218C7"/>
    <w:rsid w:val="00322107"/>
    <w:rsid w:val="00322355"/>
    <w:rsid w:val="00322846"/>
    <w:rsid w:val="0032286C"/>
    <w:rsid w:val="003233D8"/>
    <w:rsid w:val="003234FB"/>
    <w:rsid w:val="00323E71"/>
    <w:rsid w:val="00324DB4"/>
    <w:rsid w:val="003263B8"/>
    <w:rsid w:val="00326DA7"/>
    <w:rsid w:val="003270E4"/>
    <w:rsid w:val="00327C2E"/>
    <w:rsid w:val="003306D9"/>
    <w:rsid w:val="00330954"/>
    <w:rsid w:val="00330DAA"/>
    <w:rsid w:val="00330F5C"/>
    <w:rsid w:val="00331240"/>
    <w:rsid w:val="003313A8"/>
    <w:rsid w:val="00332D0D"/>
    <w:rsid w:val="0033362E"/>
    <w:rsid w:val="00333CFE"/>
    <w:rsid w:val="00333D6D"/>
    <w:rsid w:val="00334150"/>
    <w:rsid w:val="00336130"/>
    <w:rsid w:val="003366C9"/>
    <w:rsid w:val="00336FC1"/>
    <w:rsid w:val="00337152"/>
    <w:rsid w:val="003371B0"/>
    <w:rsid w:val="00337D1B"/>
    <w:rsid w:val="00340DF1"/>
    <w:rsid w:val="003412E7"/>
    <w:rsid w:val="00342C73"/>
    <w:rsid w:val="00342E40"/>
    <w:rsid w:val="00342E8D"/>
    <w:rsid w:val="00343C7F"/>
    <w:rsid w:val="003450AD"/>
    <w:rsid w:val="003517F9"/>
    <w:rsid w:val="00351BA9"/>
    <w:rsid w:val="00352111"/>
    <w:rsid w:val="00354F64"/>
    <w:rsid w:val="00355BFA"/>
    <w:rsid w:val="0035620E"/>
    <w:rsid w:val="00356C22"/>
    <w:rsid w:val="00357234"/>
    <w:rsid w:val="003575BE"/>
    <w:rsid w:val="003577FF"/>
    <w:rsid w:val="003600E7"/>
    <w:rsid w:val="00360345"/>
    <w:rsid w:val="00360D9D"/>
    <w:rsid w:val="0036136A"/>
    <w:rsid w:val="00361974"/>
    <w:rsid w:val="00361A05"/>
    <w:rsid w:val="003624C4"/>
    <w:rsid w:val="00363B00"/>
    <w:rsid w:val="00364183"/>
    <w:rsid w:val="003654AC"/>
    <w:rsid w:val="00365AB4"/>
    <w:rsid w:val="00366003"/>
    <w:rsid w:val="0036762E"/>
    <w:rsid w:val="0036779F"/>
    <w:rsid w:val="003710CF"/>
    <w:rsid w:val="003720FA"/>
    <w:rsid w:val="0037358A"/>
    <w:rsid w:val="00374463"/>
    <w:rsid w:val="003748F0"/>
    <w:rsid w:val="00374EE0"/>
    <w:rsid w:val="003750F6"/>
    <w:rsid w:val="00375E99"/>
    <w:rsid w:val="003760FC"/>
    <w:rsid w:val="0037682B"/>
    <w:rsid w:val="00376EA7"/>
    <w:rsid w:val="00377217"/>
    <w:rsid w:val="003819B2"/>
    <w:rsid w:val="00381C92"/>
    <w:rsid w:val="003821C1"/>
    <w:rsid w:val="003828B1"/>
    <w:rsid w:val="003830D7"/>
    <w:rsid w:val="0038365C"/>
    <w:rsid w:val="00383688"/>
    <w:rsid w:val="0038369B"/>
    <w:rsid w:val="003839A3"/>
    <w:rsid w:val="00383B78"/>
    <w:rsid w:val="00384926"/>
    <w:rsid w:val="003854B3"/>
    <w:rsid w:val="00385A9D"/>
    <w:rsid w:val="00385E7C"/>
    <w:rsid w:val="00387121"/>
    <w:rsid w:val="003902B1"/>
    <w:rsid w:val="00390749"/>
    <w:rsid w:val="0039083B"/>
    <w:rsid w:val="0039179C"/>
    <w:rsid w:val="00392661"/>
    <w:rsid w:val="00393A81"/>
    <w:rsid w:val="00393E80"/>
    <w:rsid w:val="00394560"/>
    <w:rsid w:val="00395A24"/>
    <w:rsid w:val="00396896"/>
    <w:rsid w:val="00396CC0"/>
    <w:rsid w:val="00396FD0"/>
    <w:rsid w:val="0039768C"/>
    <w:rsid w:val="003A1A7A"/>
    <w:rsid w:val="003A2392"/>
    <w:rsid w:val="003A2831"/>
    <w:rsid w:val="003A2B01"/>
    <w:rsid w:val="003A2EA4"/>
    <w:rsid w:val="003A397D"/>
    <w:rsid w:val="003A3CB6"/>
    <w:rsid w:val="003A3ED1"/>
    <w:rsid w:val="003A44DB"/>
    <w:rsid w:val="003A4C14"/>
    <w:rsid w:val="003A4E68"/>
    <w:rsid w:val="003A4EEF"/>
    <w:rsid w:val="003A52FA"/>
    <w:rsid w:val="003A5564"/>
    <w:rsid w:val="003A5A22"/>
    <w:rsid w:val="003A66AB"/>
    <w:rsid w:val="003B07C6"/>
    <w:rsid w:val="003B0BFA"/>
    <w:rsid w:val="003B2F73"/>
    <w:rsid w:val="003B3971"/>
    <w:rsid w:val="003B43B2"/>
    <w:rsid w:val="003B459F"/>
    <w:rsid w:val="003B48C3"/>
    <w:rsid w:val="003B55D1"/>
    <w:rsid w:val="003B5B61"/>
    <w:rsid w:val="003B77E9"/>
    <w:rsid w:val="003C1654"/>
    <w:rsid w:val="003C1BFF"/>
    <w:rsid w:val="003C25C5"/>
    <w:rsid w:val="003C2646"/>
    <w:rsid w:val="003C2DE2"/>
    <w:rsid w:val="003C2F49"/>
    <w:rsid w:val="003C3057"/>
    <w:rsid w:val="003C36C9"/>
    <w:rsid w:val="003C37DC"/>
    <w:rsid w:val="003C544E"/>
    <w:rsid w:val="003C5542"/>
    <w:rsid w:val="003C5E06"/>
    <w:rsid w:val="003C6236"/>
    <w:rsid w:val="003C6936"/>
    <w:rsid w:val="003C6CA9"/>
    <w:rsid w:val="003C6DE0"/>
    <w:rsid w:val="003C72D0"/>
    <w:rsid w:val="003C73BB"/>
    <w:rsid w:val="003C73CC"/>
    <w:rsid w:val="003C7C15"/>
    <w:rsid w:val="003C7D19"/>
    <w:rsid w:val="003C7D2F"/>
    <w:rsid w:val="003D028B"/>
    <w:rsid w:val="003D0C5A"/>
    <w:rsid w:val="003D1828"/>
    <w:rsid w:val="003D1DE4"/>
    <w:rsid w:val="003D1E9A"/>
    <w:rsid w:val="003D2422"/>
    <w:rsid w:val="003D28A8"/>
    <w:rsid w:val="003D2A3A"/>
    <w:rsid w:val="003D377C"/>
    <w:rsid w:val="003D39A1"/>
    <w:rsid w:val="003D3FBF"/>
    <w:rsid w:val="003D4A30"/>
    <w:rsid w:val="003D5E0E"/>
    <w:rsid w:val="003D6103"/>
    <w:rsid w:val="003D68C5"/>
    <w:rsid w:val="003D70B1"/>
    <w:rsid w:val="003D7452"/>
    <w:rsid w:val="003D79BB"/>
    <w:rsid w:val="003D7C98"/>
    <w:rsid w:val="003D7D9D"/>
    <w:rsid w:val="003D7EBC"/>
    <w:rsid w:val="003E04BA"/>
    <w:rsid w:val="003E0543"/>
    <w:rsid w:val="003E0E5D"/>
    <w:rsid w:val="003E171A"/>
    <w:rsid w:val="003E1AED"/>
    <w:rsid w:val="003E1BBC"/>
    <w:rsid w:val="003E3D37"/>
    <w:rsid w:val="003E4561"/>
    <w:rsid w:val="003E4966"/>
    <w:rsid w:val="003E4A18"/>
    <w:rsid w:val="003E5603"/>
    <w:rsid w:val="003E5747"/>
    <w:rsid w:val="003E62C7"/>
    <w:rsid w:val="003E749E"/>
    <w:rsid w:val="003E78B3"/>
    <w:rsid w:val="003E7AC0"/>
    <w:rsid w:val="003E7F6A"/>
    <w:rsid w:val="003F1A94"/>
    <w:rsid w:val="003F2E3D"/>
    <w:rsid w:val="003F30AC"/>
    <w:rsid w:val="003F3402"/>
    <w:rsid w:val="003F4156"/>
    <w:rsid w:val="003F44E1"/>
    <w:rsid w:val="003F4DCE"/>
    <w:rsid w:val="003F5070"/>
    <w:rsid w:val="003F53E3"/>
    <w:rsid w:val="003F5709"/>
    <w:rsid w:val="003F5A4E"/>
    <w:rsid w:val="003F5ADF"/>
    <w:rsid w:val="003F7326"/>
    <w:rsid w:val="003F7A06"/>
    <w:rsid w:val="003F7DF8"/>
    <w:rsid w:val="004003E5"/>
    <w:rsid w:val="00400B29"/>
    <w:rsid w:val="00402127"/>
    <w:rsid w:val="00402374"/>
    <w:rsid w:val="0040248F"/>
    <w:rsid w:val="00402812"/>
    <w:rsid w:val="00402D2B"/>
    <w:rsid w:val="004037BD"/>
    <w:rsid w:val="00404A4B"/>
    <w:rsid w:val="0040504B"/>
    <w:rsid w:val="004059F4"/>
    <w:rsid w:val="00406F3A"/>
    <w:rsid w:val="0040790E"/>
    <w:rsid w:val="00407FE5"/>
    <w:rsid w:val="004101B0"/>
    <w:rsid w:val="00410326"/>
    <w:rsid w:val="00410708"/>
    <w:rsid w:val="0041076C"/>
    <w:rsid w:val="00410C3B"/>
    <w:rsid w:val="00410EC7"/>
    <w:rsid w:val="004111EB"/>
    <w:rsid w:val="00411B39"/>
    <w:rsid w:val="004127A7"/>
    <w:rsid w:val="004128BB"/>
    <w:rsid w:val="00413A1E"/>
    <w:rsid w:val="00413B5F"/>
    <w:rsid w:val="0041433C"/>
    <w:rsid w:val="00414476"/>
    <w:rsid w:val="00414485"/>
    <w:rsid w:val="00414612"/>
    <w:rsid w:val="00414697"/>
    <w:rsid w:val="00414C2E"/>
    <w:rsid w:val="004151CF"/>
    <w:rsid w:val="00415E60"/>
    <w:rsid w:val="00415FA5"/>
    <w:rsid w:val="00416364"/>
    <w:rsid w:val="0042047F"/>
    <w:rsid w:val="00420AA6"/>
    <w:rsid w:val="00420B9F"/>
    <w:rsid w:val="00420F05"/>
    <w:rsid w:val="0042192C"/>
    <w:rsid w:val="00422260"/>
    <w:rsid w:val="00424098"/>
    <w:rsid w:val="0042413F"/>
    <w:rsid w:val="004275A2"/>
    <w:rsid w:val="0043079C"/>
    <w:rsid w:val="00430F37"/>
    <w:rsid w:val="004316A7"/>
    <w:rsid w:val="004319F8"/>
    <w:rsid w:val="00431B5E"/>
    <w:rsid w:val="00431E55"/>
    <w:rsid w:val="004321F6"/>
    <w:rsid w:val="00432CE0"/>
    <w:rsid w:val="00433044"/>
    <w:rsid w:val="00433212"/>
    <w:rsid w:val="00433E78"/>
    <w:rsid w:val="00434088"/>
    <w:rsid w:val="004340C7"/>
    <w:rsid w:val="004345AC"/>
    <w:rsid w:val="004350FD"/>
    <w:rsid w:val="0043641C"/>
    <w:rsid w:val="004366A7"/>
    <w:rsid w:val="00436919"/>
    <w:rsid w:val="00436B05"/>
    <w:rsid w:val="00437295"/>
    <w:rsid w:val="004375B9"/>
    <w:rsid w:val="00440873"/>
    <w:rsid w:val="004420AF"/>
    <w:rsid w:val="0044239D"/>
    <w:rsid w:val="004428D0"/>
    <w:rsid w:val="00442FDC"/>
    <w:rsid w:val="00443541"/>
    <w:rsid w:val="004436DA"/>
    <w:rsid w:val="00444185"/>
    <w:rsid w:val="004443A7"/>
    <w:rsid w:val="0044442C"/>
    <w:rsid w:val="00445941"/>
    <w:rsid w:val="004464EB"/>
    <w:rsid w:val="00447253"/>
    <w:rsid w:val="004472E2"/>
    <w:rsid w:val="00447D26"/>
    <w:rsid w:val="00447DFC"/>
    <w:rsid w:val="00447EB6"/>
    <w:rsid w:val="00451AF5"/>
    <w:rsid w:val="00451C13"/>
    <w:rsid w:val="0045437B"/>
    <w:rsid w:val="00454F92"/>
    <w:rsid w:val="00455D45"/>
    <w:rsid w:val="00455EFC"/>
    <w:rsid w:val="004566CB"/>
    <w:rsid w:val="0046000A"/>
    <w:rsid w:val="004610F4"/>
    <w:rsid w:val="00461269"/>
    <w:rsid w:val="00461D8A"/>
    <w:rsid w:val="0046391A"/>
    <w:rsid w:val="0046399F"/>
    <w:rsid w:val="0046422F"/>
    <w:rsid w:val="00464307"/>
    <w:rsid w:val="00464595"/>
    <w:rsid w:val="004647FE"/>
    <w:rsid w:val="00464F66"/>
    <w:rsid w:val="00465152"/>
    <w:rsid w:val="00465324"/>
    <w:rsid w:val="004658B5"/>
    <w:rsid w:val="00465C27"/>
    <w:rsid w:val="0046678B"/>
    <w:rsid w:val="00467005"/>
    <w:rsid w:val="004673CD"/>
    <w:rsid w:val="00471EA5"/>
    <w:rsid w:val="00471EC2"/>
    <w:rsid w:val="00472A79"/>
    <w:rsid w:val="00472DB3"/>
    <w:rsid w:val="004737A9"/>
    <w:rsid w:val="004737CB"/>
    <w:rsid w:val="0047386F"/>
    <w:rsid w:val="00473F19"/>
    <w:rsid w:val="00473FD3"/>
    <w:rsid w:val="0047424C"/>
    <w:rsid w:val="00474286"/>
    <w:rsid w:val="004747F4"/>
    <w:rsid w:val="00474D19"/>
    <w:rsid w:val="00474EDE"/>
    <w:rsid w:val="00475E22"/>
    <w:rsid w:val="00476A58"/>
    <w:rsid w:val="00477743"/>
    <w:rsid w:val="00477E70"/>
    <w:rsid w:val="0048088E"/>
    <w:rsid w:val="00480F2B"/>
    <w:rsid w:val="00481D76"/>
    <w:rsid w:val="004822BD"/>
    <w:rsid w:val="00482428"/>
    <w:rsid w:val="004826FD"/>
    <w:rsid w:val="00482720"/>
    <w:rsid w:val="0048295C"/>
    <w:rsid w:val="004835E7"/>
    <w:rsid w:val="004849AA"/>
    <w:rsid w:val="00484A9B"/>
    <w:rsid w:val="004859E1"/>
    <w:rsid w:val="00486647"/>
    <w:rsid w:val="004867E2"/>
    <w:rsid w:val="00486C47"/>
    <w:rsid w:val="00490B17"/>
    <w:rsid w:val="00490D70"/>
    <w:rsid w:val="00491B3A"/>
    <w:rsid w:val="00492CFD"/>
    <w:rsid w:val="00493366"/>
    <w:rsid w:val="00493A81"/>
    <w:rsid w:val="00494207"/>
    <w:rsid w:val="00494DD5"/>
    <w:rsid w:val="004956BB"/>
    <w:rsid w:val="004962D2"/>
    <w:rsid w:val="0049708F"/>
    <w:rsid w:val="00497B9E"/>
    <w:rsid w:val="004A061E"/>
    <w:rsid w:val="004A0DA1"/>
    <w:rsid w:val="004A1029"/>
    <w:rsid w:val="004A10B1"/>
    <w:rsid w:val="004A13D6"/>
    <w:rsid w:val="004A1CEA"/>
    <w:rsid w:val="004A346F"/>
    <w:rsid w:val="004A3FCE"/>
    <w:rsid w:val="004A52E9"/>
    <w:rsid w:val="004A54FA"/>
    <w:rsid w:val="004A6040"/>
    <w:rsid w:val="004A6597"/>
    <w:rsid w:val="004A7848"/>
    <w:rsid w:val="004A793B"/>
    <w:rsid w:val="004B1CB4"/>
    <w:rsid w:val="004B1E0E"/>
    <w:rsid w:val="004B2F18"/>
    <w:rsid w:val="004B3559"/>
    <w:rsid w:val="004B37B4"/>
    <w:rsid w:val="004B3DDB"/>
    <w:rsid w:val="004B40B5"/>
    <w:rsid w:val="004B44FD"/>
    <w:rsid w:val="004B48DB"/>
    <w:rsid w:val="004B5CFC"/>
    <w:rsid w:val="004B6F79"/>
    <w:rsid w:val="004B774D"/>
    <w:rsid w:val="004C03E7"/>
    <w:rsid w:val="004C13FC"/>
    <w:rsid w:val="004C150B"/>
    <w:rsid w:val="004C15C5"/>
    <w:rsid w:val="004C18E3"/>
    <w:rsid w:val="004C2AC2"/>
    <w:rsid w:val="004C41B1"/>
    <w:rsid w:val="004C4AED"/>
    <w:rsid w:val="004C6D90"/>
    <w:rsid w:val="004C7926"/>
    <w:rsid w:val="004D090C"/>
    <w:rsid w:val="004D2244"/>
    <w:rsid w:val="004D2C2D"/>
    <w:rsid w:val="004D69B5"/>
    <w:rsid w:val="004D70BF"/>
    <w:rsid w:val="004D7227"/>
    <w:rsid w:val="004D7B5E"/>
    <w:rsid w:val="004D7E35"/>
    <w:rsid w:val="004E0E7F"/>
    <w:rsid w:val="004E0EB8"/>
    <w:rsid w:val="004E18E9"/>
    <w:rsid w:val="004E1B46"/>
    <w:rsid w:val="004E2ADC"/>
    <w:rsid w:val="004E35A9"/>
    <w:rsid w:val="004E43B2"/>
    <w:rsid w:val="004E454C"/>
    <w:rsid w:val="004E4895"/>
    <w:rsid w:val="004E4AFA"/>
    <w:rsid w:val="004E59D7"/>
    <w:rsid w:val="004E6B70"/>
    <w:rsid w:val="004E748C"/>
    <w:rsid w:val="004E7F90"/>
    <w:rsid w:val="004F03C8"/>
    <w:rsid w:val="004F0F55"/>
    <w:rsid w:val="004F1835"/>
    <w:rsid w:val="004F1D02"/>
    <w:rsid w:val="004F2679"/>
    <w:rsid w:val="004F2F21"/>
    <w:rsid w:val="004F3DE5"/>
    <w:rsid w:val="004F46AF"/>
    <w:rsid w:val="004F5D2B"/>
    <w:rsid w:val="004F6913"/>
    <w:rsid w:val="004F716B"/>
    <w:rsid w:val="004F7865"/>
    <w:rsid w:val="004F7D93"/>
    <w:rsid w:val="005000F0"/>
    <w:rsid w:val="00501326"/>
    <w:rsid w:val="0050157C"/>
    <w:rsid w:val="0050174E"/>
    <w:rsid w:val="00501854"/>
    <w:rsid w:val="005018B2"/>
    <w:rsid w:val="00501DB0"/>
    <w:rsid w:val="0050219B"/>
    <w:rsid w:val="005027E4"/>
    <w:rsid w:val="00502CA2"/>
    <w:rsid w:val="00503235"/>
    <w:rsid w:val="005039A8"/>
    <w:rsid w:val="005039F4"/>
    <w:rsid w:val="00503F17"/>
    <w:rsid w:val="00503F3A"/>
    <w:rsid w:val="00504A00"/>
    <w:rsid w:val="00504EBE"/>
    <w:rsid w:val="0050528C"/>
    <w:rsid w:val="005057C9"/>
    <w:rsid w:val="0050638F"/>
    <w:rsid w:val="00506928"/>
    <w:rsid w:val="005077EF"/>
    <w:rsid w:val="00511542"/>
    <w:rsid w:val="00511AD5"/>
    <w:rsid w:val="00511DC7"/>
    <w:rsid w:val="00511F56"/>
    <w:rsid w:val="00512D0E"/>
    <w:rsid w:val="005142C5"/>
    <w:rsid w:val="00514374"/>
    <w:rsid w:val="00514387"/>
    <w:rsid w:val="0051501B"/>
    <w:rsid w:val="005152B5"/>
    <w:rsid w:val="00515886"/>
    <w:rsid w:val="00520007"/>
    <w:rsid w:val="0052123C"/>
    <w:rsid w:val="00521319"/>
    <w:rsid w:val="005218FC"/>
    <w:rsid w:val="00521DB8"/>
    <w:rsid w:val="00522BC8"/>
    <w:rsid w:val="00523C28"/>
    <w:rsid w:val="0052431B"/>
    <w:rsid w:val="00524A1F"/>
    <w:rsid w:val="00525C09"/>
    <w:rsid w:val="00526F9F"/>
    <w:rsid w:val="005270C6"/>
    <w:rsid w:val="00527919"/>
    <w:rsid w:val="00527BFB"/>
    <w:rsid w:val="0053176B"/>
    <w:rsid w:val="00531FF9"/>
    <w:rsid w:val="00532C20"/>
    <w:rsid w:val="00532E3E"/>
    <w:rsid w:val="00532E90"/>
    <w:rsid w:val="00533941"/>
    <w:rsid w:val="005341B3"/>
    <w:rsid w:val="005343DB"/>
    <w:rsid w:val="00535F2A"/>
    <w:rsid w:val="00536F42"/>
    <w:rsid w:val="00537182"/>
    <w:rsid w:val="00540346"/>
    <w:rsid w:val="00541EDD"/>
    <w:rsid w:val="00542743"/>
    <w:rsid w:val="00542C2D"/>
    <w:rsid w:val="0054392E"/>
    <w:rsid w:val="00543A08"/>
    <w:rsid w:val="00543B8C"/>
    <w:rsid w:val="005441CA"/>
    <w:rsid w:val="00545795"/>
    <w:rsid w:val="0054750F"/>
    <w:rsid w:val="005478BD"/>
    <w:rsid w:val="005479E3"/>
    <w:rsid w:val="005504AF"/>
    <w:rsid w:val="00550E20"/>
    <w:rsid w:val="00551317"/>
    <w:rsid w:val="00551985"/>
    <w:rsid w:val="00552BD3"/>
    <w:rsid w:val="00552E86"/>
    <w:rsid w:val="005532A0"/>
    <w:rsid w:val="00555109"/>
    <w:rsid w:val="005553E2"/>
    <w:rsid w:val="005557D4"/>
    <w:rsid w:val="005565B5"/>
    <w:rsid w:val="00556B35"/>
    <w:rsid w:val="0055741A"/>
    <w:rsid w:val="005611B7"/>
    <w:rsid w:val="0056136A"/>
    <w:rsid w:val="005618D4"/>
    <w:rsid w:val="00563C2C"/>
    <w:rsid w:val="00564867"/>
    <w:rsid w:val="00564D16"/>
    <w:rsid w:val="00565095"/>
    <w:rsid w:val="00565631"/>
    <w:rsid w:val="00565C79"/>
    <w:rsid w:val="00565DF0"/>
    <w:rsid w:val="0056696F"/>
    <w:rsid w:val="00567F3F"/>
    <w:rsid w:val="00570BB8"/>
    <w:rsid w:val="00572070"/>
    <w:rsid w:val="00572269"/>
    <w:rsid w:val="0057244A"/>
    <w:rsid w:val="005726D1"/>
    <w:rsid w:val="005726F2"/>
    <w:rsid w:val="00572E7F"/>
    <w:rsid w:val="00572F13"/>
    <w:rsid w:val="00572F26"/>
    <w:rsid w:val="005750C5"/>
    <w:rsid w:val="005752DE"/>
    <w:rsid w:val="00575B44"/>
    <w:rsid w:val="00575D60"/>
    <w:rsid w:val="00575D8D"/>
    <w:rsid w:val="00576972"/>
    <w:rsid w:val="00577248"/>
    <w:rsid w:val="00583699"/>
    <w:rsid w:val="00583F24"/>
    <w:rsid w:val="005842E6"/>
    <w:rsid w:val="00584398"/>
    <w:rsid w:val="00584BB1"/>
    <w:rsid w:val="00585CDD"/>
    <w:rsid w:val="005867C8"/>
    <w:rsid w:val="00587058"/>
    <w:rsid w:val="005872B7"/>
    <w:rsid w:val="005879E1"/>
    <w:rsid w:val="00590272"/>
    <w:rsid w:val="00591957"/>
    <w:rsid w:val="00591EA8"/>
    <w:rsid w:val="00595963"/>
    <w:rsid w:val="00595E38"/>
    <w:rsid w:val="00597800"/>
    <w:rsid w:val="00597A4C"/>
    <w:rsid w:val="00597BF9"/>
    <w:rsid w:val="005A0C11"/>
    <w:rsid w:val="005A1000"/>
    <w:rsid w:val="005A2302"/>
    <w:rsid w:val="005A265D"/>
    <w:rsid w:val="005A309A"/>
    <w:rsid w:val="005A373D"/>
    <w:rsid w:val="005A459D"/>
    <w:rsid w:val="005A54A1"/>
    <w:rsid w:val="005A57B8"/>
    <w:rsid w:val="005A5E0A"/>
    <w:rsid w:val="005A7800"/>
    <w:rsid w:val="005B0B58"/>
    <w:rsid w:val="005B0FD1"/>
    <w:rsid w:val="005B16FB"/>
    <w:rsid w:val="005B1A9E"/>
    <w:rsid w:val="005B27F0"/>
    <w:rsid w:val="005B3D88"/>
    <w:rsid w:val="005B401F"/>
    <w:rsid w:val="005B4E53"/>
    <w:rsid w:val="005B5357"/>
    <w:rsid w:val="005B5857"/>
    <w:rsid w:val="005B6E12"/>
    <w:rsid w:val="005B6F15"/>
    <w:rsid w:val="005B7031"/>
    <w:rsid w:val="005B7034"/>
    <w:rsid w:val="005B72B6"/>
    <w:rsid w:val="005B75D8"/>
    <w:rsid w:val="005C0400"/>
    <w:rsid w:val="005C19C4"/>
    <w:rsid w:val="005C1B83"/>
    <w:rsid w:val="005C1ED2"/>
    <w:rsid w:val="005C20C9"/>
    <w:rsid w:val="005C25FF"/>
    <w:rsid w:val="005C2D55"/>
    <w:rsid w:val="005C346B"/>
    <w:rsid w:val="005C50B9"/>
    <w:rsid w:val="005C5ABC"/>
    <w:rsid w:val="005C719F"/>
    <w:rsid w:val="005D044D"/>
    <w:rsid w:val="005D0632"/>
    <w:rsid w:val="005D092E"/>
    <w:rsid w:val="005D0ABD"/>
    <w:rsid w:val="005D18AD"/>
    <w:rsid w:val="005D26B4"/>
    <w:rsid w:val="005D2BFD"/>
    <w:rsid w:val="005D2D2A"/>
    <w:rsid w:val="005D4E75"/>
    <w:rsid w:val="005D5145"/>
    <w:rsid w:val="005D6CBA"/>
    <w:rsid w:val="005E0170"/>
    <w:rsid w:val="005E048E"/>
    <w:rsid w:val="005E09D5"/>
    <w:rsid w:val="005E0F93"/>
    <w:rsid w:val="005E1995"/>
    <w:rsid w:val="005E225E"/>
    <w:rsid w:val="005E255B"/>
    <w:rsid w:val="005E2875"/>
    <w:rsid w:val="005E2D0E"/>
    <w:rsid w:val="005E369A"/>
    <w:rsid w:val="005E431C"/>
    <w:rsid w:val="005E4C30"/>
    <w:rsid w:val="005E4ECC"/>
    <w:rsid w:val="005E6465"/>
    <w:rsid w:val="005E6501"/>
    <w:rsid w:val="005E6CBC"/>
    <w:rsid w:val="005E72FF"/>
    <w:rsid w:val="005E73C0"/>
    <w:rsid w:val="005F07ED"/>
    <w:rsid w:val="005F0821"/>
    <w:rsid w:val="005F125C"/>
    <w:rsid w:val="005F19A0"/>
    <w:rsid w:val="005F2406"/>
    <w:rsid w:val="005F2706"/>
    <w:rsid w:val="005F361B"/>
    <w:rsid w:val="005F43E1"/>
    <w:rsid w:val="005F4412"/>
    <w:rsid w:val="005F5375"/>
    <w:rsid w:val="005F6061"/>
    <w:rsid w:val="005F6286"/>
    <w:rsid w:val="005F6A8F"/>
    <w:rsid w:val="005F6BB7"/>
    <w:rsid w:val="005F6CE4"/>
    <w:rsid w:val="005F7282"/>
    <w:rsid w:val="005F7588"/>
    <w:rsid w:val="00601932"/>
    <w:rsid w:val="006019C1"/>
    <w:rsid w:val="00601E9B"/>
    <w:rsid w:val="00603183"/>
    <w:rsid w:val="00603234"/>
    <w:rsid w:val="00603248"/>
    <w:rsid w:val="00603DB9"/>
    <w:rsid w:val="00604C5C"/>
    <w:rsid w:val="00606B87"/>
    <w:rsid w:val="00606FBA"/>
    <w:rsid w:val="00607669"/>
    <w:rsid w:val="006076F4"/>
    <w:rsid w:val="00607747"/>
    <w:rsid w:val="00607AFD"/>
    <w:rsid w:val="00610407"/>
    <w:rsid w:val="00610CB4"/>
    <w:rsid w:val="00611862"/>
    <w:rsid w:val="00611B12"/>
    <w:rsid w:val="00612867"/>
    <w:rsid w:val="00612DC1"/>
    <w:rsid w:val="00612F97"/>
    <w:rsid w:val="0061345D"/>
    <w:rsid w:val="006134D2"/>
    <w:rsid w:val="00613B8B"/>
    <w:rsid w:val="00614FAD"/>
    <w:rsid w:val="0061549B"/>
    <w:rsid w:val="006165DF"/>
    <w:rsid w:val="006167CF"/>
    <w:rsid w:val="00616802"/>
    <w:rsid w:val="00617AC8"/>
    <w:rsid w:val="00617BFC"/>
    <w:rsid w:val="00617E12"/>
    <w:rsid w:val="0062036F"/>
    <w:rsid w:val="00620C25"/>
    <w:rsid w:val="00621477"/>
    <w:rsid w:val="00621ADA"/>
    <w:rsid w:val="00622442"/>
    <w:rsid w:val="0062255F"/>
    <w:rsid w:val="00622C55"/>
    <w:rsid w:val="00623839"/>
    <w:rsid w:val="00623F7B"/>
    <w:rsid w:val="0062414E"/>
    <w:rsid w:val="006242AE"/>
    <w:rsid w:val="00624744"/>
    <w:rsid w:val="00624BD4"/>
    <w:rsid w:val="006256B4"/>
    <w:rsid w:val="00625863"/>
    <w:rsid w:val="006268EF"/>
    <w:rsid w:val="00626D72"/>
    <w:rsid w:val="0062779D"/>
    <w:rsid w:val="006279F4"/>
    <w:rsid w:val="00630ED8"/>
    <w:rsid w:val="006310AC"/>
    <w:rsid w:val="0063158F"/>
    <w:rsid w:val="00631AC9"/>
    <w:rsid w:val="00631D6B"/>
    <w:rsid w:val="00632183"/>
    <w:rsid w:val="0063292C"/>
    <w:rsid w:val="006330A1"/>
    <w:rsid w:val="006339DE"/>
    <w:rsid w:val="00634786"/>
    <w:rsid w:val="0063479F"/>
    <w:rsid w:val="00634ADA"/>
    <w:rsid w:val="006352CD"/>
    <w:rsid w:val="006353F0"/>
    <w:rsid w:val="006357B5"/>
    <w:rsid w:val="006364A1"/>
    <w:rsid w:val="00636710"/>
    <w:rsid w:val="0063678E"/>
    <w:rsid w:val="00636BCB"/>
    <w:rsid w:val="0063762E"/>
    <w:rsid w:val="00637A00"/>
    <w:rsid w:val="00637BD3"/>
    <w:rsid w:val="00637BFD"/>
    <w:rsid w:val="00637C5C"/>
    <w:rsid w:val="006408C7"/>
    <w:rsid w:val="006412A5"/>
    <w:rsid w:val="00641C4E"/>
    <w:rsid w:val="00641FB3"/>
    <w:rsid w:val="00642008"/>
    <w:rsid w:val="00642BBF"/>
    <w:rsid w:val="0064331C"/>
    <w:rsid w:val="00643D07"/>
    <w:rsid w:val="0064434C"/>
    <w:rsid w:val="006446DC"/>
    <w:rsid w:val="00645129"/>
    <w:rsid w:val="00645BA8"/>
    <w:rsid w:val="00646C78"/>
    <w:rsid w:val="006471CC"/>
    <w:rsid w:val="006472FE"/>
    <w:rsid w:val="00647A29"/>
    <w:rsid w:val="00650583"/>
    <w:rsid w:val="0065079F"/>
    <w:rsid w:val="00652119"/>
    <w:rsid w:val="00652719"/>
    <w:rsid w:val="00652A28"/>
    <w:rsid w:val="00652B5F"/>
    <w:rsid w:val="00653426"/>
    <w:rsid w:val="0065379F"/>
    <w:rsid w:val="00656188"/>
    <w:rsid w:val="0065622B"/>
    <w:rsid w:val="0065715A"/>
    <w:rsid w:val="006610F1"/>
    <w:rsid w:val="00661C6B"/>
    <w:rsid w:val="00662D33"/>
    <w:rsid w:val="00662D3E"/>
    <w:rsid w:val="00662E42"/>
    <w:rsid w:val="00663723"/>
    <w:rsid w:val="006639A8"/>
    <w:rsid w:val="00666DFA"/>
    <w:rsid w:val="0066707D"/>
    <w:rsid w:val="00667BE3"/>
    <w:rsid w:val="006705E8"/>
    <w:rsid w:val="00670CF0"/>
    <w:rsid w:val="00671004"/>
    <w:rsid w:val="0067112E"/>
    <w:rsid w:val="0067130B"/>
    <w:rsid w:val="006717CA"/>
    <w:rsid w:val="006720BD"/>
    <w:rsid w:val="00672620"/>
    <w:rsid w:val="00672646"/>
    <w:rsid w:val="0067311F"/>
    <w:rsid w:val="00674A09"/>
    <w:rsid w:val="00674E42"/>
    <w:rsid w:val="006753DC"/>
    <w:rsid w:val="00676397"/>
    <w:rsid w:val="00676563"/>
    <w:rsid w:val="00677717"/>
    <w:rsid w:val="006808DD"/>
    <w:rsid w:val="006813F8"/>
    <w:rsid w:val="00681EEB"/>
    <w:rsid w:val="00682112"/>
    <w:rsid w:val="006826D7"/>
    <w:rsid w:val="00682BA6"/>
    <w:rsid w:val="00682F5E"/>
    <w:rsid w:val="00682FFA"/>
    <w:rsid w:val="0068336B"/>
    <w:rsid w:val="0068347A"/>
    <w:rsid w:val="00683BC6"/>
    <w:rsid w:val="0068459C"/>
    <w:rsid w:val="006852C5"/>
    <w:rsid w:val="0068679E"/>
    <w:rsid w:val="00686957"/>
    <w:rsid w:val="006872BA"/>
    <w:rsid w:val="0068777B"/>
    <w:rsid w:val="006879A7"/>
    <w:rsid w:val="00690795"/>
    <w:rsid w:val="00691487"/>
    <w:rsid w:val="00691648"/>
    <w:rsid w:val="006917D7"/>
    <w:rsid w:val="00692053"/>
    <w:rsid w:val="00692C74"/>
    <w:rsid w:val="0069319E"/>
    <w:rsid w:val="00693BB3"/>
    <w:rsid w:val="00693E95"/>
    <w:rsid w:val="0069434C"/>
    <w:rsid w:val="0069482F"/>
    <w:rsid w:val="00694F44"/>
    <w:rsid w:val="006960A5"/>
    <w:rsid w:val="0069632C"/>
    <w:rsid w:val="00696BF9"/>
    <w:rsid w:val="00696EF9"/>
    <w:rsid w:val="00696F51"/>
    <w:rsid w:val="00697079"/>
    <w:rsid w:val="006979A5"/>
    <w:rsid w:val="00697EEF"/>
    <w:rsid w:val="006A016F"/>
    <w:rsid w:val="006A06C5"/>
    <w:rsid w:val="006A0DF7"/>
    <w:rsid w:val="006A1761"/>
    <w:rsid w:val="006A2576"/>
    <w:rsid w:val="006A3522"/>
    <w:rsid w:val="006A3799"/>
    <w:rsid w:val="006A4321"/>
    <w:rsid w:val="006A43D9"/>
    <w:rsid w:val="006A530D"/>
    <w:rsid w:val="006A5992"/>
    <w:rsid w:val="006A6000"/>
    <w:rsid w:val="006A6A67"/>
    <w:rsid w:val="006A6B99"/>
    <w:rsid w:val="006A6E29"/>
    <w:rsid w:val="006A7E5F"/>
    <w:rsid w:val="006B0C9E"/>
    <w:rsid w:val="006B1474"/>
    <w:rsid w:val="006B261B"/>
    <w:rsid w:val="006B2C90"/>
    <w:rsid w:val="006B35E6"/>
    <w:rsid w:val="006B465A"/>
    <w:rsid w:val="006B4F02"/>
    <w:rsid w:val="006B510F"/>
    <w:rsid w:val="006B5AE8"/>
    <w:rsid w:val="006B5EB6"/>
    <w:rsid w:val="006B6AE1"/>
    <w:rsid w:val="006B6DD0"/>
    <w:rsid w:val="006C0399"/>
    <w:rsid w:val="006C16F3"/>
    <w:rsid w:val="006C2A8E"/>
    <w:rsid w:val="006C2F50"/>
    <w:rsid w:val="006C3255"/>
    <w:rsid w:val="006C3BB5"/>
    <w:rsid w:val="006C3F26"/>
    <w:rsid w:val="006C5525"/>
    <w:rsid w:val="006C5E88"/>
    <w:rsid w:val="006C717A"/>
    <w:rsid w:val="006D0D17"/>
    <w:rsid w:val="006D0DB4"/>
    <w:rsid w:val="006D101D"/>
    <w:rsid w:val="006D1E06"/>
    <w:rsid w:val="006D3C7D"/>
    <w:rsid w:val="006D3E57"/>
    <w:rsid w:val="006D4643"/>
    <w:rsid w:val="006D4659"/>
    <w:rsid w:val="006D5345"/>
    <w:rsid w:val="006D5D5F"/>
    <w:rsid w:val="006D68FB"/>
    <w:rsid w:val="006D6F1D"/>
    <w:rsid w:val="006E0BE6"/>
    <w:rsid w:val="006E2868"/>
    <w:rsid w:val="006E42B4"/>
    <w:rsid w:val="006F081D"/>
    <w:rsid w:val="006F0884"/>
    <w:rsid w:val="006F08DC"/>
    <w:rsid w:val="006F1C27"/>
    <w:rsid w:val="006F1FCC"/>
    <w:rsid w:val="006F306C"/>
    <w:rsid w:val="006F63A5"/>
    <w:rsid w:val="006F734B"/>
    <w:rsid w:val="006F75BD"/>
    <w:rsid w:val="00700187"/>
    <w:rsid w:val="0070072E"/>
    <w:rsid w:val="007010AE"/>
    <w:rsid w:val="0070142B"/>
    <w:rsid w:val="00702084"/>
    <w:rsid w:val="0070276E"/>
    <w:rsid w:val="00702F8F"/>
    <w:rsid w:val="0070317E"/>
    <w:rsid w:val="007040E9"/>
    <w:rsid w:val="007049D7"/>
    <w:rsid w:val="00705C76"/>
    <w:rsid w:val="007068EB"/>
    <w:rsid w:val="00706B54"/>
    <w:rsid w:val="00706D49"/>
    <w:rsid w:val="007079FC"/>
    <w:rsid w:val="00711102"/>
    <w:rsid w:val="0071131A"/>
    <w:rsid w:val="00711A36"/>
    <w:rsid w:val="00711FFF"/>
    <w:rsid w:val="0071209A"/>
    <w:rsid w:val="007125D3"/>
    <w:rsid w:val="007129A5"/>
    <w:rsid w:val="00713094"/>
    <w:rsid w:val="00713BCC"/>
    <w:rsid w:val="007147E1"/>
    <w:rsid w:val="00714C26"/>
    <w:rsid w:val="0071529C"/>
    <w:rsid w:val="00715444"/>
    <w:rsid w:val="00715BA6"/>
    <w:rsid w:val="00716312"/>
    <w:rsid w:val="007170DA"/>
    <w:rsid w:val="007172AD"/>
    <w:rsid w:val="00717546"/>
    <w:rsid w:val="00717908"/>
    <w:rsid w:val="00717B72"/>
    <w:rsid w:val="00720801"/>
    <w:rsid w:val="00720B42"/>
    <w:rsid w:val="007213B0"/>
    <w:rsid w:val="00721581"/>
    <w:rsid w:val="00721EA3"/>
    <w:rsid w:val="00722B1B"/>
    <w:rsid w:val="00722B60"/>
    <w:rsid w:val="00722CC2"/>
    <w:rsid w:val="007236F5"/>
    <w:rsid w:val="00723DB2"/>
    <w:rsid w:val="0072416F"/>
    <w:rsid w:val="00724A5F"/>
    <w:rsid w:val="00724E8D"/>
    <w:rsid w:val="00725E01"/>
    <w:rsid w:val="00726409"/>
    <w:rsid w:val="0072794E"/>
    <w:rsid w:val="00727954"/>
    <w:rsid w:val="00727C94"/>
    <w:rsid w:val="00730665"/>
    <w:rsid w:val="00730859"/>
    <w:rsid w:val="00730A08"/>
    <w:rsid w:val="00730FD0"/>
    <w:rsid w:val="00731766"/>
    <w:rsid w:val="00731B0A"/>
    <w:rsid w:val="00731EAE"/>
    <w:rsid w:val="007326AD"/>
    <w:rsid w:val="00732C07"/>
    <w:rsid w:val="00733073"/>
    <w:rsid w:val="00733661"/>
    <w:rsid w:val="00733DD1"/>
    <w:rsid w:val="00733E2D"/>
    <w:rsid w:val="00734885"/>
    <w:rsid w:val="00735033"/>
    <w:rsid w:val="00735216"/>
    <w:rsid w:val="00735328"/>
    <w:rsid w:val="007355FF"/>
    <w:rsid w:val="007361B4"/>
    <w:rsid w:val="00736854"/>
    <w:rsid w:val="0073685B"/>
    <w:rsid w:val="00736A13"/>
    <w:rsid w:val="007373E4"/>
    <w:rsid w:val="00737C82"/>
    <w:rsid w:val="007402B1"/>
    <w:rsid w:val="00740DE3"/>
    <w:rsid w:val="0074170C"/>
    <w:rsid w:val="0074171C"/>
    <w:rsid w:val="00743344"/>
    <w:rsid w:val="0074390E"/>
    <w:rsid w:val="00743BCB"/>
    <w:rsid w:val="007440E1"/>
    <w:rsid w:val="0074472E"/>
    <w:rsid w:val="007448DD"/>
    <w:rsid w:val="007449BF"/>
    <w:rsid w:val="00744E23"/>
    <w:rsid w:val="007450BC"/>
    <w:rsid w:val="007460F0"/>
    <w:rsid w:val="007463FE"/>
    <w:rsid w:val="00746BC0"/>
    <w:rsid w:val="00746FB6"/>
    <w:rsid w:val="00747316"/>
    <w:rsid w:val="00747834"/>
    <w:rsid w:val="00750A9B"/>
    <w:rsid w:val="007510A0"/>
    <w:rsid w:val="007510B4"/>
    <w:rsid w:val="007511A2"/>
    <w:rsid w:val="007513CF"/>
    <w:rsid w:val="00751D5D"/>
    <w:rsid w:val="00752142"/>
    <w:rsid w:val="00752367"/>
    <w:rsid w:val="007523F9"/>
    <w:rsid w:val="0075340D"/>
    <w:rsid w:val="0075357E"/>
    <w:rsid w:val="00753A4B"/>
    <w:rsid w:val="00753B29"/>
    <w:rsid w:val="0075480B"/>
    <w:rsid w:val="00754C7C"/>
    <w:rsid w:val="007573E8"/>
    <w:rsid w:val="00757898"/>
    <w:rsid w:val="00760028"/>
    <w:rsid w:val="00760B2A"/>
    <w:rsid w:val="00760C4E"/>
    <w:rsid w:val="00760F9E"/>
    <w:rsid w:val="007616E6"/>
    <w:rsid w:val="00762680"/>
    <w:rsid w:val="007627BE"/>
    <w:rsid w:val="00762A38"/>
    <w:rsid w:val="007632BF"/>
    <w:rsid w:val="00763783"/>
    <w:rsid w:val="00764F03"/>
    <w:rsid w:val="00764F24"/>
    <w:rsid w:val="00765B1A"/>
    <w:rsid w:val="00765DC1"/>
    <w:rsid w:val="0076607A"/>
    <w:rsid w:val="007672BE"/>
    <w:rsid w:val="007703F0"/>
    <w:rsid w:val="0077047D"/>
    <w:rsid w:val="007718DC"/>
    <w:rsid w:val="00772AF7"/>
    <w:rsid w:val="00773FAB"/>
    <w:rsid w:val="00774DE1"/>
    <w:rsid w:val="0077591E"/>
    <w:rsid w:val="0077680F"/>
    <w:rsid w:val="00777335"/>
    <w:rsid w:val="00781B29"/>
    <w:rsid w:val="0078263F"/>
    <w:rsid w:val="00783120"/>
    <w:rsid w:val="00783906"/>
    <w:rsid w:val="007842CC"/>
    <w:rsid w:val="0078431F"/>
    <w:rsid w:val="007843F2"/>
    <w:rsid w:val="007846FA"/>
    <w:rsid w:val="00784BBC"/>
    <w:rsid w:val="007859CF"/>
    <w:rsid w:val="00785A9F"/>
    <w:rsid w:val="007877B9"/>
    <w:rsid w:val="00787E20"/>
    <w:rsid w:val="00791C2A"/>
    <w:rsid w:val="00791CA2"/>
    <w:rsid w:val="00792454"/>
    <w:rsid w:val="007925DF"/>
    <w:rsid w:val="00793134"/>
    <w:rsid w:val="0079392B"/>
    <w:rsid w:val="007939E5"/>
    <w:rsid w:val="00794175"/>
    <w:rsid w:val="007944BA"/>
    <w:rsid w:val="00794630"/>
    <w:rsid w:val="007949A0"/>
    <w:rsid w:val="0079607F"/>
    <w:rsid w:val="00796B74"/>
    <w:rsid w:val="007A058D"/>
    <w:rsid w:val="007A08AA"/>
    <w:rsid w:val="007A0A12"/>
    <w:rsid w:val="007A132D"/>
    <w:rsid w:val="007A1345"/>
    <w:rsid w:val="007A1CDA"/>
    <w:rsid w:val="007A2DDB"/>
    <w:rsid w:val="007A337C"/>
    <w:rsid w:val="007A3915"/>
    <w:rsid w:val="007A3C72"/>
    <w:rsid w:val="007A489A"/>
    <w:rsid w:val="007A51F8"/>
    <w:rsid w:val="007A62C1"/>
    <w:rsid w:val="007A6435"/>
    <w:rsid w:val="007A69CB"/>
    <w:rsid w:val="007A70BA"/>
    <w:rsid w:val="007B0AD7"/>
    <w:rsid w:val="007B0D68"/>
    <w:rsid w:val="007B1118"/>
    <w:rsid w:val="007B2017"/>
    <w:rsid w:val="007B251D"/>
    <w:rsid w:val="007B2E9E"/>
    <w:rsid w:val="007B2F0D"/>
    <w:rsid w:val="007B3533"/>
    <w:rsid w:val="007B3F24"/>
    <w:rsid w:val="007B4756"/>
    <w:rsid w:val="007B4F58"/>
    <w:rsid w:val="007B528D"/>
    <w:rsid w:val="007B63CA"/>
    <w:rsid w:val="007B652D"/>
    <w:rsid w:val="007B77D1"/>
    <w:rsid w:val="007B7CFE"/>
    <w:rsid w:val="007C07C7"/>
    <w:rsid w:val="007C1CD9"/>
    <w:rsid w:val="007C2B92"/>
    <w:rsid w:val="007C32EF"/>
    <w:rsid w:val="007C361D"/>
    <w:rsid w:val="007C38E8"/>
    <w:rsid w:val="007C3E04"/>
    <w:rsid w:val="007C4B84"/>
    <w:rsid w:val="007C70FF"/>
    <w:rsid w:val="007C74DF"/>
    <w:rsid w:val="007C7C25"/>
    <w:rsid w:val="007D004F"/>
    <w:rsid w:val="007D035F"/>
    <w:rsid w:val="007D06B2"/>
    <w:rsid w:val="007D0B38"/>
    <w:rsid w:val="007D126C"/>
    <w:rsid w:val="007D16FD"/>
    <w:rsid w:val="007D1E15"/>
    <w:rsid w:val="007D2C0F"/>
    <w:rsid w:val="007D37F3"/>
    <w:rsid w:val="007D3B84"/>
    <w:rsid w:val="007D4DF2"/>
    <w:rsid w:val="007D5440"/>
    <w:rsid w:val="007D6099"/>
    <w:rsid w:val="007D69EB"/>
    <w:rsid w:val="007D70C9"/>
    <w:rsid w:val="007D7F09"/>
    <w:rsid w:val="007E043C"/>
    <w:rsid w:val="007E0711"/>
    <w:rsid w:val="007E128F"/>
    <w:rsid w:val="007E2EBC"/>
    <w:rsid w:val="007E3937"/>
    <w:rsid w:val="007E3BF3"/>
    <w:rsid w:val="007E3FB5"/>
    <w:rsid w:val="007E4AD0"/>
    <w:rsid w:val="007E4E87"/>
    <w:rsid w:val="007E53A2"/>
    <w:rsid w:val="007E5838"/>
    <w:rsid w:val="007E7717"/>
    <w:rsid w:val="007E78AF"/>
    <w:rsid w:val="007F03D9"/>
    <w:rsid w:val="007F06D7"/>
    <w:rsid w:val="007F1017"/>
    <w:rsid w:val="007F1058"/>
    <w:rsid w:val="007F1373"/>
    <w:rsid w:val="007F2002"/>
    <w:rsid w:val="007F3E90"/>
    <w:rsid w:val="007F4A3F"/>
    <w:rsid w:val="007F4A61"/>
    <w:rsid w:val="007F4D30"/>
    <w:rsid w:val="007F5255"/>
    <w:rsid w:val="007F56CC"/>
    <w:rsid w:val="007F61C2"/>
    <w:rsid w:val="007F7DBA"/>
    <w:rsid w:val="008000D8"/>
    <w:rsid w:val="008009AA"/>
    <w:rsid w:val="00801AC0"/>
    <w:rsid w:val="00801BC5"/>
    <w:rsid w:val="00802989"/>
    <w:rsid w:val="00802D0C"/>
    <w:rsid w:val="00804A75"/>
    <w:rsid w:val="00805142"/>
    <w:rsid w:val="00805514"/>
    <w:rsid w:val="00805FCE"/>
    <w:rsid w:val="00807A8B"/>
    <w:rsid w:val="00810694"/>
    <w:rsid w:val="00810F0A"/>
    <w:rsid w:val="00811383"/>
    <w:rsid w:val="00812149"/>
    <w:rsid w:val="00812CAC"/>
    <w:rsid w:val="0081355E"/>
    <w:rsid w:val="00814339"/>
    <w:rsid w:val="00814629"/>
    <w:rsid w:val="0081479C"/>
    <w:rsid w:val="008147CB"/>
    <w:rsid w:val="00814873"/>
    <w:rsid w:val="0081563B"/>
    <w:rsid w:val="00815D46"/>
    <w:rsid w:val="00816361"/>
    <w:rsid w:val="008166EF"/>
    <w:rsid w:val="00816CD3"/>
    <w:rsid w:val="00816FEF"/>
    <w:rsid w:val="008171ED"/>
    <w:rsid w:val="00817722"/>
    <w:rsid w:val="0082091F"/>
    <w:rsid w:val="00820A8C"/>
    <w:rsid w:val="008215FB"/>
    <w:rsid w:val="008220CC"/>
    <w:rsid w:val="00822272"/>
    <w:rsid w:val="00823174"/>
    <w:rsid w:val="00823506"/>
    <w:rsid w:val="0082528B"/>
    <w:rsid w:val="00825352"/>
    <w:rsid w:val="00825751"/>
    <w:rsid w:val="008260E3"/>
    <w:rsid w:val="008264EB"/>
    <w:rsid w:val="0082682E"/>
    <w:rsid w:val="008268CE"/>
    <w:rsid w:val="00826A42"/>
    <w:rsid w:val="00827B8F"/>
    <w:rsid w:val="00827C23"/>
    <w:rsid w:val="00833B05"/>
    <w:rsid w:val="0083401A"/>
    <w:rsid w:val="00834D00"/>
    <w:rsid w:val="00834D85"/>
    <w:rsid w:val="00835AEE"/>
    <w:rsid w:val="00835D9A"/>
    <w:rsid w:val="0083627C"/>
    <w:rsid w:val="008362B4"/>
    <w:rsid w:val="00836739"/>
    <w:rsid w:val="00837448"/>
    <w:rsid w:val="00837546"/>
    <w:rsid w:val="008376CB"/>
    <w:rsid w:val="00840557"/>
    <w:rsid w:val="00840A6C"/>
    <w:rsid w:val="00840CA2"/>
    <w:rsid w:val="008417B9"/>
    <w:rsid w:val="00841B74"/>
    <w:rsid w:val="008426A5"/>
    <w:rsid w:val="00843352"/>
    <w:rsid w:val="0084374F"/>
    <w:rsid w:val="008444DB"/>
    <w:rsid w:val="00844A22"/>
    <w:rsid w:val="008459E7"/>
    <w:rsid w:val="00847703"/>
    <w:rsid w:val="00847DF5"/>
    <w:rsid w:val="0085128C"/>
    <w:rsid w:val="0085264D"/>
    <w:rsid w:val="008526B2"/>
    <w:rsid w:val="008527DA"/>
    <w:rsid w:val="00852D9D"/>
    <w:rsid w:val="0085309D"/>
    <w:rsid w:val="0085553D"/>
    <w:rsid w:val="008559FC"/>
    <w:rsid w:val="00856897"/>
    <w:rsid w:val="00856E9A"/>
    <w:rsid w:val="008570B3"/>
    <w:rsid w:val="00857351"/>
    <w:rsid w:val="0086075D"/>
    <w:rsid w:val="008610DB"/>
    <w:rsid w:val="008623DB"/>
    <w:rsid w:val="00862502"/>
    <w:rsid w:val="00862CC1"/>
    <w:rsid w:val="008642A7"/>
    <w:rsid w:val="008648AA"/>
    <w:rsid w:val="00865467"/>
    <w:rsid w:val="0086568B"/>
    <w:rsid w:val="00865AFB"/>
    <w:rsid w:val="008660D4"/>
    <w:rsid w:val="00866165"/>
    <w:rsid w:val="0086793B"/>
    <w:rsid w:val="0087100D"/>
    <w:rsid w:val="008717A6"/>
    <w:rsid w:val="00871FA9"/>
    <w:rsid w:val="00872805"/>
    <w:rsid w:val="008728E9"/>
    <w:rsid w:val="0087337D"/>
    <w:rsid w:val="00873F9F"/>
    <w:rsid w:val="00874F5A"/>
    <w:rsid w:val="008750BF"/>
    <w:rsid w:val="008754AC"/>
    <w:rsid w:val="008766CE"/>
    <w:rsid w:val="00880C3A"/>
    <w:rsid w:val="00882874"/>
    <w:rsid w:val="00882E3C"/>
    <w:rsid w:val="0088308A"/>
    <w:rsid w:val="008830FB"/>
    <w:rsid w:val="00883787"/>
    <w:rsid w:val="00883CB7"/>
    <w:rsid w:val="00883F3B"/>
    <w:rsid w:val="008855E4"/>
    <w:rsid w:val="00885A2E"/>
    <w:rsid w:val="008863C4"/>
    <w:rsid w:val="00886453"/>
    <w:rsid w:val="00886855"/>
    <w:rsid w:val="00886C2A"/>
    <w:rsid w:val="00886CD2"/>
    <w:rsid w:val="008871FF"/>
    <w:rsid w:val="00887733"/>
    <w:rsid w:val="00887890"/>
    <w:rsid w:val="00887B76"/>
    <w:rsid w:val="00891156"/>
    <w:rsid w:val="00891E6F"/>
    <w:rsid w:val="008920D7"/>
    <w:rsid w:val="0089275D"/>
    <w:rsid w:val="00892A36"/>
    <w:rsid w:val="00892AE3"/>
    <w:rsid w:val="00892D2B"/>
    <w:rsid w:val="00893239"/>
    <w:rsid w:val="00894489"/>
    <w:rsid w:val="00894CD6"/>
    <w:rsid w:val="00894E87"/>
    <w:rsid w:val="008952B6"/>
    <w:rsid w:val="00896340"/>
    <w:rsid w:val="008963A5"/>
    <w:rsid w:val="00896800"/>
    <w:rsid w:val="00896D5D"/>
    <w:rsid w:val="008A0882"/>
    <w:rsid w:val="008A124D"/>
    <w:rsid w:val="008A27BC"/>
    <w:rsid w:val="008A3158"/>
    <w:rsid w:val="008A3363"/>
    <w:rsid w:val="008A3371"/>
    <w:rsid w:val="008A347C"/>
    <w:rsid w:val="008A3C3E"/>
    <w:rsid w:val="008A4D42"/>
    <w:rsid w:val="008A5B11"/>
    <w:rsid w:val="008A772E"/>
    <w:rsid w:val="008A7775"/>
    <w:rsid w:val="008A79DE"/>
    <w:rsid w:val="008B0338"/>
    <w:rsid w:val="008B0C88"/>
    <w:rsid w:val="008B0FDC"/>
    <w:rsid w:val="008B1757"/>
    <w:rsid w:val="008B1C33"/>
    <w:rsid w:val="008B2C6E"/>
    <w:rsid w:val="008B37BB"/>
    <w:rsid w:val="008B46B0"/>
    <w:rsid w:val="008B4B6F"/>
    <w:rsid w:val="008B4F7B"/>
    <w:rsid w:val="008B6116"/>
    <w:rsid w:val="008B7765"/>
    <w:rsid w:val="008B78D2"/>
    <w:rsid w:val="008B7992"/>
    <w:rsid w:val="008B7BA7"/>
    <w:rsid w:val="008B7D7E"/>
    <w:rsid w:val="008C001C"/>
    <w:rsid w:val="008C01A6"/>
    <w:rsid w:val="008C1075"/>
    <w:rsid w:val="008C5019"/>
    <w:rsid w:val="008C5610"/>
    <w:rsid w:val="008C5739"/>
    <w:rsid w:val="008C5D56"/>
    <w:rsid w:val="008C6458"/>
    <w:rsid w:val="008C6690"/>
    <w:rsid w:val="008C7282"/>
    <w:rsid w:val="008C7538"/>
    <w:rsid w:val="008C7A90"/>
    <w:rsid w:val="008C7C5D"/>
    <w:rsid w:val="008C7ECB"/>
    <w:rsid w:val="008D0173"/>
    <w:rsid w:val="008D0557"/>
    <w:rsid w:val="008D0CD5"/>
    <w:rsid w:val="008D10FE"/>
    <w:rsid w:val="008D1B30"/>
    <w:rsid w:val="008D242C"/>
    <w:rsid w:val="008D2FA6"/>
    <w:rsid w:val="008D30E1"/>
    <w:rsid w:val="008D3B86"/>
    <w:rsid w:val="008D3F1E"/>
    <w:rsid w:val="008D43D7"/>
    <w:rsid w:val="008D43FD"/>
    <w:rsid w:val="008D4755"/>
    <w:rsid w:val="008D481E"/>
    <w:rsid w:val="008D4C3D"/>
    <w:rsid w:val="008D6141"/>
    <w:rsid w:val="008D743C"/>
    <w:rsid w:val="008E0079"/>
    <w:rsid w:val="008E0D3C"/>
    <w:rsid w:val="008E18B4"/>
    <w:rsid w:val="008E1B9E"/>
    <w:rsid w:val="008E1DA8"/>
    <w:rsid w:val="008E2F2C"/>
    <w:rsid w:val="008E55AB"/>
    <w:rsid w:val="008E589B"/>
    <w:rsid w:val="008E5E3B"/>
    <w:rsid w:val="008E678F"/>
    <w:rsid w:val="008E6F56"/>
    <w:rsid w:val="008F120A"/>
    <w:rsid w:val="008F1B18"/>
    <w:rsid w:val="008F22F6"/>
    <w:rsid w:val="008F27E0"/>
    <w:rsid w:val="008F2D0F"/>
    <w:rsid w:val="008F2FB1"/>
    <w:rsid w:val="008F392E"/>
    <w:rsid w:val="008F476B"/>
    <w:rsid w:val="008F48EB"/>
    <w:rsid w:val="008F4F0B"/>
    <w:rsid w:val="008F65B0"/>
    <w:rsid w:val="008F6A94"/>
    <w:rsid w:val="00902E18"/>
    <w:rsid w:val="009032DE"/>
    <w:rsid w:val="009036DB"/>
    <w:rsid w:val="009046C4"/>
    <w:rsid w:val="00905AAC"/>
    <w:rsid w:val="009062A5"/>
    <w:rsid w:val="0090744D"/>
    <w:rsid w:val="00907699"/>
    <w:rsid w:val="009106BF"/>
    <w:rsid w:val="00910CFD"/>
    <w:rsid w:val="00910FA7"/>
    <w:rsid w:val="00911272"/>
    <w:rsid w:val="00911339"/>
    <w:rsid w:val="009128A3"/>
    <w:rsid w:val="00912EB9"/>
    <w:rsid w:val="009134AF"/>
    <w:rsid w:val="009135D6"/>
    <w:rsid w:val="00913890"/>
    <w:rsid w:val="0091470C"/>
    <w:rsid w:val="00914C77"/>
    <w:rsid w:val="00914D75"/>
    <w:rsid w:val="0091544C"/>
    <w:rsid w:val="00916729"/>
    <w:rsid w:val="00917681"/>
    <w:rsid w:val="00917BAE"/>
    <w:rsid w:val="00920372"/>
    <w:rsid w:val="00921ACB"/>
    <w:rsid w:val="00921C40"/>
    <w:rsid w:val="0092369B"/>
    <w:rsid w:val="0092433F"/>
    <w:rsid w:val="00924A39"/>
    <w:rsid w:val="00924F1E"/>
    <w:rsid w:val="00926896"/>
    <w:rsid w:val="0092697A"/>
    <w:rsid w:val="00930167"/>
    <w:rsid w:val="00930A38"/>
    <w:rsid w:val="00930A4A"/>
    <w:rsid w:val="00930CC1"/>
    <w:rsid w:val="00930CEE"/>
    <w:rsid w:val="00931657"/>
    <w:rsid w:val="00931C3A"/>
    <w:rsid w:val="009324EC"/>
    <w:rsid w:val="009325D4"/>
    <w:rsid w:val="0093274A"/>
    <w:rsid w:val="00933503"/>
    <w:rsid w:val="00934988"/>
    <w:rsid w:val="00934AB0"/>
    <w:rsid w:val="0093578F"/>
    <w:rsid w:val="00937089"/>
    <w:rsid w:val="00937D59"/>
    <w:rsid w:val="009402F1"/>
    <w:rsid w:val="009407FC"/>
    <w:rsid w:val="00941861"/>
    <w:rsid w:val="00942237"/>
    <w:rsid w:val="00944A36"/>
    <w:rsid w:val="00944F8A"/>
    <w:rsid w:val="00944FD5"/>
    <w:rsid w:val="00945C3C"/>
    <w:rsid w:val="00945EF5"/>
    <w:rsid w:val="009510A2"/>
    <w:rsid w:val="00951A9A"/>
    <w:rsid w:val="00952238"/>
    <w:rsid w:val="00952A27"/>
    <w:rsid w:val="00953257"/>
    <w:rsid w:val="00953DF1"/>
    <w:rsid w:val="0095474C"/>
    <w:rsid w:val="00954944"/>
    <w:rsid w:val="009549FE"/>
    <w:rsid w:val="00954CCB"/>
    <w:rsid w:val="00954D32"/>
    <w:rsid w:val="00957838"/>
    <w:rsid w:val="00957D92"/>
    <w:rsid w:val="00960105"/>
    <w:rsid w:val="00960810"/>
    <w:rsid w:val="00960ABF"/>
    <w:rsid w:val="009619A2"/>
    <w:rsid w:val="00961DE7"/>
    <w:rsid w:val="00962407"/>
    <w:rsid w:val="00962CB9"/>
    <w:rsid w:val="00963A15"/>
    <w:rsid w:val="00963B93"/>
    <w:rsid w:val="00963BBC"/>
    <w:rsid w:val="00964312"/>
    <w:rsid w:val="00964BDE"/>
    <w:rsid w:val="00965B8A"/>
    <w:rsid w:val="009664FA"/>
    <w:rsid w:val="00967775"/>
    <w:rsid w:val="00967FC7"/>
    <w:rsid w:val="0097071F"/>
    <w:rsid w:val="009709A4"/>
    <w:rsid w:val="00970C83"/>
    <w:rsid w:val="00971596"/>
    <w:rsid w:val="009717AC"/>
    <w:rsid w:val="00973477"/>
    <w:rsid w:val="00973F39"/>
    <w:rsid w:val="009751C1"/>
    <w:rsid w:val="0097690A"/>
    <w:rsid w:val="00977398"/>
    <w:rsid w:val="009800C5"/>
    <w:rsid w:val="009806FB"/>
    <w:rsid w:val="009811F1"/>
    <w:rsid w:val="0098143A"/>
    <w:rsid w:val="00983847"/>
    <w:rsid w:val="00983E57"/>
    <w:rsid w:val="0098579B"/>
    <w:rsid w:val="00985DE2"/>
    <w:rsid w:val="00985E9E"/>
    <w:rsid w:val="009860D3"/>
    <w:rsid w:val="00986323"/>
    <w:rsid w:val="0098656E"/>
    <w:rsid w:val="00986757"/>
    <w:rsid w:val="0098675D"/>
    <w:rsid w:val="00986C4E"/>
    <w:rsid w:val="00986C67"/>
    <w:rsid w:val="00986D16"/>
    <w:rsid w:val="00987020"/>
    <w:rsid w:val="00987BA4"/>
    <w:rsid w:val="00990A2C"/>
    <w:rsid w:val="00991A2A"/>
    <w:rsid w:val="009926E0"/>
    <w:rsid w:val="0099451E"/>
    <w:rsid w:val="00994F36"/>
    <w:rsid w:val="00995754"/>
    <w:rsid w:val="0099576B"/>
    <w:rsid w:val="009968F5"/>
    <w:rsid w:val="00996A5E"/>
    <w:rsid w:val="00996B1A"/>
    <w:rsid w:val="009A027F"/>
    <w:rsid w:val="009A14D8"/>
    <w:rsid w:val="009A18F6"/>
    <w:rsid w:val="009A271C"/>
    <w:rsid w:val="009A2DCC"/>
    <w:rsid w:val="009A33BB"/>
    <w:rsid w:val="009A3D94"/>
    <w:rsid w:val="009A4786"/>
    <w:rsid w:val="009A57BE"/>
    <w:rsid w:val="009A5872"/>
    <w:rsid w:val="009A5ABC"/>
    <w:rsid w:val="009A6595"/>
    <w:rsid w:val="009A7209"/>
    <w:rsid w:val="009A7F10"/>
    <w:rsid w:val="009B0045"/>
    <w:rsid w:val="009B152B"/>
    <w:rsid w:val="009B18AD"/>
    <w:rsid w:val="009B1CCB"/>
    <w:rsid w:val="009B25CA"/>
    <w:rsid w:val="009B29C0"/>
    <w:rsid w:val="009B3E26"/>
    <w:rsid w:val="009B45C4"/>
    <w:rsid w:val="009B468B"/>
    <w:rsid w:val="009B4DE8"/>
    <w:rsid w:val="009B53E3"/>
    <w:rsid w:val="009B776D"/>
    <w:rsid w:val="009B77F8"/>
    <w:rsid w:val="009B7BCE"/>
    <w:rsid w:val="009C03A9"/>
    <w:rsid w:val="009C0FB4"/>
    <w:rsid w:val="009C1271"/>
    <w:rsid w:val="009C12B5"/>
    <w:rsid w:val="009C29E9"/>
    <w:rsid w:val="009C3453"/>
    <w:rsid w:val="009C3706"/>
    <w:rsid w:val="009C3909"/>
    <w:rsid w:val="009C3A3A"/>
    <w:rsid w:val="009C3BDE"/>
    <w:rsid w:val="009C418E"/>
    <w:rsid w:val="009C4D7D"/>
    <w:rsid w:val="009C5199"/>
    <w:rsid w:val="009C6CEA"/>
    <w:rsid w:val="009C757B"/>
    <w:rsid w:val="009C7B85"/>
    <w:rsid w:val="009D0254"/>
    <w:rsid w:val="009D09A6"/>
    <w:rsid w:val="009D16C4"/>
    <w:rsid w:val="009D1744"/>
    <w:rsid w:val="009D1A64"/>
    <w:rsid w:val="009D253E"/>
    <w:rsid w:val="009D273B"/>
    <w:rsid w:val="009D2FAD"/>
    <w:rsid w:val="009D3294"/>
    <w:rsid w:val="009D4615"/>
    <w:rsid w:val="009D5B91"/>
    <w:rsid w:val="009D5FD9"/>
    <w:rsid w:val="009D6AA0"/>
    <w:rsid w:val="009D792E"/>
    <w:rsid w:val="009E0DFE"/>
    <w:rsid w:val="009E1C7B"/>
    <w:rsid w:val="009E2988"/>
    <w:rsid w:val="009E31F6"/>
    <w:rsid w:val="009E4C07"/>
    <w:rsid w:val="009E4D3A"/>
    <w:rsid w:val="009E64C1"/>
    <w:rsid w:val="009E777F"/>
    <w:rsid w:val="009E7926"/>
    <w:rsid w:val="009E7CDA"/>
    <w:rsid w:val="009F152A"/>
    <w:rsid w:val="009F18A8"/>
    <w:rsid w:val="009F1E59"/>
    <w:rsid w:val="009F2DD7"/>
    <w:rsid w:val="009F395D"/>
    <w:rsid w:val="009F3CD2"/>
    <w:rsid w:val="009F5FBD"/>
    <w:rsid w:val="009F6120"/>
    <w:rsid w:val="009F6ACE"/>
    <w:rsid w:val="009F6AE3"/>
    <w:rsid w:val="009F77D7"/>
    <w:rsid w:val="009F78B1"/>
    <w:rsid w:val="00A00D76"/>
    <w:rsid w:val="00A01184"/>
    <w:rsid w:val="00A01449"/>
    <w:rsid w:val="00A014AA"/>
    <w:rsid w:val="00A026C1"/>
    <w:rsid w:val="00A02F27"/>
    <w:rsid w:val="00A037C2"/>
    <w:rsid w:val="00A03948"/>
    <w:rsid w:val="00A03C69"/>
    <w:rsid w:val="00A03D43"/>
    <w:rsid w:val="00A04380"/>
    <w:rsid w:val="00A04786"/>
    <w:rsid w:val="00A047EA"/>
    <w:rsid w:val="00A05472"/>
    <w:rsid w:val="00A0584A"/>
    <w:rsid w:val="00A05C32"/>
    <w:rsid w:val="00A05E7E"/>
    <w:rsid w:val="00A060B4"/>
    <w:rsid w:val="00A0653F"/>
    <w:rsid w:val="00A06F44"/>
    <w:rsid w:val="00A103C6"/>
    <w:rsid w:val="00A10776"/>
    <w:rsid w:val="00A10B1A"/>
    <w:rsid w:val="00A11671"/>
    <w:rsid w:val="00A1199E"/>
    <w:rsid w:val="00A11CD0"/>
    <w:rsid w:val="00A138C3"/>
    <w:rsid w:val="00A13948"/>
    <w:rsid w:val="00A13C09"/>
    <w:rsid w:val="00A14372"/>
    <w:rsid w:val="00A147ED"/>
    <w:rsid w:val="00A1555B"/>
    <w:rsid w:val="00A155C5"/>
    <w:rsid w:val="00A158C3"/>
    <w:rsid w:val="00A16AD8"/>
    <w:rsid w:val="00A16EBD"/>
    <w:rsid w:val="00A20084"/>
    <w:rsid w:val="00A2021E"/>
    <w:rsid w:val="00A210BA"/>
    <w:rsid w:val="00A213AC"/>
    <w:rsid w:val="00A21C95"/>
    <w:rsid w:val="00A21CF3"/>
    <w:rsid w:val="00A2336C"/>
    <w:rsid w:val="00A23612"/>
    <w:rsid w:val="00A24813"/>
    <w:rsid w:val="00A24AB8"/>
    <w:rsid w:val="00A25C8D"/>
    <w:rsid w:val="00A263D5"/>
    <w:rsid w:val="00A267AA"/>
    <w:rsid w:val="00A26BBB"/>
    <w:rsid w:val="00A271D2"/>
    <w:rsid w:val="00A27AEC"/>
    <w:rsid w:val="00A3010D"/>
    <w:rsid w:val="00A320DB"/>
    <w:rsid w:val="00A3243E"/>
    <w:rsid w:val="00A356B3"/>
    <w:rsid w:val="00A3597C"/>
    <w:rsid w:val="00A35D16"/>
    <w:rsid w:val="00A36B1E"/>
    <w:rsid w:val="00A36C31"/>
    <w:rsid w:val="00A36FE5"/>
    <w:rsid w:val="00A37BCD"/>
    <w:rsid w:val="00A41689"/>
    <w:rsid w:val="00A42592"/>
    <w:rsid w:val="00A43C59"/>
    <w:rsid w:val="00A43D22"/>
    <w:rsid w:val="00A43F19"/>
    <w:rsid w:val="00A45F2C"/>
    <w:rsid w:val="00A45F81"/>
    <w:rsid w:val="00A46457"/>
    <w:rsid w:val="00A50ECD"/>
    <w:rsid w:val="00A51057"/>
    <w:rsid w:val="00A518F3"/>
    <w:rsid w:val="00A523D0"/>
    <w:rsid w:val="00A52729"/>
    <w:rsid w:val="00A53675"/>
    <w:rsid w:val="00A55758"/>
    <w:rsid w:val="00A55AEC"/>
    <w:rsid w:val="00A55F01"/>
    <w:rsid w:val="00A564D7"/>
    <w:rsid w:val="00A56B6A"/>
    <w:rsid w:val="00A578DC"/>
    <w:rsid w:val="00A57E75"/>
    <w:rsid w:val="00A601CA"/>
    <w:rsid w:val="00A60717"/>
    <w:rsid w:val="00A615F4"/>
    <w:rsid w:val="00A61CCD"/>
    <w:rsid w:val="00A61FCB"/>
    <w:rsid w:val="00A62E50"/>
    <w:rsid w:val="00A640E2"/>
    <w:rsid w:val="00A644F7"/>
    <w:rsid w:val="00A64854"/>
    <w:rsid w:val="00A64D65"/>
    <w:rsid w:val="00A666D3"/>
    <w:rsid w:val="00A6725B"/>
    <w:rsid w:val="00A70605"/>
    <w:rsid w:val="00A7085B"/>
    <w:rsid w:val="00A70990"/>
    <w:rsid w:val="00A70E1C"/>
    <w:rsid w:val="00A713A9"/>
    <w:rsid w:val="00A71AD9"/>
    <w:rsid w:val="00A7210C"/>
    <w:rsid w:val="00A72530"/>
    <w:rsid w:val="00A73134"/>
    <w:rsid w:val="00A73192"/>
    <w:rsid w:val="00A7365A"/>
    <w:rsid w:val="00A73888"/>
    <w:rsid w:val="00A73A29"/>
    <w:rsid w:val="00A75441"/>
    <w:rsid w:val="00A76001"/>
    <w:rsid w:val="00A762BA"/>
    <w:rsid w:val="00A774ED"/>
    <w:rsid w:val="00A777B2"/>
    <w:rsid w:val="00A8017A"/>
    <w:rsid w:val="00A81529"/>
    <w:rsid w:val="00A818C3"/>
    <w:rsid w:val="00A825D3"/>
    <w:rsid w:val="00A825D4"/>
    <w:rsid w:val="00A828F6"/>
    <w:rsid w:val="00A82B73"/>
    <w:rsid w:val="00A8304B"/>
    <w:rsid w:val="00A83BDA"/>
    <w:rsid w:val="00A83DAB"/>
    <w:rsid w:val="00A84286"/>
    <w:rsid w:val="00A868DB"/>
    <w:rsid w:val="00A86E8B"/>
    <w:rsid w:val="00A87164"/>
    <w:rsid w:val="00A871A9"/>
    <w:rsid w:val="00A90038"/>
    <w:rsid w:val="00A9171C"/>
    <w:rsid w:val="00A91ACE"/>
    <w:rsid w:val="00A922E4"/>
    <w:rsid w:val="00A93072"/>
    <w:rsid w:val="00A93336"/>
    <w:rsid w:val="00A938BD"/>
    <w:rsid w:val="00A93953"/>
    <w:rsid w:val="00A9555B"/>
    <w:rsid w:val="00A959D8"/>
    <w:rsid w:val="00A96F64"/>
    <w:rsid w:val="00AA01E6"/>
    <w:rsid w:val="00AA04E8"/>
    <w:rsid w:val="00AA113D"/>
    <w:rsid w:val="00AA127C"/>
    <w:rsid w:val="00AA138B"/>
    <w:rsid w:val="00AA183A"/>
    <w:rsid w:val="00AA2D2A"/>
    <w:rsid w:val="00AA5293"/>
    <w:rsid w:val="00AA563F"/>
    <w:rsid w:val="00AA5D70"/>
    <w:rsid w:val="00AA652D"/>
    <w:rsid w:val="00AA6962"/>
    <w:rsid w:val="00AA6BD5"/>
    <w:rsid w:val="00AA6BD8"/>
    <w:rsid w:val="00AA6C7D"/>
    <w:rsid w:val="00AA711D"/>
    <w:rsid w:val="00AA7FD6"/>
    <w:rsid w:val="00AB042A"/>
    <w:rsid w:val="00AB0514"/>
    <w:rsid w:val="00AB0B96"/>
    <w:rsid w:val="00AB11AD"/>
    <w:rsid w:val="00AB19EF"/>
    <w:rsid w:val="00AB2495"/>
    <w:rsid w:val="00AB2D34"/>
    <w:rsid w:val="00AB3430"/>
    <w:rsid w:val="00AB37B9"/>
    <w:rsid w:val="00AB3AF1"/>
    <w:rsid w:val="00AB3D29"/>
    <w:rsid w:val="00AB3D86"/>
    <w:rsid w:val="00AB42AF"/>
    <w:rsid w:val="00AB4AD1"/>
    <w:rsid w:val="00AB4AD6"/>
    <w:rsid w:val="00AB5AD2"/>
    <w:rsid w:val="00AB5C3D"/>
    <w:rsid w:val="00AB5E07"/>
    <w:rsid w:val="00AB6D79"/>
    <w:rsid w:val="00AB7CFA"/>
    <w:rsid w:val="00AC0836"/>
    <w:rsid w:val="00AC0DEA"/>
    <w:rsid w:val="00AC0E83"/>
    <w:rsid w:val="00AC1103"/>
    <w:rsid w:val="00AC172F"/>
    <w:rsid w:val="00AC1856"/>
    <w:rsid w:val="00AC352A"/>
    <w:rsid w:val="00AC37E7"/>
    <w:rsid w:val="00AC3A06"/>
    <w:rsid w:val="00AC42D3"/>
    <w:rsid w:val="00AC4B9B"/>
    <w:rsid w:val="00AC4CDB"/>
    <w:rsid w:val="00AC5B42"/>
    <w:rsid w:val="00AC5B48"/>
    <w:rsid w:val="00AC74DB"/>
    <w:rsid w:val="00AD0B0E"/>
    <w:rsid w:val="00AD1450"/>
    <w:rsid w:val="00AD15E8"/>
    <w:rsid w:val="00AD1D87"/>
    <w:rsid w:val="00AD1FAF"/>
    <w:rsid w:val="00AD2A3F"/>
    <w:rsid w:val="00AD2B4A"/>
    <w:rsid w:val="00AD356D"/>
    <w:rsid w:val="00AD5525"/>
    <w:rsid w:val="00AD567C"/>
    <w:rsid w:val="00AD6502"/>
    <w:rsid w:val="00AD67AE"/>
    <w:rsid w:val="00AD68E1"/>
    <w:rsid w:val="00AD6BF3"/>
    <w:rsid w:val="00AD6F9C"/>
    <w:rsid w:val="00AD78EB"/>
    <w:rsid w:val="00AE0034"/>
    <w:rsid w:val="00AE0546"/>
    <w:rsid w:val="00AE0695"/>
    <w:rsid w:val="00AE0DFC"/>
    <w:rsid w:val="00AE1560"/>
    <w:rsid w:val="00AE22D0"/>
    <w:rsid w:val="00AE2BC4"/>
    <w:rsid w:val="00AE3E7E"/>
    <w:rsid w:val="00AE3F1A"/>
    <w:rsid w:val="00AE4134"/>
    <w:rsid w:val="00AE4A3C"/>
    <w:rsid w:val="00AE66E1"/>
    <w:rsid w:val="00AE7E53"/>
    <w:rsid w:val="00AF0CAE"/>
    <w:rsid w:val="00AF1130"/>
    <w:rsid w:val="00AF1315"/>
    <w:rsid w:val="00AF19BF"/>
    <w:rsid w:val="00AF2DC3"/>
    <w:rsid w:val="00AF3E2D"/>
    <w:rsid w:val="00AF40E4"/>
    <w:rsid w:val="00AF41EB"/>
    <w:rsid w:val="00AF4DE1"/>
    <w:rsid w:val="00AF5132"/>
    <w:rsid w:val="00AF5474"/>
    <w:rsid w:val="00AF6DFD"/>
    <w:rsid w:val="00AF738F"/>
    <w:rsid w:val="00B0124E"/>
    <w:rsid w:val="00B01470"/>
    <w:rsid w:val="00B014B6"/>
    <w:rsid w:val="00B01503"/>
    <w:rsid w:val="00B01DD5"/>
    <w:rsid w:val="00B02826"/>
    <w:rsid w:val="00B033E5"/>
    <w:rsid w:val="00B03774"/>
    <w:rsid w:val="00B03A62"/>
    <w:rsid w:val="00B03A63"/>
    <w:rsid w:val="00B04DF7"/>
    <w:rsid w:val="00B050F0"/>
    <w:rsid w:val="00B05285"/>
    <w:rsid w:val="00B05BB5"/>
    <w:rsid w:val="00B077D8"/>
    <w:rsid w:val="00B07FE1"/>
    <w:rsid w:val="00B10810"/>
    <w:rsid w:val="00B119A6"/>
    <w:rsid w:val="00B11DAD"/>
    <w:rsid w:val="00B12098"/>
    <w:rsid w:val="00B129A4"/>
    <w:rsid w:val="00B13EC7"/>
    <w:rsid w:val="00B14D30"/>
    <w:rsid w:val="00B14ECB"/>
    <w:rsid w:val="00B201A4"/>
    <w:rsid w:val="00B201D1"/>
    <w:rsid w:val="00B20D48"/>
    <w:rsid w:val="00B210AA"/>
    <w:rsid w:val="00B213A6"/>
    <w:rsid w:val="00B22902"/>
    <w:rsid w:val="00B235B0"/>
    <w:rsid w:val="00B23ABE"/>
    <w:rsid w:val="00B24DF6"/>
    <w:rsid w:val="00B24E5D"/>
    <w:rsid w:val="00B25759"/>
    <w:rsid w:val="00B2652B"/>
    <w:rsid w:val="00B27A61"/>
    <w:rsid w:val="00B328D2"/>
    <w:rsid w:val="00B32960"/>
    <w:rsid w:val="00B32FA1"/>
    <w:rsid w:val="00B334C3"/>
    <w:rsid w:val="00B34FE2"/>
    <w:rsid w:val="00B35166"/>
    <w:rsid w:val="00B357D8"/>
    <w:rsid w:val="00B35AF7"/>
    <w:rsid w:val="00B360F4"/>
    <w:rsid w:val="00B36A00"/>
    <w:rsid w:val="00B37029"/>
    <w:rsid w:val="00B3792B"/>
    <w:rsid w:val="00B37BFC"/>
    <w:rsid w:val="00B40358"/>
    <w:rsid w:val="00B4150A"/>
    <w:rsid w:val="00B41614"/>
    <w:rsid w:val="00B41769"/>
    <w:rsid w:val="00B42851"/>
    <w:rsid w:val="00B42F80"/>
    <w:rsid w:val="00B430CC"/>
    <w:rsid w:val="00B431A1"/>
    <w:rsid w:val="00B435CB"/>
    <w:rsid w:val="00B448C1"/>
    <w:rsid w:val="00B44D16"/>
    <w:rsid w:val="00B45152"/>
    <w:rsid w:val="00B45F34"/>
    <w:rsid w:val="00B465EC"/>
    <w:rsid w:val="00B46DF8"/>
    <w:rsid w:val="00B474C2"/>
    <w:rsid w:val="00B475F5"/>
    <w:rsid w:val="00B505C8"/>
    <w:rsid w:val="00B50953"/>
    <w:rsid w:val="00B50DB8"/>
    <w:rsid w:val="00B51E77"/>
    <w:rsid w:val="00B52757"/>
    <w:rsid w:val="00B53409"/>
    <w:rsid w:val="00B53654"/>
    <w:rsid w:val="00B5370E"/>
    <w:rsid w:val="00B53905"/>
    <w:rsid w:val="00B539DF"/>
    <w:rsid w:val="00B53B26"/>
    <w:rsid w:val="00B54437"/>
    <w:rsid w:val="00B546DB"/>
    <w:rsid w:val="00B54B5B"/>
    <w:rsid w:val="00B54EC7"/>
    <w:rsid w:val="00B5562E"/>
    <w:rsid w:val="00B55862"/>
    <w:rsid w:val="00B55D65"/>
    <w:rsid w:val="00B56305"/>
    <w:rsid w:val="00B57000"/>
    <w:rsid w:val="00B60831"/>
    <w:rsid w:val="00B60939"/>
    <w:rsid w:val="00B60AFD"/>
    <w:rsid w:val="00B62715"/>
    <w:rsid w:val="00B651B9"/>
    <w:rsid w:val="00B65611"/>
    <w:rsid w:val="00B65A1F"/>
    <w:rsid w:val="00B66276"/>
    <w:rsid w:val="00B67C89"/>
    <w:rsid w:val="00B70283"/>
    <w:rsid w:val="00B70E8E"/>
    <w:rsid w:val="00B71AC5"/>
    <w:rsid w:val="00B721B0"/>
    <w:rsid w:val="00B738F3"/>
    <w:rsid w:val="00B73930"/>
    <w:rsid w:val="00B74262"/>
    <w:rsid w:val="00B74E55"/>
    <w:rsid w:val="00B759CF"/>
    <w:rsid w:val="00B76633"/>
    <w:rsid w:val="00B76C92"/>
    <w:rsid w:val="00B77B5E"/>
    <w:rsid w:val="00B77BC8"/>
    <w:rsid w:val="00B77EC9"/>
    <w:rsid w:val="00B8063B"/>
    <w:rsid w:val="00B80E9A"/>
    <w:rsid w:val="00B80EFD"/>
    <w:rsid w:val="00B80F05"/>
    <w:rsid w:val="00B818A4"/>
    <w:rsid w:val="00B81B0F"/>
    <w:rsid w:val="00B826BE"/>
    <w:rsid w:val="00B82A58"/>
    <w:rsid w:val="00B82F51"/>
    <w:rsid w:val="00B83739"/>
    <w:rsid w:val="00B84117"/>
    <w:rsid w:val="00B858F0"/>
    <w:rsid w:val="00B85AA2"/>
    <w:rsid w:val="00B85AEC"/>
    <w:rsid w:val="00B85B03"/>
    <w:rsid w:val="00B85C42"/>
    <w:rsid w:val="00B8649C"/>
    <w:rsid w:val="00B8695D"/>
    <w:rsid w:val="00B8755F"/>
    <w:rsid w:val="00B87F0A"/>
    <w:rsid w:val="00B91DF9"/>
    <w:rsid w:val="00B92384"/>
    <w:rsid w:val="00B92C92"/>
    <w:rsid w:val="00B92D0B"/>
    <w:rsid w:val="00B93335"/>
    <w:rsid w:val="00B93FF2"/>
    <w:rsid w:val="00B94945"/>
    <w:rsid w:val="00B94A9A"/>
    <w:rsid w:val="00B94DD6"/>
    <w:rsid w:val="00B95186"/>
    <w:rsid w:val="00B95DA3"/>
    <w:rsid w:val="00B968BB"/>
    <w:rsid w:val="00B970CC"/>
    <w:rsid w:val="00B971EB"/>
    <w:rsid w:val="00B97BFA"/>
    <w:rsid w:val="00B97C80"/>
    <w:rsid w:val="00B97EC8"/>
    <w:rsid w:val="00BA04B0"/>
    <w:rsid w:val="00BA0916"/>
    <w:rsid w:val="00BA322D"/>
    <w:rsid w:val="00BA4DCC"/>
    <w:rsid w:val="00BA63FA"/>
    <w:rsid w:val="00BB0099"/>
    <w:rsid w:val="00BB00B3"/>
    <w:rsid w:val="00BB0311"/>
    <w:rsid w:val="00BB0BDD"/>
    <w:rsid w:val="00BB176C"/>
    <w:rsid w:val="00BB22B0"/>
    <w:rsid w:val="00BB262E"/>
    <w:rsid w:val="00BB2A73"/>
    <w:rsid w:val="00BB2C48"/>
    <w:rsid w:val="00BB3A45"/>
    <w:rsid w:val="00BB4ACC"/>
    <w:rsid w:val="00BB6FF3"/>
    <w:rsid w:val="00BB703E"/>
    <w:rsid w:val="00BB732D"/>
    <w:rsid w:val="00BB7405"/>
    <w:rsid w:val="00BB7874"/>
    <w:rsid w:val="00BB7DF2"/>
    <w:rsid w:val="00BC02D8"/>
    <w:rsid w:val="00BC088F"/>
    <w:rsid w:val="00BC2B2C"/>
    <w:rsid w:val="00BC2B7B"/>
    <w:rsid w:val="00BC2C6E"/>
    <w:rsid w:val="00BC2DF8"/>
    <w:rsid w:val="00BC3631"/>
    <w:rsid w:val="00BC42A1"/>
    <w:rsid w:val="00BC54B8"/>
    <w:rsid w:val="00BC591F"/>
    <w:rsid w:val="00BC5A5E"/>
    <w:rsid w:val="00BC5FF5"/>
    <w:rsid w:val="00BC694E"/>
    <w:rsid w:val="00BC6A1D"/>
    <w:rsid w:val="00BC6FCB"/>
    <w:rsid w:val="00BC7D6D"/>
    <w:rsid w:val="00BD1A6C"/>
    <w:rsid w:val="00BD2108"/>
    <w:rsid w:val="00BD4B96"/>
    <w:rsid w:val="00BD5AED"/>
    <w:rsid w:val="00BD646D"/>
    <w:rsid w:val="00BD64D2"/>
    <w:rsid w:val="00BD68A3"/>
    <w:rsid w:val="00BD6938"/>
    <w:rsid w:val="00BD6CF3"/>
    <w:rsid w:val="00BD7DC4"/>
    <w:rsid w:val="00BD7F72"/>
    <w:rsid w:val="00BE0ECA"/>
    <w:rsid w:val="00BE1914"/>
    <w:rsid w:val="00BE2180"/>
    <w:rsid w:val="00BE21F2"/>
    <w:rsid w:val="00BE2550"/>
    <w:rsid w:val="00BE3414"/>
    <w:rsid w:val="00BE34DC"/>
    <w:rsid w:val="00BE3AFB"/>
    <w:rsid w:val="00BE4275"/>
    <w:rsid w:val="00BE466A"/>
    <w:rsid w:val="00BF0677"/>
    <w:rsid w:val="00BF06AE"/>
    <w:rsid w:val="00BF0CE5"/>
    <w:rsid w:val="00BF0F95"/>
    <w:rsid w:val="00BF16ED"/>
    <w:rsid w:val="00BF2433"/>
    <w:rsid w:val="00BF2AB2"/>
    <w:rsid w:val="00BF2E6E"/>
    <w:rsid w:val="00BF3A0A"/>
    <w:rsid w:val="00BF5288"/>
    <w:rsid w:val="00BF55BB"/>
    <w:rsid w:val="00BF5D27"/>
    <w:rsid w:val="00BF603E"/>
    <w:rsid w:val="00BF61C9"/>
    <w:rsid w:val="00BF6C94"/>
    <w:rsid w:val="00BF7646"/>
    <w:rsid w:val="00C00424"/>
    <w:rsid w:val="00C00BB0"/>
    <w:rsid w:val="00C0157E"/>
    <w:rsid w:val="00C02196"/>
    <w:rsid w:val="00C0306D"/>
    <w:rsid w:val="00C04226"/>
    <w:rsid w:val="00C042D3"/>
    <w:rsid w:val="00C06244"/>
    <w:rsid w:val="00C06346"/>
    <w:rsid w:val="00C06353"/>
    <w:rsid w:val="00C066C7"/>
    <w:rsid w:val="00C066EE"/>
    <w:rsid w:val="00C0684D"/>
    <w:rsid w:val="00C06DA0"/>
    <w:rsid w:val="00C0701A"/>
    <w:rsid w:val="00C100BF"/>
    <w:rsid w:val="00C10175"/>
    <w:rsid w:val="00C1179F"/>
    <w:rsid w:val="00C127B9"/>
    <w:rsid w:val="00C128FA"/>
    <w:rsid w:val="00C12C14"/>
    <w:rsid w:val="00C15F04"/>
    <w:rsid w:val="00C16F3C"/>
    <w:rsid w:val="00C17447"/>
    <w:rsid w:val="00C177C5"/>
    <w:rsid w:val="00C179B3"/>
    <w:rsid w:val="00C17E3F"/>
    <w:rsid w:val="00C17F02"/>
    <w:rsid w:val="00C200AA"/>
    <w:rsid w:val="00C22983"/>
    <w:rsid w:val="00C236C6"/>
    <w:rsid w:val="00C237ED"/>
    <w:rsid w:val="00C24632"/>
    <w:rsid w:val="00C2468C"/>
    <w:rsid w:val="00C24C3D"/>
    <w:rsid w:val="00C24EBB"/>
    <w:rsid w:val="00C25418"/>
    <w:rsid w:val="00C25908"/>
    <w:rsid w:val="00C2595B"/>
    <w:rsid w:val="00C25B16"/>
    <w:rsid w:val="00C25BF3"/>
    <w:rsid w:val="00C25D9C"/>
    <w:rsid w:val="00C27377"/>
    <w:rsid w:val="00C2778B"/>
    <w:rsid w:val="00C30613"/>
    <w:rsid w:val="00C31649"/>
    <w:rsid w:val="00C33A7F"/>
    <w:rsid w:val="00C3434C"/>
    <w:rsid w:val="00C349C9"/>
    <w:rsid w:val="00C353EF"/>
    <w:rsid w:val="00C3587B"/>
    <w:rsid w:val="00C36A00"/>
    <w:rsid w:val="00C40385"/>
    <w:rsid w:val="00C40A4C"/>
    <w:rsid w:val="00C41768"/>
    <w:rsid w:val="00C41F93"/>
    <w:rsid w:val="00C429FD"/>
    <w:rsid w:val="00C43DD0"/>
    <w:rsid w:val="00C441E0"/>
    <w:rsid w:val="00C442B6"/>
    <w:rsid w:val="00C44873"/>
    <w:rsid w:val="00C4500C"/>
    <w:rsid w:val="00C450AB"/>
    <w:rsid w:val="00C45D1A"/>
    <w:rsid w:val="00C45E3C"/>
    <w:rsid w:val="00C475AA"/>
    <w:rsid w:val="00C47ED4"/>
    <w:rsid w:val="00C525DF"/>
    <w:rsid w:val="00C527C7"/>
    <w:rsid w:val="00C5334E"/>
    <w:rsid w:val="00C535D5"/>
    <w:rsid w:val="00C53771"/>
    <w:rsid w:val="00C53C98"/>
    <w:rsid w:val="00C55559"/>
    <w:rsid w:val="00C5578A"/>
    <w:rsid w:val="00C55826"/>
    <w:rsid w:val="00C5591B"/>
    <w:rsid w:val="00C56915"/>
    <w:rsid w:val="00C56A3D"/>
    <w:rsid w:val="00C56FCF"/>
    <w:rsid w:val="00C57308"/>
    <w:rsid w:val="00C57B35"/>
    <w:rsid w:val="00C57B6C"/>
    <w:rsid w:val="00C57C0A"/>
    <w:rsid w:val="00C6093C"/>
    <w:rsid w:val="00C61A59"/>
    <w:rsid w:val="00C628A6"/>
    <w:rsid w:val="00C63DFB"/>
    <w:rsid w:val="00C64151"/>
    <w:rsid w:val="00C64344"/>
    <w:rsid w:val="00C65108"/>
    <w:rsid w:val="00C652B0"/>
    <w:rsid w:val="00C65576"/>
    <w:rsid w:val="00C66165"/>
    <w:rsid w:val="00C6684D"/>
    <w:rsid w:val="00C7060A"/>
    <w:rsid w:val="00C713A3"/>
    <w:rsid w:val="00C7151A"/>
    <w:rsid w:val="00C717E3"/>
    <w:rsid w:val="00C71F60"/>
    <w:rsid w:val="00C72241"/>
    <w:rsid w:val="00C732D0"/>
    <w:rsid w:val="00C7450F"/>
    <w:rsid w:val="00C750C8"/>
    <w:rsid w:val="00C7560F"/>
    <w:rsid w:val="00C76076"/>
    <w:rsid w:val="00C76283"/>
    <w:rsid w:val="00C76BE6"/>
    <w:rsid w:val="00C76E49"/>
    <w:rsid w:val="00C771EF"/>
    <w:rsid w:val="00C8001E"/>
    <w:rsid w:val="00C8049B"/>
    <w:rsid w:val="00C80A0E"/>
    <w:rsid w:val="00C80B74"/>
    <w:rsid w:val="00C80CD3"/>
    <w:rsid w:val="00C810DD"/>
    <w:rsid w:val="00C8133B"/>
    <w:rsid w:val="00C8213F"/>
    <w:rsid w:val="00C8303F"/>
    <w:rsid w:val="00C83E8D"/>
    <w:rsid w:val="00C845EC"/>
    <w:rsid w:val="00C85154"/>
    <w:rsid w:val="00C85A70"/>
    <w:rsid w:val="00C85DB9"/>
    <w:rsid w:val="00C86808"/>
    <w:rsid w:val="00C870A1"/>
    <w:rsid w:val="00C87450"/>
    <w:rsid w:val="00C8797A"/>
    <w:rsid w:val="00C900B8"/>
    <w:rsid w:val="00C90197"/>
    <w:rsid w:val="00C90222"/>
    <w:rsid w:val="00C90C71"/>
    <w:rsid w:val="00C91865"/>
    <w:rsid w:val="00C91E0A"/>
    <w:rsid w:val="00C91FD1"/>
    <w:rsid w:val="00C931CF"/>
    <w:rsid w:val="00C938CF"/>
    <w:rsid w:val="00C93A3D"/>
    <w:rsid w:val="00C94053"/>
    <w:rsid w:val="00C953FA"/>
    <w:rsid w:val="00C9573A"/>
    <w:rsid w:val="00C95819"/>
    <w:rsid w:val="00C9624D"/>
    <w:rsid w:val="00C968C9"/>
    <w:rsid w:val="00C969DA"/>
    <w:rsid w:val="00C969E7"/>
    <w:rsid w:val="00C96F42"/>
    <w:rsid w:val="00C97684"/>
    <w:rsid w:val="00C97C58"/>
    <w:rsid w:val="00CA1172"/>
    <w:rsid w:val="00CA1BAA"/>
    <w:rsid w:val="00CA23AC"/>
    <w:rsid w:val="00CA2C5E"/>
    <w:rsid w:val="00CA2C77"/>
    <w:rsid w:val="00CA348C"/>
    <w:rsid w:val="00CA444F"/>
    <w:rsid w:val="00CA4A14"/>
    <w:rsid w:val="00CA51FA"/>
    <w:rsid w:val="00CA5245"/>
    <w:rsid w:val="00CA53DF"/>
    <w:rsid w:val="00CA562B"/>
    <w:rsid w:val="00CA65C6"/>
    <w:rsid w:val="00CA66AB"/>
    <w:rsid w:val="00CA6D9F"/>
    <w:rsid w:val="00CA71F4"/>
    <w:rsid w:val="00CA7B09"/>
    <w:rsid w:val="00CB0507"/>
    <w:rsid w:val="00CB114B"/>
    <w:rsid w:val="00CB12A5"/>
    <w:rsid w:val="00CB1428"/>
    <w:rsid w:val="00CB1CAC"/>
    <w:rsid w:val="00CB22BA"/>
    <w:rsid w:val="00CB27C9"/>
    <w:rsid w:val="00CB2F2A"/>
    <w:rsid w:val="00CB545B"/>
    <w:rsid w:val="00CB577E"/>
    <w:rsid w:val="00CB5B1A"/>
    <w:rsid w:val="00CB6223"/>
    <w:rsid w:val="00CB6886"/>
    <w:rsid w:val="00CB6B22"/>
    <w:rsid w:val="00CB6CCC"/>
    <w:rsid w:val="00CB6ED1"/>
    <w:rsid w:val="00CB7F5F"/>
    <w:rsid w:val="00CC0AFD"/>
    <w:rsid w:val="00CC0E33"/>
    <w:rsid w:val="00CC1354"/>
    <w:rsid w:val="00CC1424"/>
    <w:rsid w:val="00CC1B39"/>
    <w:rsid w:val="00CC1BFA"/>
    <w:rsid w:val="00CC1CFE"/>
    <w:rsid w:val="00CC1FB5"/>
    <w:rsid w:val="00CC255D"/>
    <w:rsid w:val="00CC2E9F"/>
    <w:rsid w:val="00CC35EA"/>
    <w:rsid w:val="00CC3848"/>
    <w:rsid w:val="00CC43F6"/>
    <w:rsid w:val="00CC5F13"/>
    <w:rsid w:val="00CC60F1"/>
    <w:rsid w:val="00CC6D1B"/>
    <w:rsid w:val="00CC6D5E"/>
    <w:rsid w:val="00CC6E2E"/>
    <w:rsid w:val="00CD0200"/>
    <w:rsid w:val="00CD06AB"/>
    <w:rsid w:val="00CD2404"/>
    <w:rsid w:val="00CD2B6C"/>
    <w:rsid w:val="00CD369A"/>
    <w:rsid w:val="00CD3F77"/>
    <w:rsid w:val="00CD468E"/>
    <w:rsid w:val="00CD47BC"/>
    <w:rsid w:val="00CD5724"/>
    <w:rsid w:val="00CD6ADC"/>
    <w:rsid w:val="00CD7193"/>
    <w:rsid w:val="00CD73A8"/>
    <w:rsid w:val="00CD7439"/>
    <w:rsid w:val="00CD783A"/>
    <w:rsid w:val="00CE0079"/>
    <w:rsid w:val="00CE0E40"/>
    <w:rsid w:val="00CE1166"/>
    <w:rsid w:val="00CE1C2F"/>
    <w:rsid w:val="00CE23EE"/>
    <w:rsid w:val="00CE2646"/>
    <w:rsid w:val="00CE2984"/>
    <w:rsid w:val="00CE2CFC"/>
    <w:rsid w:val="00CE2FA7"/>
    <w:rsid w:val="00CE34E4"/>
    <w:rsid w:val="00CE38C8"/>
    <w:rsid w:val="00CE3A90"/>
    <w:rsid w:val="00CE4B4E"/>
    <w:rsid w:val="00CE4F96"/>
    <w:rsid w:val="00CE51A2"/>
    <w:rsid w:val="00CE524F"/>
    <w:rsid w:val="00CE58CC"/>
    <w:rsid w:val="00CE6274"/>
    <w:rsid w:val="00CE64A1"/>
    <w:rsid w:val="00CE6F48"/>
    <w:rsid w:val="00CE77B6"/>
    <w:rsid w:val="00CE7AC5"/>
    <w:rsid w:val="00CF1283"/>
    <w:rsid w:val="00CF1F1E"/>
    <w:rsid w:val="00CF2B8D"/>
    <w:rsid w:val="00CF30C9"/>
    <w:rsid w:val="00CF33B0"/>
    <w:rsid w:val="00CF35EB"/>
    <w:rsid w:val="00CF3A1B"/>
    <w:rsid w:val="00CF456B"/>
    <w:rsid w:val="00CF4D5D"/>
    <w:rsid w:val="00CF5A22"/>
    <w:rsid w:val="00CF6FE3"/>
    <w:rsid w:val="00CF73B8"/>
    <w:rsid w:val="00CF77FB"/>
    <w:rsid w:val="00D019E7"/>
    <w:rsid w:val="00D0262E"/>
    <w:rsid w:val="00D03679"/>
    <w:rsid w:val="00D036D2"/>
    <w:rsid w:val="00D037D6"/>
    <w:rsid w:val="00D03DEA"/>
    <w:rsid w:val="00D042F7"/>
    <w:rsid w:val="00D0462D"/>
    <w:rsid w:val="00D0583C"/>
    <w:rsid w:val="00D05E3D"/>
    <w:rsid w:val="00D06139"/>
    <w:rsid w:val="00D110BD"/>
    <w:rsid w:val="00D1255C"/>
    <w:rsid w:val="00D13675"/>
    <w:rsid w:val="00D136C9"/>
    <w:rsid w:val="00D141E1"/>
    <w:rsid w:val="00D15314"/>
    <w:rsid w:val="00D154E3"/>
    <w:rsid w:val="00D15B48"/>
    <w:rsid w:val="00D16C14"/>
    <w:rsid w:val="00D17D6C"/>
    <w:rsid w:val="00D21065"/>
    <w:rsid w:val="00D21459"/>
    <w:rsid w:val="00D2155B"/>
    <w:rsid w:val="00D21C97"/>
    <w:rsid w:val="00D222BD"/>
    <w:rsid w:val="00D23685"/>
    <w:rsid w:val="00D23D11"/>
    <w:rsid w:val="00D244B6"/>
    <w:rsid w:val="00D24899"/>
    <w:rsid w:val="00D259A5"/>
    <w:rsid w:val="00D26E23"/>
    <w:rsid w:val="00D27036"/>
    <w:rsid w:val="00D2754D"/>
    <w:rsid w:val="00D27B27"/>
    <w:rsid w:val="00D30D5B"/>
    <w:rsid w:val="00D30D99"/>
    <w:rsid w:val="00D32370"/>
    <w:rsid w:val="00D33BE9"/>
    <w:rsid w:val="00D33F93"/>
    <w:rsid w:val="00D34C47"/>
    <w:rsid w:val="00D357FF"/>
    <w:rsid w:val="00D3651E"/>
    <w:rsid w:val="00D371F6"/>
    <w:rsid w:val="00D379B2"/>
    <w:rsid w:val="00D410E4"/>
    <w:rsid w:val="00D41AE3"/>
    <w:rsid w:val="00D4239A"/>
    <w:rsid w:val="00D424C7"/>
    <w:rsid w:val="00D43B2A"/>
    <w:rsid w:val="00D43CBB"/>
    <w:rsid w:val="00D43CF1"/>
    <w:rsid w:val="00D43D83"/>
    <w:rsid w:val="00D44F1B"/>
    <w:rsid w:val="00D455B5"/>
    <w:rsid w:val="00D4601E"/>
    <w:rsid w:val="00D46ADC"/>
    <w:rsid w:val="00D47575"/>
    <w:rsid w:val="00D47EC9"/>
    <w:rsid w:val="00D50459"/>
    <w:rsid w:val="00D5243B"/>
    <w:rsid w:val="00D530DD"/>
    <w:rsid w:val="00D533EC"/>
    <w:rsid w:val="00D534D0"/>
    <w:rsid w:val="00D56807"/>
    <w:rsid w:val="00D56A95"/>
    <w:rsid w:val="00D56F48"/>
    <w:rsid w:val="00D5783D"/>
    <w:rsid w:val="00D60191"/>
    <w:rsid w:val="00D6076E"/>
    <w:rsid w:val="00D61C20"/>
    <w:rsid w:val="00D62790"/>
    <w:rsid w:val="00D63871"/>
    <w:rsid w:val="00D63C7B"/>
    <w:rsid w:val="00D643ED"/>
    <w:rsid w:val="00D64CB9"/>
    <w:rsid w:val="00D660E4"/>
    <w:rsid w:val="00D6615B"/>
    <w:rsid w:val="00D6774C"/>
    <w:rsid w:val="00D67BBF"/>
    <w:rsid w:val="00D7077B"/>
    <w:rsid w:val="00D70F16"/>
    <w:rsid w:val="00D710BF"/>
    <w:rsid w:val="00D72147"/>
    <w:rsid w:val="00D72617"/>
    <w:rsid w:val="00D72F57"/>
    <w:rsid w:val="00D73AC7"/>
    <w:rsid w:val="00D74073"/>
    <w:rsid w:val="00D74712"/>
    <w:rsid w:val="00D76A44"/>
    <w:rsid w:val="00D7702E"/>
    <w:rsid w:val="00D774EA"/>
    <w:rsid w:val="00D777D1"/>
    <w:rsid w:val="00D77942"/>
    <w:rsid w:val="00D8027A"/>
    <w:rsid w:val="00D8046E"/>
    <w:rsid w:val="00D80841"/>
    <w:rsid w:val="00D80A7E"/>
    <w:rsid w:val="00D811D4"/>
    <w:rsid w:val="00D81409"/>
    <w:rsid w:val="00D815EF"/>
    <w:rsid w:val="00D81949"/>
    <w:rsid w:val="00D81F26"/>
    <w:rsid w:val="00D8210B"/>
    <w:rsid w:val="00D822E2"/>
    <w:rsid w:val="00D82B32"/>
    <w:rsid w:val="00D83314"/>
    <w:rsid w:val="00D83DF0"/>
    <w:rsid w:val="00D83F29"/>
    <w:rsid w:val="00D843F2"/>
    <w:rsid w:val="00D8507E"/>
    <w:rsid w:val="00D850D5"/>
    <w:rsid w:val="00D85520"/>
    <w:rsid w:val="00D85FA3"/>
    <w:rsid w:val="00D86231"/>
    <w:rsid w:val="00D86CF4"/>
    <w:rsid w:val="00D879B3"/>
    <w:rsid w:val="00D90FC5"/>
    <w:rsid w:val="00D912AB"/>
    <w:rsid w:val="00D91923"/>
    <w:rsid w:val="00D9284D"/>
    <w:rsid w:val="00D93753"/>
    <w:rsid w:val="00D94D3A"/>
    <w:rsid w:val="00D963FC"/>
    <w:rsid w:val="00D965AB"/>
    <w:rsid w:val="00D96E16"/>
    <w:rsid w:val="00DA02DA"/>
    <w:rsid w:val="00DA0EB7"/>
    <w:rsid w:val="00DA230C"/>
    <w:rsid w:val="00DA3167"/>
    <w:rsid w:val="00DA392B"/>
    <w:rsid w:val="00DA4DC3"/>
    <w:rsid w:val="00DA5287"/>
    <w:rsid w:val="00DA77A5"/>
    <w:rsid w:val="00DB0020"/>
    <w:rsid w:val="00DB0E36"/>
    <w:rsid w:val="00DB1B04"/>
    <w:rsid w:val="00DB2452"/>
    <w:rsid w:val="00DB2CD1"/>
    <w:rsid w:val="00DB2D4F"/>
    <w:rsid w:val="00DB3DBF"/>
    <w:rsid w:val="00DB3F88"/>
    <w:rsid w:val="00DB484F"/>
    <w:rsid w:val="00DB50AA"/>
    <w:rsid w:val="00DB50E8"/>
    <w:rsid w:val="00DB7AD3"/>
    <w:rsid w:val="00DC00D0"/>
    <w:rsid w:val="00DC04F6"/>
    <w:rsid w:val="00DC0690"/>
    <w:rsid w:val="00DC1D65"/>
    <w:rsid w:val="00DC338A"/>
    <w:rsid w:val="00DC3C57"/>
    <w:rsid w:val="00DC3D94"/>
    <w:rsid w:val="00DC49E1"/>
    <w:rsid w:val="00DC5501"/>
    <w:rsid w:val="00DC5DE4"/>
    <w:rsid w:val="00DC6C05"/>
    <w:rsid w:val="00DC6C3B"/>
    <w:rsid w:val="00DC7154"/>
    <w:rsid w:val="00DC7E8A"/>
    <w:rsid w:val="00DD07C3"/>
    <w:rsid w:val="00DD0F78"/>
    <w:rsid w:val="00DD218D"/>
    <w:rsid w:val="00DD273C"/>
    <w:rsid w:val="00DD34BF"/>
    <w:rsid w:val="00DD3643"/>
    <w:rsid w:val="00DD3A19"/>
    <w:rsid w:val="00DD3F28"/>
    <w:rsid w:val="00DD4446"/>
    <w:rsid w:val="00DD4537"/>
    <w:rsid w:val="00DD4720"/>
    <w:rsid w:val="00DD4E15"/>
    <w:rsid w:val="00DD5F2F"/>
    <w:rsid w:val="00DD6187"/>
    <w:rsid w:val="00DD73C6"/>
    <w:rsid w:val="00DD7924"/>
    <w:rsid w:val="00DD7BE3"/>
    <w:rsid w:val="00DD7C85"/>
    <w:rsid w:val="00DE0526"/>
    <w:rsid w:val="00DE2304"/>
    <w:rsid w:val="00DE2749"/>
    <w:rsid w:val="00DE2E1E"/>
    <w:rsid w:val="00DE30BD"/>
    <w:rsid w:val="00DE3138"/>
    <w:rsid w:val="00DE37F8"/>
    <w:rsid w:val="00DE4273"/>
    <w:rsid w:val="00DE4F16"/>
    <w:rsid w:val="00DE4FCB"/>
    <w:rsid w:val="00DE5659"/>
    <w:rsid w:val="00DE5D07"/>
    <w:rsid w:val="00DE6926"/>
    <w:rsid w:val="00DE72A7"/>
    <w:rsid w:val="00DE74C2"/>
    <w:rsid w:val="00DE7832"/>
    <w:rsid w:val="00DF1893"/>
    <w:rsid w:val="00DF18FC"/>
    <w:rsid w:val="00DF1C4C"/>
    <w:rsid w:val="00DF2286"/>
    <w:rsid w:val="00DF2480"/>
    <w:rsid w:val="00DF35E3"/>
    <w:rsid w:val="00DF3E24"/>
    <w:rsid w:val="00DF5504"/>
    <w:rsid w:val="00DF5616"/>
    <w:rsid w:val="00DF5D2B"/>
    <w:rsid w:val="00DF60DC"/>
    <w:rsid w:val="00DF6276"/>
    <w:rsid w:val="00DF6341"/>
    <w:rsid w:val="00E004B0"/>
    <w:rsid w:val="00E0056B"/>
    <w:rsid w:val="00E00C25"/>
    <w:rsid w:val="00E00E8E"/>
    <w:rsid w:val="00E0144E"/>
    <w:rsid w:val="00E015D1"/>
    <w:rsid w:val="00E027A2"/>
    <w:rsid w:val="00E029BA"/>
    <w:rsid w:val="00E02AB5"/>
    <w:rsid w:val="00E03526"/>
    <w:rsid w:val="00E03ABD"/>
    <w:rsid w:val="00E047C5"/>
    <w:rsid w:val="00E04A4F"/>
    <w:rsid w:val="00E05630"/>
    <w:rsid w:val="00E05B63"/>
    <w:rsid w:val="00E067C7"/>
    <w:rsid w:val="00E06DBB"/>
    <w:rsid w:val="00E07B28"/>
    <w:rsid w:val="00E10149"/>
    <w:rsid w:val="00E1064C"/>
    <w:rsid w:val="00E10C1B"/>
    <w:rsid w:val="00E11340"/>
    <w:rsid w:val="00E11D17"/>
    <w:rsid w:val="00E122A1"/>
    <w:rsid w:val="00E12819"/>
    <w:rsid w:val="00E12E93"/>
    <w:rsid w:val="00E13371"/>
    <w:rsid w:val="00E144A7"/>
    <w:rsid w:val="00E153DA"/>
    <w:rsid w:val="00E15B48"/>
    <w:rsid w:val="00E16372"/>
    <w:rsid w:val="00E1657E"/>
    <w:rsid w:val="00E16AD8"/>
    <w:rsid w:val="00E17B83"/>
    <w:rsid w:val="00E17FFA"/>
    <w:rsid w:val="00E20E4D"/>
    <w:rsid w:val="00E20ED6"/>
    <w:rsid w:val="00E21358"/>
    <w:rsid w:val="00E21732"/>
    <w:rsid w:val="00E2188C"/>
    <w:rsid w:val="00E2249B"/>
    <w:rsid w:val="00E22A0D"/>
    <w:rsid w:val="00E24116"/>
    <w:rsid w:val="00E2441C"/>
    <w:rsid w:val="00E244F6"/>
    <w:rsid w:val="00E24E62"/>
    <w:rsid w:val="00E258DB"/>
    <w:rsid w:val="00E26F3C"/>
    <w:rsid w:val="00E2771E"/>
    <w:rsid w:val="00E311EF"/>
    <w:rsid w:val="00E32180"/>
    <w:rsid w:val="00E321EA"/>
    <w:rsid w:val="00E32513"/>
    <w:rsid w:val="00E33737"/>
    <w:rsid w:val="00E33A6F"/>
    <w:rsid w:val="00E3431A"/>
    <w:rsid w:val="00E34948"/>
    <w:rsid w:val="00E3677A"/>
    <w:rsid w:val="00E369F7"/>
    <w:rsid w:val="00E3745E"/>
    <w:rsid w:val="00E37569"/>
    <w:rsid w:val="00E37571"/>
    <w:rsid w:val="00E401B2"/>
    <w:rsid w:val="00E40A83"/>
    <w:rsid w:val="00E41E30"/>
    <w:rsid w:val="00E42F73"/>
    <w:rsid w:val="00E43526"/>
    <w:rsid w:val="00E4394A"/>
    <w:rsid w:val="00E43D70"/>
    <w:rsid w:val="00E44C12"/>
    <w:rsid w:val="00E45A50"/>
    <w:rsid w:val="00E466F3"/>
    <w:rsid w:val="00E46F1D"/>
    <w:rsid w:val="00E475EC"/>
    <w:rsid w:val="00E47B2C"/>
    <w:rsid w:val="00E5046C"/>
    <w:rsid w:val="00E510BB"/>
    <w:rsid w:val="00E51560"/>
    <w:rsid w:val="00E51821"/>
    <w:rsid w:val="00E51FD4"/>
    <w:rsid w:val="00E52049"/>
    <w:rsid w:val="00E524C2"/>
    <w:rsid w:val="00E53716"/>
    <w:rsid w:val="00E53FC8"/>
    <w:rsid w:val="00E54347"/>
    <w:rsid w:val="00E54A08"/>
    <w:rsid w:val="00E55424"/>
    <w:rsid w:val="00E556A6"/>
    <w:rsid w:val="00E55915"/>
    <w:rsid w:val="00E5595F"/>
    <w:rsid w:val="00E55A39"/>
    <w:rsid w:val="00E55BB5"/>
    <w:rsid w:val="00E574B5"/>
    <w:rsid w:val="00E578EC"/>
    <w:rsid w:val="00E60E7B"/>
    <w:rsid w:val="00E611DF"/>
    <w:rsid w:val="00E632D4"/>
    <w:rsid w:val="00E643DE"/>
    <w:rsid w:val="00E64AE1"/>
    <w:rsid w:val="00E6564E"/>
    <w:rsid w:val="00E656AB"/>
    <w:rsid w:val="00E65E79"/>
    <w:rsid w:val="00E667E7"/>
    <w:rsid w:val="00E66BA2"/>
    <w:rsid w:val="00E6709D"/>
    <w:rsid w:val="00E6721C"/>
    <w:rsid w:val="00E67416"/>
    <w:rsid w:val="00E7062D"/>
    <w:rsid w:val="00E709A4"/>
    <w:rsid w:val="00E709AF"/>
    <w:rsid w:val="00E715DE"/>
    <w:rsid w:val="00E718B6"/>
    <w:rsid w:val="00E723BA"/>
    <w:rsid w:val="00E7247A"/>
    <w:rsid w:val="00E7315D"/>
    <w:rsid w:val="00E73581"/>
    <w:rsid w:val="00E7518A"/>
    <w:rsid w:val="00E76AF1"/>
    <w:rsid w:val="00E80B1D"/>
    <w:rsid w:val="00E817A9"/>
    <w:rsid w:val="00E82F6C"/>
    <w:rsid w:val="00E833F7"/>
    <w:rsid w:val="00E83BDF"/>
    <w:rsid w:val="00E86FCC"/>
    <w:rsid w:val="00E87A1D"/>
    <w:rsid w:val="00E87D05"/>
    <w:rsid w:val="00E905AB"/>
    <w:rsid w:val="00E9094A"/>
    <w:rsid w:val="00E90D1E"/>
    <w:rsid w:val="00E91B1B"/>
    <w:rsid w:val="00E91D35"/>
    <w:rsid w:val="00E926A5"/>
    <w:rsid w:val="00E92EED"/>
    <w:rsid w:val="00E93438"/>
    <w:rsid w:val="00E9360F"/>
    <w:rsid w:val="00E962CC"/>
    <w:rsid w:val="00E969E3"/>
    <w:rsid w:val="00E970BD"/>
    <w:rsid w:val="00E97A13"/>
    <w:rsid w:val="00EA126C"/>
    <w:rsid w:val="00EA17C3"/>
    <w:rsid w:val="00EA1A18"/>
    <w:rsid w:val="00EA1A6A"/>
    <w:rsid w:val="00EA1EDA"/>
    <w:rsid w:val="00EA2CAA"/>
    <w:rsid w:val="00EA3864"/>
    <w:rsid w:val="00EA3909"/>
    <w:rsid w:val="00EA3B39"/>
    <w:rsid w:val="00EA3FEE"/>
    <w:rsid w:val="00EA53A2"/>
    <w:rsid w:val="00EA5779"/>
    <w:rsid w:val="00EA69B9"/>
    <w:rsid w:val="00EA6D34"/>
    <w:rsid w:val="00EA7F1C"/>
    <w:rsid w:val="00EB0B28"/>
    <w:rsid w:val="00EB0FDA"/>
    <w:rsid w:val="00EB15B6"/>
    <w:rsid w:val="00EB1CA5"/>
    <w:rsid w:val="00EB30EA"/>
    <w:rsid w:val="00EB3990"/>
    <w:rsid w:val="00EB3C24"/>
    <w:rsid w:val="00EB3D06"/>
    <w:rsid w:val="00EB4916"/>
    <w:rsid w:val="00EB5F43"/>
    <w:rsid w:val="00EB7953"/>
    <w:rsid w:val="00EB7D25"/>
    <w:rsid w:val="00EC00C9"/>
    <w:rsid w:val="00EC013E"/>
    <w:rsid w:val="00EC0DD9"/>
    <w:rsid w:val="00EC2163"/>
    <w:rsid w:val="00EC25D6"/>
    <w:rsid w:val="00EC2649"/>
    <w:rsid w:val="00EC31ED"/>
    <w:rsid w:val="00EC37B6"/>
    <w:rsid w:val="00EC3DBC"/>
    <w:rsid w:val="00EC4438"/>
    <w:rsid w:val="00EC4801"/>
    <w:rsid w:val="00EC5836"/>
    <w:rsid w:val="00EC688C"/>
    <w:rsid w:val="00EC6D93"/>
    <w:rsid w:val="00EC7B39"/>
    <w:rsid w:val="00EC7B8D"/>
    <w:rsid w:val="00EC7BFA"/>
    <w:rsid w:val="00EC7FEF"/>
    <w:rsid w:val="00ED080B"/>
    <w:rsid w:val="00ED091C"/>
    <w:rsid w:val="00ED12E3"/>
    <w:rsid w:val="00ED2899"/>
    <w:rsid w:val="00ED2D82"/>
    <w:rsid w:val="00ED36AA"/>
    <w:rsid w:val="00ED3967"/>
    <w:rsid w:val="00ED49EE"/>
    <w:rsid w:val="00ED4B04"/>
    <w:rsid w:val="00ED57EA"/>
    <w:rsid w:val="00ED5896"/>
    <w:rsid w:val="00ED5BD4"/>
    <w:rsid w:val="00EE07D3"/>
    <w:rsid w:val="00EE09EF"/>
    <w:rsid w:val="00EE13EE"/>
    <w:rsid w:val="00EE1996"/>
    <w:rsid w:val="00EE1C01"/>
    <w:rsid w:val="00EE22AF"/>
    <w:rsid w:val="00EE23B7"/>
    <w:rsid w:val="00EE244F"/>
    <w:rsid w:val="00EE26AC"/>
    <w:rsid w:val="00EE383B"/>
    <w:rsid w:val="00EE422B"/>
    <w:rsid w:val="00EE4B24"/>
    <w:rsid w:val="00EE536A"/>
    <w:rsid w:val="00EE5C4F"/>
    <w:rsid w:val="00EE5DB2"/>
    <w:rsid w:val="00EE6CEC"/>
    <w:rsid w:val="00EE7C13"/>
    <w:rsid w:val="00EF0171"/>
    <w:rsid w:val="00EF0D10"/>
    <w:rsid w:val="00EF0F00"/>
    <w:rsid w:val="00EF19B0"/>
    <w:rsid w:val="00EF1B25"/>
    <w:rsid w:val="00EF1DA0"/>
    <w:rsid w:val="00EF4747"/>
    <w:rsid w:val="00EF4BF8"/>
    <w:rsid w:val="00EF4C13"/>
    <w:rsid w:val="00EF5446"/>
    <w:rsid w:val="00EF5872"/>
    <w:rsid w:val="00EF681B"/>
    <w:rsid w:val="00EF6D5E"/>
    <w:rsid w:val="00EF7159"/>
    <w:rsid w:val="00F00382"/>
    <w:rsid w:val="00F00974"/>
    <w:rsid w:val="00F01728"/>
    <w:rsid w:val="00F02253"/>
    <w:rsid w:val="00F02812"/>
    <w:rsid w:val="00F02A1B"/>
    <w:rsid w:val="00F0367A"/>
    <w:rsid w:val="00F03C2E"/>
    <w:rsid w:val="00F03DE0"/>
    <w:rsid w:val="00F0408C"/>
    <w:rsid w:val="00F044AA"/>
    <w:rsid w:val="00F04A66"/>
    <w:rsid w:val="00F04B4B"/>
    <w:rsid w:val="00F0516C"/>
    <w:rsid w:val="00F05444"/>
    <w:rsid w:val="00F063A3"/>
    <w:rsid w:val="00F063C7"/>
    <w:rsid w:val="00F064D6"/>
    <w:rsid w:val="00F067A2"/>
    <w:rsid w:val="00F067FE"/>
    <w:rsid w:val="00F06FFD"/>
    <w:rsid w:val="00F07B9E"/>
    <w:rsid w:val="00F100A1"/>
    <w:rsid w:val="00F1116F"/>
    <w:rsid w:val="00F114C8"/>
    <w:rsid w:val="00F1232B"/>
    <w:rsid w:val="00F1263A"/>
    <w:rsid w:val="00F1278A"/>
    <w:rsid w:val="00F133B5"/>
    <w:rsid w:val="00F139C5"/>
    <w:rsid w:val="00F13CF2"/>
    <w:rsid w:val="00F147E0"/>
    <w:rsid w:val="00F14D0C"/>
    <w:rsid w:val="00F15B77"/>
    <w:rsid w:val="00F17562"/>
    <w:rsid w:val="00F17CA2"/>
    <w:rsid w:val="00F201DE"/>
    <w:rsid w:val="00F208D2"/>
    <w:rsid w:val="00F21236"/>
    <w:rsid w:val="00F21704"/>
    <w:rsid w:val="00F21ABC"/>
    <w:rsid w:val="00F2201B"/>
    <w:rsid w:val="00F22077"/>
    <w:rsid w:val="00F2221A"/>
    <w:rsid w:val="00F239DF"/>
    <w:rsid w:val="00F24837"/>
    <w:rsid w:val="00F2575F"/>
    <w:rsid w:val="00F2659D"/>
    <w:rsid w:val="00F27565"/>
    <w:rsid w:val="00F27D81"/>
    <w:rsid w:val="00F30992"/>
    <w:rsid w:val="00F310D4"/>
    <w:rsid w:val="00F31295"/>
    <w:rsid w:val="00F31D5A"/>
    <w:rsid w:val="00F338EB"/>
    <w:rsid w:val="00F33975"/>
    <w:rsid w:val="00F33DE9"/>
    <w:rsid w:val="00F342EE"/>
    <w:rsid w:val="00F34D10"/>
    <w:rsid w:val="00F3507D"/>
    <w:rsid w:val="00F351F7"/>
    <w:rsid w:val="00F3543F"/>
    <w:rsid w:val="00F35810"/>
    <w:rsid w:val="00F35E6D"/>
    <w:rsid w:val="00F3619A"/>
    <w:rsid w:val="00F364F4"/>
    <w:rsid w:val="00F370B4"/>
    <w:rsid w:val="00F375BD"/>
    <w:rsid w:val="00F37EDD"/>
    <w:rsid w:val="00F40AAA"/>
    <w:rsid w:val="00F40BA7"/>
    <w:rsid w:val="00F40F9D"/>
    <w:rsid w:val="00F41ACD"/>
    <w:rsid w:val="00F43415"/>
    <w:rsid w:val="00F43877"/>
    <w:rsid w:val="00F44D8F"/>
    <w:rsid w:val="00F4507F"/>
    <w:rsid w:val="00F463A7"/>
    <w:rsid w:val="00F46CB6"/>
    <w:rsid w:val="00F470D7"/>
    <w:rsid w:val="00F4756D"/>
    <w:rsid w:val="00F47759"/>
    <w:rsid w:val="00F47DE8"/>
    <w:rsid w:val="00F51696"/>
    <w:rsid w:val="00F51F01"/>
    <w:rsid w:val="00F52B4F"/>
    <w:rsid w:val="00F52C9C"/>
    <w:rsid w:val="00F532FA"/>
    <w:rsid w:val="00F542C1"/>
    <w:rsid w:val="00F54952"/>
    <w:rsid w:val="00F54D16"/>
    <w:rsid w:val="00F550E3"/>
    <w:rsid w:val="00F555C9"/>
    <w:rsid w:val="00F557C7"/>
    <w:rsid w:val="00F55E73"/>
    <w:rsid w:val="00F55EDA"/>
    <w:rsid w:val="00F563EF"/>
    <w:rsid w:val="00F56C80"/>
    <w:rsid w:val="00F60092"/>
    <w:rsid w:val="00F60A55"/>
    <w:rsid w:val="00F614C0"/>
    <w:rsid w:val="00F61C18"/>
    <w:rsid w:val="00F62460"/>
    <w:rsid w:val="00F632BC"/>
    <w:rsid w:val="00F63788"/>
    <w:rsid w:val="00F64371"/>
    <w:rsid w:val="00F6455B"/>
    <w:rsid w:val="00F65D77"/>
    <w:rsid w:val="00F65F4B"/>
    <w:rsid w:val="00F66CB0"/>
    <w:rsid w:val="00F66EE4"/>
    <w:rsid w:val="00F66EFF"/>
    <w:rsid w:val="00F67794"/>
    <w:rsid w:val="00F67A12"/>
    <w:rsid w:val="00F67A69"/>
    <w:rsid w:val="00F67AB2"/>
    <w:rsid w:val="00F67E86"/>
    <w:rsid w:val="00F70547"/>
    <w:rsid w:val="00F70BFF"/>
    <w:rsid w:val="00F70C9D"/>
    <w:rsid w:val="00F72150"/>
    <w:rsid w:val="00F737B4"/>
    <w:rsid w:val="00F73AD5"/>
    <w:rsid w:val="00F73E08"/>
    <w:rsid w:val="00F74819"/>
    <w:rsid w:val="00F74CD9"/>
    <w:rsid w:val="00F75BDD"/>
    <w:rsid w:val="00F75E61"/>
    <w:rsid w:val="00F80703"/>
    <w:rsid w:val="00F80A7B"/>
    <w:rsid w:val="00F80E5D"/>
    <w:rsid w:val="00F81721"/>
    <w:rsid w:val="00F81A81"/>
    <w:rsid w:val="00F81E78"/>
    <w:rsid w:val="00F82AB4"/>
    <w:rsid w:val="00F83310"/>
    <w:rsid w:val="00F835F0"/>
    <w:rsid w:val="00F83916"/>
    <w:rsid w:val="00F84085"/>
    <w:rsid w:val="00F844D6"/>
    <w:rsid w:val="00F851CE"/>
    <w:rsid w:val="00F8590C"/>
    <w:rsid w:val="00F90D3E"/>
    <w:rsid w:val="00F91219"/>
    <w:rsid w:val="00F91FCF"/>
    <w:rsid w:val="00F921F8"/>
    <w:rsid w:val="00F92444"/>
    <w:rsid w:val="00F9393E"/>
    <w:rsid w:val="00F95E6B"/>
    <w:rsid w:val="00F967E4"/>
    <w:rsid w:val="00F96812"/>
    <w:rsid w:val="00F96FD0"/>
    <w:rsid w:val="00F97A78"/>
    <w:rsid w:val="00FA0054"/>
    <w:rsid w:val="00FA0B20"/>
    <w:rsid w:val="00FA24E7"/>
    <w:rsid w:val="00FA38F4"/>
    <w:rsid w:val="00FA3A07"/>
    <w:rsid w:val="00FA44AD"/>
    <w:rsid w:val="00FA58D0"/>
    <w:rsid w:val="00FA5C98"/>
    <w:rsid w:val="00FA5D60"/>
    <w:rsid w:val="00FA5EE6"/>
    <w:rsid w:val="00FA6D4F"/>
    <w:rsid w:val="00FA7956"/>
    <w:rsid w:val="00FA7B49"/>
    <w:rsid w:val="00FB0824"/>
    <w:rsid w:val="00FB0D4F"/>
    <w:rsid w:val="00FB16FA"/>
    <w:rsid w:val="00FB17B0"/>
    <w:rsid w:val="00FB29C3"/>
    <w:rsid w:val="00FB2CB9"/>
    <w:rsid w:val="00FB2FCB"/>
    <w:rsid w:val="00FB3329"/>
    <w:rsid w:val="00FB3E27"/>
    <w:rsid w:val="00FB4291"/>
    <w:rsid w:val="00FB4387"/>
    <w:rsid w:val="00FB4AE7"/>
    <w:rsid w:val="00FB4C9C"/>
    <w:rsid w:val="00FB56C6"/>
    <w:rsid w:val="00FB5BFA"/>
    <w:rsid w:val="00FB6515"/>
    <w:rsid w:val="00FB790B"/>
    <w:rsid w:val="00FB7AE9"/>
    <w:rsid w:val="00FB7C55"/>
    <w:rsid w:val="00FC0DF7"/>
    <w:rsid w:val="00FC101C"/>
    <w:rsid w:val="00FC1074"/>
    <w:rsid w:val="00FC1269"/>
    <w:rsid w:val="00FC1557"/>
    <w:rsid w:val="00FC1884"/>
    <w:rsid w:val="00FC1EDF"/>
    <w:rsid w:val="00FC317C"/>
    <w:rsid w:val="00FC33F8"/>
    <w:rsid w:val="00FC371D"/>
    <w:rsid w:val="00FC550D"/>
    <w:rsid w:val="00FC5552"/>
    <w:rsid w:val="00FC580C"/>
    <w:rsid w:val="00FC5BF7"/>
    <w:rsid w:val="00FC5F0B"/>
    <w:rsid w:val="00FC6331"/>
    <w:rsid w:val="00FC66C9"/>
    <w:rsid w:val="00FC6AA7"/>
    <w:rsid w:val="00FC7C8B"/>
    <w:rsid w:val="00FD143B"/>
    <w:rsid w:val="00FD1D87"/>
    <w:rsid w:val="00FD2100"/>
    <w:rsid w:val="00FD2470"/>
    <w:rsid w:val="00FD269C"/>
    <w:rsid w:val="00FD27B9"/>
    <w:rsid w:val="00FD3A03"/>
    <w:rsid w:val="00FD4055"/>
    <w:rsid w:val="00FD436C"/>
    <w:rsid w:val="00FD446D"/>
    <w:rsid w:val="00FD4649"/>
    <w:rsid w:val="00FD4ED6"/>
    <w:rsid w:val="00FD4F2C"/>
    <w:rsid w:val="00FD5523"/>
    <w:rsid w:val="00FD57CA"/>
    <w:rsid w:val="00FD6309"/>
    <w:rsid w:val="00FD6394"/>
    <w:rsid w:val="00FD6BCA"/>
    <w:rsid w:val="00FD7A01"/>
    <w:rsid w:val="00FD7DF6"/>
    <w:rsid w:val="00FE052F"/>
    <w:rsid w:val="00FE0E6C"/>
    <w:rsid w:val="00FE1CDC"/>
    <w:rsid w:val="00FE307A"/>
    <w:rsid w:val="00FE3188"/>
    <w:rsid w:val="00FE3BF1"/>
    <w:rsid w:val="00FE3DFC"/>
    <w:rsid w:val="00FE42B4"/>
    <w:rsid w:val="00FE5490"/>
    <w:rsid w:val="00FE5CF0"/>
    <w:rsid w:val="00FE5E75"/>
    <w:rsid w:val="00FE70C3"/>
    <w:rsid w:val="00FF0465"/>
    <w:rsid w:val="00FF064F"/>
    <w:rsid w:val="00FF0DF6"/>
    <w:rsid w:val="00FF1A8B"/>
    <w:rsid w:val="00FF1D9D"/>
    <w:rsid w:val="00FF20A8"/>
    <w:rsid w:val="00FF28D3"/>
    <w:rsid w:val="00FF2AD9"/>
    <w:rsid w:val="00FF359F"/>
    <w:rsid w:val="00FF3DCF"/>
    <w:rsid w:val="00FF401A"/>
    <w:rsid w:val="00FF4237"/>
    <w:rsid w:val="00FF4762"/>
    <w:rsid w:val="00FF492C"/>
    <w:rsid w:val="00FF4A21"/>
    <w:rsid w:val="00FF5647"/>
    <w:rsid w:val="00FF5961"/>
    <w:rsid w:val="00FF5A95"/>
    <w:rsid w:val="00FF5AA3"/>
    <w:rsid w:val="00FF5AD8"/>
    <w:rsid w:val="00FF5C6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438"/>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pPr>
      <w:ind w:left="1134"/>
    </w:pPr>
  </w:style>
  <w:style w:type="paragraph" w:customStyle="1" w:styleId="COMexecsummmainissuesbullets">
    <w:name w:val="COM exec summ main issues bullets"/>
    <w:basedOn w:val="ListParagraph"/>
    <w:link w:val="COMexecsummmainissuesbulletsChar"/>
    <w:qFormat/>
    <w:rsid w:val="00023AB6"/>
    <w:pPr>
      <w:numPr>
        <w:numId w:val="6"/>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10CFD"/>
    <w:pPr>
      <w:keepNext/>
      <w:spacing w:after="240"/>
    </w:pPr>
    <w:rPr>
      <w:b/>
      <w:iCs/>
      <w:sz w:val="28"/>
    </w:rPr>
  </w:style>
  <w:style w:type="paragraph" w:styleId="ListParagraph">
    <w:name w:val="List Paragraph"/>
    <w:aliases w:val="Bullet List,Table Legend,Bullet1,Bullet 1,Section 5,Numbered para,BulletPoints,Styl moj,Akapit z listą11,List Paragraph1,Bullet point,List Paragraph11,Recommendation,L,Bullet Point,Bulletr List Paragraph,Content descriptions,FooterTex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Bullet List Char,Table Legend Char,Bullet1 Char,Bullet 1 Char,Section 5 Char,Numbered para Char,BulletPoints Char,Styl moj Char,Akapit z listą11 Char,List Paragraph1 Char,Bullet point Char,List Paragraph11 Char,Recommendation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Lash Style Table,PBAC table,new style,MSD Table Grid,HTAtableplain,Tabellengitternetz 9pt"/>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983847"/>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A7210C"/>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10CFD"/>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5"/>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1"/>
      </w:numPr>
      <w:ind w:left="720" w:hanging="720"/>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paragraph" w:styleId="Header">
    <w:name w:val="header"/>
    <w:basedOn w:val="Normal"/>
    <w:link w:val="HeaderChar"/>
    <w:unhideWhenUsed/>
    <w:qFormat/>
    <w:rsid w:val="00142FF5"/>
    <w:pPr>
      <w:tabs>
        <w:tab w:val="center" w:pos="4513"/>
        <w:tab w:val="right" w:pos="9026"/>
      </w:tabs>
    </w:pPr>
  </w:style>
  <w:style w:type="character" w:customStyle="1" w:styleId="HeaderChar">
    <w:name w:val="Header Char"/>
    <w:basedOn w:val="DefaultParagraphFont"/>
    <w:link w:val="Header"/>
    <w:rsid w:val="00142FF5"/>
    <w:rPr>
      <w:rFonts w:ascii="Calibri" w:hAnsi="Calibri" w:cs="Arial"/>
      <w:sz w:val="24"/>
      <w:szCs w:val="24"/>
    </w:rPr>
  </w:style>
  <w:style w:type="paragraph" w:styleId="Footer">
    <w:name w:val="footer"/>
    <w:basedOn w:val="Normal"/>
    <w:link w:val="FooterChar"/>
    <w:uiPriority w:val="99"/>
    <w:unhideWhenUsed/>
    <w:rsid w:val="00142FF5"/>
    <w:pPr>
      <w:tabs>
        <w:tab w:val="center" w:pos="4513"/>
        <w:tab w:val="right" w:pos="9026"/>
      </w:tabs>
    </w:pPr>
  </w:style>
  <w:style w:type="character" w:customStyle="1" w:styleId="FooterChar">
    <w:name w:val="Footer Char"/>
    <w:basedOn w:val="DefaultParagraphFont"/>
    <w:link w:val="Footer"/>
    <w:uiPriority w:val="99"/>
    <w:rsid w:val="00142FF5"/>
    <w:rPr>
      <w:rFonts w:ascii="Calibri" w:hAnsi="Calibri" w:cs="Arial"/>
      <w:sz w:val="24"/>
      <w:szCs w:val="24"/>
    </w:rPr>
  </w:style>
  <w:style w:type="paragraph" w:customStyle="1" w:styleId="TableText">
    <w:name w:val="Table Text"/>
    <w:link w:val="TableTextChar"/>
    <w:qFormat/>
    <w:rsid w:val="00091281"/>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091281"/>
    <w:rPr>
      <w:rFonts w:ascii="Arial Narrow" w:eastAsiaTheme="majorEastAsia" w:hAnsi="Arial Narrow" w:cstheme="majorBidi"/>
      <w:bCs/>
      <w:szCs w:val="24"/>
    </w:rPr>
  </w:style>
  <w:style w:type="paragraph" w:customStyle="1" w:styleId="4-SubsectSubhead">
    <w:name w:val="4-Subsect Subhead"/>
    <w:basedOn w:val="Heading3"/>
    <w:next w:val="Normal"/>
    <w:link w:val="4-SubsectSubheadChar"/>
    <w:qFormat/>
    <w:rsid w:val="00091281"/>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091281"/>
    <w:rPr>
      <w:rFonts w:asciiTheme="minorHAnsi" w:eastAsiaTheme="majorEastAsia" w:hAnsiTheme="minorHAnsi" w:cstheme="majorBidi"/>
      <w:b/>
      <w:color w:val="000000" w:themeColor="text1"/>
      <w:sz w:val="28"/>
      <w:szCs w:val="28"/>
    </w:rPr>
  </w:style>
  <w:style w:type="paragraph" w:styleId="Caption">
    <w:name w:val="caption"/>
    <w:aliases w:val="Caption Char1,Caption Char Char,Figure heading,legend,Lengende,表タイトル,Caption PRIMA,Caption SYNEVi,Bayer Caption,IB Caption,Medical Caption,Bayer,Bayer Caption1,IB Caption1,Medical Caption1,Bayer Caption2,IB Caption2,Medical Caption2"/>
    <w:basedOn w:val="Normal"/>
    <w:next w:val="Normal"/>
    <w:link w:val="CaptionChar"/>
    <w:qFormat/>
    <w:rsid w:val="00721581"/>
    <w:pPr>
      <w:keepNext/>
      <w:tabs>
        <w:tab w:val="left" w:pos="1701"/>
      </w:tabs>
      <w:spacing w:before="180" w:after="120" w:line="276" w:lineRule="auto"/>
      <w:ind w:left="1701" w:hanging="1701"/>
      <w:jc w:val="left"/>
      <w:outlineLvl w:val="2"/>
    </w:pPr>
    <w:rPr>
      <w:rFonts w:ascii="Arial" w:eastAsia="TimesNewRoman" w:hAnsi="Arial" w:cs="Times New Roman"/>
      <w:b/>
      <w:bCs/>
      <w:sz w:val="22"/>
      <w:szCs w:val="20"/>
    </w:rPr>
  </w:style>
  <w:style w:type="character" w:customStyle="1" w:styleId="CaptionChar">
    <w:name w:val="Caption Char"/>
    <w:aliases w:val="Caption Char1 Char,Caption Char Char Char,Figure heading Char,legend Char,Lengende Char,表タイトル Char,Caption PRIMA Char,Caption SYNEVi Char,Bayer Caption Char,IB Caption Char,Medical Caption Char,Bayer Char,Bayer Caption1 Char"/>
    <w:link w:val="Caption"/>
    <w:uiPriority w:val="35"/>
    <w:rsid w:val="00721581"/>
    <w:rPr>
      <w:rFonts w:ascii="Arial" w:eastAsia="TimesNewRoman" w:hAnsi="Arial"/>
      <w:b/>
      <w:bCs/>
      <w:sz w:val="22"/>
    </w:rPr>
  </w:style>
  <w:style w:type="paragraph" w:customStyle="1" w:styleId="Default">
    <w:name w:val="Default"/>
    <w:rsid w:val="00BE1914"/>
    <w:pPr>
      <w:autoSpaceDE w:val="0"/>
      <w:autoSpaceDN w:val="0"/>
      <w:adjustRightInd w:val="0"/>
    </w:pPr>
    <w:rPr>
      <w:rFonts w:ascii="Cambria" w:hAnsi="Cambria" w:cs="Cambria"/>
      <w:color w:val="000000"/>
      <w:sz w:val="24"/>
      <w:szCs w:val="24"/>
    </w:rPr>
  </w:style>
  <w:style w:type="paragraph" w:customStyle="1" w:styleId="MainBodyText">
    <w:name w:val="Main Body Text"/>
    <w:basedOn w:val="Normal"/>
    <w:link w:val="MainBodyTextChar"/>
    <w:rsid w:val="002B6475"/>
    <w:pPr>
      <w:spacing w:after="200" w:line="276" w:lineRule="auto"/>
    </w:pPr>
    <w:rPr>
      <w:rFonts w:ascii="Arial" w:eastAsia="TimesNewRoman" w:hAnsi="Arial" w:cs="Times New Roman"/>
      <w:sz w:val="22"/>
      <w:szCs w:val="22"/>
    </w:rPr>
  </w:style>
  <w:style w:type="character" w:customStyle="1" w:styleId="MainBodyTextChar">
    <w:name w:val="Main Body Text Char"/>
    <w:link w:val="MainBodyText"/>
    <w:rsid w:val="002B6475"/>
    <w:rPr>
      <w:rFonts w:ascii="Arial" w:eastAsia="TimesNewRoman" w:hAnsi="Arial"/>
      <w:sz w:val="22"/>
      <w:szCs w:val="22"/>
    </w:rPr>
  </w:style>
  <w:style w:type="paragraph" w:customStyle="1" w:styleId="2-SectionHeading">
    <w:name w:val="2-Section Heading"/>
    <w:qFormat/>
    <w:rsid w:val="001918A3"/>
    <w:pPr>
      <w:keepNext/>
      <w:spacing w:before="240" w:after="120"/>
      <w:ind w:left="720" w:hanging="7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qFormat/>
    <w:rsid w:val="001918A3"/>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1918A3"/>
    <w:rPr>
      <w:rFonts w:asciiTheme="minorHAnsi" w:hAnsiTheme="minorHAnsi" w:cs="Arial"/>
      <w:snapToGrid w:val="0"/>
      <w:sz w:val="24"/>
      <w:szCs w:val="24"/>
    </w:rPr>
  </w:style>
  <w:style w:type="character" w:styleId="CommentReference">
    <w:name w:val="annotation reference"/>
    <w:aliases w:val="Table Title"/>
    <w:basedOn w:val="DefaultParagraphFont"/>
    <w:uiPriority w:val="99"/>
    <w:unhideWhenUsed/>
    <w:qFormat/>
    <w:rsid w:val="001918A3"/>
    <w:rPr>
      <w:sz w:val="16"/>
      <w:szCs w:val="16"/>
    </w:rPr>
  </w:style>
  <w:style w:type="paragraph" w:customStyle="1" w:styleId="Tableheadingrow">
    <w:name w:val="Table heading row"/>
    <w:qFormat/>
    <w:rsid w:val="00337152"/>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337152"/>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337152"/>
    <w:rPr>
      <w:rFonts w:ascii="Arial Narrow" w:eastAsiaTheme="majorEastAsia" w:hAnsi="Arial Narrow" w:cstheme="majorBidi"/>
      <w:b/>
      <w:bCs/>
      <w:szCs w:val="24"/>
    </w:rPr>
  </w:style>
  <w:style w:type="paragraph" w:customStyle="1" w:styleId="TableFigureFooter">
    <w:name w:val="Table/Figure Footer"/>
    <w:basedOn w:val="Normal"/>
    <w:link w:val="TableFigureFooterChar"/>
    <w:qFormat/>
    <w:rsid w:val="00337152"/>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337152"/>
    <w:rPr>
      <w:rFonts w:ascii="Arial Narrow" w:hAnsi="Arial Narrow" w:cs="Arial"/>
      <w:snapToGrid w:val="0"/>
      <w:sz w:val="18"/>
      <w:szCs w:val="22"/>
    </w:rPr>
  </w:style>
  <w:style w:type="paragraph" w:customStyle="1" w:styleId="TableHeading">
    <w:name w:val="Table Heading"/>
    <w:basedOn w:val="Normal"/>
    <w:link w:val="TableHeadingChar"/>
    <w:qFormat/>
    <w:rsid w:val="00DD4720"/>
    <w:pPr>
      <w:keepNext/>
      <w:jc w:val="left"/>
    </w:pPr>
    <w:rPr>
      <w:rFonts w:ascii="Arial Narrow" w:eastAsiaTheme="minorHAnsi" w:hAnsi="Arial Narrow" w:cstheme="minorBidi"/>
      <w:b/>
      <w:sz w:val="20"/>
      <w:szCs w:val="22"/>
      <w:lang w:eastAsia="en-US"/>
    </w:rPr>
  </w:style>
  <w:style w:type="paragraph" w:customStyle="1" w:styleId="5-SubSubSubHead">
    <w:name w:val="5-Sub Sub Sub Head"/>
    <w:basedOn w:val="Heading4"/>
    <w:qFormat/>
    <w:rsid w:val="00F62460"/>
  </w:style>
  <w:style w:type="character" w:customStyle="1" w:styleId="TableHeadingChar">
    <w:name w:val="Table Heading Char"/>
    <w:link w:val="TableHeading"/>
    <w:rsid w:val="00F62460"/>
    <w:rPr>
      <w:rFonts w:ascii="Arial Narrow" w:eastAsiaTheme="minorHAnsi" w:hAnsi="Arial Narrow" w:cstheme="minorBidi"/>
      <w:b/>
      <w:szCs w:val="22"/>
      <w:lang w:eastAsia="en-US"/>
    </w:rPr>
  </w:style>
  <w:style w:type="paragraph" w:customStyle="1" w:styleId="TableFooter">
    <w:name w:val="Table Footer"/>
    <w:basedOn w:val="Normal"/>
    <w:link w:val="TableFooterChar"/>
    <w:qFormat/>
    <w:rsid w:val="00F62460"/>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F62460"/>
    <w:rPr>
      <w:rFonts w:ascii="Arial Narrow" w:hAnsi="Arial Narrow" w:cs="Arial"/>
      <w:snapToGrid w:val="0"/>
      <w:sz w:val="18"/>
      <w:szCs w:val="22"/>
      <w:lang w:eastAsia="en-US"/>
    </w:rPr>
  </w:style>
  <w:style w:type="character" w:styleId="Hyperlink">
    <w:name w:val="Hyperlink"/>
    <w:basedOn w:val="DefaultParagraphFont"/>
    <w:uiPriority w:val="99"/>
    <w:unhideWhenUsed/>
    <w:rsid w:val="007F03D9"/>
    <w:rPr>
      <w:color w:val="0000FF"/>
      <w:u w:val="single"/>
    </w:rPr>
  </w:style>
  <w:style w:type="paragraph" w:styleId="CommentText">
    <w:name w:val="annotation text"/>
    <w:basedOn w:val="Normal"/>
    <w:link w:val="CommentTextChar"/>
    <w:uiPriority w:val="99"/>
    <w:unhideWhenUsed/>
    <w:rsid w:val="00F73AD5"/>
    <w:rPr>
      <w:sz w:val="20"/>
      <w:szCs w:val="20"/>
    </w:rPr>
  </w:style>
  <w:style w:type="character" w:customStyle="1" w:styleId="CommentTextChar">
    <w:name w:val="Comment Text Char"/>
    <w:basedOn w:val="DefaultParagraphFont"/>
    <w:link w:val="CommentText"/>
    <w:uiPriority w:val="99"/>
    <w:rsid w:val="00F73AD5"/>
    <w:rPr>
      <w:rFonts w:ascii="Calibri" w:hAnsi="Calibri" w:cs="Arial"/>
    </w:rPr>
  </w:style>
  <w:style w:type="paragraph" w:customStyle="1" w:styleId="TableFootnotetext">
    <w:name w:val="Table Footnote text"/>
    <w:basedOn w:val="Normal"/>
    <w:autoRedefine/>
    <w:unhideWhenUsed/>
    <w:qFormat/>
    <w:rsid w:val="007511A2"/>
    <w:pPr>
      <w:spacing w:after="240"/>
      <w:contextualSpacing/>
      <w:jc w:val="left"/>
    </w:pPr>
    <w:rPr>
      <w:rFonts w:ascii="Arial Narrow" w:hAnsi="Arial Narrow" w:cstheme="minorHAnsi"/>
      <w:sz w:val="18"/>
      <w:szCs w:val="18"/>
      <w:lang w:eastAsia="en-US"/>
    </w:rPr>
  </w:style>
  <w:style w:type="paragraph" w:customStyle="1" w:styleId="Bulletpoints">
    <w:name w:val="Bullet points"/>
    <w:basedOn w:val="Normal"/>
    <w:qFormat/>
    <w:rsid w:val="003F7326"/>
    <w:pPr>
      <w:spacing w:after="120"/>
      <w:contextualSpacing/>
    </w:pPr>
    <w:rPr>
      <w:rFonts w:asciiTheme="minorHAnsi" w:hAnsiTheme="minorHAnsi"/>
      <w:snapToGrid w:val="0"/>
    </w:rPr>
  </w:style>
  <w:style w:type="paragraph" w:customStyle="1" w:styleId="Commentitalics">
    <w:name w:val="Comment (italics)"/>
    <w:basedOn w:val="Normal"/>
    <w:next w:val="Normal"/>
    <w:rsid w:val="003F7326"/>
    <w:rPr>
      <w:i/>
    </w:rPr>
  </w:style>
  <w:style w:type="paragraph" w:customStyle="1" w:styleId="1-MainHeading">
    <w:name w:val="1- Main Heading"/>
    <w:link w:val="1-MainHeadingChar"/>
    <w:qFormat/>
    <w:rsid w:val="003F732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3F7326"/>
    <w:rPr>
      <w:rFonts w:asciiTheme="minorHAnsi" w:eastAsiaTheme="majorEastAsia" w:hAnsiTheme="minorHAnsi" w:cstheme="majorBidi"/>
      <w:b/>
      <w:spacing w:val="5"/>
      <w:kern w:val="28"/>
      <w:sz w:val="36"/>
      <w:szCs w:val="36"/>
    </w:rPr>
  </w:style>
  <w:style w:type="paragraph" w:customStyle="1" w:styleId="3-SubsectionHeading">
    <w:name w:val="3-Subsection Heading"/>
    <w:basedOn w:val="Heading2"/>
    <w:next w:val="ExecSumBodyText"/>
    <w:link w:val="3-SubsectionHeadingChar"/>
    <w:qFormat/>
    <w:rsid w:val="003F7326"/>
    <w:pPr>
      <w:keepNext/>
      <w:spacing w:before="120" w:after="120"/>
      <w:jc w:val="both"/>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3F7326"/>
    <w:rPr>
      <w:rFonts w:asciiTheme="minorHAnsi" w:eastAsiaTheme="majorEastAsia" w:hAnsiTheme="minorHAnsi" w:cstheme="majorBidi"/>
      <w:b/>
      <w:i/>
      <w:spacing w:val="5"/>
      <w:kern w:val="28"/>
      <w:sz w:val="28"/>
      <w:szCs w:val="36"/>
    </w:rPr>
  </w:style>
  <w:style w:type="paragraph" w:styleId="CommentSubject">
    <w:name w:val="annotation subject"/>
    <w:basedOn w:val="CommentText"/>
    <w:next w:val="CommentText"/>
    <w:link w:val="CommentSubjectChar"/>
    <w:semiHidden/>
    <w:unhideWhenUsed/>
    <w:rsid w:val="003F7326"/>
    <w:rPr>
      <w:b/>
      <w:bCs/>
    </w:rPr>
  </w:style>
  <w:style w:type="character" w:customStyle="1" w:styleId="CommentSubjectChar">
    <w:name w:val="Comment Subject Char"/>
    <w:basedOn w:val="CommentTextChar"/>
    <w:link w:val="CommentSubject"/>
    <w:semiHidden/>
    <w:rsid w:val="003F7326"/>
    <w:rPr>
      <w:rFonts w:ascii="Calibri" w:hAnsi="Calibri" w:cs="Arial"/>
      <w:b/>
      <w:bCs/>
    </w:rPr>
  </w:style>
  <w:style w:type="paragraph" w:customStyle="1" w:styleId="TableParagraph">
    <w:name w:val="Table Paragraph"/>
    <w:basedOn w:val="Normal"/>
    <w:uiPriority w:val="1"/>
    <w:qFormat/>
    <w:rsid w:val="003F7326"/>
    <w:pPr>
      <w:widowControl w:val="0"/>
      <w:jc w:val="left"/>
    </w:pPr>
    <w:rPr>
      <w:rFonts w:asciiTheme="minorHAnsi" w:eastAsiaTheme="minorHAnsi" w:hAnsiTheme="minorHAnsi" w:cstheme="minorBidi"/>
      <w:sz w:val="22"/>
      <w:szCs w:val="22"/>
      <w:lang w:val="en-US" w:eastAsia="en-US"/>
    </w:rPr>
  </w:style>
  <w:style w:type="paragraph" w:customStyle="1" w:styleId="TableText0">
    <w:name w:val="TableText"/>
    <w:link w:val="TableTextChar0"/>
    <w:uiPriority w:val="99"/>
    <w:qFormat/>
    <w:rsid w:val="003F7326"/>
    <w:pPr>
      <w:spacing w:before="60" w:after="60"/>
    </w:pPr>
    <w:rPr>
      <w:rFonts w:ascii="Arial Narrow" w:eastAsia="Arial" w:hAnsi="Arial Narrow" w:cs="Arial"/>
      <w:sz w:val="18"/>
      <w:szCs w:val="18"/>
      <w:lang w:val="en-US" w:eastAsia="en-US"/>
    </w:rPr>
  </w:style>
  <w:style w:type="character" w:customStyle="1" w:styleId="TableTextChar0">
    <w:name w:val="TableText Char"/>
    <w:link w:val="TableText0"/>
    <w:uiPriority w:val="99"/>
    <w:rsid w:val="003F7326"/>
    <w:rPr>
      <w:rFonts w:ascii="Arial Narrow" w:eastAsia="Arial" w:hAnsi="Arial Narrow" w:cs="Arial"/>
      <w:sz w:val="18"/>
      <w:szCs w:val="18"/>
      <w:lang w:val="en-US" w:eastAsia="en-US"/>
    </w:rPr>
  </w:style>
  <w:style w:type="paragraph" w:customStyle="1" w:styleId="Section">
    <w:name w:val="Section"/>
    <w:basedOn w:val="Normal"/>
    <w:rsid w:val="003F7326"/>
    <w:pPr>
      <w:keepNext/>
      <w:tabs>
        <w:tab w:val="right" w:pos="9000"/>
      </w:tabs>
      <w:spacing w:after="160" w:line="259" w:lineRule="auto"/>
      <w:jc w:val="left"/>
      <w:outlineLvl w:val="0"/>
    </w:pPr>
    <w:rPr>
      <w:rFonts w:ascii="Arial Bold" w:eastAsiaTheme="minorHAnsi" w:hAnsi="Arial Bold" w:cstheme="minorBidi"/>
      <w:b/>
      <w:caps/>
      <w:sz w:val="32"/>
      <w:szCs w:val="32"/>
      <w:lang w:eastAsia="en-US"/>
    </w:rPr>
  </w:style>
  <w:style w:type="paragraph" w:customStyle="1" w:styleId="headinganchor">
    <w:name w:val="headinganchor"/>
    <w:basedOn w:val="Normal"/>
    <w:rsid w:val="003F7326"/>
    <w:pPr>
      <w:spacing w:before="100" w:beforeAutospacing="1" w:after="100" w:afterAutospacing="1"/>
      <w:jc w:val="left"/>
    </w:pPr>
    <w:rPr>
      <w:rFonts w:ascii="Times New Roman" w:hAnsi="Times New Roman" w:cs="Times New Roman"/>
    </w:rPr>
  </w:style>
  <w:style w:type="character" w:customStyle="1" w:styleId="h2">
    <w:name w:val="h2"/>
    <w:basedOn w:val="DefaultParagraphFont"/>
    <w:rsid w:val="003F7326"/>
  </w:style>
  <w:style w:type="character" w:customStyle="1" w:styleId="headingendmark">
    <w:name w:val="headingendmark"/>
    <w:basedOn w:val="DefaultParagraphFont"/>
    <w:rsid w:val="003F7326"/>
  </w:style>
  <w:style w:type="paragraph" w:styleId="NormalWeb">
    <w:name w:val="Normal (Web)"/>
    <w:basedOn w:val="Normal"/>
    <w:uiPriority w:val="99"/>
    <w:unhideWhenUsed/>
    <w:rsid w:val="003F7326"/>
    <w:pPr>
      <w:spacing w:before="100" w:beforeAutospacing="1" w:after="100" w:afterAutospacing="1"/>
      <w:jc w:val="left"/>
    </w:pPr>
    <w:rPr>
      <w:rFonts w:ascii="Times New Roman" w:hAnsi="Times New Roman" w:cs="Times New Roman"/>
    </w:rPr>
  </w:style>
  <w:style w:type="paragraph" w:styleId="BodyText">
    <w:name w:val="Body Text"/>
    <w:basedOn w:val="Normal"/>
    <w:link w:val="BodyTextChar"/>
    <w:uiPriority w:val="1"/>
    <w:qFormat/>
    <w:rsid w:val="003F7326"/>
    <w:pPr>
      <w:autoSpaceDE w:val="0"/>
      <w:autoSpaceDN w:val="0"/>
      <w:adjustRightInd w:val="0"/>
      <w:jc w:val="left"/>
    </w:pPr>
    <w:rPr>
      <w:rFonts w:ascii="Times New Roman" w:hAnsi="Times New Roman" w:cs="Times New Roman"/>
      <w:b/>
      <w:bCs/>
    </w:rPr>
  </w:style>
  <w:style w:type="character" w:customStyle="1" w:styleId="BodyTextChar">
    <w:name w:val="Body Text Char"/>
    <w:basedOn w:val="DefaultParagraphFont"/>
    <w:link w:val="BodyText"/>
    <w:uiPriority w:val="1"/>
    <w:rsid w:val="003F7326"/>
    <w:rPr>
      <w:b/>
      <w:bCs/>
      <w:sz w:val="24"/>
      <w:szCs w:val="24"/>
    </w:rPr>
  </w:style>
  <w:style w:type="character" w:styleId="Strong">
    <w:name w:val="Strong"/>
    <w:basedOn w:val="DefaultParagraphFont"/>
    <w:uiPriority w:val="22"/>
    <w:qFormat/>
    <w:rsid w:val="003F7326"/>
    <w:rPr>
      <w:b/>
      <w:bCs/>
    </w:rPr>
  </w:style>
  <w:style w:type="character" w:customStyle="1" w:styleId="a">
    <w:name w:val="_"/>
    <w:basedOn w:val="DefaultParagraphFont"/>
    <w:rsid w:val="003F7326"/>
  </w:style>
  <w:style w:type="paragraph" w:customStyle="1" w:styleId="Tabletext1">
    <w:name w:val="Table text"/>
    <w:basedOn w:val="Normal"/>
    <w:link w:val="TabletextChar1"/>
    <w:qFormat/>
    <w:rsid w:val="003F7326"/>
    <w:pPr>
      <w:jc w:val="left"/>
    </w:pPr>
    <w:rPr>
      <w:rFonts w:ascii="Arial Narrow" w:hAnsi="Arial Narrow" w:cs="Times New Roman"/>
      <w:sz w:val="20"/>
      <w:szCs w:val="22"/>
      <w:lang w:eastAsia="en-US"/>
    </w:rPr>
  </w:style>
  <w:style w:type="character" w:customStyle="1" w:styleId="TabletextChar1">
    <w:name w:val="Table text Char"/>
    <w:link w:val="Tabletext1"/>
    <w:rsid w:val="003F7326"/>
    <w:rPr>
      <w:rFonts w:ascii="Arial Narrow" w:hAnsi="Arial Narrow"/>
      <w:szCs w:val="22"/>
      <w:lang w:eastAsia="en-US"/>
    </w:rPr>
  </w:style>
  <w:style w:type="character" w:customStyle="1" w:styleId="FootnoteTextChar">
    <w:name w:val="Footnote Text Char"/>
    <w:basedOn w:val="DefaultParagraphFont"/>
    <w:link w:val="FootnoteText"/>
    <w:uiPriority w:val="99"/>
    <w:semiHidden/>
    <w:rsid w:val="003F7326"/>
    <w:rPr>
      <w:rFonts w:eastAsiaTheme="minorHAnsi"/>
      <w:lang w:eastAsia="en-US"/>
    </w:rPr>
  </w:style>
  <w:style w:type="paragraph" w:styleId="FootnoteText">
    <w:name w:val="footnote text"/>
    <w:basedOn w:val="Normal"/>
    <w:link w:val="FootnoteTextChar"/>
    <w:uiPriority w:val="99"/>
    <w:semiHidden/>
    <w:unhideWhenUsed/>
    <w:rsid w:val="003F7326"/>
    <w:pPr>
      <w:jc w:val="left"/>
    </w:pPr>
    <w:rPr>
      <w:rFonts w:ascii="Times New Roman" w:eastAsiaTheme="minorHAnsi" w:hAnsi="Times New Roman" w:cs="Times New Roman"/>
      <w:sz w:val="20"/>
      <w:szCs w:val="20"/>
      <w:lang w:eastAsia="en-US"/>
    </w:rPr>
  </w:style>
  <w:style w:type="character" w:customStyle="1" w:styleId="FootnoteTextChar1">
    <w:name w:val="Footnote Text Char1"/>
    <w:basedOn w:val="DefaultParagraphFont"/>
    <w:semiHidden/>
    <w:rsid w:val="003F7326"/>
    <w:rPr>
      <w:rFonts w:ascii="Calibri" w:hAnsi="Calibri" w:cs="Arial"/>
    </w:rPr>
  </w:style>
  <w:style w:type="paragraph" w:customStyle="1" w:styleId="TableHeading0">
    <w:name w:val="TableHeading"/>
    <w:basedOn w:val="BodyText"/>
    <w:qFormat/>
    <w:rsid w:val="003F7326"/>
    <w:pPr>
      <w:autoSpaceDE/>
      <w:autoSpaceDN/>
      <w:adjustRightInd/>
      <w:spacing w:before="60" w:after="60"/>
    </w:pPr>
    <w:rPr>
      <w:rFonts w:ascii="Arial" w:eastAsia="TimesNewRoman" w:hAnsi="Arial"/>
      <w:bCs w:val="0"/>
      <w:sz w:val="18"/>
      <w:szCs w:val="22"/>
    </w:rPr>
  </w:style>
  <w:style w:type="paragraph" w:customStyle="1" w:styleId="TableCaption">
    <w:name w:val="TableCaption"/>
    <w:basedOn w:val="Caption"/>
    <w:next w:val="MainBodyText"/>
    <w:qFormat/>
    <w:rsid w:val="003F7326"/>
  </w:style>
  <w:style w:type="character" w:styleId="FootnoteReference">
    <w:name w:val="footnote reference"/>
    <w:basedOn w:val="DefaultParagraphFont"/>
    <w:uiPriority w:val="99"/>
    <w:semiHidden/>
    <w:unhideWhenUsed/>
    <w:rsid w:val="003F7326"/>
    <w:rPr>
      <w:vertAlign w:val="superscript"/>
    </w:rPr>
  </w:style>
  <w:style w:type="table" w:customStyle="1" w:styleId="TableGrid1">
    <w:name w:val="Table Grid1"/>
    <w:basedOn w:val="TableNormal"/>
    <w:next w:val="TableGrid"/>
    <w:uiPriority w:val="39"/>
    <w:rsid w:val="003F7326"/>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3F7326"/>
    <w:pPr>
      <w:autoSpaceDE w:val="0"/>
      <w:autoSpaceDN w:val="0"/>
      <w:adjustRightInd w:val="0"/>
      <w:spacing w:line="184" w:lineRule="exact"/>
      <w:ind w:left="99"/>
      <w:jc w:val="left"/>
    </w:pPr>
    <w:rPr>
      <w:rFonts w:ascii="Times New Roman" w:hAnsi="Times New Roman" w:cs="Times New Roman"/>
      <w:b/>
      <w:bCs/>
    </w:rPr>
  </w:style>
  <w:style w:type="character" w:customStyle="1" w:styleId="TitleChar">
    <w:name w:val="Title Char"/>
    <w:basedOn w:val="DefaultParagraphFont"/>
    <w:link w:val="Title"/>
    <w:uiPriority w:val="1"/>
    <w:rsid w:val="003F7326"/>
    <w:rPr>
      <w:b/>
      <w:bCs/>
      <w:sz w:val="24"/>
      <w:szCs w:val="24"/>
    </w:rPr>
  </w:style>
  <w:style w:type="paragraph" w:styleId="TOC5">
    <w:name w:val="toc 5"/>
    <w:basedOn w:val="Normal"/>
    <w:next w:val="Normal"/>
    <w:autoRedefine/>
    <w:semiHidden/>
    <w:unhideWhenUsed/>
    <w:rsid w:val="00730665"/>
    <w:pPr>
      <w:spacing w:after="100"/>
      <w:ind w:left="960"/>
    </w:pPr>
  </w:style>
  <w:style w:type="character" w:customStyle="1" w:styleId="cf01">
    <w:name w:val="cf01"/>
    <w:basedOn w:val="DefaultParagraphFont"/>
    <w:rsid w:val="00233CDC"/>
    <w:rPr>
      <w:rFonts w:ascii="Segoe UI" w:hAnsi="Segoe UI" w:cs="Segoe UI" w:hint="default"/>
      <w:sz w:val="18"/>
      <w:szCs w:val="18"/>
    </w:rPr>
  </w:style>
  <w:style w:type="paragraph" w:styleId="TOCHeading">
    <w:name w:val="TOC Heading"/>
    <w:basedOn w:val="Heading1"/>
    <w:next w:val="Normal"/>
    <w:uiPriority w:val="39"/>
    <w:unhideWhenUsed/>
    <w:qFormat/>
    <w:rsid w:val="0009168A"/>
    <w:pPr>
      <w:keepNext/>
      <w:keepLines/>
      <w:spacing w:before="240" w:line="259" w:lineRule="auto"/>
      <w:ind w:left="0" w:firstLine="0"/>
      <w:jc w:val="left"/>
      <w:outlineLvl w:val="9"/>
    </w:pPr>
    <w:rPr>
      <w:rFonts w:asciiTheme="majorHAnsi" w:eastAsiaTheme="majorEastAsia" w:hAnsiTheme="majorHAnsi" w:cstheme="majorBidi"/>
      <w:b w:val="0"/>
      <w:caps w:val="0"/>
      <w:color w:val="365F91" w:themeColor="accent1" w:themeShade="BF"/>
      <w:szCs w:val="32"/>
      <w:lang w:val="en-US" w:eastAsia="en-US"/>
    </w:rPr>
  </w:style>
  <w:style w:type="paragraph" w:customStyle="1" w:styleId="5-SubsectionSubheading">
    <w:name w:val="5-Subsection Subheading"/>
    <w:basedOn w:val="Heading3"/>
    <w:next w:val="Normal"/>
    <w:link w:val="5-SubsectionSubheadingChar"/>
    <w:qFormat/>
    <w:rsid w:val="00B85B03"/>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B85B03"/>
    <w:rPr>
      <w:rFonts w:asciiTheme="minorHAnsi" w:eastAsiaTheme="majorEastAsia" w:hAnsiTheme="minorHAnsi" w:cstheme="majorBidi"/>
      <w:b/>
      <w:color w:val="000000" w:themeColor="text1"/>
      <w:sz w:val="24"/>
      <w:szCs w:val="24"/>
    </w:rPr>
  </w:style>
  <w:style w:type="character" w:styleId="UnresolvedMention">
    <w:name w:val="Unresolved Mention"/>
    <w:basedOn w:val="DefaultParagraphFont"/>
    <w:uiPriority w:val="99"/>
    <w:semiHidden/>
    <w:unhideWhenUsed/>
    <w:rsid w:val="00D0462D"/>
    <w:rPr>
      <w:color w:val="605E5C"/>
      <w:shd w:val="clear" w:color="auto" w:fill="E1DFDD"/>
    </w:rPr>
  </w:style>
  <w:style w:type="character" w:customStyle="1" w:styleId="ui-provider">
    <w:name w:val="ui-provider"/>
    <w:basedOn w:val="DefaultParagraphFont"/>
    <w:rsid w:val="0074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981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8127067">
      <w:bodyDiv w:val="1"/>
      <w:marLeft w:val="0"/>
      <w:marRight w:val="0"/>
      <w:marTop w:val="0"/>
      <w:marBottom w:val="0"/>
      <w:divBdr>
        <w:top w:val="none" w:sz="0" w:space="0" w:color="auto"/>
        <w:left w:val="none" w:sz="0" w:space="0" w:color="auto"/>
        <w:bottom w:val="none" w:sz="0" w:space="0" w:color="auto"/>
        <w:right w:val="none" w:sz="0" w:space="0" w:color="auto"/>
      </w:divBdr>
    </w:div>
    <w:div w:id="243881412">
      <w:bodyDiv w:val="1"/>
      <w:marLeft w:val="0"/>
      <w:marRight w:val="0"/>
      <w:marTop w:val="0"/>
      <w:marBottom w:val="0"/>
      <w:divBdr>
        <w:top w:val="none" w:sz="0" w:space="0" w:color="auto"/>
        <w:left w:val="none" w:sz="0" w:space="0" w:color="auto"/>
        <w:bottom w:val="none" w:sz="0" w:space="0" w:color="auto"/>
        <w:right w:val="none" w:sz="0" w:space="0" w:color="auto"/>
      </w:divBdr>
    </w:div>
    <w:div w:id="30562196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6809610">
      <w:bodyDiv w:val="1"/>
      <w:marLeft w:val="0"/>
      <w:marRight w:val="0"/>
      <w:marTop w:val="0"/>
      <w:marBottom w:val="0"/>
      <w:divBdr>
        <w:top w:val="none" w:sz="0" w:space="0" w:color="auto"/>
        <w:left w:val="none" w:sz="0" w:space="0" w:color="auto"/>
        <w:bottom w:val="none" w:sz="0" w:space="0" w:color="auto"/>
        <w:right w:val="none" w:sz="0" w:space="0" w:color="auto"/>
      </w:divBdr>
    </w:div>
    <w:div w:id="464739838">
      <w:bodyDiv w:val="1"/>
      <w:marLeft w:val="0"/>
      <w:marRight w:val="0"/>
      <w:marTop w:val="0"/>
      <w:marBottom w:val="0"/>
      <w:divBdr>
        <w:top w:val="none" w:sz="0" w:space="0" w:color="auto"/>
        <w:left w:val="none" w:sz="0" w:space="0" w:color="auto"/>
        <w:bottom w:val="none" w:sz="0" w:space="0" w:color="auto"/>
        <w:right w:val="none" w:sz="0" w:space="0" w:color="auto"/>
      </w:divBdr>
    </w:div>
    <w:div w:id="82361984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912580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4247985">
      <w:bodyDiv w:val="1"/>
      <w:marLeft w:val="0"/>
      <w:marRight w:val="0"/>
      <w:marTop w:val="0"/>
      <w:marBottom w:val="0"/>
      <w:divBdr>
        <w:top w:val="none" w:sz="0" w:space="0" w:color="auto"/>
        <w:left w:val="none" w:sz="0" w:space="0" w:color="auto"/>
        <w:bottom w:val="none" w:sz="0" w:space="0" w:color="auto"/>
        <w:right w:val="none" w:sz="0" w:space="0" w:color="auto"/>
      </w:divBdr>
    </w:div>
    <w:div w:id="1217010861">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0679309">
      <w:bodyDiv w:val="1"/>
      <w:marLeft w:val="0"/>
      <w:marRight w:val="0"/>
      <w:marTop w:val="0"/>
      <w:marBottom w:val="0"/>
      <w:divBdr>
        <w:top w:val="none" w:sz="0" w:space="0" w:color="auto"/>
        <w:left w:val="none" w:sz="0" w:space="0" w:color="auto"/>
        <w:bottom w:val="none" w:sz="0" w:space="0" w:color="auto"/>
        <w:right w:val="none" w:sz="0" w:space="0" w:color="auto"/>
      </w:divBdr>
    </w:div>
    <w:div w:id="1300725180">
      <w:bodyDiv w:val="1"/>
      <w:marLeft w:val="0"/>
      <w:marRight w:val="0"/>
      <w:marTop w:val="0"/>
      <w:marBottom w:val="0"/>
      <w:divBdr>
        <w:top w:val="none" w:sz="0" w:space="0" w:color="auto"/>
        <w:left w:val="none" w:sz="0" w:space="0" w:color="auto"/>
        <w:bottom w:val="none" w:sz="0" w:space="0" w:color="auto"/>
        <w:right w:val="none" w:sz="0" w:space="0" w:color="auto"/>
      </w:divBdr>
    </w:div>
    <w:div w:id="1425420597">
      <w:bodyDiv w:val="1"/>
      <w:marLeft w:val="0"/>
      <w:marRight w:val="0"/>
      <w:marTop w:val="0"/>
      <w:marBottom w:val="0"/>
      <w:divBdr>
        <w:top w:val="none" w:sz="0" w:space="0" w:color="auto"/>
        <w:left w:val="none" w:sz="0" w:space="0" w:color="auto"/>
        <w:bottom w:val="none" w:sz="0" w:space="0" w:color="auto"/>
        <w:right w:val="none" w:sz="0" w:space="0" w:color="auto"/>
      </w:divBdr>
    </w:div>
    <w:div w:id="1495877605">
      <w:bodyDiv w:val="1"/>
      <w:marLeft w:val="0"/>
      <w:marRight w:val="0"/>
      <w:marTop w:val="0"/>
      <w:marBottom w:val="0"/>
      <w:divBdr>
        <w:top w:val="none" w:sz="0" w:space="0" w:color="auto"/>
        <w:left w:val="none" w:sz="0" w:space="0" w:color="auto"/>
        <w:bottom w:val="none" w:sz="0" w:space="0" w:color="auto"/>
        <w:right w:val="none" w:sz="0" w:space="0" w:color="auto"/>
      </w:divBdr>
    </w:div>
    <w:div w:id="1533153586">
      <w:bodyDiv w:val="1"/>
      <w:marLeft w:val="0"/>
      <w:marRight w:val="0"/>
      <w:marTop w:val="0"/>
      <w:marBottom w:val="0"/>
      <w:divBdr>
        <w:top w:val="none" w:sz="0" w:space="0" w:color="auto"/>
        <w:left w:val="none" w:sz="0" w:space="0" w:color="auto"/>
        <w:bottom w:val="none" w:sz="0" w:space="0" w:color="auto"/>
        <w:right w:val="none" w:sz="0" w:space="0" w:color="auto"/>
      </w:divBdr>
    </w:div>
    <w:div w:id="1640568662">
      <w:bodyDiv w:val="1"/>
      <w:marLeft w:val="0"/>
      <w:marRight w:val="0"/>
      <w:marTop w:val="0"/>
      <w:marBottom w:val="0"/>
      <w:divBdr>
        <w:top w:val="none" w:sz="0" w:space="0" w:color="auto"/>
        <w:left w:val="none" w:sz="0" w:space="0" w:color="auto"/>
        <w:bottom w:val="none" w:sz="0" w:space="0" w:color="auto"/>
        <w:right w:val="none" w:sz="0" w:space="0" w:color="auto"/>
      </w:divBdr>
    </w:div>
    <w:div w:id="172067075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15308</Words>
  <Characters>87258</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2023-10-24T06:41:00Z</dcterms:created>
  <dcterms:modified xsi:type="dcterms:W3CDTF">2023-10-24T06:41:00Z</dcterms:modified>
</cp:coreProperties>
</file>