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C12F" w14:textId="48632B57" w:rsidR="0074054B" w:rsidRPr="007E4B31" w:rsidRDefault="00477A9B" w:rsidP="00F407B4">
      <w:pPr>
        <w:pStyle w:val="1-MainHeading"/>
        <w:spacing w:before="0" w:after="0"/>
      </w:pPr>
      <w:bookmarkStart w:id="0" w:name="_Toc134493572"/>
      <w:r w:rsidRPr="007E4B31">
        <w:t>5.12</w:t>
      </w:r>
      <w:r w:rsidRPr="007E4B31" w:rsidDel="00477A9B">
        <w:t xml:space="preserve"> </w:t>
      </w:r>
      <w:r w:rsidR="00533A3B" w:rsidRPr="007E4B31">
        <w:t>SOMAPACITAN</w:t>
      </w:r>
      <w:r w:rsidR="00830B1B">
        <w:t>,</w:t>
      </w:r>
    </w:p>
    <w:p w14:paraId="658C3A44" w14:textId="77DCFB83" w:rsidR="00F407B4" w:rsidRPr="007E4B31" w:rsidRDefault="00F407B4" w:rsidP="00F407B4">
      <w:pPr>
        <w:pStyle w:val="CommentText"/>
        <w:ind w:left="720"/>
        <w:rPr>
          <w:rFonts w:asciiTheme="minorHAnsi" w:hAnsiTheme="minorHAnsi" w:cstheme="minorHAnsi"/>
          <w:b/>
          <w:bCs/>
          <w:sz w:val="36"/>
          <w:szCs w:val="36"/>
        </w:rPr>
      </w:pPr>
      <w:r w:rsidRPr="007E4B31">
        <w:rPr>
          <w:rFonts w:asciiTheme="minorHAnsi" w:hAnsiTheme="minorHAnsi" w:cstheme="minorHAnsi"/>
          <w:b/>
          <w:bCs/>
          <w:sz w:val="36"/>
          <w:szCs w:val="36"/>
        </w:rPr>
        <w:t>Injection 5 mg in 1.5 mL pre-filled pen</w:t>
      </w:r>
      <w:r w:rsidR="00830B1B">
        <w:rPr>
          <w:rFonts w:asciiTheme="minorHAnsi" w:hAnsiTheme="minorHAnsi" w:cstheme="minorHAnsi"/>
          <w:b/>
          <w:bCs/>
          <w:sz w:val="36"/>
          <w:szCs w:val="36"/>
        </w:rPr>
        <w:t>,</w:t>
      </w:r>
    </w:p>
    <w:p w14:paraId="4FA429F4" w14:textId="73A9C3FA" w:rsidR="00F407B4" w:rsidRPr="007E4B31" w:rsidRDefault="00F407B4" w:rsidP="00F407B4">
      <w:pPr>
        <w:pStyle w:val="CommentText"/>
        <w:ind w:left="720"/>
        <w:rPr>
          <w:rFonts w:asciiTheme="minorHAnsi" w:hAnsiTheme="minorHAnsi" w:cstheme="minorHAnsi"/>
          <w:b/>
          <w:bCs/>
          <w:sz w:val="36"/>
          <w:szCs w:val="36"/>
        </w:rPr>
      </w:pPr>
      <w:r w:rsidRPr="007E4B31">
        <w:rPr>
          <w:rFonts w:asciiTheme="minorHAnsi" w:hAnsiTheme="minorHAnsi" w:cstheme="minorHAnsi"/>
          <w:b/>
          <w:bCs/>
          <w:sz w:val="36"/>
          <w:szCs w:val="36"/>
        </w:rPr>
        <w:t>Injection 10 mg in 1.5 mL pre-filled pen</w:t>
      </w:r>
      <w:r w:rsidR="00830B1B">
        <w:rPr>
          <w:rFonts w:asciiTheme="minorHAnsi" w:hAnsiTheme="minorHAnsi" w:cstheme="minorHAnsi"/>
          <w:b/>
          <w:bCs/>
          <w:sz w:val="36"/>
          <w:szCs w:val="36"/>
        </w:rPr>
        <w:t>,</w:t>
      </w:r>
    </w:p>
    <w:p w14:paraId="08341822" w14:textId="77777777" w:rsidR="00260382" w:rsidRPr="007E4B31" w:rsidRDefault="00F407B4" w:rsidP="00260382">
      <w:pPr>
        <w:pStyle w:val="CommentText"/>
        <w:ind w:left="720"/>
        <w:rPr>
          <w:rFonts w:asciiTheme="minorHAnsi" w:hAnsiTheme="minorHAnsi" w:cstheme="minorHAnsi"/>
          <w:b/>
          <w:bCs/>
          <w:sz w:val="36"/>
          <w:szCs w:val="36"/>
        </w:rPr>
      </w:pPr>
      <w:r w:rsidRPr="007E4B31">
        <w:rPr>
          <w:rFonts w:asciiTheme="minorHAnsi" w:hAnsiTheme="minorHAnsi" w:cstheme="minorHAnsi"/>
          <w:b/>
          <w:bCs/>
          <w:sz w:val="36"/>
          <w:szCs w:val="36"/>
        </w:rPr>
        <w:t>Injection 15 mg in 1.5 mL pre-filled pen,</w:t>
      </w:r>
      <w:r w:rsidR="0074054B" w:rsidRPr="007E4B31">
        <w:rPr>
          <w:rFonts w:asciiTheme="minorHAnsi" w:hAnsiTheme="minorHAnsi" w:cstheme="minorHAnsi"/>
          <w:b/>
          <w:bCs/>
          <w:sz w:val="36"/>
          <w:szCs w:val="36"/>
        </w:rPr>
        <w:t xml:space="preserve"> </w:t>
      </w:r>
    </w:p>
    <w:p w14:paraId="51C6701A" w14:textId="7C529BE8" w:rsidR="00B60939" w:rsidRPr="007E4B31" w:rsidRDefault="000D091C" w:rsidP="00260382">
      <w:pPr>
        <w:pStyle w:val="CommentText"/>
        <w:ind w:left="720"/>
        <w:rPr>
          <w:rFonts w:asciiTheme="minorHAnsi" w:hAnsiTheme="minorHAnsi" w:cstheme="minorHAnsi"/>
          <w:b/>
          <w:sz w:val="56"/>
          <w:szCs w:val="56"/>
        </w:rPr>
      </w:pPr>
      <w:r w:rsidRPr="007E4B31">
        <w:rPr>
          <w:rFonts w:asciiTheme="minorHAnsi" w:hAnsiTheme="minorHAnsi" w:cstheme="minorHAnsi"/>
          <w:b/>
          <w:sz w:val="36"/>
          <w:szCs w:val="44"/>
        </w:rPr>
        <w:t>Sogroya</w:t>
      </w:r>
      <w:r w:rsidR="00B60939" w:rsidRPr="007E4B31">
        <w:rPr>
          <w:rFonts w:asciiTheme="minorHAnsi" w:hAnsiTheme="minorHAnsi" w:cstheme="minorHAnsi"/>
          <w:b/>
          <w:sz w:val="36"/>
          <w:szCs w:val="44"/>
          <w:vertAlign w:val="superscript"/>
        </w:rPr>
        <w:t>®</w:t>
      </w:r>
      <w:r w:rsidR="004A6040" w:rsidRPr="007E4B31">
        <w:rPr>
          <w:rFonts w:asciiTheme="minorHAnsi" w:hAnsiTheme="minorHAnsi" w:cstheme="minorHAnsi"/>
          <w:b/>
          <w:sz w:val="36"/>
          <w:szCs w:val="44"/>
        </w:rPr>
        <w:t>,</w:t>
      </w:r>
      <w:r w:rsidR="004A6040" w:rsidRPr="007E4B31">
        <w:rPr>
          <w:rFonts w:asciiTheme="minorHAnsi" w:hAnsiTheme="minorHAnsi" w:cstheme="minorHAnsi"/>
          <w:b/>
          <w:sz w:val="36"/>
          <w:szCs w:val="44"/>
        </w:rPr>
        <w:br/>
      </w:r>
      <w:r w:rsidRPr="007E4B31">
        <w:rPr>
          <w:rFonts w:asciiTheme="minorHAnsi" w:hAnsiTheme="minorHAnsi" w:cstheme="minorHAnsi"/>
          <w:b/>
          <w:sz w:val="36"/>
          <w:szCs w:val="44"/>
        </w:rPr>
        <w:t>Novo Nor</w:t>
      </w:r>
      <w:r w:rsidR="001106CF" w:rsidRPr="007E4B31">
        <w:rPr>
          <w:rFonts w:asciiTheme="minorHAnsi" w:hAnsiTheme="minorHAnsi" w:cstheme="minorHAnsi"/>
          <w:b/>
          <w:sz w:val="36"/>
          <w:szCs w:val="44"/>
        </w:rPr>
        <w:t>d</w:t>
      </w:r>
      <w:r w:rsidRPr="007E4B31">
        <w:rPr>
          <w:rFonts w:asciiTheme="minorHAnsi" w:hAnsiTheme="minorHAnsi" w:cstheme="minorHAnsi"/>
          <w:b/>
          <w:sz w:val="36"/>
          <w:szCs w:val="44"/>
        </w:rPr>
        <w:t>isk Pharmaceuticals</w:t>
      </w:r>
      <w:r w:rsidR="009B5E57" w:rsidRPr="007E4B31">
        <w:rPr>
          <w:rFonts w:asciiTheme="minorHAnsi" w:hAnsiTheme="minorHAnsi" w:cstheme="minorHAnsi"/>
          <w:b/>
          <w:sz w:val="36"/>
          <w:szCs w:val="44"/>
        </w:rPr>
        <w:t xml:space="preserve"> Pty Limited</w:t>
      </w:r>
      <w:r w:rsidR="00B60939" w:rsidRPr="007E4B31">
        <w:rPr>
          <w:rFonts w:asciiTheme="minorHAnsi" w:hAnsiTheme="minorHAnsi" w:cstheme="minorHAnsi"/>
          <w:b/>
          <w:sz w:val="36"/>
          <w:szCs w:val="44"/>
        </w:rPr>
        <w:t>.</w:t>
      </w:r>
      <w:bookmarkEnd w:id="0"/>
      <w:r w:rsidR="00F73E08" w:rsidRPr="007E4B31">
        <w:rPr>
          <w:rFonts w:asciiTheme="minorHAnsi" w:hAnsiTheme="minorHAnsi" w:cstheme="minorHAnsi"/>
          <w:b/>
          <w:sz w:val="36"/>
          <w:szCs w:val="44"/>
        </w:rPr>
        <w:t xml:space="preserve"> </w:t>
      </w:r>
    </w:p>
    <w:p w14:paraId="38E5594D" w14:textId="77777777" w:rsidR="00C604B7" w:rsidRPr="007E4B31" w:rsidRDefault="00C604B7" w:rsidP="00C604B7">
      <w:pPr>
        <w:pStyle w:val="2-SectionHeading"/>
        <w:numPr>
          <w:ilvl w:val="0"/>
          <w:numId w:val="1"/>
        </w:numPr>
      </w:pPr>
      <w:bookmarkStart w:id="1" w:name="_Toc107902078"/>
      <w:bookmarkStart w:id="2" w:name="_Toc134493574"/>
      <w:bookmarkEnd w:id="1"/>
      <w:r w:rsidRPr="007E4B31">
        <w:t>Purpose of submission</w:t>
      </w:r>
      <w:bookmarkEnd w:id="2"/>
    </w:p>
    <w:p w14:paraId="519F9FA3" w14:textId="5BBF3628" w:rsidR="00C604B7" w:rsidRPr="007E4B31" w:rsidRDefault="00C604B7" w:rsidP="001B22F2">
      <w:pPr>
        <w:pStyle w:val="3-BodyText"/>
      </w:pPr>
      <w:r w:rsidRPr="007E4B31">
        <w:t>Th</w:t>
      </w:r>
      <w:r w:rsidR="00227298" w:rsidRPr="007E4B31">
        <w:t>is Category 2</w:t>
      </w:r>
      <w:r w:rsidRPr="007E4B31">
        <w:t xml:space="preserve"> submission requested Section 100 (Growth Hormone Program) Authority Required (Written) listing for the treatment of paediatric patients with </w:t>
      </w:r>
      <w:r w:rsidR="00CA4C8B" w:rsidRPr="007E4B31">
        <w:t>growth hormone deficiency (</w:t>
      </w:r>
      <w:r w:rsidRPr="007E4B31">
        <w:t>GHD</w:t>
      </w:r>
      <w:r w:rsidR="00CA4C8B" w:rsidRPr="007E4B31">
        <w:t>)</w:t>
      </w:r>
      <w:r w:rsidRPr="007E4B31">
        <w:t>.</w:t>
      </w:r>
    </w:p>
    <w:p w14:paraId="73BC00AF" w14:textId="5190452B" w:rsidR="00C604B7" w:rsidRPr="007E4B31" w:rsidRDefault="00C604B7" w:rsidP="001B22F2">
      <w:pPr>
        <w:pStyle w:val="3-BodyText"/>
      </w:pPr>
      <w:r w:rsidRPr="007E4B31">
        <w:t xml:space="preserve">Listing was requested </w:t>
      </w:r>
      <w:proofErr w:type="gramStart"/>
      <w:r w:rsidRPr="007E4B31">
        <w:t>on the basis of</w:t>
      </w:r>
      <w:proofErr w:type="gramEnd"/>
      <w:r w:rsidRPr="007E4B31">
        <w:t xml:space="preserve"> a cost-minimisation </w:t>
      </w:r>
      <w:r w:rsidR="003D7DA1" w:rsidRPr="007E4B31">
        <w:t xml:space="preserve">approach </w:t>
      </w:r>
      <w:r w:rsidRPr="007E4B31">
        <w:t>(CMA) versus somatrogon (primary comparator and base case) and somatropin (secondary comparator and included as a sensitivity analysis).</w:t>
      </w:r>
      <w:r w:rsidRPr="007E4B31">
        <w:rPr>
          <w:color w:val="0066FF"/>
        </w:rPr>
        <w:t xml:space="preserve"> </w:t>
      </w:r>
    </w:p>
    <w:p w14:paraId="0E733CED" w14:textId="5FF2ABD8" w:rsidR="00C604B7" w:rsidRPr="007E4B31" w:rsidRDefault="00C604B7" w:rsidP="001B22F2">
      <w:pPr>
        <w:pStyle w:val="3-BodyText"/>
      </w:pPr>
      <w:r w:rsidRPr="007E4B31">
        <w:t xml:space="preserve">The key components of the clinical issue addressed by the submission </w:t>
      </w:r>
      <w:proofErr w:type="gramStart"/>
      <w:r w:rsidRPr="007E4B31">
        <w:t>is presented</w:t>
      </w:r>
      <w:proofErr w:type="gramEnd"/>
      <w:r w:rsidRPr="007E4B31">
        <w:t xml:space="preserve"> in </w:t>
      </w:r>
      <w:r w:rsidRPr="007E4B31">
        <w:fldChar w:fldCharType="begin" w:fldLock="1"/>
      </w:r>
      <w:r w:rsidRPr="007E4B31">
        <w:instrText xml:space="preserve"> REF _Ref133907256 \h </w:instrText>
      </w:r>
      <w:r w:rsidR="00370FF4" w:rsidRPr="007E4B31">
        <w:instrText xml:space="preserve"> \* MERGEFORMAT </w:instrText>
      </w:r>
      <w:r w:rsidRPr="007E4B31">
        <w:fldChar w:fldCharType="separate"/>
      </w:r>
      <w:r w:rsidR="00D3534F" w:rsidRPr="007E4B31">
        <w:t xml:space="preserve">Table </w:t>
      </w:r>
      <w:r w:rsidR="00D3534F">
        <w:rPr>
          <w:noProof/>
        </w:rPr>
        <w:t>1</w:t>
      </w:r>
      <w:r w:rsidRPr="007E4B31">
        <w:fldChar w:fldCharType="end"/>
      </w:r>
      <w:r w:rsidRPr="007E4B31">
        <w:t>.</w:t>
      </w:r>
    </w:p>
    <w:p w14:paraId="75F5139B" w14:textId="7C2E13B7" w:rsidR="00C604B7" w:rsidRPr="007E4B31" w:rsidRDefault="00C604B7" w:rsidP="001B22F2">
      <w:pPr>
        <w:pStyle w:val="Caption"/>
        <w:rPr>
          <w:rStyle w:val="CommentReference"/>
          <w:b/>
          <w:szCs w:val="24"/>
        </w:rPr>
      </w:pPr>
      <w:bookmarkStart w:id="3" w:name="_Ref133907256"/>
      <w:r w:rsidRPr="007E4B31">
        <w:t xml:space="preserve">Table </w:t>
      </w:r>
      <w:r w:rsidR="00402BC2">
        <w:fldChar w:fldCharType="begin" w:fldLock="1"/>
      </w:r>
      <w:r w:rsidR="00402BC2">
        <w:instrText xml:space="preserve"> SEQ Table \* ARABIC </w:instrText>
      </w:r>
      <w:r w:rsidR="00402BC2">
        <w:fldChar w:fldCharType="separate"/>
      </w:r>
      <w:r w:rsidR="00D3534F">
        <w:rPr>
          <w:noProof/>
        </w:rPr>
        <w:t>1</w:t>
      </w:r>
      <w:r w:rsidR="00402BC2">
        <w:rPr>
          <w:noProof/>
        </w:rPr>
        <w:fldChar w:fldCharType="end"/>
      </w:r>
      <w:bookmarkEnd w:id="3"/>
      <w:r w:rsidRPr="007E4B31">
        <w:t>:</w:t>
      </w:r>
      <w:r w:rsidRPr="007E4B31">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C604B7" w:rsidRPr="007E4B31" w14:paraId="26B530DD" w14:textId="77777777" w:rsidTr="00FD0CA8">
        <w:trPr>
          <w:cantSplit/>
          <w:tblHeader/>
        </w:trPr>
        <w:tc>
          <w:tcPr>
            <w:tcW w:w="924" w:type="pct"/>
            <w:shd w:val="clear" w:color="auto" w:fill="auto"/>
            <w:vAlign w:val="center"/>
          </w:tcPr>
          <w:p w14:paraId="55FE1466" w14:textId="77777777" w:rsidR="00C604B7" w:rsidRPr="007E4B31" w:rsidRDefault="00C604B7" w:rsidP="001B22F2">
            <w:pPr>
              <w:pStyle w:val="In-tableHeading"/>
              <w:rPr>
                <w:szCs w:val="20"/>
                <w:lang w:val="en-AU"/>
              </w:rPr>
            </w:pPr>
            <w:r w:rsidRPr="007E4B31">
              <w:rPr>
                <w:lang w:val="en-AU"/>
              </w:rPr>
              <w:t>Component</w:t>
            </w:r>
          </w:p>
        </w:tc>
        <w:tc>
          <w:tcPr>
            <w:tcW w:w="4076" w:type="pct"/>
            <w:shd w:val="clear" w:color="auto" w:fill="auto"/>
            <w:vAlign w:val="center"/>
          </w:tcPr>
          <w:p w14:paraId="0F6166E6" w14:textId="77777777" w:rsidR="00C604B7" w:rsidRPr="007E4B31" w:rsidRDefault="00C604B7" w:rsidP="001B22F2">
            <w:pPr>
              <w:pStyle w:val="In-tableHeading"/>
              <w:rPr>
                <w:lang w:val="en-AU"/>
              </w:rPr>
            </w:pPr>
            <w:r w:rsidRPr="007E4B31">
              <w:rPr>
                <w:lang w:val="en-AU"/>
              </w:rPr>
              <w:t>Description</w:t>
            </w:r>
          </w:p>
        </w:tc>
      </w:tr>
      <w:tr w:rsidR="00C604B7" w:rsidRPr="007E4B31" w14:paraId="265F72A8" w14:textId="77777777" w:rsidTr="00FD0CA8">
        <w:trPr>
          <w:cantSplit/>
        </w:trPr>
        <w:tc>
          <w:tcPr>
            <w:tcW w:w="924" w:type="pct"/>
            <w:shd w:val="clear" w:color="auto" w:fill="auto"/>
            <w:vAlign w:val="center"/>
          </w:tcPr>
          <w:p w14:paraId="102067AE" w14:textId="77777777" w:rsidR="00C604B7" w:rsidRPr="007E4B31" w:rsidRDefault="00C604B7" w:rsidP="001B22F2">
            <w:pPr>
              <w:pStyle w:val="TableText0"/>
            </w:pPr>
            <w:r w:rsidRPr="007E4B31">
              <w:t>Population</w:t>
            </w:r>
          </w:p>
        </w:tc>
        <w:tc>
          <w:tcPr>
            <w:tcW w:w="4076" w:type="pct"/>
            <w:shd w:val="clear" w:color="auto" w:fill="auto"/>
          </w:tcPr>
          <w:p w14:paraId="46362613" w14:textId="77777777" w:rsidR="00C604B7" w:rsidRPr="007E4B31" w:rsidRDefault="00C604B7" w:rsidP="001B22F2">
            <w:pPr>
              <w:pStyle w:val="TableText0"/>
              <w:rPr>
                <w:szCs w:val="20"/>
              </w:rPr>
            </w:pPr>
            <w:r w:rsidRPr="007E4B31">
              <w:t xml:space="preserve">Paediatric patients with growth hormone deficiency </w:t>
            </w:r>
          </w:p>
        </w:tc>
      </w:tr>
      <w:tr w:rsidR="00C604B7" w:rsidRPr="007E4B31" w14:paraId="4B2E4931" w14:textId="77777777" w:rsidTr="00FD0CA8">
        <w:trPr>
          <w:cantSplit/>
        </w:trPr>
        <w:tc>
          <w:tcPr>
            <w:tcW w:w="924" w:type="pct"/>
            <w:shd w:val="clear" w:color="auto" w:fill="auto"/>
            <w:vAlign w:val="center"/>
          </w:tcPr>
          <w:p w14:paraId="36BE6302" w14:textId="77777777" w:rsidR="00C604B7" w:rsidRPr="007E4B31" w:rsidRDefault="00C604B7" w:rsidP="001B22F2">
            <w:pPr>
              <w:pStyle w:val="TableText0"/>
            </w:pPr>
            <w:r w:rsidRPr="007E4B31">
              <w:t>Intervention</w:t>
            </w:r>
          </w:p>
        </w:tc>
        <w:tc>
          <w:tcPr>
            <w:tcW w:w="4076" w:type="pct"/>
            <w:shd w:val="clear" w:color="auto" w:fill="auto"/>
          </w:tcPr>
          <w:p w14:paraId="40E9249C" w14:textId="77777777" w:rsidR="00C604B7" w:rsidRPr="007E4B31" w:rsidRDefault="00C604B7" w:rsidP="001B22F2">
            <w:pPr>
              <w:pStyle w:val="TableText0"/>
            </w:pPr>
            <w:r w:rsidRPr="007E4B31">
              <w:t>Somapacitan prefilled pen 5 mg/1.5 mL, 10 mg/1.5 mL or 15 mg/1.5 mL; weekly dosing at 0.16mg/kg/week</w:t>
            </w:r>
          </w:p>
        </w:tc>
      </w:tr>
      <w:tr w:rsidR="00C604B7" w:rsidRPr="007E4B31" w14:paraId="25FD6173" w14:textId="77777777" w:rsidTr="00FD0CA8">
        <w:trPr>
          <w:cantSplit/>
        </w:trPr>
        <w:tc>
          <w:tcPr>
            <w:tcW w:w="924" w:type="pct"/>
            <w:shd w:val="clear" w:color="auto" w:fill="auto"/>
            <w:vAlign w:val="center"/>
          </w:tcPr>
          <w:p w14:paraId="49BAB272" w14:textId="77777777" w:rsidR="00C604B7" w:rsidRPr="007E4B31" w:rsidRDefault="00C604B7" w:rsidP="001B22F2">
            <w:pPr>
              <w:pStyle w:val="TableText0"/>
            </w:pPr>
            <w:r w:rsidRPr="007E4B31">
              <w:t>Comparator</w:t>
            </w:r>
          </w:p>
        </w:tc>
        <w:tc>
          <w:tcPr>
            <w:tcW w:w="4076" w:type="pct"/>
            <w:shd w:val="clear" w:color="auto" w:fill="auto"/>
          </w:tcPr>
          <w:p w14:paraId="1A5C8A7F" w14:textId="77777777" w:rsidR="00C604B7" w:rsidRPr="007E4B31" w:rsidRDefault="00C604B7" w:rsidP="001B22F2">
            <w:pPr>
              <w:pStyle w:val="TableText0"/>
            </w:pPr>
            <w:r w:rsidRPr="007E4B31">
              <w:t xml:space="preserve">Primary: Somatrogon; weekly dosing </w:t>
            </w:r>
          </w:p>
          <w:p w14:paraId="6B39DDC3" w14:textId="77777777" w:rsidR="00C604B7" w:rsidRPr="007E4B31" w:rsidRDefault="00C604B7" w:rsidP="001B22F2">
            <w:pPr>
              <w:pStyle w:val="TableText0"/>
            </w:pPr>
            <w:r w:rsidRPr="007E4B31">
              <w:t>Secondary: Somatropin; daily dosing</w:t>
            </w:r>
          </w:p>
        </w:tc>
      </w:tr>
      <w:tr w:rsidR="00F43852" w:rsidRPr="007E4B31" w14:paraId="3A1E159D" w14:textId="77777777" w:rsidTr="00FD0CA8">
        <w:trPr>
          <w:cantSplit/>
        </w:trPr>
        <w:tc>
          <w:tcPr>
            <w:tcW w:w="924" w:type="pct"/>
            <w:shd w:val="clear" w:color="auto" w:fill="auto"/>
            <w:vAlign w:val="center"/>
          </w:tcPr>
          <w:p w14:paraId="049049EE" w14:textId="77777777" w:rsidR="00C604B7" w:rsidRPr="007E4B31" w:rsidRDefault="00C604B7" w:rsidP="001B22F2">
            <w:pPr>
              <w:pStyle w:val="TableText0"/>
            </w:pPr>
            <w:r w:rsidRPr="007E4B31">
              <w:t>Outcomes</w:t>
            </w:r>
          </w:p>
        </w:tc>
        <w:tc>
          <w:tcPr>
            <w:tcW w:w="4076" w:type="pct"/>
            <w:shd w:val="clear" w:color="auto" w:fill="auto"/>
          </w:tcPr>
          <w:p w14:paraId="2E70D813" w14:textId="77777777" w:rsidR="00C604B7" w:rsidRPr="007E4B31" w:rsidRDefault="00C604B7" w:rsidP="001B22F2">
            <w:pPr>
              <w:pStyle w:val="TableText0"/>
              <w:rPr>
                <w:rFonts w:eastAsia="Times New Roman" w:cs="Arial"/>
                <w:bCs w:val="0"/>
                <w:snapToGrid w:val="0"/>
                <w:szCs w:val="20"/>
              </w:rPr>
            </w:pPr>
            <w:r w:rsidRPr="007E4B31">
              <w:t>Height velocity, height velocity SDS, change in height SDS from baseline, change in IGF-1 SDS from baseline, IGFBP-3 SDS, quality of life, safety</w:t>
            </w:r>
          </w:p>
        </w:tc>
      </w:tr>
      <w:tr w:rsidR="00F43852" w:rsidRPr="007E4B31" w14:paraId="6FBA67C1" w14:textId="77777777" w:rsidTr="00FD0CA8">
        <w:trPr>
          <w:cantSplit/>
        </w:trPr>
        <w:tc>
          <w:tcPr>
            <w:tcW w:w="924" w:type="pct"/>
            <w:shd w:val="clear" w:color="auto" w:fill="auto"/>
            <w:vAlign w:val="center"/>
          </w:tcPr>
          <w:p w14:paraId="2F2FF12B" w14:textId="77777777" w:rsidR="00C604B7" w:rsidRPr="007E4B31" w:rsidRDefault="00C604B7" w:rsidP="001B22F2">
            <w:pPr>
              <w:pStyle w:val="TableText0"/>
            </w:pPr>
            <w:r w:rsidRPr="007E4B31">
              <w:t>Clinical claim</w:t>
            </w:r>
          </w:p>
        </w:tc>
        <w:tc>
          <w:tcPr>
            <w:tcW w:w="4076" w:type="pct"/>
            <w:shd w:val="clear" w:color="auto" w:fill="auto"/>
          </w:tcPr>
          <w:p w14:paraId="5D43BCE3" w14:textId="77777777" w:rsidR="00C604B7" w:rsidRPr="007E4B31" w:rsidRDefault="00C604B7" w:rsidP="001B22F2">
            <w:pPr>
              <w:pStyle w:val="TableText0"/>
            </w:pPr>
            <w:r w:rsidRPr="007E4B31">
              <w:t xml:space="preserve">Non-inferior effectiveness and safety compared with somatrogon in paediatric </w:t>
            </w:r>
            <w:proofErr w:type="gramStart"/>
            <w:r w:rsidRPr="007E4B31">
              <w:t>GHD</w:t>
            </w:r>
            <w:proofErr w:type="gramEnd"/>
          </w:p>
          <w:p w14:paraId="0AB22822" w14:textId="77777777" w:rsidR="00C604B7" w:rsidRPr="007E4B31" w:rsidRDefault="00C604B7" w:rsidP="001B22F2">
            <w:pPr>
              <w:pStyle w:val="TableText0"/>
              <w:rPr>
                <w:rFonts w:eastAsia="Times New Roman" w:cs="Arial"/>
                <w:bCs w:val="0"/>
                <w:snapToGrid w:val="0"/>
                <w:szCs w:val="20"/>
              </w:rPr>
            </w:pPr>
            <w:r w:rsidRPr="007E4B31">
              <w:t>Non-inferior effectiveness and safety compared with somatropin in paediatric GHD</w:t>
            </w:r>
          </w:p>
        </w:tc>
      </w:tr>
    </w:tbl>
    <w:p w14:paraId="5D2B5B49" w14:textId="77777777" w:rsidR="00C604B7" w:rsidRPr="007E4B31" w:rsidRDefault="00C604B7" w:rsidP="001B22F2">
      <w:pPr>
        <w:pStyle w:val="FooterTableFigure"/>
      </w:pPr>
      <w:r w:rsidRPr="007E4B31">
        <w:t xml:space="preserve">Source: Table 1.1., p.27 of the submission </w:t>
      </w:r>
    </w:p>
    <w:p w14:paraId="6359E93E" w14:textId="77777777" w:rsidR="00C604B7" w:rsidRPr="007E4B31" w:rsidRDefault="00C604B7" w:rsidP="001B22F2">
      <w:pPr>
        <w:pStyle w:val="FooterTableFigure"/>
      </w:pPr>
      <w:r w:rsidRPr="007E4B31">
        <w:t>GHD = growth hormone deficiency; IGF-1 = insulin growth factor-1; IGFBP-3 = insulin-like growth factor binding protein 3; SDS = standard deviation score</w:t>
      </w:r>
    </w:p>
    <w:p w14:paraId="0B55D4AE" w14:textId="77777777" w:rsidR="00C604B7" w:rsidRPr="007E4B31" w:rsidRDefault="00C604B7" w:rsidP="00C604B7">
      <w:pPr>
        <w:pStyle w:val="2-SectionHeading"/>
        <w:numPr>
          <w:ilvl w:val="0"/>
          <w:numId w:val="1"/>
        </w:numPr>
      </w:pPr>
      <w:bookmarkStart w:id="4" w:name="_Toc134493575"/>
      <w:r w:rsidRPr="007E4B31">
        <w:t>Background</w:t>
      </w:r>
      <w:bookmarkEnd w:id="4"/>
    </w:p>
    <w:p w14:paraId="76CCD2ED" w14:textId="77777777" w:rsidR="00C604B7" w:rsidRPr="007E4B31" w:rsidRDefault="00C604B7" w:rsidP="00901564">
      <w:pPr>
        <w:pStyle w:val="4-SubsectionHeading"/>
      </w:pPr>
      <w:bookmarkStart w:id="5" w:name="_Toc22897638"/>
      <w:bookmarkStart w:id="6" w:name="_Toc134493576"/>
      <w:r w:rsidRPr="007E4B31">
        <w:t>Registration status</w:t>
      </w:r>
      <w:bookmarkEnd w:id="5"/>
      <w:bookmarkEnd w:id="6"/>
    </w:p>
    <w:p w14:paraId="2AC4C563" w14:textId="622CD2E5" w:rsidR="00C604B7" w:rsidRPr="007E4B31" w:rsidRDefault="002B38A0" w:rsidP="001B22F2">
      <w:pPr>
        <w:pStyle w:val="3-BodyText"/>
      </w:pPr>
      <w:bookmarkStart w:id="7" w:name="_Hlk132026760"/>
      <w:r w:rsidRPr="007E4B31">
        <w:rPr>
          <w:rFonts w:ascii="Calibri" w:eastAsia="Calibri" w:hAnsi="Calibri"/>
          <w:b/>
          <w:szCs w:val="22"/>
        </w:rPr>
        <w:t xml:space="preserve">TGA status at time of </w:t>
      </w:r>
      <w:r w:rsidR="00AA4999" w:rsidRPr="007E4B31">
        <w:rPr>
          <w:rFonts w:ascii="Calibri" w:eastAsia="Calibri" w:hAnsi="Calibri"/>
          <w:b/>
          <w:szCs w:val="22"/>
        </w:rPr>
        <w:t>PBAC consideration</w:t>
      </w:r>
      <w:r w:rsidRPr="007E4B31">
        <w:rPr>
          <w:rFonts w:ascii="Calibri" w:eastAsia="Calibri" w:hAnsi="Calibri"/>
          <w:szCs w:val="22"/>
        </w:rPr>
        <w:t xml:space="preserve">: </w:t>
      </w:r>
      <w:r w:rsidR="00C604B7" w:rsidRPr="007E4B31">
        <w:t>The submission was made under the Therapeutic Goods Administration (TGA)/Pharmaceutical Benefits Advisory Committee (PBAC) Parallel Process for “the replacement of endogenous growth hormone (GH) in paediatric patients with growth failure due to growth hormone deficiency (GHD)</w:t>
      </w:r>
      <w:proofErr w:type="gramStart"/>
      <w:r w:rsidR="00C604B7" w:rsidRPr="007E4B31">
        <w:t>”</w:t>
      </w:r>
      <w:r w:rsidR="00F20870" w:rsidRPr="007E4B31">
        <w:t>.</w:t>
      </w:r>
      <w:proofErr w:type="gramEnd"/>
      <w:r w:rsidR="00F20870" w:rsidRPr="007E4B31">
        <w:t xml:space="preserve"> T</w:t>
      </w:r>
      <w:r w:rsidR="00436337">
        <w:t>he submission stated that T</w:t>
      </w:r>
      <w:r w:rsidR="00F20870" w:rsidRPr="007E4B31">
        <w:t xml:space="preserve">GA listing </w:t>
      </w:r>
      <w:proofErr w:type="gramStart"/>
      <w:r w:rsidR="00F20870" w:rsidRPr="007E4B31">
        <w:t xml:space="preserve">is </w:t>
      </w:r>
      <w:r w:rsidR="00C604B7" w:rsidRPr="007E4B31">
        <w:t>expected</w:t>
      </w:r>
      <w:proofErr w:type="gramEnd"/>
      <w:r w:rsidR="00C604B7" w:rsidRPr="007E4B31">
        <w:t xml:space="preserve"> </w:t>
      </w:r>
      <w:r w:rsidR="00436337">
        <w:t xml:space="preserve">by </w:t>
      </w:r>
      <w:r w:rsidR="00C604B7" w:rsidRPr="007E4B31">
        <w:t xml:space="preserve">31 October 2023. At the time of </w:t>
      </w:r>
      <w:r w:rsidR="008A6099" w:rsidRPr="007E4B31">
        <w:t xml:space="preserve">the </w:t>
      </w:r>
      <w:r w:rsidR="00AF25BB" w:rsidRPr="007E4B31">
        <w:t>PBAC consideration</w:t>
      </w:r>
      <w:r w:rsidR="00C604B7" w:rsidRPr="007E4B31">
        <w:t xml:space="preserve"> </w:t>
      </w:r>
      <w:r w:rsidR="0074676F" w:rsidRPr="007E4B31">
        <w:t xml:space="preserve">the </w:t>
      </w:r>
      <w:r w:rsidR="00436337">
        <w:t xml:space="preserve">TGA </w:t>
      </w:r>
      <w:r w:rsidR="00AF25BB" w:rsidRPr="007E4B31">
        <w:t xml:space="preserve">Delegate’s </w:t>
      </w:r>
      <w:r w:rsidR="005D6DCD">
        <w:t xml:space="preserve">view </w:t>
      </w:r>
      <w:r w:rsidR="001B1171">
        <w:t>was available</w:t>
      </w:r>
      <w:r w:rsidR="00C604B7" w:rsidRPr="007E4B31">
        <w:t xml:space="preserve">. </w:t>
      </w:r>
      <w:r w:rsidR="00C604B7" w:rsidRPr="007E4B31">
        <w:lastRenderedPageBreak/>
        <w:t xml:space="preserve">Somapacitan </w:t>
      </w:r>
      <w:proofErr w:type="gramStart"/>
      <w:r w:rsidR="00C604B7" w:rsidRPr="007E4B31">
        <w:t>was previously registered</w:t>
      </w:r>
      <w:proofErr w:type="gramEnd"/>
      <w:r w:rsidR="00C604B7" w:rsidRPr="007E4B31">
        <w:t xml:space="preserve"> on </w:t>
      </w:r>
      <w:r w:rsidR="00436337">
        <w:t xml:space="preserve">the Australian Register of Therapeutic Goods (ARTG) in </w:t>
      </w:r>
      <w:r w:rsidR="00C604B7" w:rsidRPr="007E4B31">
        <w:t>February 2022 for “the replacement of endogenous GH in adults with GHD”.</w:t>
      </w:r>
    </w:p>
    <w:p w14:paraId="59D52108" w14:textId="77777777" w:rsidR="00C604B7" w:rsidRPr="007E4B31" w:rsidRDefault="00C604B7" w:rsidP="00901564">
      <w:pPr>
        <w:pStyle w:val="4-SubsectionHeading"/>
      </w:pPr>
      <w:bookmarkStart w:id="8" w:name="_Toc22897639"/>
      <w:bookmarkStart w:id="9" w:name="_Toc134493577"/>
      <w:bookmarkEnd w:id="7"/>
      <w:r w:rsidRPr="007E4B31">
        <w:t>Previous PBAC consideration</w:t>
      </w:r>
      <w:bookmarkEnd w:id="8"/>
      <w:bookmarkEnd w:id="9"/>
    </w:p>
    <w:p w14:paraId="22F49D9F" w14:textId="1C1ED3CA" w:rsidR="00086E2A" w:rsidRPr="00086E2A" w:rsidRDefault="00E30301" w:rsidP="00086E2A">
      <w:pPr>
        <w:pStyle w:val="3-BodyText"/>
      </w:pPr>
      <w:r w:rsidRPr="007E4B31">
        <w:t xml:space="preserve">Somapacitan </w:t>
      </w:r>
      <w:proofErr w:type="gramStart"/>
      <w:r w:rsidR="008A6122" w:rsidRPr="007E4B31">
        <w:t xml:space="preserve">was </w:t>
      </w:r>
      <w:r w:rsidR="0045011D">
        <w:t>recommended</w:t>
      </w:r>
      <w:proofErr w:type="gramEnd"/>
      <w:r w:rsidR="0045011D">
        <w:t xml:space="preserve"> for listing on the PBS </w:t>
      </w:r>
      <w:r w:rsidR="008A6122" w:rsidRPr="007E4B31">
        <w:t xml:space="preserve">by the PBAC </w:t>
      </w:r>
      <w:r w:rsidRPr="007E4B31">
        <w:t>for the treatment of GHD in adults at the March 2022 PBAC meeting.</w:t>
      </w:r>
      <w:r w:rsidR="0045011D">
        <w:t xml:space="preserve"> </w:t>
      </w:r>
      <w:r w:rsidR="00086E2A">
        <w:t>A</w:t>
      </w:r>
      <w:r w:rsidR="00086E2A" w:rsidRPr="00086E2A">
        <w:t xml:space="preserve">t the time of the PBAC </w:t>
      </w:r>
      <w:r w:rsidR="001B1171">
        <w:t>consideration</w:t>
      </w:r>
      <w:r w:rsidR="00166606">
        <w:t xml:space="preserve"> of this submission</w:t>
      </w:r>
      <w:r w:rsidR="00086E2A" w:rsidRPr="00086E2A">
        <w:t xml:space="preserve">, somapacitan </w:t>
      </w:r>
      <w:proofErr w:type="gramStart"/>
      <w:r w:rsidR="00086E2A" w:rsidRPr="00086E2A">
        <w:t>was not listed</w:t>
      </w:r>
      <w:proofErr w:type="gramEnd"/>
      <w:r w:rsidR="00086E2A" w:rsidRPr="00086E2A">
        <w:t xml:space="preserve"> on the PBS.</w:t>
      </w:r>
    </w:p>
    <w:p w14:paraId="60612757" w14:textId="368E9916" w:rsidR="00C604B7" w:rsidRDefault="00C604B7" w:rsidP="001B22F2">
      <w:pPr>
        <w:pStyle w:val="3-BodyText"/>
      </w:pPr>
      <w:r w:rsidRPr="007E4B31">
        <w:t>The PBAC previously considered somatrogon for the treatment of paediatric GHD</w:t>
      </w:r>
      <w:r w:rsidR="00436337">
        <w:t>,</w:t>
      </w:r>
      <w:r w:rsidRPr="007E4B31">
        <w:t xml:space="preserve"> </w:t>
      </w:r>
      <w:r w:rsidR="00436337">
        <w:t>and this</w:t>
      </w:r>
      <w:r w:rsidRPr="007E4B31">
        <w:t xml:space="preserve"> was recommended on </w:t>
      </w:r>
      <w:r w:rsidR="00436337">
        <w:t xml:space="preserve">the basis of a </w:t>
      </w:r>
      <w:r w:rsidRPr="007E4B31">
        <w:t xml:space="preserve">CMA versus </w:t>
      </w:r>
      <w:proofErr w:type="gramStart"/>
      <w:r w:rsidRPr="007E4B31">
        <w:t>once-daily</w:t>
      </w:r>
      <w:proofErr w:type="gramEnd"/>
      <w:r w:rsidRPr="007E4B31">
        <w:t xml:space="preserve"> somatropin (somatrogon, Public Summary Document [PSD], March 2022 PBAC meeting). </w:t>
      </w:r>
    </w:p>
    <w:p w14:paraId="0A2F22FA" w14:textId="77777777" w:rsidR="00C604B7" w:rsidRPr="007E4B31" w:rsidRDefault="00C604B7" w:rsidP="00C604B7">
      <w:pPr>
        <w:pStyle w:val="2-SectionHeading"/>
        <w:numPr>
          <w:ilvl w:val="0"/>
          <w:numId w:val="1"/>
        </w:numPr>
      </w:pPr>
      <w:bookmarkStart w:id="10" w:name="_Toc134493578"/>
      <w:r w:rsidRPr="007E4B31">
        <w:t xml:space="preserve">Requested </w:t>
      </w:r>
      <w:proofErr w:type="gramStart"/>
      <w:r w:rsidRPr="007E4B31">
        <w:t>listing</w:t>
      </w:r>
      <w:bookmarkEnd w:id="10"/>
      <w:proofErr w:type="gramEnd"/>
    </w:p>
    <w:p w14:paraId="4D5D99A6" w14:textId="2BAEF4F9" w:rsidR="00C604B7" w:rsidRPr="007E4B31" w:rsidRDefault="00C604B7" w:rsidP="001B22F2">
      <w:pPr>
        <w:pStyle w:val="3-BodyText"/>
      </w:pPr>
      <w:r w:rsidRPr="007E4B31">
        <w:t xml:space="preserve">The submission requested </w:t>
      </w:r>
      <w:r w:rsidR="00593606">
        <w:t>PBS</w:t>
      </w:r>
      <w:r w:rsidRPr="007E4B31">
        <w:t xml:space="preserve"> listing for three presentations (5</w:t>
      </w:r>
      <w:r w:rsidR="009B173E">
        <w:t> </w:t>
      </w:r>
      <w:r w:rsidRPr="007E4B31">
        <w:t>mg/1.5</w:t>
      </w:r>
      <w:r w:rsidR="009B173E">
        <w:t> </w:t>
      </w:r>
      <w:r w:rsidRPr="007E4B31">
        <w:t>m</w:t>
      </w:r>
      <w:r w:rsidR="00C05BBE" w:rsidRPr="007E4B31">
        <w:t>L</w:t>
      </w:r>
      <w:r w:rsidRPr="007E4B31">
        <w:t>, 10</w:t>
      </w:r>
      <w:r w:rsidR="009B173E">
        <w:t> </w:t>
      </w:r>
      <w:r w:rsidRPr="007E4B31">
        <w:t>mg/1.5</w:t>
      </w:r>
      <w:r w:rsidR="009B173E">
        <w:t> </w:t>
      </w:r>
      <w:r w:rsidRPr="007E4B31">
        <w:t>m</w:t>
      </w:r>
      <w:r w:rsidR="00C05BBE" w:rsidRPr="007E4B31">
        <w:t>L</w:t>
      </w:r>
      <w:r w:rsidRPr="007E4B31">
        <w:t>, and 15</w:t>
      </w:r>
      <w:r w:rsidR="009B173E">
        <w:t> </w:t>
      </w:r>
      <w:r w:rsidRPr="007E4B31">
        <w:t>mg/1.5</w:t>
      </w:r>
      <w:r w:rsidR="009B173E">
        <w:t> </w:t>
      </w:r>
      <w:r w:rsidRPr="007E4B31">
        <w:t>m</w:t>
      </w:r>
      <w:r w:rsidR="00C05BBE" w:rsidRPr="007E4B31">
        <w:t>L</w:t>
      </w:r>
      <w:r w:rsidRPr="007E4B31">
        <w:t>) of som</w:t>
      </w:r>
      <w:r w:rsidR="006E5A0F" w:rsidRPr="007E4B31">
        <w:t>a</w:t>
      </w:r>
      <w:r w:rsidRPr="007E4B31">
        <w:t>pacitan for the following forms of GHD:</w:t>
      </w:r>
    </w:p>
    <w:p w14:paraId="1ADC646D" w14:textId="77777777" w:rsidR="00C604B7" w:rsidRPr="007E4B31" w:rsidRDefault="00C604B7" w:rsidP="00F527AB">
      <w:pPr>
        <w:pStyle w:val="3-BodyText"/>
        <w:numPr>
          <w:ilvl w:val="1"/>
          <w:numId w:val="12"/>
        </w:numPr>
        <w:ind w:left="1134"/>
      </w:pPr>
      <w:r w:rsidRPr="007E4B31">
        <w:t xml:space="preserve">Short stature associated with biochemical GHD (SSABGHD) </w:t>
      </w:r>
    </w:p>
    <w:p w14:paraId="14056B63" w14:textId="77777777" w:rsidR="00C604B7" w:rsidRPr="007E4B31" w:rsidRDefault="00C604B7" w:rsidP="00F527AB">
      <w:pPr>
        <w:pStyle w:val="3-BodyText"/>
        <w:numPr>
          <w:ilvl w:val="1"/>
          <w:numId w:val="12"/>
        </w:numPr>
        <w:ind w:left="1134"/>
      </w:pPr>
      <w:r w:rsidRPr="007E4B31">
        <w:t>Short stature slow growth (SSSG)</w:t>
      </w:r>
    </w:p>
    <w:p w14:paraId="2EF57AE0" w14:textId="25414443" w:rsidR="00C604B7" w:rsidRPr="007E4B31" w:rsidRDefault="00C604B7" w:rsidP="001B22F2">
      <w:pPr>
        <w:pStyle w:val="3-BodyText"/>
      </w:pPr>
      <w:r w:rsidRPr="007E4B31">
        <w:t xml:space="preserve">The abridged requested listing of somapacitan for the initial and continuing treatment of patients with SSABGHD </w:t>
      </w:r>
      <w:proofErr w:type="gramStart"/>
      <w:r w:rsidRPr="007E4B31">
        <w:t>is presented</w:t>
      </w:r>
      <w:proofErr w:type="gramEnd"/>
      <w:r w:rsidRPr="007E4B31">
        <w:t xml:space="preserve"> below. The submission also requested the following listings: grandfathering treatment of SSABGHD, the initial, continuing, and grandfathering treatment of SSSG, and the Recommencement of treatment, Recommencement of treatment as a reclassified patient, Change of drug, and Continuing treatment as a reclassified patient for SSABGHD and SSSG.</w:t>
      </w:r>
      <w:r w:rsidR="00370019" w:rsidRPr="007E4B3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127"/>
        <w:gridCol w:w="850"/>
        <w:gridCol w:w="851"/>
        <w:gridCol w:w="850"/>
        <w:gridCol w:w="2076"/>
      </w:tblGrid>
      <w:tr w:rsidR="00C604B7" w:rsidRPr="007E4B31" w14:paraId="0A491ABF" w14:textId="77777777" w:rsidTr="00444A6A">
        <w:trPr>
          <w:cantSplit/>
          <w:trHeight w:val="20"/>
        </w:trPr>
        <w:tc>
          <w:tcPr>
            <w:tcW w:w="2263" w:type="dxa"/>
            <w:vAlign w:val="center"/>
          </w:tcPr>
          <w:p w14:paraId="1A77A8E9" w14:textId="77777777" w:rsidR="00C604B7" w:rsidRPr="007E4B31" w:rsidRDefault="00C604B7" w:rsidP="001B22F2">
            <w:pPr>
              <w:keepLines/>
              <w:rPr>
                <w:rFonts w:ascii="Arial Narrow" w:hAnsi="Arial Narrow"/>
                <w:b/>
                <w:bCs/>
                <w:sz w:val="20"/>
                <w:szCs w:val="20"/>
              </w:rPr>
            </w:pPr>
            <w:bookmarkStart w:id="11" w:name="_Hlk104809055"/>
            <w:r w:rsidRPr="007E4B31">
              <w:rPr>
                <w:rFonts w:ascii="Arial Narrow" w:hAnsi="Arial Narrow"/>
                <w:b/>
                <w:bCs/>
                <w:sz w:val="20"/>
                <w:szCs w:val="20"/>
              </w:rPr>
              <w:t>MEDICINAL PRODUCT</w:t>
            </w:r>
          </w:p>
          <w:p w14:paraId="7B97BBB2" w14:textId="77777777" w:rsidR="00C604B7" w:rsidRPr="007E4B31" w:rsidRDefault="00C604B7" w:rsidP="001B22F2">
            <w:pPr>
              <w:keepLines/>
              <w:rPr>
                <w:rFonts w:ascii="Arial Narrow" w:hAnsi="Arial Narrow"/>
                <w:b/>
                <w:sz w:val="20"/>
                <w:szCs w:val="20"/>
              </w:rPr>
            </w:pPr>
            <w:r w:rsidRPr="007E4B31">
              <w:rPr>
                <w:rFonts w:ascii="Arial Narrow" w:hAnsi="Arial Narrow"/>
                <w:b/>
                <w:bCs/>
                <w:sz w:val="20"/>
                <w:szCs w:val="20"/>
              </w:rPr>
              <w:t>medicinal product pack</w:t>
            </w:r>
          </w:p>
        </w:tc>
        <w:tc>
          <w:tcPr>
            <w:tcW w:w="2127" w:type="dxa"/>
            <w:vAlign w:val="center"/>
          </w:tcPr>
          <w:p w14:paraId="07089FB1" w14:textId="77777777" w:rsidR="00C604B7" w:rsidRPr="007E4B31" w:rsidRDefault="00C604B7" w:rsidP="001B22F2">
            <w:pPr>
              <w:pStyle w:val="TableText0"/>
              <w:rPr>
                <w:b/>
                <w:bCs w:val="0"/>
                <w:snapToGrid w:val="0"/>
              </w:rPr>
            </w:pPr>
            <w:r w:rsidRPr="007E4B31">
              <w:rPr>
                <w:b/>
                <w:bCs w:val="0"/>
                <w:snapToGrid w:val="0"/>
              </w:rPr>
              <w:t xml:space="preserve">DPMQ </w:t>
            </w:r>
          </w:p>
          <w:p w14:paraId="70E2FEDF" w14:textId="77777777" w:rsidR="00C604B7" w:rsidRPr="007E4B31" w:rsidRDefault="00C604B7" w:rsidP="001B22F2">
            <w:pPr>
              <w:pStyle w:val="TableText0"/>
              <w:rPr>
                <w:b/>
                <w:bCs w:val="0"/>
                <w:szCs w:val="20"/>
              </w:rPr>
            </w:pPr>
            <w:r w:rsidRPr="007E4B31">
              <w:rPr>
                <w:b/>
                <w:bCs w:val="0"/>
                <w:snapToGrid w:val="0"/>
              </w:rPr>
              <w:t>AEMP</w:t>
            </w:r>
          </w:p>
        </w:tc>
        <w:tc>
          <w:tcPr>
            <w:tcW w:w="850" w:type="dxa"/>
            <w:vAlign w:val="center"/>
          </w:tcPr>
          <w:p w14:paraId="4F58AC58" w14:textId="77777777" w:rsidR="00C604B7" w:rsidRPr="007E4B31" w:rsidRDefault="00C604B7" w:rsidP="001B22F2">
            <w:pPr>
              <w:keepLines/>
              <w:jc w:val="center"/>
              <w:rPr>
                <w:rFonts w:ascii="Arial Narrow" w:hAnsi="Arial Narrow"/>
                <w:b/>
                <w:sz w:val="20"/>
                <w:szCs w:val="20"/>
              </w:rPr>
            </w:pPr>
            <w:r w:rsidRPr="007E4B31">
              <w:rPr>
                <w:rFonts w:ascii="Arial Narrow" w:hAnsi="Arial Narrow"/>
                <w:b/>
                <w:sz w:val="20"/>
                <w:szCs w:val="20"/>
              </w:rPr>
              <w:t>Max. qty packs</w:t>
            </w:r>
          </w:p>
        </w:tc>
        <w:tc>
          <w:tcPr>
            <w:tcW w:w="851" w:type="dxa"/>
            <w:vAlign w:val="center"/>
          </w:tcPr>
          <w:p w14:paraId="17D88536" w14:textId="77777777" w:rsidR="00C604B7" w:rsidRPr="007E4B31" w:rsidRDefault="00C604B7" w:rsidP="001B22F2">
            <w:pPr>
              <w:keepLines/>
              <w:jc w:val="center"/>
              <w:rPr>
                <w:rFonts w:ascii="Arial Narrow" w:hAnsi="Arial Narrow"/>
                <w:b/>
                <w:sz w:val="20"/>
                <w:szCs w:val="20"/>
              </w:rPr>
            </w:pPr>
            <w:r w:rsidRPr="007E4B31">
              <w:rPr>
                <w:rFonts w:ascii="Arial Narrow" w:hAnsi="Arial Narrow"/>
                <w:b/>
                <w:sz w:val="20"/>
                <w:szCs w:val="20"/>
              </w:rPr>
              <w:t>Max. qty units</w:t>
            </w:r>
          </w:p>
        </w:tc>
        <w:tc>
          <w:tcPr>
            <w:tcW w:w="850" w:type="dxa"/>
            <w:vAlign w:val="center"/>
          </w:tcPr>
          <w:p w14:paraId="687B28E7" w14:textId="77777777" w:rsidR="00C604B7" w:rsidRPr="007E4B31" w:rsidRDefault="00C604B7" w:rsidP="001B22F2">
            <w:pPr>
              <w:keepLines/>
              <w:jc w:val="center"/>
              <w:rPr>
                <w:rFonts w:ascii="Arial Narrow" w:hAnsi="Arial Narrow"/>
                <w:b/>
                <w:sz w:val="20"/>
                <w:szCs w:val="20"/>
              </w:rPr>
            </w:pPr>
            <w:proofErr w:type="gramStart"/>
            <w:r w:rsidRPr="007E4B31">
              <w:rPr>
                <w:rFonts w:ascii="Arial Narrow" w:hAnsi="Arial Narrow"/>
                <w:b/>
                <w:sz w:val="20"/>
                <w:szCs w:val="20"/>
              </w:rPr>
              <w:t>№.of</w:t>
            </w:r>
            <w:proofErr w:type="gramEnd"/>
          </w:p>
          <w:p w14:paraId="57DD2046" w14:textId="77777777" w:rsidR="00C604B7" w:rsidRPr="007E4B31" w:rsidRDefault="00C604B7" w:rsidP="001B22F2">
            <w:pPr>
              <w:keepLines/>
              <w:jc w:val="center"/>
              <w:rPr>
                <w:rFonts w:ascii="Arial Narrow" w:hAnsi="Arial Narrow"/>
                <w:b/>
                <w:sz w:val="20"/>
                <w:szCs w:val="20"/>
              </w:rPr>
            </w:pPr>
            <w:r w:rsidRPr="007E4B31">
              <w:rPr>
                <w:rFonts w:ascii="Arial Narrow" w:hAnsi="Arial Narrow"/>
                <w:b/>
                <w:sz w:val="20"/>
                <w:szCs w:val="20"/>
              </w:rPr>
              <w:t>Rpts</w:t>
            </w:r>
          </w:p>
        </w:tc>
        <w:tc>
          <w:tcPr>
            <w:tcW w:w="2076" w:type="dxa"/>
            <w:vAlign w:val="center"/>
          </w:tcPr>
          <w:p w14:paraId="592C0F05" w14:textId="77777777" w:rsidR="00C604B7" w:rsidRPr="007E4B31" w:rsidRDefault="00C604B7" w:rsidP="001B22F2">
            <w:pPr>
              <w:keepLines/>
              <w:rPr>
                <w:rFonts w:ascii="Arial Narrow" w:hAnsi="Arial Narrow"/>
                <w:b/>
                <w:sz w:val="20"/>
                <w:szCs w:val="20"/>
              </w:rPr>
            </w:pPr>
            <w:r w:rsidRPr="007E4B31">
              <w:rPr>
                <w:rFonts w:ascii="Arial Narrow" w:hAnsi="Arial Narrow"/>
                <w:b/>
                <w:sz w:val="20"/>
                <w:szCs w:val="20"/>
              </w:rPr>
              <w:t>Available brands</w:t>
            </w:r>
          </w:p>
        </w:tc>
      </w:tr>
      <w:tr w:rsidR="00C604B7" w:rsidRPr="007E4B31" w14:paraId="0C95483A" w14:textId="77777777" w:rsidTr="00A2021E">
        <w:trPr>
          <w:cantSplit/>
          <w:trHeight w:val="20"/>
        </w:trPr>
        <w:tc>
          <w:tcPr>
            <w:tcW w:w="9017" w:type="dxa"/>
            <w:gridSpan w:val="6"/>
            <w:vAlign w:val="center"/>
          </w:tcPr>
          <w:p w14:paraId="3193C264" w14:textId="77777777" w:rsidR="00C604B7" w:rsidRPr="007E4B31" w:rsidRDefault="00C604B7" w:rsidP="001B22F2">
            <w:pPr>
              <w:pStyle w:val="TableText0"/>
              <w:rPr>
                <w:rFonts w:cs="Arial"/>
                <w:szCs w:val="20"/>
              </w:rPr>
            </w:pPr>
            <w:r w:rsidRPr="007E4B31">
              <w:t>SOMAPACITAN</w:t>
            </w:r>
          </w:p>
        </w:tc>
      </w:tr>
      <w:tr w:rsidR="00C604B7" w:rsidRPr="007E4B31" w14:paraId="61A04FD6" w14:textId="77777777" w:rsidTr="00444A6A">
        <w:trPr>
          <w:cantSplit/>
          <w:trHeight w:val="20"/>
        </w:trPr>
        <w:tc>
          <w:tcPr>
            <w:tcW w:w="2263" w:type="dxa"/>
            <w:vAlign w:val="center"/>
          </w:tcPr>
          <w:p w14:paraId="5600A100" w14:textId="77777777" w:rsidR="00C604B7" w:rsidRPr="007E4B31" w:rsidRDefault="00C604B7" w:rsidP="001B22F2">
            <w:pPr>
              <w:pStyle w:val="TableText0"/>
              <w:rPr>
                <w:color w:val="0066FF"/>
                <w:szCs w:val="20"/>
              </w:rPr>
            </w:pPr>
            <w:r w:rsidRPr="007E4B31">
              <w:t>Somapacitan prefilled pen(s), 5mg/ 1.5 ml</w:t>
            </w:r>
          </w:p>
        </w:tc>
        <w:tc>
          <w:tcPr>
            <w:tcW w:w="2127" w:type="dxa"/>
            <w:vAlign w:val="center"/>
          </w:tcPr>
          <w:p w14:paraId="712D6539" w14:textId="77777777" w:rsidR="00C604B7" w:rsidRPr="007E4B31" w:rsidRDefault="00C604B7" w:rsidP="001B22F2">
            <w:pPr>
              <w:pStyle w:val="TableText0"/>
            </w:pPr>
            <w:r w:rsidRPr="007E4B31">
              <w:t xml:space="preserve">$332.82 ($66.56 per mg) </w:t>
            </w:r>
          </w:p>
          <w:p w14:paraId="75912EF2" w14:textId="77777777" w:rsidR="00C604B7" w:rsidRPr="007E4B31" w:rsidRDefault="00C604B7" w:rsidP="001B22F2">
            <w:pPr>
              <w:pStyle w:val="TableText0"/>
              <w:rPr>
                <w:szCs w:val="20"/>
              </w:rPr>
            </w:pPr>
            <w:r w:rsidRPr="007E4B31">
              <w:t xml:space="preserve">$312.50 ($62.50 per mg) </w:t>
            </w:r>
          </w:p>
        </w:tc>
        <w:tc>
          <w:tcPr>
            <w:tcW w:w="850" w:type="dxa"/>
            <w:vAlign w:val="center"/>
          </w:tcPr>
          <w:p w14:paraId="5DC2E1D7" w14:textId="77777777" w:rsidR="00C604B7" w:rsidRPr="007E4B31" w:rsidRDefault="00C604B7" w:rsidP="001B22F2">
            <w:pPr>
              <w:pStyle w:val="TableText0"/>
              <w:rPr>
                <w:szCs w:val="20"/>
              </w:rPr>
            </w:pPr>
            <w:r w:rsidRPr="007E4B31">
              <w:t>1</w:t>
            </w:r>
          </w:p>
        </w:tc>
        <w:tc>
          <w:tcPr>
            <w:tcW w:w="851" w:type="dxa"/>
            <w:vAlign w:val="center"/>
          </w:tcPr>
          <w:p w14:paraId="185ECC8D" w14:textId="77777777" w:rsidR="00C604B7" w:rsidRPr="007E4B31" w:rsidRDefault="00C604B7" w:rsidP="001B22F2">
            <w:pPr>
              <w:pStyle w:val="TableText0"/>
              <w:rPr>
                <w:szCs w:val="20"/>
              </w:rPr>
            </w:pPr>
            <w:r w:rsidRPr="007E4B31">
              <w:t>1</w:t>
            </w:r>
          </w:p>
        </w:tc>
        <w:tc>
          <w:tcPr>
            <w:tcW w:w="850" w:type="dxa"/>
            <w:vAlign w:val="center"/>
          </w:tcPr>
          <w:p w14:paraId="07D9EFBA" w14:textId="77777777" w:rsidR="00C604B7" w:rsidRPr="007E4B31" w:rsidRDefault="00C604B7" w:rsidP="001B22F2">
            <w:pPr>
              <w:pStyle w:val="TableText0"/>
              <w:rPr>
                <w:szCs w:val="20"/>
              </w:rPr>
            </w:pPr>
            <w:r w:rsidRPr="007E4B31">
              <w:t>5</w:t>
            </w:r>
          </w:p>
        </w:tc>
        <w:tc>
          <w:tcPr>
            <w:tcW w:w="2076" w:type="dxa"/>
          </w:tcPr>
          <w:p w14:paraId="4ECE7661" w14:textId="77777777" w:rsidR="00C604B7" w:rsidRPr="007E4B31" w:rsidRDefault="00C604B7" w:rsidP="001B22F2">
            <w:pPr>
              <w:pStyle w:val="TableText0"/>
              <w:rPr>
                <w:color w:val="0066FF"/>
                <w:szCs w:val="20"/>
              </w:rPr>
            </w:pPr>
            <w:r w:rsidRPr="007E4B31">
              <w:t>Sogroya, Novo Nordisk Pharmaceuticals Pty Ltd.</w:t>
            </w:r>
          </w:p>
        </w:tc>
      </w:tr>
      <w:tr w:rsidR="00C604B7" w:rsidRPr="007E4B31" w14:paraId="4476B1F0" w14:textId="77777777" w:rsidTr="00444A6A">
        <w:trPr>
          <w:cantSplit/>
          <w:trHeight w:val="20"/>
        </w:trPr>
        <w:tc>
          <w:tcPr>
            <w:tcW w:w="2263" w:type="dxa"/>
            <w:vAlign w:val="center"/>
          </w:tcPr>
          <w:p w14:paraId="5E23B475" w14:textId="77777777" w:rsidR="00C604B7" w:rsidRPr="007E4B31" w:rsidRDefault="00C604B7" w:rsidP="001B22F2">
            <w:pPr>
              <w:pStyle w:val="TableText0"/>
              <w:rPr>
                <w:color w:val="0066FF"/>
                <w:szCs w:val="20"/>
              </w:rPr>
            </w:pPr>
            <w:r w:rsidRPr="007E4B31">
              <w:t>Somapacitan prefilled pen(s), 10mg/ 1.5 ml</w:t>
            </w:r>
          </w:p>
        </w:tc>
        <w:tc>
          <w:tcPr>
            <w:tcW w:w="2127" w:type="dxa"/>
            <w:vAlign w:val="center"/>
          </w:tcPr>
          <w:p w14:paraId="1ACEE60A" w14:textId="77777777" w:rsidR="00C604B7" w:rsidRPr="007E4B31" w:rsidRDefault="00C604B7" w:rsidP="001B22F2">
            <w:pPr>
              <w:pStyle w:val="TableText0"/>
            </w:pPr>
            <w:r w:rsidRPr="007E4B31">
              <w:t xml:space="preserve">$657.83 ($65.78 per mg) </w:t>
            </w:r>
          </w:p>
          <w:p w14:paraId="0E5BD8F0" w14:textId="77777777" w:rsidR="00C604B7" w:rsidRPr="007E4B31" w:rsidRDefault="00C604B7" w:rsidP="001B22F2">
            <w:pPr>
              <w:pStyle w:val="TableText0"/>
              <w:rPr>
                <w:szCs w:val="20"/>
              </w:rPr>
            </w:pPr>
            <w:r w:rsidRPr="007E4B31">
              <w:t xml:space="preserve">$625.01 ($62.50 per mg) </w:t>
            </w:r>
          </w:p>
        </w:tc>
        <w:tc>
          <w:tcPr>
            <w:tcW w:w="850" w:type="dxa"/>
            <w:vAlign w:val="center"/>
          </w:tcPr>
          <w:p w14:paraId="749E37B7" w14:textId="77777777" w:rsidR="00C604B7" w:rsidRPr="007E4B31" w:rsidRDefault="00C604B7" w:rsidP="001B22F2">
            <w:pPr>
              <w:pStyle w:val="TableText0"/>
              <w:rPr>
                <w:szCs w:val="20"/>
              </w:rPr>
            </w:pPr>
            <w:r w:rsidRPr="007E4B31">
              <w:t>1</w:t>
            </w:r>
          </w:p>
        </w:tc>
        <w:tc>
          <w:tcPr>
            <w:tcW w:w="851" w:type="dxa"/>
            <w:vAlign w:val="center"/>
          </w:tcPr>
          <w:p w14:paraId="74CC6116" w14:textId="77777777" w:rsidR="00C604B7" w:rsidRPr="007E4B31" w:rsidRDefault="00C604B7" w:rsidP="001B22F2">
            <w:pPr>
              <w:pStyle w:val="TableText0"/>
              <w:rPr>
                <w:szCs w:val="20"/>
              </w:rPr>
            </w:pPr>
            <w:r w:rsidRPr="007E4B31">
              <w:t>1</w:t>
            </w:r>
          </w:p>
        </w:tc>
        <w:tc>
          <w:tcPr>
            <w:tcW w:w="850" w:type="dxa"/>
            <w:vAlign w:val="center"/>
          </w:tcPr>
          <w:p w14:paraId="5FB581B3" w14:textId="77777777" w:rsidR="00C604B7" w:rsidRPr="007E4B31" w:rsidRDefault="00C604B7" w:rsidP="001B22F2">
            <w:pPr>
              <w:pStyle w:val="TableText0"/>
              <w:rPr>
                <w:szCs w:val="20"/>
              </w:rPr>
            </w:pPr>
            <w:r w:rsidRPr="007E4B31">
              <w:t>5</w:t>
            </w:r>
          </w:p>
        </w:tc>
        <w:tc>
          <w:tcPr>
            <w:tcW w:w="2076" w:type="dxa"/>
          </w:tcPr>
          <w:p w14:paraId="513DA1D8" w14:textId="77777777" w:rsidR="00C604B7" w:rsidRPr="007E4B31" w:rsidRDefault="00C604B7" w:rsidP="001B22F2">
            <w:pPr>
              <w:pStyle w:val="TableText0"/>
              <w:rPr>
                <w:color w:val="0066FF"/>
                <w:szCs w:val="20"/>
              </w:rPr>
            </w:pPr>
            <w:r w:rsidRPr="007E4B31">
              <w:t>Sogroya, Novo Nordisk Pharmaceuticals Pty Ltd.</w:t>
            </w:r>
          </w:p>
        </w:tc>
      </w:tr>
      <w:tr w:rsidR="00C604B7" w:rsidRPr="007E4B31" w14:paraId="7D6E6E59" w14:textId="77777777" w:rsidTr="00444A6A">
        <w:trPr>
          <w:cantSplit/>
          <w:trHeight w:val="20"/>
        </w:trPr>
        <w:tc>
          <w:tcPr>
            <w:tcW w:w="2263" w:type="dxa"/>
            <w:vAlign w:val="center"/>
          </w:tcPr>
          <w:p w14:paraId="18950F32" w14:textId="77777777" w:rsidR="00C604B7" w:rsidRPr="007E4B31" w:rsidRDefault="00C604B7" w:rsidP="001B22F2">
            <w:pPr>
              <w:pStyle w:val="TableText0"/>
              <w:rPr>
                <w:color w:val="0066FF"/>
                <w:szCs w:val="20"/>
              </w:rPr>
            </w:pPr>
            <w:r w:rsidRPr="007E4B31">
              <w:t>Somapacitan prefilled pen(s), 15mg/ 1.5 ml</w:t>
            </w:r>
          </w:p>
        </w:tc>
        <w:tc>
          <w:tcPr>
            <w:tcW w:w="2127" w:type="dxa"/>
            <w:vAlign w:val="center"/>
          </w:tcPr>
          <w:p w14:paraId="29749DD3" w14:textId="77777777" w:rsidR="00C604B7" w:rsidRPr="007E4B31" w:rsidRDefault="00C604B7" w:rsidP="001B22F2">
            <w:pPr>
              <w:pStyle w:val="TableText0"/>
            </w:pPr>
            <w:r w:rsidRPr="007E4B31">
              <w:t xml:space="preserve">$982.83 ($65.52 per mg) </w:t>
            </w:r>
          </w:p>
          <w:p w14:paraId="79D76504" w14:textId="77777777" w:rsidR="00C604B7" w:rsidRPr="007E4B31" w:rsidRDefault="00C604B7" w:rsidP="001B22F2">
            <w:pPr>
              <w:pStyle w:val="TableText0"/>
              <w:rPr>
                <w:szCs w:val="20"/>
              </w:rPr>
            </w:pPr>
            <w:r w:rsidRPr="007E4B31">
              <w:t xml:space="preserve">$937.51 ($62.50 per mg) </w:t>
            </w:r>
          </w:p>
        </w:tc>
        <w:tc>
          <w:tcPr>
            <w:tcW w:w="850" w:type="dxa"/>
            <w:vAlign w:val="center"/>
          </w:tcPr>
          <w:p w14:paraId="574B4197" w14:textId="77777777" w:rsidR="00C604B7" w:rsidRPr="007E4B31" w:rsidRDefault="00C604B7" w:rsidP="001B22F2">
            <w:pPr>
              <w:pStyle w:val="TableText0"/>
              <w:rPr>
                <w:szCs w:val="20"/>
              </w:rPr>
            </w:pPr>
            <w:r w:rsidRPr="007E4B31">
              <w:t>1</w:t>
            </w:r>
          </w:p>
        </w:tc>
        <w:tc>
          <w:tcPr>
            <w:tcW w:w="851" w:type="dxa"/>
            <w:vAlign w:val="center"/>
          </w:tcPr>
          <w:p w14:paraId="7D20107F" w14:textId="77777777" w:rsidR="00C604B7" w:rsidRPr="007E4B31" w:rsidRDefault="00C604B7" w:rsidP="001B22F2">
            <w:pPr>
              <w:pStyle w:val="TableText0"/>
              <w:rPr>
                <w:szCs w:val="20"/>
              </w:rPr>
            </w:pPr>
            <w:r w:rsidRPr="007E4B31">
              <w:t>1</w:t>
            </w:r>
          </w:p>
        </w:tc>
        <w:tc>
          <w:tcPr>
            <w:tcW w:w="850" w:type="dxa"/>
            <w:vAlign w:val="center"/>
          </w:tcPr>
          <w:p w14:paraId="5225E5C0" w14:textId="77777777" w:rsidR="00C604B7" w:rsidRPr="007E4B31" w:rsidRDefault="00C604B7" w:rsidP="001B22F2">
            <w:pPr>
              <w:pStyle w:val="TableText0"/>
              <w:rPr>
                <w:szCs w:val="20"/>
              </w:rPr>
            </w:pPr>
            <w:r w:rsidRPr="007E4B31">
              <w:t>5</w:t>
            </w:r>
          </w:p>
        </w:tc>
        <w:tc>
          <w:tcPr>
            <w:tcW w:w="2076" w:type="dxa"/>
          </w:tcPr>
          <w:p w14:paraId="12EBDC48" w14:textId="77777777" w:rsidR="00C604B7" w:rsidRPr="007E4B31" w:rsidRDefault="00C604B7" w:rsidP="001B22F2">
            <w:pPr>
              <w:pStyle w:val="TableText0"/>
              <w:rPr>
                <w:szCs w:val="20"/>
              </w:rPr>
            </w:pPr>
            <w:r w:rsidRPr="007E4B31">
              <w:t>Sogroya, Novo Nordisk Pharmaceuticals Pty Ltd.</w:t>
            </w:r>
          </w:p>
        </w:tc>
      </w:tr>
    </w:tbl>
    <w:bookmarkEnd w:id="11"/>
    <w:p w14:paraId="108C5561" w14:textId="77777777" w:rsidR="00C604B7" w:rsidRPr="007E4B31" w:rsidRDefault="00C604B7" w:rsidP="001B22F2">
      <w:pPr>
        <w:pStyle w:val="TableFooter"/>
        <w:keepNext/>
        <w:keepLines/>
      </w:pPr>
      <w:r w:rsidRPr="007E4B31">
        <w:t>Source: Table 1.6, p.37 of the submission</w:t>
      </w:r>
    </w:p>
    <w:p w14:paraId="72B42641" w14:textId="77777777" w:rsidR="00C604B7" w:rsidRPr="007E4B31" w:rsidRDefault="00C604B7" w:rsidP="001B22F2">
      <w:pPr>
        <w:pStyle w:val="TableFooter"/>
        <w:keepNext/>
        <w:keepLines/>
      </w:pPr>
      <w:r w:rsidRPr="007E4B31">
        <w:t xml:space="preserve">AEMP = approved ex-manufacturer price; DPMQ = dispensed price maximum quantity </w:t>
      </w:r>
    </w:p>
    <w:p w14:paraId="042C786A" w14:textId="09EDCB79" w:rsidR="00D206A2" w:rsidRPr="007E4B31" w:rsidRDefault="00D206A2">
      <w:pPr>
        <w:jc w:val="left"/>
      </w:pPr>
    </w:p>
    <w:tbl>
      <w:tblPr>
        <w:tblStyle w:val="TableGrid"/>
        <w:tblW w:w="9016" w:type="dxa"/>
        <w:tblLook w:val="04A0" w:firstRow="1" w:lastRow="0" w:firstColumn="1" w:lastColumn="0" w:noHBand="0" w:noVBand="1"/>
      </w:tblPr>
      <w:tblGrid>
        <w:gridCol w:w="9016"/>
      </w:tblGrid>
      <w:tr w:rsidR="004A1924" w:rsidRPr="007E4B31" w14:paraId="0931B7AA" w14:textId="77777777" w:rsidTr="001045B7">
        <w:tc>
          <w:tcPr>
            <w:tcW w:w="9016" w:type="dxa"/>
          </w:tcPr>
          <w:p w14:paraId="12BD74AC" w14:textId="77777777" w:rsidR="004A1924" w:rsidRPr="007E4B31" w:rsidRDefault="004A1924" w:rsidP="006C5A0B">
            <w:pPr>
              <w:rPr>
                <w:rFonts w:ascii="Arial Narrow" w:hAnsi="Arial Narrow"/>
                <w:sz w:val="20"/>
                <w:szCs w:val="20"/>
              </w:rPr>
            </w:pPr>
            <w:r w:rsidRPr="007E4B31">
              <w:rPr>
                <w:rFonts w:ascii="Arial Narrow" w:hAnsi="Arial Narrow"/>
                <w:b/>
                <w:sz w:val="20"/>
                <w:szCs w:val="20"/>
              </w:rPr>
              <w:t xml:space="preserve">Category / Program: </w:t>
            </w:r>
            <w:r w:rsidRPr="007E4B31">
              <w:rPr>
                <w:rFonts w:ascii="Arial Narrow" w:hAnsi="Arial Narrow"/>
                <w:sz w:val="20"/>
                <w:szCs w:val="20"/>
              </w:rPr>
              <w:t>S100 Growth Hormone Program</w:t>
            </w:r>
          </w:p>
        </w:tc>
      </w:tr>
      <w:tr w:rsidR="004A1924" w:rsidRPr="007E4B31" w14:paraId="184A1186" w14:textId="77777777" w:rsidTr="001045B7">
        <w:tc>
          <w:tcPr>
            <w:tcW w:w="9016" w:type="dxa"/>
          </w:tcPr>
          <w:p w14:paraId="535FABAE" w14:textId="77777777" w:rsidR="004A1924" w:rsidRPr="007E4B31" w:rsidRDefault="004A1924" w:rsidP="006C5A0B">
            <w:pPr>
              <w:rPr>
                <w:rFonts w:ascii="Arial Narrow" w:hAnsi="Arial Narrow"/>
                <w:sz w:val="20"/>
                <w:szCs w:val="20"/>
              </w:rPr>
            </w:pPr>
            <w:r w:rsidRPr="007E4B31">
              <w:rPr>
                <w:rFonts w:ascii="Arial Narrow" w:hAnsi="Arial Narrow"/>
                <w:b/>
                <w:sz w:val="20"/>
                <w:szCs w:val="20"/>
              </w:rPr>
              <w:t xml:space="preserve">Restriction type: </w:t>
            </w:r>
            <w:r w:rsidRPr="007E4B31">
              <w:rPr>
                <w:rFonts w:ascii="Arial Narrow" w:hAnsi="Arial Narrow"/>
                <w:sz w:val="20"/>
                <w:szCs w:val="20"/>
              </w:rPr>
              <w:fldChar w:fldCharType="begin" w:fldLock="1">
                <w:ffData>
                  <w:name w:val=""/>
                  <w:enabled/>
                  <w:calcOnExit w:val="0"/>
                  <w:checkBox>
                    <w:sizeAuto/>
                    <w:default w:val="1"/>
                  </w:checkBox>
                </w:ffData>
              </w:fldChar>
            </w:r>
            <w:r w:rsidRPr="007E4B31">
              <w:rPr>
                <w:rFonts w:ascii="Arial Narrow" w:hAnsi="Arial Narrow"/>
                <w:sz w:val="20"/>
                <w:szCs w:val="20"/>
              </w:rPr>
              <w:instrText xml:space="preserve"> FORMCHECKBOX </w:instrText>
            </w:r>
            <w:r w:rsidR="00402BC2">
              <w:rPr>
                <w:rFonts w:ascii="Arial Narrow" w:hAnsi="Arial Narrow"/>
                <w:sz w:val="20"/>
                <w:szCs w:val="20"/>
              </w:rPr>
            </w:r>
            <w:r w:rsidR="00402BC2">
              <w:rPr>
                <w:rFonts w:ascii="Arial Narrow" w:hAnsi="Arial Narrow"/>
                <w:sz w:val="20"/>
                <w:szCs w:val="20"/>
              </w:rPr>
              <w:fldChar w:fldCharType="separate"/>
            </w:r>
            <w:r w:rsidRPr="007E4B31">
              <w:rPr>
                <w:rFonts w:ascii="Arial Narrow" w:hAnsi="Arial Narrow"/>
                <w:sz w:val="20"/>
                <w:szCs w:val="20"/>
              </w:rPr>
              <w:fldChar w:fldCharType="end"/>
            </w:r>
            <w:r w:rsidRPr="007E4B31">
              <w:rPr>
                <w:rFonts w:ascii="Arial Narrow" w:hAnsi="Arial Narrow"/>
                <w:sz w:val="20"/>
                <w:szCs w:val="20"/>
              </w:rPr>
              <w:t xml:space="preserve">Authority Required (in writing only via post/HPOS upload)  </w:t>
            </w:r>
          </w:p>
        </w:tc>
      </w:tr>
      <w:tr w:rsidR="004A1924" w:rsidRPr="007E4B31" w14:paraId="43A4CE19" w14:textId="77777777" w:rsidTr="001045B7">
        <w:tc>
          <w:tcPr>
            <w:tcW w:w="9016" w:type="dxa"/>
            <w:vAlign w:val="center"/>
          </w:tcPr>
          <w:p w14:paraId="6C8EF6F4" w14:textId="77777777" w:rsidR="004A1924" w:rsidRPr="007E4B31" w:rsidRDefault="004A1924" w:rsidP="006C5A0B">
            <w:pPr>
              <w:rPr>
                <w:rFonts w:ascii="Arial Narrow" w:hAnsi="Arial Narrow"/>
                <w:sz w:val="20"/>
                <w:szCs w:val="20"/>
              </w:rPr>
            </w:pPr>
            <w:r w:rsidRPr="007E4B31">
              <w:rPr>
                <w:rFonts w:ascii="Arial Narrow" w:hAnsi="Arial Narrow"/>
                <w:b/>
                <w:sz w:val="20"/>
                <w:szCs w:val="20"/>
              </w:rPr>
              <w:t xml:space="preserve">Condition: </w:t>
            </w:r>
            <w:r w:rsidRPr="007E4B31">
              <w:rPr>
                <w:rFonts w:ascii="Arial Narrow" w:hAnsi="Arial Narrow"/>
                <w:sz w:val="20"/>
                <w:szCs w:val="20"/>
              </w:rPr>
              <w:t xml:space="preserve"> Short stature associated with biochemical growth hormone deficiency</w:t>
            </w:r>
          </w:p>
        </w:tc>
      </w:tr>
      <w:tr w:rsidR="004A1924" w:rsidRPr="007E4B31" w14:paraId="63A489FD" w14:textId="77777777" w:rsidTr="001045B7">
        <w:tc>
          <w:tcPr>
            <w:tcW w:w="9016" w:type="dxa"/>
            <w:vAlign w:val="center"/>
          </w:tcPr>
          <w:p w14:paraId="24837ECF" w14:textId="77777777" w:rsidR="004A1924" w:rsidRPr="007E4B31" w:rsidRDefault="004A1924" w:rsidP="006C5A0B">
            <w:pPr>
              <w:rPr>
                <w:rFonts w:ascii="Arial Narrow" w:hAnsi="Arial Narrow"/>
                <w:sz w:val="20"/>
                <w:szCs w:val="20"/>
              </w:rPr>
            </w:pPr>
            <w:r w:rsidRPr="007E4B31">
              <w:rPr>
                <w:rFonts w:ascii="Arial Narrow" w:hAnsi="Arial Narrow"/>
                <w:b/>
                <w:sz w:val="20"/>
                <w:szCs w:val="20"/>
              </w:rPr>
              <w:t>Treatment Phase:</w:t>
            </w:r>
            <w:r w:rsidRPr="007E4B31">
              <w:rPr>
                <w:rFonts w:ascii="Arial Narrow" w:hAnsi="Arial Narrow"/>
                <w:sz w:val="20"/>
                <w:szCs w:val="20"/>
              </w:rPr>
              <w:t xml:space="preserve"> </w:t>
            </w:r>
            <w:r w:rsidRPr="007E4B31">
              <w:rPr>
                <w:rFonts w:ascii="Arial Narrow" w:hAnsi="Arial Narrow"/>
                <w:bCs/>
                <w:sz w:val="20"/>
                <w:szCs w:val="20"/>
              </w:rPr>
              <w:t xml:space="preserve"> </w:t>
            </w:r>
            <w:r w:rsidRPr="007E4B31">
              <w:rPr>
                <w:rFonts w:ascii="Arial Narrow" w:hAnsi="Arial Narrow"/>
                <w:sz w:val="20"/>
                <w:szCs w:val="20"/>
              </w:rPr>
              <w:t>Initial treatment</w:t>
            </w:r>
          </w:p>
        </w:tc>
      </w:tr>
      <w:tr w:rsidR="004A1924" w:rsidRPr="007E4B31" w14:paraId="731D3131" w14:textId="77777777" w:rsidTr="001045B7">
        <w:tc>
          <w:tcPr>
            <w:tcW w:w="9016" w:type="dxa"/>
            <w:vAlign w:val="center"/>
          </w:tcPr>
          <w:p w14:paraId="3A4E90FE" w14:textId="77777777" w:rsidR="004A1924" w:rsidRPr="007E4B31" w:rsidRDefault="004A1924" w:rsidP="006C5A0B">
            <w:pPr>
              <w:rPr>
                <w:rFonts w:ascii="Arial Narrow" w:hAnsi="Arial Narrow"/>
                <w:sz w:val="20"/>
                <w:szCs w:val="20"/>
              </w:rPr>
            </w:pPr>
            <w:r w:rsidRPr="007E4B31">
              <w:rPr>
                <w:rFonts w:ascii="Arial Narrow" w:hAnsi="Arial Narrow"/>
                <w:b/>
                <w:sz w:val="20"/>
                <w:szCs w:val="20"/>
              </w:rPr>
              <w:t>Clinical criteria:</w:t>
            </w:r>
          </w:p>
        </w:tc>
      </w:tr>
      <w:tr w:rsidR="004A1924" w:rsidRPr="007E4B31" w14:paraId="1294A49D" w14:textId="77777777" w:rsidTr="001045B7">
        <w:tc>
          <w:tcPr>
            <w:tcW w:w="9016" w:type="dxa"/>
            <w:vAlign w:val="center"/>
          </w:tcPr>
          <w:p w14:paraId="41F52B99" w14:textId="77777777" w:rsidR="004A1924" w:rsidRPr="007E4B31" w:rsidRDefault="004A1924" w:rsidP="00F527AB">
            <w:pPr>
              <w:pStyle w:val="TableText0"/>
              <w:keepNext w:val="0"/>
              <w:numPr>
                <w:ilvl w:val="0"/>
                <w:numId w:val="7"/>
              </w:numPr>
              <w:ind w:left="360"/>
              <w:rPr>
                <w:szCs w:val="20"/>
              </w:rPr>
            </w:pPr>
            <w:r w:rsidRPr="007E4B31">
              <w:rPr>
                <w:szCs w:val="20"/>
              </w:rPr>
              <w:t>Patient must have evidence of biochemical growth hormone deficiency, with a peak serum growth hormone concentration less than 10 mU/L or less than or equal to 3.3 micrograms per litre in response to:</w:t>
            </w:r>
          </w:p>
          <w:p w14:paraId="75965DBA" w14:textId="77777777" w:rsidR="004A1924" w:rsidRPr="007E4B31" w:rsidRDefault="004A1924" w:rsidP="00F527AB">
            <w:pPr>
              <w:pStyle w:val="TableText0"/>
              <w:keepNext w:val="0"/>
              <w:numPr>
                <w:ilvl w:val="0"/>
                <w:numId w:val="15"/>
              </w:numPr>
              <w:rPr>
                <w:szCs w:val="20"/>
              </w:rPr>
            </w:pPr>
            <w:r w:rsidRPr="007E4B31">
              <w:rPr>
                <w:szCs w:val="20"/>
              </w:rPr>
              <w:lastRenderedPageBreak/>
              <w:t>2 pharmacological growth hormone stimulation tests (</w:t>
            </w:r>
            <w:proofErr w:type="gramStart"/>
            <w:r w:rsidRPr="007E4B31">
              <w:rPr>
                <w:szCs w:val="20"/>
              </w:rPr>
              <w:t>e.g.</w:t>
            </w:r>
            <w:proofErr w:type="gramEnd"/>
            <w:r w:rsidRPr="007E4B31">
              <w:rPr>
                <w:szCs w:val="20"/>
              </w:rPr>
              <w:t xml:space="preserve"> arginine, clonidine, glucagon, insulin); OR</w:t>
            </w:r>
          </w:p>
          <w:p w14:paraId="24969DE9" w14:textId="77777777" w:rsidR="004A1924" w:rsidRPr="007E4B31" w:rsidRDefault="004A1924" w:rsidP="00F527AB">
            <w:pPr>
              <w:pStyle w:val="TableText0"/>
              <w:keepNext w:val="0"/>
              <w:numPr>
                <w:ilvl w:val="0"/>
                <w:numId w:val="15"/>
              </w:numPr>
              <w:rPr>
                <w:szCs w:val="20"/>
              </w:rPr>
            </w:pPr>
            <w:r w:rsidRPr="007E4B31">
              <w:rPr>
                <w:szCs w:val="20"/>
              </w:rPr>
              <w:t>1 pharmacological growth hormone stimulation test (</w:t>
            </w:r>
            <w:proofErr w:type="gramStart"/>
            <w:r w:rsidRPr="007E4B31">
              <w:rPr>
                <w:szCs w:val="20"/>
              </w:rPr>
              <w:t>e.g.</w:t>
            </w:r>
            <w:proofErr w:type="gramEnd"/>
            <w:r w:rsidRPr="007E4B31">
              <w:rPr>
                <w:szCs w:val="20"/>
              </w:rPr>
              <w:t xml:space="preserve"> arginine, clonidine, glucagon, insulin) and 1 physiological growth hormone stimulation test (e.g. sleep, exercise); OR</w:t>
            </w:r>
          </w:p>
          <w:p w14:paraId="4134B881" w14:textId="77777777" w:rsidR="004A1924" w:rsidRPr="007E4B31" w:rsidRDefault="004A1924" w:rsidP="00F527AB">
            <w:pPr>
              <w:pStyle w:val="TableText0"/>
              <w:keepNext w:val="0"/>
              <w:numPr>
                <w:ilvl w:val="0"/>
                <w:numId w:val="15"/>
              </w:numPr>
              <w:rPr>
                <w:szCs w:val="20"/>
              </w:rPr>
            </w:pPr>
            <w:r w:rsidRPr="007E4B31">
              <w:rPr>
                <w:szCs w:val="20"/>
              </w:rPr>
              <w:t>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1E9703EF" w14:textId="77777777" w:rsidR="004A1924" w:rsidRPr="007E4B31" w:rsidRDefault="004A1924" w:rsidP="00F527AB">
            <w:pPr>
              <w:pStyle w:val="TableText0"/>
              <w:keepNext w:val="0"/>
              <w:numPr>
                <w:ilvl w:val="0"/>
                <w:numId w:val="15"/>
              </w:numPr>
              <w:rPr>
                <w:szCs w:val="20"/>
              </w:rPr>
            </w:pPr>
            <w:r w:rsidRPr="007E4B31">
              <w:rPr>
                <w:szCs w:val="20"/>
              </w:rPr>
              <w:t xml:space="preserve">1 growth hormone stimulation test (pharmacological or physiological </w:t>
            </w:r>
            <w:proofErr w:type="gramStart"/>
            <w:r w:rsidRPr="007E4B31">
              <w:rPr>
                <w:szCs w:val="20"/>
              </w:rPr>
              <w:t>e.g.</w:t>
            </w:r>
            <w:proofErr w:type="gramEnd"/>
            <w:r w:rsidRPr="007E4B31">
              <w:rPr>
                <w:szCs w:val="20"/>
              </w:rPr>
              <w:t xml:space="preserve"> arginine, clonidine, glucagon, insulin, sleep, exercise) and low plasma IGF-1 levels; OR</w:t>
            </w:r>
          </w:p>
          <w:p w14:paraId="227E9DDA" w14:textId="77777777" w:rsidR="004A1924" w:rsidRPr="007E4B31" w:rsidRDefault="004A1924" w:rsidP="00F527AB">
            <w:pPr>
              <w:pStyle w:val="TableText0"/>
              <w:keepNext w:val="0"/>
              <w:numPr>
                <w:ilvl w:val="0"/>
                <w:numId w:val="15"/>
              </w:numPr>
              <w:rPr>
                <w:szCs w:val="20"/>
              </w:rPr>
            </w:pPr>
            <w:r w:rsidRPr="007E4B31">
              <w:rPr>
                <w:szCs w:val="20"/>
              </w:rPr>
              <w:t xml:space="preserve">1 growth hormone stimulation test (pharmacological or physiological </w:t>
            </w:r>
            <w:proofErr w:type="gramStart"/>
            <w:r w:rsidRPr="007E4B31">
              <w:rPr>
                <w:szCs w:val="20"/>
              </w:rPr>
              <w:t>e.g.</w:t>
            </w:r>
            <w:proofErr w:type="gramEnd"/>
            <w:r w:rsidRPr="007E4B31">
              <w:rPr>
                <w:szCs w:val="20"/>
              </w:rPr>
              <w:t xml:space="preserve"> arginine, clonidine, glucagon, insulin, sleep, exercise) and low plasma IGFBP-3 levels,</w:t>
            </w:r>
          </w:p>
          <w:p w14:paraId="6E7A663F" w14:textId="77777777" w:rsidR="004A1924" w:rsidRPr="007E4B31" w:rsidRDefault="004A1924" w:rsidP="006C5A0B">
            <w:pPr>
              <w:pStyle w:val="TableText0"/>
              <w:keepNext w:val="0"/>
              <w:rPr>
                <w:szCs w:val="20"/>
              </w:rPr>
            </w:pPr>
            <w:r w:rsidRPr="007E4B31">
              <w:rPr>
                <w:szCs w:val="20"/>
              </w:rPr>
              <w:t>AND</w:t>
            </w:r>
          </w:p>
          <w:p w14:paraId="68B1659C" w14:textId="77777777" w:rsidR="004A1924" w:rsidRPr="007E4B31" w:rsidRDefault="004A1924" w:rsidP="00F527AB">
            <w:pPr>
              <w:pStyle w:val="TableText0"/>
              <w:keepNext w:val="0"/>
              <w:numPr>
                <w:ilvl w:val="0"/>
                <w:numId w:val="8"/>
              </w:numPr>
              <w:ind w:left="360"/>
              <w:rPr>
                <w:szCs w:val="20"/>
              </w:rPr>
            </w:pPr>
            <w:r w:rsidRPr="007E4B31">
              <w:rPr>
                <w:szCs w:val="20"/>
              </w:rPr>
              <w:t xml:space="preserve">Patient must have a current height at or below the 1st percentile for age and </w:t>
            </w:r>
            <w:proofErr w:type="gramStart"/>
            <w:r w:rsidRPr="007E4B31">
              <w:rPr>
                <w:szCs w:val="20"/>
              </w:rPr>
              <w:t>sex;</w:t>
            </w:r>
            <w:proofErr w:type="gramEnd"/>
            <w:r w:rsidRPr="007E4B31">
              <w:rPr>
                <w:szCs w:val="20"/>
              </w:rPr>
              <w:t xml:space="preserve"> OR</w:t>
            </w:r>
          </w:p>
          <w:p w14:paraId="78941312" w14:textId="77777777" w:rsidR="004A1924" w:rsidRPr="007E4B31" w:rsidRDefault="004A1924" w:rsidP="00F527AB">
            <w:pPr>
              <w:pStyle w:val="TableText0"/>
              <w:keepNext w:val="0"/>
              <w:numPr>
                <w:ilvl w:val="0"/>
                <w:numId w:val="8"/>
              </w:numPr>
              <w:ind w:left="360"/>
              <w:rPr>
                <w:szCs w:val="20"/>
              </w:rPr>
            </w:pPr>
            <w:r w:rsidRPr="007E4B31">
              <w:rPr>
                <w:szCs w:val="20"/>
              </w:rPr>
              <w:t xml:space="preserve">Patient must have a current height above the 1st and at or below the 25th percentiles for age and sex and a growth velocity below the 25th percentile for bone age and sex measured over a </w:t>
            </w:r>
            <w:proofErr w:type="gramStart"/>
            <w:r w:rsidRPr="007E4B31">
              <w:rPr>
                <w:szCs w:val="20"/>
              </w:rPr>
              <w:t>12 month</w:t>
            </w:r>
            <w:proofErr w:type="gramEnd"/>
            <w:r w:rsidRPr="007E4B31">
              <w:rPr>
                <w:szCs w:val="20"/>
              </w:rPr>
              <w:t xml:space="preserve"> interval (or a 6 month interval for an older child); OR</w:t>
            </w:r>
          </w:p>
          <w:p w14:paraId="63AC8DFA" w14:textId="77777777" w:rsidR="004A1924" w:rsidRPr="007E4B31" w:rsidRDefault="004A1924" w:rsidP="00F527AB">
            <w:pPr>
              <w:pStyle w:val="TableText0"/>
              <w:keepNext w:val="0"/>
              <w:numPr>
                <w:ilvl w:val="0"/>
                <w:numId w:val="8"/>
              </w:numPr>
              <w:ind w:left="360"/>
              <w:rPr>
                <w:szCs w:val="20"/>
              </w:rPr>
            </w:pPr>
            <w:r w:rsidRPr="007E4B31">
              <w:rPr>
                <w:szCs w:val="20"/>
              </w:rPr>
              <w:t xml:space="preserve">Patient must have a current height above the 1st and at or below the 25th percentiles for age and sex and an annual growth velocity of 14 cm per year or less if the patient has a chronological age of 2 years or </w:t>
            </w:r>
            <w:proofErr w:type="gramStart"/>
            <w:r w:rsidRPr="007E4B31">
              <w:rPr>
                <w:szCs w:val="20"/>
              </w:rPr>
              <w:t>less;</w:t>
            </w:r>
            <w:proofErr w:type="gramEnd"/>
            <w:r w:rsidRPr="007E4B31">
              <w:rPr>
                <w:szCs w:val="20"/>
              </w:rPr>
              <w:t xml:space="preserve"> OR</w:t>
            </w:r>
          </w:p>
          <w:p w14:paraId="6DCF9426" w14:textId="77777777" w:rsidR="004A1924" w:rsidRPr="007E4B31" w:rsidRDefault="004A1924" w:rsidP="00F527AB">
            <w:pPr>
              <w:pStyle w:val="TableText0"/>
              <w:keepNext w:val="0"/>
              <w:numPr>
                <w:ilvl w:val="0"/>
                <w:numId w:val="8"/>
              </w:numPr>
              <w:ind w:left="360"/>
              <w:rPr>
                <w:szCs w:val="20"/>
              </w:rPr>
            </w:pPr>
            <w:r w:rsidRPr="007E4B31">
              <w:rPr>
                <w:szCs w:val="20"/>
              </w:rPr>
              <w:t xml:space="preserve">Patient must have a current height above the </w:t>
            </w:r>
            <w:proofErr w:type="gramStart"/>
            <w:r w:rsidRPr="007E4B31">
              <w:rPr>
                <w:szCs w:val="20"/>
              </w:rPr>
              <w:t>1st</w:t>
            </w:r>
            <w:proofErr w:type="gramEnd"/>
            <w:r w:rsidRPr="007E4B31">
              <w:rPr>
                <w:szCs w:val="20"/>
              </w:rPr>
              <w:t xml:space="preserve"> and at or below the 25th percentiles for age and sex and an annual growth velocity of 8 cm per year or less if the patient has a bone or chronological age of 2.5 years or less,</w:t>
            </w:r>
          </w:p>
          <w:p w14:paraId="4F7357F6" w14:textId="77777777" w:rsidR="004A1924" w:rsidRPr="007E4B31" w:rsidRDefault="004A1924" w:rsidP="006C5A0B">
            <w:pPr>
              <w:pStyle w:val="TableText0"/>
              <w:keepNext w:val="0"/>
              <w:rPr>
                <w:szCs w:val="20"/>
              </w:rPr>
            </w:pPr>
            <w:r w:rsidRPr="007E4B31">
              <w:rPr>
                <w:szCs w:val="20"/>
              </w:rPr>
              <w:t>AND</w:t>
            </w:r>
          </w:p>
          <w:p w14:paraId="17025069" w14:textId="77777777" w:rsidR="004A1924" w:rsidRPr="007E4B31" w:rsidRDefault="004A1924" w:rsidP="00F527AB">
            <w:pPr>
              <w:pStyle w:val="TableText0"/>
              <w:keepNext w:val="0"/>
              <w:numPr>
                <w:ilvl w:val="0"/>
                <w:numId w:val="10"/>
              </w:numPr>
              <w:ind w:left="360"/>
              <w:rPr>
                <w:szCs w:val="20"/>
              </w:rPr>
            </w:pPr>
            <w:r w:rsidRPr="007E4B31">
              <w:rPr>
                <w:szCs w:val="20"/>
              </w:rPr>
              <w:t>Patient must not have a condition with a known risk of malignancy including chromosomal abnormalities such as Down and Bloom syndromes,</w:t>
            </w:r>
          </w:p>
          <w:p w14:paraId="4ED39007" w14:textId="77777777" w:rsidR="004A1924" w:rsidRPr="007E4B31" w:rsidRDefault="004A1924" w:rsidP="006C5A0B">
            <w:pPr>
              <w:pStyle w:val="TableText0"/>
              <w:keepNext w:val="0"/>
              <w:rPr>
                <w:szCs w:val="20"/>
              </w:rPr>
            </w:pPr>
            <w:r w:rsidRPr="007E4B31">
              <w:rPr>
                <w:szCs w:val="20"/>
              </w:rPr>
              <w:t>AND</w:t>
            </w:r>
          </w:p>
          <w:p w14:paraId="25494C1D" w14:textId="77777777" w:rsidR="004A1924" w:rsidRPr="007E4B31" w:rsidRDefault="004A1924" w:rsidP="00F527AB">
            <w:pPr>
              <w:pStyle w:val="TableText0"/>
              <w:keepNext w:val="0"/>
              <w:numPr>
                <w:ilvl w:val="0"/>
                <w:numId w:val="10"/>
              </w:numPr>
              <w:ind w:left="360"/>
              <w:rPr>
                <w:szCs w:val="20"/>
              </w:rPr>
            </w:pPr>
            <w:r w:rsidRPr="007E4B31">
              <w:rPr>
                <w:szCs w:val="20"/>
              </w:rPr>
              <w:t>Patient must not have an active tumour or evidence of tumour growth or activity,</w:t>
            </w:r>
          </w:p>
          <w:p w14:paraId="07F9B9C6" w14:textId="77777777" w:rsidR="004A1924" w:rsidRPr="007E4B31" w:rsidRDefault="004A1924" w:rsidP="006C5A0B">
            <w:pPr>
              <w:pStyle w:val="TableText0"/>
              <w:keepNext w:val="0"/>
              <w:rPr>
                <w:szCs w:val="20"/>
              </w:rPr>
            </w:pPr>
            <w:r w:rsidRPr="007E4B31">
              <w:rPr>
                <w:szCs w:val="20"/>
              </w:rPr>
              <w:t>AND</w:t>
            </w:r>
          </w:p>
          <w:p w14:paraId="12588E1D" w14:textId="77777777" w:rsidR="004A1924" w:rsidRPr="007E4B31" w:rsidRDefault="004A1924" w:rsidP="00F527AB">
            <w:pPr>
              <w:pStyle w:val="TableText0"/>
              <w:keepNext w:val="0"/>
              <w:numPr>
                <w:ilvl w:val="0"/>
                <w:numId w:val="10"/>
              </w:numPr>
              <w:ind w:left="360"/>
              <w:rPr>
                <w:szCs w:val="20"/>
              </w:rPr>
            </w:pPr>
            <w:r w:rsidRPr="007E4B31">
              <w:rPr>
                <w:szCs w:val="20"/>
              </w:rPr>
              <w:t>Patient must not have previously received treatment under the PBS S100 Growth Hormone Program,</w:t>
            </w:r>
          </w:p>
          <w:p w14:paraId="6A50B650" w14:textId="77777777" w:rsidR="004A1924" w:rsidRPr="007E4B31" w:rsidRDefault="004A1924" w:rsidP="006C5A0B">
            <w:pPr>
              <w:pStyle w:val="TableText0"/>
              <w:keepNext w:val="0"/>
              <w:rPr>
                <w:szCs w:val="20"/>
              </w:rPr>
            </w:pPr>
            <w:r w:rsidRPr="007E4B31">
              <w:rPr>
                <w:szCs w:val="20"/>
              </w:rPr>
              <w:t>AND</w:t>
            </w:r>
          </w:p>
          <w:p w14:paraId="356F1BB7" w14:textId="77777777" w:rsidR="004A1924" w:rsidRPr="007E4B31" w:rsidRDefault="004A1924" w:rsidP="00F527AB">
            <w:pPr>
              <w:pStyle w:val="TableText0"/>
              <w:keepNext w:val="0"/>
              <w:numPr>
                <w:ilvl w:val="0"/>
                <w:numId w:val="9"/>
              </w:numPr>
              <w:ind w:left="360"/>
              <w:rPr>
                <w:szCs w:val="20"/>
              </w:rPr>
            </w:pPr>
            <w:r w:rsidRPr="007E4B31">
              <w:rPr>
                <w:szCs w:val="20"/>
              </w:rPr>
              <w:t>Patient must be male and must not have a bone age of 15.5 years or more; OR</w:t>
            </w:r>
          </w:p>
          <w:p w14:paraId="0287109A" w14:textId="77777777" w:rsidR="004A1924" w:rsidRPr="007E4B31" w:rsidRDefault="004A1924" w:rsidP="00F527AB">
            <w:pPr>
              <w:pStyle w:val="TableText0"/>
              <w:keepNext w:val="0"/>
              <w:numPr>
                <w:ilvl w:val="0"/>
                <w:numId w:val="9"/>
              </w:numPr>
              <w:ind w:left="360"/>
              <w:rPr>
                <w:szCs w:val="20"/>
              </w:rPr>
            </w:pPr>
            <w:r w:rsidRPr="007E4B31">
              <w:rPr>
                <w:szCs w:val="20"/>
              </w:rPr>
              <w:t>Patient must be female and must not have a bone age of 13.5 years or more.</w:t>
            </w:r>
          </w:p>
        </w:tc>
      </w:tr>
      <w:tr w:rsidR="004A1924" w:rsidRPr="007E4B31" w14:paraId="0647106F" w14:textId="77777777" w:rsidTr="001045B7">
        <w:tc>
          <w:tcPr>
            <w:tcW w:w="9016" w:type="dxa"/>
            <w:vAlign w:val="center"/>
          </w:tcPr>
          <w:p w14:paraId="6B7BC525" w14:textId="77777777" w:rsidR="004A1924" w:rsidRPr="007E4B31" w:rsidRDefault="004A1924" w:rsidP="006C5A0B">
            <w:pPr>
              <w:rPr>
                <w:rFonts w:ascii="Arial Narrow" w:hAnsi="Arial Narrow"/>
                <w:sz w:val="20"/>
                <w:szCs w:val="20"/>
              </w:rPr>
            </w:pPr>
            <w:r w:rsidRPr="007E4B31">
              <w:rPr>
                <w:rFonts w:ascii="Arial Narrow" w:hAnsi="Arial Narrow"/>
                <w:b/>
                <w:sz w:val="20"/>
                <w:szCs w:val="20"/>
              </w:rPr>
              <w:lastRenderedPageBreak/>
              <w:t>Treatment criteria:</w:t>
            </w:r>
          </w:p>
        </w:tc>
      </w:tr>
      <w:tr w:rsidR="004A1924" w:rsidRPr="007E4B31" w14:paraId="06D0DFCB" w14:textId="77777777" w:rsidTr="001045B7">
        <w:tc>
          <w:tcPr>
            <w:tcW w:w="9016" w:type="dxa"/>
            <w:vAlign w:val="center"/>
          </w:tcPr>
          <w:p w14:paraId="6F4E2CB1" w14:textId="77777777" w:rsidR="004A1924" w:rsidRPr="007E4B31" w:rsidRDefault="004A1924" w:rsidP="00F527AB">
            <w:pPr>
              <w:pStyle w:val="TableText0"/>
              <w:keepNext w:val="0"/>
              <w:numPr>
                <w:ilvl w:val="0"/>
                <w:numId w:val="11"/>
              </w:numPr>
              <w:ind w:left="360"/>
              <w:rPr>
                <w:szCs w:val="20"/>
              </w:rPr>
            </w:pPr>
            <w:r w:rsidRPr="007E4B31">
              <w:rPr>
                <w:szCs w:val="20"/>
              </w:rPr>
              <w:t xml:space="preserve">Must be treated by a specialist or consultant physician in paediatric </w:t>
            </w:r>
            <w:proofErr w:type="gramStart"/>
            <w:r w:rsidRPr="007E4B31">
              <w:rPr>
                <w:szCs w:val="20"/>
              </w:rPr>
              <w:t>endocrinology;</w:t>
            </w:r>
            <w:proofErr w:type="gramEnd"/>
            <w:r w:rsidRPr="007E4B31">
              <w:rPr>
                <w:szCs w:val="20"/>
              </w:rPr>
              <w:t xml:space="preserve"> OR</w:t>
            </w:r>
          </w:p>
          <w:p w14:paraId="25156F40" w14:textId="77777777" w:rsidR="004A1924" w:rsidRPr="007E4B31" w:rsidRDefault="004A1924" w:rsidP="00F527AB">
            <w:pPr>
              <w:pStyle w:val="TableText0"/>
              <w:keepNext w:val="0"/>
              <w:numPr>
                <w:ilvl w:val="0"/>
                <w:numId w:val="11"/>
              </w:numPr>
              <w:ind w:left="360"/>
              <w:rPr>
                <w:szCs w:val="20"/>
              </w:rPr>
            </w:pPr>
            <w:r w:rsidRPr="007E4B31">
              <w:rPr>
                <w:szCs w:val="20"/>
              </w:rPr>
              <w:t xml:space="preserve">Must </w:t>
            </w:r>
            <w:proofErr w:type="gramStart"/>
            <w:r w:rsidRPr="007E4B31">
              <w:rPr>
                <w:szCs w:val="20"/>
              </w:rPr>
              <w:t>be treated</w:t>
            </w:r>
            <w:proofErr w:type="gramEnd"/>
            <w:r w:rsidRPr="007E4B31">
              <w:rPr>
                <w:szCs w:val="20"/>
              </w:rPr>
              <w:t xml:space="preserve"> by a specialist or consultant physician in general paediatrics in consultation with a nominated specialist or consultant physician in paediatric endocrinology,</w:t>
            </w:r>
          </w:p>
          <w:p w14:paraId="4259A1EC" w14:textId="77777777" w:rsidR="004A1924" w:rsidRPr="007E4B31" w:rsidRDefault="004A1924" w:rsidP="006C5A0B">
            <w:pPr>
              <w:pStyle w:val="TableText0"/>
              <w:keepNext w:val="0"/>
              <w:rPr>
                <w:szCs w:val="20"/>
              </w:rPr>
            </w:pPr>
            <w:r w:rsidRPr="007E4B31">
              <w:rPr>
                <w:szCs w:val="20"/>
              </w:rPr>
              <w:t>AND</w:t>
            </w:r>
          </w:p>
          <w:p w14:paraId="03A5B301" w14:textId="77777777" w:rsidR="004A1924" w:rsidRPr="007E4B31" w:rsidRDefault="004A1924" w:rsidP="00F527AB">
            <w:pPr>
              <w:pStyle w:val="TableText0"/>
              <w:keepNext w:val="0"/>
              <w:numPr>
                <w:ilvl w:val="0"/>
                <w:numId w:val="9"/>
              </w:numPr>
              <w:ind w:left="360"/>
              <w:rPr>
                <w:szCs w:val="20"/>
              </w:rPr>
            </w:pPr>
            <w:r w:rsidRPr="007E4B31">
              <w:rPr>
                <w:szCs w:val="20"/>
              </w:rPr>
              <w:t>Patient must be undergoing treatment for the stated indication with only one growth hormone at any given time.</w:t>
            </w:r>
          </w:p>
        </w:tc>
      </w:tr>
    </w:tbl>
    <w:p w14:paraId="242CC223" w14:textId="3FCB3DC4" w:rsidR="00D206A2" w:rsidRPr="007E4B31" w:rsidRDefault="00D206A2">
      <w:pPr>
        <w:jc w:val="left"/>
      </w:pPr>
    </w:p>
    <w:tbl>
      <w:tblPr>
        <w:tblStyle w:val="TableGrid"/>
        <w:tblW w:w="9016" w:type="dxa"/>
        <w:tblLook w:val="04A0" w:firstRow="1" w:lastRow="0" w:firstColumn="1" w:lastColumn="0" w:noHBand="0" w:noVBand="1"/>
      </w:tblPr>
      <w:tblGrid>
        <w:gridCol w:w="9016"/>
      </w:tblGrid>
      <w:tr w:rsidR="00681934" w:rsidRPr="007E4B31" w14:paraId="3F778328" w14:textId="77777777" w:rsidTr="001045B7">
        <w:tc>
          <w:tcPr>
            <w:tcW w:w="9016" w:type="dxa"/>
          </w:tcPr>
          <w:p w14:paraId="1EE7D8DE" w14:textId="77777777" w:rsidR="00681934" w:rsidRPr="007E4B31" w:rsidRDefault="00681934" w:rsidP="00681934">
            <w:pPr>
              <w:keepNext/>
              <w:keepLines/>
              <w:rPr>
                <w:rFonts w:ascii="Arial Narrow" w:hAnsi="Arial Narrow"/>
                <w:sz w:val="20"/>
                <w:szCs w:val="20"/>
              </w:rPr>
            </w:pPr>
            <w:r w:rsidRPr="007E4B31">
              <w:rPr>
                <w:rFonts w:ascii="Arial Narrow" w:hAnsi="Arial Narrow"/>
                <w:b/>
                <w:sz w:val="20"/>
                <w:szCs w:val="20"/>
              </w:rPr>
              <w:lastRenderedPageBreak/>
              <w:t xml:space="preserve">Category / Program: </w:t>
            </w:r>
            <w:r w:rsidRPr="007E4B31">
              <w:rPr>
                <w:rFonts w:ascii="Arial Narrow" w:hAnsi="Arial Narrow"/>
                <w:sz w:val="20"/>
                <w:szCs w:val="20"/>
              </w:rPr>
              <w:t>S100 Growth Hormone Program</w:t>
            </w:r>
          </w:p>
        </w:tc>
      </w:tr>
      <w:tr w:rsidR="00681934" w:rsidRPr="007E4B31" w14:paraId="0A20463B" w14:textId="77777777" w:rsidTr="001045B7">
        <w:tc>
          <w:tcPr>
            <w:tcW w:w="9016" w:type="dxa"/>
          </w:tcPr>
          <w:p w14:paraId="66EF6C72" w14:textId="77777777" w:rsidR="00681934" w:rsidRPr="007E4B31" w:rsidRDefault="00681934" w:rsidP="00681934">
            <w:pPr>
              <w:keepNext/>
              <w:keepLines/>
              <w:rPr>
                <w:rFonts w:ascii="Arial Narrow" w:hAnsi="Arial Narrow"/>
                <w:sz w:val="20"/>
                <w:szCs w:val="20"/>
              </w:rPr>
            </w:pPr>
            <w:r w:rsidRPr="007E4B31">
              <w:rPr>
                <w:rFonts w:ascii="Arial Narrow" w:hAnsi="Arial Narrow"/>
                <w:b/>
                <w:sz w:val="20"/>
                <w:szCs w:val="20"/>
              </w:rPr>
              <w:t xml:space="preserve">Restriction type: </w:t>
            </w:r>
            <w:r w:rsidRPr="007E4B31">
              <w:rPr>
                <w:rFonts w:ascii="Arial Narrow" w:hAnsi="Arial Narrow"/>
                <w:sz w:val="20"/>
                <w:szCs w:val="20"/>
              </w:rPr>
              <w:fldChar w:fldCharType="begin" w:fldLock="1">
                <w:ffData>
                  <w:name w:val=""/>
                  <w:enabled/>
                  <w:calcOnExit w:val="0"/>
                  <w:checkBox>
                    <w:sizeAuto/>
                    <w:default w:val="1"/>
                  </w:checkBox>
                </w:ffData>
              </w:fldChar>
            </w:r>
            <w:r w:rsidRPr="007E4B31">
              <w:rPr>
                <w:rFonts w:ascii="Arial Narrow" w:hAnsi="Arial Narrow"/>
                <w:sz w:val="20"/>
                <w:szCs w:val="20"/>
              </w:rPr>
              <w:instrText xml:space="preserve"> FORMCHECKBOX </w:instrText>
            </w:r>
            <w:r w:rsidR="00402BC2">
              <w:rPr>
                <w:rFonts w:ascii="Arial Narrow" w:hAnsi="Arial Narrow"/>
                <w:sz w:val="20"/>
                <w:szCs w:val="20"/>
              </w:rPr>
            </w:r>
            <w:r w:rsidR="00402BC2">
              <w:rPr>
                <w:rFonts w:ascii="Arial Narrow" w:hAnsi="Arial Narrow"/>
                <w:sz w:val="20"/>
                <w:szCs w:val="20"/>
              </w:rPr>
              <w:fldChar w:fldCharType="separate"/>
            </w:r>
            <w:r w:rsidRPr="007E4B31">
              <w:rPr>
                <w:rFonts w:ascii="Arial Narrow" w:hAnsi="Arial Narrow"/>
                <w:sz w:val="20"/>
                <w:szCs w:val="20"/>
              </w:rPr>
              <w:fldChar w:fldCharType="end"/>
            </w:r>
            <w:r w:rsidRPr="007E4B31">
              <w:rPr>
                <w:rFonts w:ascii="Arial Narrow" w:hAnsi="Arial Narrow"/>
                <w:sz w:val="20"/>
                <w:szCs w:val="20"/>
              </w:rPr>
              <w:t xml:space="preserve">Authority Required (in writing only via post/HPOS upload)  </w:t>
            </w:r>
          </w:p>
        </w:tc>
      </w:tr>
      <w:tr w:rsidR="00681934" w:rsidRPr="007E4B31" w14:paraId="2689688D" w14:textId="77777777" w:rsidTr="001045B7">
        <w:tc>
          <w:tcPr>
            <w:tcW w:w="9016" w:type="dxa"/>
            <w:vAlign w:val="center"/>
          </w:tcPr>
          <w:p w14:paraId="1332FFBB" w14:textId="77777777" w:rsidR="00681934" w:rsidRPr="007E4B31" w:rsidRDefault="00681934" w:rsidP="00681934">
            <w:pPr>
              <w:keepNext/>
              <w:keepLines/>
              <w:rPr>
                <w:rFonts w:ascii="Arial Narrow" w:hAnsi="Arial Narrow"/>
                <w:sz w:val="20"/>
                <w:szCs w:val="20"/>
              </w:rPr>
            </w:pPr>
            <w:r w:rsidRPr="007E4B31">
              <w:rPr>
                <w:rFonts w:ascii="Arial Narrow" w:hAnsi="Arial Narrow"/>
                <w:b/>
                <w:sz w:val="20"/>
                <w:szCs w:val="20"/>
              </w:rPr>
              <w:t xml:space="preserve">Condition: </w:t>
            </w:r>
            <w:r w:rsidRPr="007E4B31">
              <w:rPr>
                <w:rFonts w:ascii="Arial Narrow" w:hAnsi="Arial Narrow"/>
                <w:sz w:val="20"/>
                <w:szCs w:val="20"/>
              </w:rPr>
              <w:t xml:space="preserve"> Short stature associated with biochemical growth hormone deficiency</w:t>
            </w:r>
          </w:p>
        </w:tc>
      </w:tr>
      <w:tr w:rsidR="00681934" w:rsidRPr="007E4B31" w14:paraId="48CDA29A" w14:textId="77777777" w:rsidTr="001045B7">
        <w:tc>
          <w:tcPr>
            <w:tcW w:w="9016" w:type="dxa"/>
            <w:vAlign w:val="center"/>
          </w:tcPr>
          <w:p w14:paraId="007CA4DF" w14:textId="77777777" w:rsidR="00681934" w:rsidRPr="007E4B31" w:rsidRDefault="00681934" w:rsidP="00681934">
            <w:pPr>
              <w:keepNext/>
              <w:keepLines/>
              <w:rPr>
                <w:rFonts w:ascii="Arial Narrow" w:hAnsi="Arial Narrow"/>
                <w:sz w:val="20"/>
                <w:szCs w:val="20"/>
              </w:rPr>
            </w:pPr>
            <w:r w:rsidRPr="007E4B31">
              <w:rPr>
                <w:rFonts w:ascii="Arial Narrow" w:hAnsi="Arial Narrow"/>
                <w:b/>
                <w:sz w:val="20"/>
                <w:szCs w:val="20"/>
              </w:rPr>
              <w:t>Treatment Phase:</w:t>
            </w:r>
            <w:r w:rsidRPr="007E4B31">
              <w:rPr>
                <w:rFonts w:ascii="Arial Narrow" w:hAnsi="Arial Narrow"/>
                <w:sz w:val="20"/>
                <w:szCs w:val="20"/>
              </w:rPr>
              <w:t xml:space="preserve"> Continuing treatment</w:t>
            </w:r>
          </w:p>
        </w:tc>
      </w:tr>
      <w:tr w:rsidR="00681934" w:rsidRPr="007E4B31" w14:paraId="260F54AA" w14:textId="77777777" w:rsidTr="001045B7">
        <w:tc>
          <w:tcPr>
            <w:tcW w:w="9016" w:type="dxa"/>
            <w:vAlign w:val="center"/>
          </w:tcPr>
          <w:p w14:paraId="13E3D281" w14:textId="77777777" w:rsidR="00681934" w:rsidRPr="007E4B31" w:rsidRDefault="00681934" w:rsidP="00681934">
            <w:pPr>
              <w:keepNext/>
              <w:keepLines/>
              <w:rPr>
                <w:rFonts w:ascii="Arial Narrow" w:hAnsi="Arial Narrow"/>
                <w:sz w:val="20"/>
                <w:szCs w:val="20"/>
              </w:rPr>
            </w:pPr>
            <w:r w:rsidRPr="007E4B31">
              <w:rPr>
                <w:rFonts w:ascii="Arial Narrow" w:hAnsi="Arial Narrow"/>
                <w:b/>
                <w:sz w:val="20"/>
                <w:szCs w:val="20"/>
              </w:rPr>
              <w:t>Clinical criteria:</w:t>
            </w:r>
          </w:p>
        </w:tc>
      </w:tr>
      <w:tr w:rsidR="00681934" w:rsidRPr="007E4B31" w14:paraId="7977775B" w14:textId="77777777" w:rsidTr="001045B7">
        <w:tc>
          <w:tcPr>
            <w:tcW w:w="9016" w:type="dxa"/>
            <w:vAlign w:val="center"/>
          </w:tcPr>
          <w:p w14:paraId="352FC145" w14:textId="77777777" w:rsidR="00681934" w:rsidRPr="007E4B31" w:rsidRDefault="00681934" w:rsidP="00F527AB">
            <w:pPr>
              <w:pStyle w:val="TableText0"/>
              <w:keepLines/>
              <w:numPr>
                <w:ilvl w:val="0"/>
                <w:numId w:val="9"/>
              </w:numPr>
              <w:ind w:left="360"/>
              <w:rPr>
                <w:szCs w:val="20"/>
              </w:rPr>
            </w:pPr>
            <w:r w:rsidRPr="007E4B31">
              <w:rPr>
                <w:szCs w:val="20"/>
              </w:rPr>
              <w:t xml:space="preserve">Patient must have achieved the 50th percentile growth velocity for bone age plus sex following the most recent </w:t>
            </w:r>
            <w:proofErr w:type="gramStart"/>
            <w:r w:rsidRPr="007E4B31">
              <w:rPr>
                <w:szCs w:val="20"/>
              </w:rPr>
              <w:t>supply;</w:t>
            </w:r>
            <w:proofErr w:type="gramEnd"/>
            <w:r w:rsidRPr="007E4B31">
              <w:rPr>
                <w:szCs w:val="20"/>
              </w:rPr>
              <w:t xml:space="preserve"> OR</w:t>
            </w:r>
          </w:p>
          <w:p w14:paraId="041640CC" w14:textId="77777777" w:rsidR="00681934" w:rsidRPr="007E4B31" w:rsidRDefault="00681934" w:rsidP="00F527AB">
            <w:pPr>
              <w:pStyle w:val="TableText0"/>
              <w:keepLines/>
              <w:numPr>
                <w:ilvl w:val="0"/>
                <w:numId w:val="9"/>
              </w:numPr>
              <w:ind w:left="360"/>
              <w:rPr>
                <w:szCs w:val="20"/>
              </w:rPr>
            </w:pPr>
            <w:r w:rsidRPr="007E4B31">
              <w:rPr>
                <w:szCs w:val="20"/>
              </w:rPr>
              <w:t xml:space="preserve">Patient must have achieved an increase in height standard deviation score for chronological age plus sex following the most recent </w:t>
            </w:r>
            <w:proofErr w:type="gramStart"/>
            <w:r w:rsidRPr="007E4B31">
              <w:rPr>
                <w:szCs w:val="20"/>
              </w:rPr>
              <w:t>supply;</w:t>
            </w:r>
            <w:proofErr w:type="gramEnd"/>
            <w:r w:rsidRPr="007E4B31">
              <w:rPr>
                <w:szCs w:val="20"/>
              </w:rPr>
              <w:t xml:space="preserve"> OR</w:t>
            </w:r>
          </w:p>
          <w:p w14:paraId="64C08595" w14:textId="77777777" w:rsidR="00681934" w:rsidRPr="007E4B31" w:rsidRDefault="00681934" w:rsidP="00F527AB">
            <w:pPr>
              <w:pStyle w:val="TableText0"/>
              <w:keepLines/>
              <w:numPr>
                <w:ilvl w:val="0"/>
                <w:numId w:val="9"/>
              </w:numPr>
              <w:ind w:left="360"/>
              <w:rPr>
                <w:szCs w:val="20"/>
              </w:rPr>
            </w:pPr>
            <w:r w:rsidRPr="007E4B31">
              <w:rPr>
                <w:szCs w:val="20"/>
              </w:rPr>
              <w:t xml:space="preserve">Patient must have achieved a minimum growth velocity of 4 cm per year following the most recent </w:t>
            </w:r>
            <w:proofErr w:type="gramStart"/>
            <w:r w:rsidRPr="007E4B31">
              <w:rPr>
                <w:szCs w:val="20"/>
              </w:rPr>
              <w:t>supply;</w:t>
            </w:r>
            <w:proofErr w:type="gramEnd"/>
            <w:r w:rsidRPr="007E4B31">
              <w:rPr>
                <w:szCs w:val="20"/>
              </w:rPr>
              <w:t xml:space="preserve"> OR</w:t>
            </w:r>
          </w:p>
          <w:p w14:paraId="48D19D2A" w14:textId="77777777" w:rsidR="00681934" w:rsidRPr="007E4B31" w:rsidRDefault="00681934" w:rsidP="00F527AB">
            <w:pPr>
              <w:pStyle w:val="TableText0"/>
              <w:keepLines/>
              <w:numPr>
                <w:ilvl w:val="0"/>
                <w:numId w:val="9"/>
              </w:numPr>
              <w:ind w:left="360"/>
              <w:rPr>
                <w:szCs w:val="20"/>
              </w:rPr>
            </w:pPr>
            <w:r w:rsidRPr="007E4B31">
              <w:rPr>
                <w:szCs w:val="20"/>
              </w:rPr>
              <w:t xml:space="preserve">Patient must have achieved a mid-parental height standard deviation score following the most recent </w:t>
            </w:r>
            <w:proofErr w:type="gramStart"/>
            <w:r w:rsidRPr="007E4B31">
              <w:rPr>
                <w:szCs w:val="20"/>
              </w:rPr>
              <w:t>supply;</w:t>
            </w:r>
            <w:proofErr w:type="gramEnd"/>
            <w:r w:rsidRPr="007E4B31">
              <w:rPr>
                <w:szCs w:val="20"/>
              </w:rPr>
              <w:t xml:space="preserve"> OR</w:t>
            </w:r>
          </w:p>
          <w:p w14:paraId="2C872DA6" w14:textId="77777777" w:rsidR="00681934" w:rsidRPr="007E4B31" w:rsidRDefault="00681934" w:rsidP="00F527AB">
            <w:pPr>
              <w:pStyle w:val="TableText0"/>
              <w:keepLines/>
              <w:numPr>
                <w:ilvl w:val="0"/>
                <w:numId w:val="9"/>
              </w:numPr>
              <w:ind w:left="360"/>
              <w:rPr>
                <w:szCs w:val="20"/>
              </w:rPr>
            </w:pPr>
            <w:r w:rsidRPr="007E4B31">
              <w:rPr>
                <w:szCs w:val="20"/>
              </w:rPr>
              <w:t xml:space="preserve">The treatment must have </w:t>
            </w:r>
            <w:proofErr w:type="gramStart"/>
            <w:r w:rsidRPr="007E4B31">
              <w:rPr>
                <w:szCs w:val="20"/>
              </w:rPr>
              <w:t>been administered</w:t>
            </w:r>
            <w:proofErr w:type="gramEnd"/>
            <w:r w:rsidRPr="007E4B31">
              <w:rPr>
                <w:szCs w:val="20"/>
              </w:rPr>
              <w:t xml:space="preserve"> at a dose that is lower than that recommended in the approved Product Information in the most recent supply,</w:t>
            </w:r>
          </w:p>
          <w:p w14:paraId="58EF0787" w14:textId="77777777" w:rsidR="00681934" w:rsidRPr="007E4B31" w:rsidRDefault="00681934" w:rsidP="00681934">
            <w:pPr>
              <w:pStyle w:val="TableText0"/>
              <w:keepLines/>
              <w:rPr>
                <w:szCs w:val="20"/>
              </w:rPr>
            </w:pPr>
            <w:r w:rsidRPr="007E4B31">
              <w:rPr>
                <w:szCs w:val="20"/>
              </w:rPr>
              <w:t>AND</w:t>
            </w:r>
          </w:p>
          <w:p w14:paraId="6500B828" w14:textId="77777777" w:rsidR="00681934" w:rsidRPr="007E4B31" w:rsidRDefault="00681934" w:rsidP="00F527AB">
            <w:pPr>
              <w:pStyle w:val="TableText0"/>
              <w:keepLines/>
              <w:numPr>
                <w:ilvl w:val="0"/>
                <w:numId w:val="9"/>
              </w:numPr>
              <w:ind w:left="360"/>
              <w:rPr>
                <w:szCs w:val="20"/>
              </w:rPr>
            </w:pPr>
            <w:r w:rsidRPr="007E4B31">
              <w:rPr>
                <w:szCs w:val="20"/>
              </w:rPr>
              <w:t>Patient must not have a condition with a known risk of malignancy including chromosomal abnormalities such as Down and Bloom syndromes,</w:t>
            </w:r>
          </w:p>
          <w:p w14:paraId="67A5C8DF" w14:textId="77777777" w:rsidR="00681934" w:rsidRPr="007E4B31" w:rsidRDefault="00681934" w:rsidP="00681934">
            <w:pPr>
              <w:pStyle w:val="TableText0"/>
              <w:keepLines/>
              <w:rPr>
                <w:szCs w:val="20"/>
              </w:rPr>
            </w:pPr>
            <w:r w:rsidRPr="007E4B31">
              <w:rPr>
                <w:szCs w:val="20"/>
              </w:rPr>
              <w:t>AND</w:t>
            </w:r>
          </w:p>
          <w:p w14:paraId="5E17F3E4" w14:textId="77777777" w:rsidR="00681934" w:rsidRPr="007E4B31" w:rsidRDefault="00681934" w:rsidP="00F527AB">
            <w:pPr>
              <w:pStyle w:val="TableText0"/>
              <w:keepLines/>
              <w:numPr>
                <w:ilvl w:val="0"/>
                <w:numId w:val="9"/>
              </w:numPr>
              <w:ind w:left="360"/>
              <w:rPr>
                <w:szCs w:val="20"/>
              </w:rPr>
            </w:pPr>
            <w:r w:rsidRPr="007E4B31">
              <w:rPr>
                <w:szCs w:val="20"/>
              </w:rPr>
              <w:t>Patient must not have an active tumour or evidence of tumour growth or activity,</w:t>
            </w:r>
          </w:p>
          <w:p w14:paraId="57F46CB6" w14:textId="77777777" w:rsidR="00681934" w:rsidRPr="007E4B31" w:rsidRDefault="00681934" w:rsidP="00681934">
            <w:pPr>
              <w:pStyle w:val="TableText0"/>
              <w:keepLines/>
              <w:rPr>
                <w:szCs w:val="20"/>
              </w:rPr>
            </w:pPr>
            <w:r w:rsidRPr="007E4B31">
              <w:rPr>
                <w:szCs w:val="20"/>
              </w:rPr>
              <w:t>AND</w:t>
            </w:r>
          </w:p>
          <w:p w14:paraId="56FB57C2" w14:textId="77777777" w:rsidR="00681934" w:rsidRPr="007E4B31" w:rsidRDefault="00681934" w:rsidP="00F527AB">
            <w:pPr>
              <w:pStyle w:val="TableText0"/>
              <w:keepLines/>
              <w:numPr>
                <w:ilvl w:val="0"/>
                <w:numId w:val="9"/>
              </w:numPr>
              <w:ind w:left="360"/>
              <w:rPr>
                <w:szCs w:val="20"/>
              </w:rPr>
            </w:pPr>
            <w:r w:rsidRPr="007E4B31">
              <w:rPr>
                <w:szCs w:val="20"/>
              </w:rPr>
              <w:t>Patient must be male and must not have a bone age of 15.5 years or more; OR</w:t>
            </w:r>
          </w:p>
          <w:p w14:paraId="03629EEC" w14:textId="77777777" w:rsidR="00681934" w:rsidRPr="007E4B31" w:rsidRDefault="00681934" w:rsidP="00F527AB">
            <w:pPr>
              <w:pStyle w:val="TableText0"/>
              <w:keepLines/>
              <w:numPr>
                <w:ilvl w:val="0"/>
                <w:numId w:val="9"/>
              </w:numPr>
              <w:ind w:left="360"/>
              <w:rPr>
                <w:szCs w:val="20"/>
              </w:rPr>
            </w:pPr>
            <w:r w:rsidRPr="007E4B31">
              <w:rPr>
                <w:szCs w:val="20"/>
              </w:rPr>
              <w:t>Patient must be female and must not have a bone age of 13.5 years or more.</w:t>
            </w:r>
          </w:p>
        </w:tc>
      </w:tr>
      <w:tr w:rsidR="00681934" w:rsidRPr="007E4B31" w14:paraId="437AD80E" w14:textId="77777777" w:rsidTr="001045B7">
        <w:tc>
          <w:tcPr>
            <w:tcW w:w="9016" w:type="dxa"/>
          </w:tcPr>
          <w:p w14:paraId="772AE407" w14:textId="77777777" w:rsidR="00681934" w:rsidRPr="007E4B31" w:rsidRDefault="00681934" w:rsidP="00681934">
            <w:pPr>
              <w:keepNext/>
              <w:keepLines/>
              <w:rPr>
                <w:rFonts w:ascii="Arial Narrow" w:hAnsi="Arial Narrow"/>
                <w:sz w:val="20"/>
                <w:szCs w:val="20"/>
              </w:rPr>
            </w:pPr>
            <w:r w:rsidRPr="007E4B31">
              <w:rPr>
                <w:rFonts w:ascii="Arial Narrow" w:hAnsi="Arial Narrow"/>
                <w:b/>
                <w:sz w:val="20"/>
                <w:szCs w:val="20"/>
              </w:rPr>
              <w:t>Treatment criteria:</w:t>
            </w:r>
          </w:p>
        </w:tc>
      </w:tr>
      <w:tr w:rsidR="00681934" w:rsidRPr="007E4B31" w14:paraId="09DD5D1C" w14:textId="77777777" w:rsidTr="001045B7">
        <w:tc>
          <w:tcPr>
            <w:tcW w:w="9016" w:type="dxa"/>
          </w:tcPr>
          <w:p w14:paraId="5ABF6022" w14:textId="77777777" w:rsidR="00681934" w:rsidRPr="007E4B31" w:rsidRDefault="00681934" w:rsidP="00F527AB">
            <w:pPr>
              <w:pStyle w:val="TableText0"/>
              <w:keepLines/>
              <w:numPr>
                <w:ilvl w:val="0"/>
                <w:numId w:val="11"/>
              </w:numPr>
              <w:ind w:left="360"/>
              <w:rPr>
                <w:szCs w:val="20"/>
              </w:rPr>
            </w:pPr>
            <w:r w:rsidRPr="007E4B31">
              <w:rPr>
                <w:szCs w:val="20"/>
              </w:rPr>
              <w:t>Patient must be undergoing continuing PBS-subsidised therapy with this drug - subsidy through this treatment phase must not: (i) initiate treatment, (ii) change the prescribed drug, (iii) recommence treatment, (iv) reclassify the PBS indication.</w:t>
            </w:r>
          </w:p>
          <w:p w14:paraId="7AD7EA64" w14:textId="77777777" w:rsidR="00681934" w:rsidRPr="007E4B31" w:rsidRDefault="00681934" w:rsidP="00681934">
            <w:pPr>
              <w:pStyle w:val="TableText0"/>
              <w:keepLines/>
              <w:rPr>
                <w:szCs w:val="20"/>
              </w:rPr>
            </w:pPr>
            <w:r w:rsidRPr="007E4B31">
              <w:rPr>
                <w:szCs w:val="20"/>
              </w:rPr>
              <w:t>AND</w:t>
            </w:r>
          </w:p>
          <w:p w14:paraId="4847E9B3" w14:textId="77777777" w:rsidR="00681934" w:rsidRPr="007E4B31" w:rsidRDefault="00681934" w:rsidP="00F527AB">
            <w:pPr>
              <w:pStyle w:val="TableText0"/>
              <w:keepLines/>
              <w:numPr>
                <w:ilvl w:val="0"/>
                <w:numId w:val="9"/>
              </w:numPr>
              <w:ind w:left="360"/>
              <w:rPr>
                <w:szCs w:val="20"/>
              </w:rPr>
            </w:pPr>
            <w:r w:rsidRPr="007E4B31">
              <w:rPr>
                <w:szCs w:val="20"/>
              </w:rPr>
              <w:t>Patient must be undergoing treatment for the stated indication with only one growth hormone at any given time.</w:t>
            </w:r>
          </w:p>
        </w:tc>
      </w:tr>
    </w:tbl>
    <w:p w14:paraId="0A4347B7" w14:textId="77777777" w:rsidR="0099378F" w:rsidRPr="007E4B31" w:rsidRDefault="0099378F" w:rsidP="001B22F2"/>
    <w:p w14:paraId="0DAD1BAD" w14:textId="71F8C168" w:rsidR="00C604B7" w:rsidRPr="007E4B31" w:rsidRDefault="00C604B7" w:rsidP="001B22F2">
      <w:pPr>
        <w:pStyle w:val="3-BodyText"/>
      </w:pPr>
      <w:r w:rsidRPr="007E4B31">
        <w:t xml:space="preserve">The </w:t>
      </w:r>
      <w:r w:rsidR="00542C35">
        <w:t xml:space="preserve">proposed </w:t>
      </w:r>
      <w:r w:rsidRPr="007E4B31">
        <w:t xml:space="preserve">AEMP was higher than the proposed published AEMP for adult GHD </w:t>
      </w:r>
      <w:r w:rsidR="00795CA2">
        <w:t xml:space="preserve">of </w:t>
      </w:r>
      <w:r w:rsidRPr="007E4B31">
        <w:t xml:space="preserve">$547.83 or $54.78 per mg </w:t>
      </w:r>
      <w:r w:rsidR="00795CA2">
        <w:t>(</w:t>
      </w:r>
      <w:r w:rsidRPr="007E4B31">
        <w:t xml:space="preserve">somapacitan, PSD, March 2022 PBAC meeting). </w:t>
      </w:r>
    </w:p>
    <w:p w14:paraId="178D3526" w14:textId="3AF4F375" w:rsidR="00EA0E08" w:rsidRPr="007E4B31" w:rsidRDefault="00546A1D" w:rsidP="00EA0E08">
      <w:pPr>
        <w:pStyle w:val="3-BodyText"/>
        <w:rPr>
          <w:rFonts w:cstheme="minorHAnsi"/>
          <w:iCs/>
        </w:rPr>
      </w:pPr>
      <w:r w:rsidRPr="007E4B31">
        <w:t>Like</w:t>
      </w:r>
      <w:r w:rsidR="003B0C08" w:rsidRPr="007E4B31">
        <w:t xml:space="preserve"> somatrogon, t</w:t>
      </w:r>
      <w:r w:rsidR="00C604B7" w:rsidRPr="007E4B31">
        <w:t xml:space="preserve">he requested restriction </w:t>
      </w:r>
      <w:r w:rsidR="003B0C08" w:rsidRPr="007E4B31">
        <w:t xml:space="preserve">for somatropin </w:t>
      </w:r>
      <w:r w:rsidR="00C604B7" w:rsidRPr="007E4B31">
        <w:t>was based on patient bone age (</w:t>
      </w:r>
      <w:r w:rsidR="00C604B7" w:rsidRPr="007E4B31">
        <w:rPr>
          <w:rFonts w:cstheme="minorHAnsi"/>
        </w:rPr>
        <w:t>≤15.5 years for boys and ≤13.5 years for girls)</w:t>
      </w:r>
      <w:r w:rsidR="003B6E37">
        <w:rPr>
          <w:rFonts w:cstheme="minorHAnsi"/>
        </w:rPr>
        <w:t>,</w:t>
      </w:r>
      <w:r w:rsidR="00C604B7" w:rsidRPr="007E4B31">
        <w:rPr>
          <w:rFonts w:cstheme="minorHAnsi"/>
        </w:rPr>
        <w:t xml:space="preserve"> which was not the demographic of the clinical trials where patients </w:t>
      </w:r>
      <w:proofErr w:type="gramStart"/>
      <w:r w:rsidR="00C604B7" w:rsidRPr="007E4B31">
        <w:rPr>
          <w:rFonts w:cstheme="minorHAnsi"/>
        </w:rPr>
        <w:t>were enrolled</w:t>
      </w:r>
      <w:proofErr w:type="gramEnd"/>
      <w:r w:rsidR="00C604B7" w:rsidRPr="007E4B31">
        <w:rPr>
          <w:rFonts w:cstheme="minorHAnsi"/>
        </w:rPr>
        <w:t xml:space="preserve"> based on chronological age (ranged between 2.5 and 11 years). </w:t>
      </w:r>
      <w:r w:rsidR="003B0C08" w:rsidRPr="007E4B31">
        <w:rPr>
          <w:rFonts w:cstheme="minorHAnsi"/>
        </w:rPr>
        <w:t>T</w:t>
      </w:r>
      <w:r w:rsidR="00C604B7" w:rsidRPr="007E4B31">
        <w:rPr>
          <w:rFonts w:cstheme="minorHAnsi"/>
        </w:rPr>
        <w:t>he PBAC previously considered that while there is limited data available for somatrogon use in patients less than three years and between 12 and 18 years, treatment should not be restricted by a minimum age criterion and that eligibility based on skeleton maturity was reasonable given the clinical need for a weekly GH therapy (paragraph 7.6, somatrogon, PSD, March 2022 PBAC meeting)</w:t>
      </w:r>
      <w:r w:rsidR="00EA0E08" w:rsidRPr="007E4B31">
        <w:rPr>
          <w:rFonts w:cstheme="minorHAnsi"/>
          <w:iCs/>
        </w:rPr>
        <w:t>.</w:t>
      </w:r>
    </w:p>
    <w:p w14:paraId="3FB7BC65" w14:textId="51E17D80" w:rsidR="00EA0E08" w:rsidRPr="007E4B31" w:rsidRDefault="00C604B7" w:rsidP="00EA0E08">
      <w:pPr>
        <w:pStyle w:val="3-BodyText"/>
      </w:pPr>
      <w:r w:rsidRPr="007E4B31">
        <w:t xml:space="preserve">The PBAC </w:t>
      </w:r>
      <w:r w:rsidR="004A1AE0" w:rsidRPr="007E4B31">
        <w:t xml:space="preserve">previously </w:t>
      </w:r>
      <w:r w:rsidRPr="007E4B31">
        <w:t>considered that without an upper dose limit specified for the continuing treatment phase (as per the somatropin criteria)</w:t>
      </w:r>
      <w:r w:rsidR="003B5A0D">
        <w:t>,</w:t>
      </w:r>
      <w:r w:rsidRPr="007E4B31">
        <w:t xml:space="preserve"> it </w:t>
      </w:r>
      <w:r w:rsidR="003B5A0D">
        <w:t>i</w:t>
      </w:r>
      <w:r w:rsidRPr="007E4B31">
        <w:t xml:space="preserve">s possible that patients could receive sub-optimal doses of somatrogon </w:t>
      </w:r>
      <w:r w:rsidR="00546A1D" w:rsidRPr="007E4B31">
        <w:t>and</w:t>
      </w:r>
      <w:r w:rsidRPr="007E4B31">
        <w:t xml:space="preserve"> stop PBS treatment without the opportunity to increase the dose (paragraph 3.6, somatrogon, PSD, March 2022 PBAC meeting). </w:t>
      </w:r>
      <w:r w:rsidR="00562F94" w:rsidRPr="007E4B31">
        <w:t xml:space="preserve">Nevertheless, </w:t>
      </w:r>
      <w:proofErr w:type="gramStart"/>
      <w:r w:rsidR="00562F94" w:rsidRPr="007E4B31">
        <w:t>ultimately this</w:t>
      </w:r>
      <w:proofErr w:type="gramEnd"/>
      <w:r w:rsidR="00562F94" w:rsidRPr="007E4B31">
        <w:t xml:space="preserve"> upper dose limit was not included in the somatrogon restriction because the P</w:t>
      </w:r>
      <w:r w:rsidR="00CA4C8B" w:rsidRPr="007E4B31">
        <w:t>I for</w:t>
      </w:r>
      <w:r w:rsidR="00562F94" w:rsidRPr="007E4B31">
        <w:t xml:space="preserve"> somatrogon d</w:t>
      </w:r>
      <w:r w:rsidR="007C3FA7">
        <w:t>oes</w:t>
      </w:r>
      <w:r w:rsidR="00562F94" w:rsidRPr="007E4B31">
        <w:t xml:space="preserve"> not specify any dosing </w:t>
      </w:r>
      <w:r w:rsidR="00CA4C8B" w:rsidRPr="007E4B31">
        <w:t>with respect to</w:t>
      </w:r>
      <w:r w:rsidR="00562F94" w:rsidRPr="007E4B31">
        <w:t xml:space="preserve"> body surface area</w:t>
      </w:r>
      <w:r w:rsidR="007C3FA7">
        <w:t xml:space="preserve"> – it states that there is no clinical trial experience with doses above 0.66 mg/kg/week</w:t>
      </w:r>
      <w:r w:rsidR="00562F94" w:rsidRPr="007E4B31">
        <w:t xml:space="preserve">. Similarly, the draft PI for somapacitan </w:t>
      </w:r>
      <w:r w:rsidR="00A14F7D">
        <w:t>did</w:t>
      </w:r>
      <w:r w:rsidR="00A14F7D" w:rsidRPr="007E4B31">
        <w:t xml:space="preserve"> </w:t>
      </w:r>
      <w:r w:rsidR="00562F94" w:rsidRPr="007E4B31">
        <w:t xml:space="preserve">not </w:t>
      </w:r>
      <w:r w:rsidR="00562F94" w:rsidRPr="007E4B31">
        <w:lastRenderedPageBreak/>
        <w:t xml:space="preserve">specify a dose expressed in </w:t>
      </w:r>
      <w:r w:rsidR="00CA4C8B" w:rsidRPr="007E4B31">
        <w:t xml:space="preserve">relation to </w:t>
      </w:r>
      <w:r w:rsidR="00562F94" w:rsidRPr="007E4B31">
        <w:t>body surface area – it provide</w:t>
      </w:r>
      <w:r w:rsidR="00A14F7D">
        <w:t>d</w:t>
      </w:r>
      <w:r w:rsidR="00562F94" w:rsidRPr="007E4B31">
        <w:t xml:space="preserve"> a single dose recommendation of 0.16 mg/kg/week</w:t>
      </w:r>
      <w:r w:rsidR="007B7559">
        <w:t xml:space="preserve"> without any guidance to dose beyond this value</w:t>
      </w:r>
      <w:r w:rsidR="00562F94" w:rsidRPr="007E4B31">
        <w:t xml:space="preserve">. </w:t>
      </w:r>
      <w:r w:rsidR="00E61A6B" w:rsidRPr="007E4B31">
        <w:t>In this submission, a</w:t>
      </w:r>
      <w:r w:rsidR="00AC397B" w:rsidRPr="007E4B31">
        <w:t>n upper dose limit of 4.99 mg/m</w:t>
      </w:r>
      <w:r w:rsidR="00AC397B" w:rsidRPr="007E4B31">
        <w:rPr>
          <w:vertAlign w:val="superscript"/>
        </w:rPr>
        <w:t>2</w:t>
      </w:r>
      <w:r w:rsidR="00AC397B" w:rsidRPr="007E4B31">
        <w:t xml:space="preserve">/week somapacitan (calculated by multiplying the upper dose limit of somatropin by the equi-effective dose ratio of somapacitan and somatropin) </w:t>
      </w:r>
      <w:proofErr w:type="gramStart"/>
      <w:r w:rsidR="00AC397B" w:rsidRPr="007E4B31">
        <w:t>was proposed</w:t>
      </w:r>
      <w:proofErr w:type="gramEnd"/>
      <w:r w:rsidR="00AC397B" w:rsidRPr="007E4B31">
        <w:t xml:space="preserve">, </w:t>
      </w:r>
      <w:r w:rsidR="00AC397B" w:rsidRPr="007E4B31">
        <w:rPr>
          <w:iCs/>
        </w:rPr>
        <w:t>although this was not included in the requested restriction criteria. There were no provisions for dose increase in the included somapacitan trial protocols (for REAL</w:t>
      </w:r>
      <w:r w:rsidR="00AC397B" w:rsidRPr="007E4B31">
        <w:rPr>
          <w:iCs/>
        </w:rPr>
        <w:noBreakHyphen/>
      </w:r>
      <w:proofErr w:type="gramStart"/>
      <w:r w:rsidR="00AC397B" w:rsidRPr="007E4B31">
        <w:rPr>
          <w:iCs/>
        </w:rPr>
        <w:t>3</w:t>
      </w:r>
      <w:proofErr w:type="gramEnd"/>
      <w:r w:rsidR="00AC397B" w:rsidRPr="007E4B31">
        <w:rPr>
          <w:iCs/>
        </w:rPr>
        <w:t xml:space="preserve"> and REAL-4), though the draft PI for somapacitan stated that dosages should be adjusted based on response. In REAL-4 the maximum reported dose of somapacitan was 0.17 mg/kg/week, whereas in REAL-3 the maximum somapacitan dose ranged between 0.223 and 0.275 mg/kg/week. Furthermore, a maximum clinical dose of 8 mg/week (relative to a starting dose of 1.5 - 4 mg/week) has </w:t>
      </w:r>
      <w:proofErr w:type="gramStart"/>
      <w:r w:rsidR="00AC397B" w:rsidRPr="007E4B31">
        <w:rPr>
          <w:iCs/>
        </w:rPr>
        <w:t>been reported</w:t>
      </w:r>
      <w:proofErr w:type="gramEnd"/>
      <w:r w:rsidR="00AC397B" w:rsidRPr="007E4B31">
        <w:rPr>
          <w:iCs/>
        </w:rPr>
        <w:t xml:space="preserve"> for adults (paragraph 3.2, somapacitan, PSD, March 2022 PBAC meeting). </w:t>
      </w:r>
      <w:r w:rsidR="00E61A6B" w:rsidRPr="007E4B31">
        <w:rPr>
          <w:iCs/>
        </w:rPr>
        <w:t xml:space="preserve">To date, </w:t>
      </w:r>
      <w:r w:rsidR="00E61A6B" w:rsidRPr="007E4B31">
        <w:t>t</w:t>
      </w:r>
      <w:r w:rsidR="00562F94" w:rsidRPr="007E4B31">
        <w:t xml:space="preserve">he </w:t>
      </w:r>
      <w:r w:rsidR="00CA4C8B" w:rsidRPr="007E4B31">
        <w:t>TGA</w:t>
      </w:r>
      <w:r w:rsidR="00562F94" w:rsidRPr="007E4B31">
        <w:t xml:space="preserve"> has not assessed somapacitan at doses beyond this value as safe and efficacious, nor has it assessed a dose expressed in body surface area for safety and efficacy. </w:t>
      </w:r>
      <w:r w:rsidR="00562F94" w:rsidRPr="007E4B31">
        <w:rPr>
          <w:iCs/>
        </w:rPr>
        <w:t xml:space="preserve">Both the </w:t>
      </w:r>
      <w:r w:rsidR="00847AA1" w:rsidRPr="007E4B31">
        <w:rPr>
          <w:iCs/>
        </w:rPr>
        <w:t>Pre-Sub-Committee</w:t>
      </w:r>
      <w:r w:rsidR="003B6E37">
        <w:rPr>
          <w:iCs/>
        </w:rPr>
        <w:t xml:space="preserve"> </w:t>
      </w:r>
      <w:r w:rsidR="00847AA1" w:rsidRPr="007E4B31">
        <w:rPr>
          <w:iCs/>
        </w:rPr>
        <w:t>Response (</w:t>
      </w:r>
      <w:r w:rsidR="00562F94" w:rsidRPr="007E4B31">
        <w:rPr>
          <w:iCs/>
        </w:rPr>
        <w:t>PSCR</w:t>
      </w:r>
      <w:r w:rsidR="00847AA1" w:rsidRPr="007E4B31">
        <w:rPr>
          <w:iCs/>
        </w:rPr>
        <w:t>)</w:t>
      </w:r>
      <w:r w:rsidR="00562F94" w:rsidRPr="007E4B31">
        <w:rPr>
          <w:iCs/>
        </w:rPr>
        <w:t xml:space="preserve"> and </w:t>
      </w:r>
      <w:r w:rsidR="00AC397B" w:rsidRPr="007E4B31">
        <w:rPr>
          <w:iCs/>
        </w:rPr>
        <w:t>the evaluat</w:t>
      </w:r>
      <w:r w:rsidR="003B6E37">
        <w:rPr>
          <w:iCs/>
        </w:rPr>
        <w:t>ion</w:t>
      </w:r>
      <w:r w:rsidR="00562F94" w:rsidRPr="007E4B31">
        <w:rPr>
          <w:iCs/>
        </w:rPr>
        <w:t xml:space="preserve"> considered that it may be reasonable to not include an upper dose limit</w:t>
      </w:r>
      <w:r w:rsidR="007B7559">
        <w:rPr>
          <w:iCs/>
        </w:rPr>
        <w:t xml:space="preserve"> beyond 0.16</w:t>
      </w:r>
      <w:r w:rsidR="009B173E">
        <w:rPr>
          <w:iCs/>
        </w:rPr>
        <w:t> </w:t>
      </w:r>
      <w:r w:rsidR="007B7559">
        <w:rPr>
          <w:iCs/>
        </w:rPr>
        <w:t>mg/kg/week</w:t>
      </w:r>
      <w:r w:rsidR="00562F94" w:rsidRPr="007E4B31">
        <w:rPr>
          <w:iCs/>
        </w:rPr>
        <w:t xml:space="preserve"> for somapacitan to be consistent with the somatrogon listing</w:t>
      </w:r>
      <w:r w:rsidR="00EA0E08" w:rsidRPr="007E4B31">
        <w:rPr>
          <w:iCs/>
        </w:rPr>
        <w:t>.</w:t>
      </w:r>
    </w:p>
    <w:p w14:paraId="3854BE7E" w14:textId="0EC335FC" w:rsidR="00EA0E08" w:rsidRPr="007E4B31" w:rsidRDefault="00286CC1" w:rsidP="00EA0E08">
      <w:pPr>
        <w:pStyle w:val="3-BodyText"/>
      </w:pPr>
      <w:r w:rsidRPr="007E4B31">
        <w:t xml:space="preserve">The submission requested that patients be able to switch from somatropin or somatrogon to somapacitan (‘Change of drug’ listing, Attachment 2 to the submission). </w:t>
      </w:r>
      <w:r w:rsidRPr="007E4B31">
        <w:rPr>
          <w:iCs/>
        </w:rPr>
        <w:t xml:space="preserve">The somapacitan trials included in the submission </w:t>
      </w:r>
      <w:r w:rsidR="00697C6C" w:rsidRPr="007E4B31">
        <w:rPr>
          <w:iCs/>
        </w:rPr>
        <w:t xml:space="preserve">enrolled only </w:t>
      </w:r>
      <w:r w:rsidRPr="007E4B31">
        <w:rPr>
          <w:iCs/>
        </w:rPr>
        <w:t>treatment naïve, pre-pubertal patients</w:t>
      </w:r>
      <w:r w:rsidR="00697C6C" w:rsidRPr="007E4B31">
        <w:rPr>
          <w:iCs/>
        </w:rPr>
        <w:t>.</w:t>
      </w:r>
      <w:r w:rsidRPr="007E4B31">
        <w:rPr>
          <w:iCs/>
        </w:rPr>
        <w:t xml:space="preserve"> REAL</w:t>
      </w:r>
      <w:r w:rsidR="00697C6C" w:rsidRPr="007E4B31">
        <w:rPr>
          <w:iCs/>
        </w:rPr>
        <w:noBreakHyphen/>
      </w:r>
      <w:proofErr w:type="gramStart"/>
      <w:r w:rsidRPr="007E4B31">
        <w:rPr>
          <w:iCs/>
        </w:rPr>
        <w:t>3</w:t>
      </w:r>
      <w:proofErr w:type="gramEnd"/>
      <w:r w:rsidRPr="007E4B31">
        <w:rPr>
          <w:iCs/>
        </w:rPr>
        <w:t xml:space="preserve"> did not allow for treatment switching between GH therapies, and </w:t>
      </w:r>
      <w:r w:rsidR="00697C6C" w:rsidRPr="007E4B31">
        <w:rPr>
          <w:iCs/>
        </w:rPr>
        <w:t xml:space="preserve">in </w:t>
      </w:r>
      <w:r w:rsidRPr="007E4B31">
        <w:rPr>
          <w:iCs/>
        </w:rPr>
        <w:t>REAL</w:t>
      </w:r>
      <w:r w:rsidR="00697C6C" w:rsidRPr="007E4B31">
        <w:rPr>
          <w:iCs/>
        </w:rPr>
        <w:noBreakHyphen/>
      </w:r>
      <w:r w:rsidRPr="007E4B31">
        <w:rPr>
          <w:iCs/>
        </w:rPr>
        <w:t>4</w:t>
      </w:r>
      <w:r w:rsidR="00697C6C" w:rsidRPr="007E4B31">
        <w:rPr>
          <w:iCs/>
        </w:rPr>
        <w:t>, while</w:t>
      </w:r>
      <w:r w:rsidRPr="007E4B31">
        <w:rPr>
          <w:iCs/>
        </w:rPr>
        <w:t xml:space="preserve"> there was cross-over in the extension period, the results </w:t>
      </w:r>
      <w:r w:rsidR="00697C6C" w:rsidRPr="007E4B31">
        <w:rPr>
          <w:iCs/>
        </w:rPr>
        <w:t xml:space="preserve">of the extension period </w:t>
      </w:r>
      <w:r w:rsidRPr="007E4B31">
        <w:rPr>
          <w:iCs/>
        </w:rPr>
        <w:t xml:space="preserve">were unavailable, hence the evidence to support this requested listing </w:t>
      </w:r>
      <w:r w:rsidR="00697C6C" w:rsidRPr="007E4B31">
        <w:rPr>
          <w:iCs/>
        </w:rPr>
        <w:t xml:space="preserve">was </w:t>
      </w:r>
      <w:r w:rsidRPr="007E4B31">
        <w:rPr>
          <w:iCs/>
        </w:rPr>
        <w:t xml:space="preserve">limited. </w:t>
      </w:r>
      <w:r w:rsidRPr="007E4B31">
        <w:t xml:space="preserve">The PBAC previously considered that the risk of quality use of medicine (QUM) issues due to treatment switching </w:t>
      </w:r>
      <w:proofErr w:type="gramStart"/>
      <w:r w:rsidRPr="007E4B31">
        <w:t>was low given</w:t>
      </w:r>
      <w:proofErr w:type="gramEnd"/>
      <w:r w:rsidRPr="007E4B31">
        <w:t xml:space="preserve"> these decisions are at the discretion of treating endocrinologists (paragraph 7.8, somapacitan, PSD, March 2022 PBAC meeting; paragraph 7.7, somatrogon, PSD, March 2022 PBAC meeting).</w:t>
      </w:r>
      <w:r w:rsidR="00BB136F" w:rsidRPr="007E4B31">
        <w:t xml:space="preserve"> </w:t>
      </w:r>
      <w:r w:rsidR="00BB136F" w:rsidRPr="007E4B31">
        <w:rPr>
          <w:iCs/>
        </w:rPr>
        <w:t>The proposed restriction criteria did not allow for treatment switching in patients who have failed GH treatment</w:t>
      </w:r>
      <w:r w:rsidR="00EA0E08" w:rsidRPr="007E4B31">
        <w:rPr>
          <w:rFonts w:cstheme="minorHAnsi"/>
          <w:iCs/>
        </w:rPr>
        <w:t>.</w:t>
      </w:r>
    </w:p>
    <w:p w14:paraId="351B5AB1" w14:textId="37207846" w:rsidR="00E61A6B" w:rsidRPr="007E4B31" w:rsidRDefault="00AC397B" w:rsidP="00EA0E08">
      <w:pPr>
        <w:pStyle w:val="3-BodyText"/>
      </w:pPr>
      <w:r w:rsidRPr="007E4B31">
        <w:rPr>
          <w:rFonts w:cstheme="minorHAnsi"/>
          <w:iCs/>
        </w:rPr>
        <w:t xml:space="preserve">The submission proposed a threshold for the biochemical GHD of peak serum growth hormone concentration of less than 10mU/L or less than or equal to 3.3 micrograms per litre in response to growth hormone stimulation tests, based on the somatrogon listing. However, a different biochemical threshold </w:t>
      </w:r>
      <w:proofErr w:type="gramStart"/>
      <w:r w:rsidRPr="007E4B31">
        <w:rPr>
          <w:rFonts w:cstheme="minorHAnsi"/>
          <w:iCs/>
        </w:rPr>
        <w:t>was used</w:t>
      </w:r>
      <w:proofErr w:type="gramEnd"/>
      <w:r w:rsidRPr="007E4B31">
        <w:rPr>
          <w:rFonts w:cstheme="minorHAnsi"/>
          <w:iCs/>
        </w:rPr>
        <w:t xml:space="preserve"> to define the inclusion criteria in pivotal clinical trial (REAL-3), i.e., peak growth hormone level of less than 7.0 ng/mL. </w:t>
      </w:r>
      <w:r w:rsidRPr="007E4B31">
        <w:rPr>
          <w:rFonts w:cstheme="minorHAnsi"/>
        </w:rPr>
        <w:t>The PSCR maintained that the difference between a 7</w:t>
      </w:r>
      <w:r w:rsidR="00CA4C8B" w:rsidRPr="007E4B31">
        <w:rPr>
          <w:rFonts w:cstheme="minorHAnsi"/>
        </w:rPr>
        <w:t>.0</w:t>
      </w:r>
      <w:r w:rsidRPr="007E4B31">
        <w:rPr>
          <w:rFonts w:cstheme="minorHAnsi"/>
        </w:rPr>
        <w:t xml:space="preserve"> and 10</w:t>
      </w:r>
      <w:r w:rsidR="00CA4C8B" w:rsidRPr="007E4B31">
        <w:rPr>
          <w:rFonts w:cstheme="minorHAnsi"/>
        </w:rPr>
        <w:t>.0</w:t>
      </w:r>
      <w:r w:rsidR="009B173E">
        <w:rPr>
          <w:rFonts w:cstheme="minorHAnsi"/>
        </w:rPr>
        <w:t> </w:t>
      </w:r>
      <w:r w:rsidRPr="007E4B31">
        <w:rPr>
          <w:rFonts w:cstheme="minorHAnsi"/>
        </w:rPr>
        <w:t>ng/m</w:t>
      </w:r>
      <w:r w:rsidR="00CA4C8B" w:rsidRPr="007E4B31">
        <w:rPr>
          <w:rFonts w:cstheme="minorHAnsi"/>
        </w:rPr>
        <w:t>L</w:t>
      </w:r>
      <w:r w:rsidRPr="007E4B31">
        <w:rPr>
          <w:rFonts w:cstheme="minorHAnsi"/>
        </w:rPr>
        <w:t xml:space="preserve"> peak GH threshold was unlikely to result in significant applicability issues, a viewpoint </w:t>
      </w:r>
      <w:r w:rsidRPr="007E4B31">
        <w:rPr>
          <w:rFonts w:cstheme="minorHAnsi"/>
        </w:rPr>
        <w:lastRenderedPageBreak/>
        <w:t xml:space="preserve">that </w:t>
      </w:r>
      <w:proofErr w:type="gramStart"/>
      <w:r w:rsidRPr="007E4B31">
        <w:rPr>
          <w:rFonts w:cstheme="minorHAnsi"/>
        </w:rPr>
        <w:t>was supported</w:t>
      </w:r>
      <w:proofErr w:type="gramEnd"/>
      <w:r w:rsidRPr="007E4B31">
        <w:rPr>
          <w:rFonts w:cstheme="minorHAnsi"/>
        </w:rPr>
        <w:t xml:space="preserve"> by the </w:t>
      </w:r>
      <w:r w:rsidR="003B6E37">
        <w:rPr>
          <w:rFonts w:cstheme="minorHAnsi"/>
        </w:rPr>
        <w:t>evaluation</w:t>
      </w:r>
      <w:r w:rsidRPr="007E4B31">
        <w:rPr>
          <w:rFonts w:cstheme="minorHAnsi"/>
        </w:rPr>
        <w:t xml:space="preserve"> based on Hughes</w:t>
      </w:r>
      <w:r w:rsidRPr="007E4B31">
        <w:rPr>
          <w:rStyle w:val="FootnoteReference"/>
          <w:rFonts w:cstheme="minorHAnsi"/>
        </w:rPr>
        <w:footnoteReference w:id="1"/>
      </w:r>
      <w:r w:rsidRPr="007E4B31">
        <w:rPr>
          <w:rFonts w:cstheme="minorHAnsi"/>
        </w:rPr>
        <w:t xml:space="preserve"> (2012), which reported patients with biochemical GHD had median peak GH levels of 1.9</w:t>
      </w:r>
      <w:r w:rsidR="009B173E">
        <w:rPr>
          <w:rFonts w:cstheme="minorHAnsi"/>
        </w:rPr>
        <w:t> </w:t>
      </w:r>
      <w:r w:rsidRPr="007E4B31">
        <w:rPr>
          <w:rFonts w:cstheme="minorHAnsi"/>
        </w:rPr>
        <w:t>ng/m</w:t>
      </w:r>
      <w:r w:rsidR="00CA4C8B" w:rsidRPr="007E4B31">
        <w:rPr>
          <w:rFonts w:cstheme="minorHAnsi"/>
        </w:rPr>
        <w:t>L</w:t>
      </w:r>
      <w:r w:rsidRPr="007E4B31">
        <w:rPr>
          <w:rFonts w:cstheme="minorHAnsi"/>
        </w:rPr>
        <w:t xml:space="preserve">. The PSCR also argued that the possibility of the peak GH level being a treatment modifier in REAL-4 was also marginal (p=0.0466). </w:t>
      </w:r>
    </w:p>
    <w:p w14:paraId="615FB02C" w14:textId="3F744EEE" w:rsidR="00E61A6B" w:rsidRPr="007E4B31" w:rsidRDefault="00EA0E08" w:rsidP="00E61A6B">
      <w:pPr>
        <w:pStyle w:val="3-BodyText"/>
        <w:rPr>
          <w:rFonts w:cstheme="minorHAnsi"/>
        </w:rPr>
      </w:pPr>
      <w:bookmarkStart w:id="12" w:name="_Ref133847355"/>
      <w:r w:rsidRPr="007E4B31">
        <w:t xml:space="preserve">It </w:t>
      </w:r>
      <w:r w:rsidR="004F1BAC">
        <w:t>is possible that patients will</w:t>
      </w:r>
      <w:r w:rsidRPr="007E4B31">
        <w:t xml:space="preserve"> require</w:t>
      </w:r>
      <w:r w:rsidR="00C604B7" w:rsidRPr="007E4B31">
        <w:t xml:space="preserve"> two different pens to achieve the full dose</w:t>
      </w:r>
      <w:r w:rsidRPr="007E4B31">
        <w:t xml:space="preserve">, highlighting </w:t>
      </w:r>
      <w:r w:rsidR="00C604B7" w:rsidRPr="007E4B31">
        <w:t xml:space="preserve">an important QUM issue, with respect to minimising the risk of over- or under-dosing and preventing injection site reactions. </w:t>
      </w:r>
      <w:r w:rsidRPr="007E4B31">
        <w:t>There may also</w:t>
      </w:r>
      <w:r w:rsidR="00C604B7" w:rsidRPr="007E4B31">
        <w:t xml:space="preserve"> be implications on quality of life (QoL) if patients need more than one injection in a single day. Pens that </w:t>
      </w:r>
      <w:proofErr w:type="gramStart"/>
      <w:r w:rsidR="00C604B7" w:rsidRPr="007E4B31">
        <w:t>are discarded</w:t>
      </w:r>
      <w:proofErr w:type="gramEnd"/>
      <w:r w:rsidR="00C604B7" w:rsidRPr="007E4B31">
        <w:t xml:space="preserve"> with remaining doses can also result in wastage and therefore have financial implications.</w:t>
      </w:r>
      <w:r w:rsidR="00E61A6B" w:rsidRPr="007E4B31">
        <w:t xml:space="preserve"> For example, </w:t>
      </w:r>
      <w:bookmarkEnd w:id="12"/>
      <w:r w:rsidR="00E61A6B" w:rsidRPr="007E4B31">
        <w:rPr>
          <w:rFonts w:cstheme="minorHAnsi"/>
          <w:iCs/>
        </w:rPr>
        <w:t xml:space="preserve">the 15 mg pen </w:t>
      </w:r>
      <w:proofErr w:type="gramStart"/>
      <w:r w:rsidR="00E61A6B" w:rsidRPr="007E4B31">
        <w:rPr>
          <w:rFonts w:cstheme="minorHAnsi"/>
          <w:iCs/>
        </w:rPr>
        <w:t>is limited</w:t>
      </w:r>
      <w:proofErr w:type="gramEnd"/>
      <w:r w:rsidR="00E61A6B" w:rsidRPr="007E4B31">
        <w:rPr>
          <w:rFonts w:cstheme="minorHAnsi"/>
          <w:iCs/>
        </w:rPr>
        <w:t xml:space="preserve"> to delivering a maximum dose of 8.0 mg per administration; a 55</w:t>
      </w:r>
      <w:r w:rsidR="0074676F" w:rsidRPr="007E4B31">
        <w:rPr>
          <w:rFonts w:cstheme="minorHAnsi"/>
          <w:iCs/>
        </w:rPr>
        <w:t xml:space="preserve"> </w:t>
      </w:r>
      <w:r w:rsidR="00E61A6B" w:rsidRPr="007E4B31">
        <w:rPr>
          <w:rFonts w:cstheme="minorHAnsi"/>
          <w:iCs/>
        </w:rPr>
        <w:t xml:space="preserve">kg patient would require 8.8 mg (55 x 0.16) weekly dosing. </w:t>
      </w:r>
      <w:r w:rsidR="00E61A6B" w:rsidRPr="007E4B31">
        <w:rPr>
          <w:rFonts w:cstheme="minorHAnsi"/>
        </w:rPr>
        <w:t xml:space="preserve">The PSCR acknowledged that patients with higher weight may require multiple injections, however claimed that a similar issue has </w:t>
      </w:r>
      <w:proofErr w:type="gramStart"/>
      <w:r w:rsidR="00E61A6B" w:rsidRPr="007E4B31">
        <w:rPr>
          <w:rFonts w:cstheme="minorHAnsi"/>
        </w:rPr>
        <w:t>been observed</w:t>
      </w:r>
      <w:proofErr w:type="gramEnd"/>
      <w:r w:rsidR="00E61A6B" w:rsidRPr="007E4B31">
        <w:rPr>
          <w:rFonts w:cstheme="minorHAnsi"/>
        </w:rPr>
        <w:t xml:space="preserve"> with somatrogon and prescribers would educate patients about correct dosing in practice which would reduce QUM concerns. </w:t>
      </w:r>
    </w:p>
    <w:p w14:paraId="2516E31C" w14:textId="58F98B31" w:rsidR="00C4691D" w:rsidRDefault="00E61A6B" w:rsidP="00C4691D">
      <w:pPr>
        <w:pStyle w:val="3-BodyText"/>
        <w:rPr>
          <w:rFonts w:cstheme="minorHAnsi"/>
          <w:iCs/>
        </w:rPr>
      </w:pPr>
      <w:r w:rsidRPr="007E4B31">
        <w:rPr>
          <w:rFonts w:cstheme="minorHAnsi"/>
        </w:rPr>
        <w:t xml:space="preserve">The submission proposed that the appropriate amount of drug (maximum quantity in units) that facilitated approximately 13 weeks of treatment per dispensing should be prescribed with a maximum of </w:t>
      </w:r>
      <w:proofErr w:type="gramStart"/>
      <w:r w:rsidRPr="007E4B31">
        <w:rPr>
          <w:rFonts w:cstheme="minorHAnsi"/>
        </w:rPr>
        <w:t>1</w:t>
      </w:r>
      <w:proofErr w:type="gramEnd"/>
      <w:r w:rsidRPr="007E4B31">
        <w:rPr>
          <w:rFonts w:cstheme="minorHAnsi"/>
        </w:rPr>
        <w:t xml:space="preserve"> repeat for approximately 26 weeks of treatment, and this treatment period appeared to apply to all treatment phases. This differed to </w:t>
      </w:r>
      <w:r w:rsidR="000F1B73" w:rsidRPr="007E4B31">
        <w:rPr>
          <w:rFonts w:cstheme="minorHAnsi"/>
        </w:rPr>
        <w:t xml:space="preserve">the </w:t>
      </w:r>
      <w:r w:rsidRPr="007E4B31">
        <w:rPr>
          <w:rFonts w:cstheme="minorHAnsi"/>
        </w:rPr>
        <w:t>somatrogon restriction</w:t>
      </w:r>
      <w:r w:rsidR="00F40B57" w:rsidRPr="007E4B31">
        <w:rPr>
          <w:rFonts w:cstheme="minorHAnsi"/>
        </w:rPr>
        <w:t>,</w:t>
      </w:r>
      <w:r w:rsidRPr="007E4B31">
        <w:rPr>
          <w:rFonts w:cstheme="minorHAnsi"/>
        </w:rPr>
        <w:t xml:space="preserve"> which allowed a maximum of 16 weeks per prescription for </w:t>
      </w:r>
      <w:r w:rsidR="00F40B57" w:rsidRPr="007E4B31">
        <w:rPr>
          <w:rFonts w:cstheme="minorHAnsi"/>
        </w:rPr>
        <w:t>I</w:t>
      </w:r>
      <w:r w:rsidRPr="007E4B31">
        <w:rPr>
          <w:rFonts w:cstheme="minorHAnsi"/>
        </w:rPr>
        <w:t xml:space="preserve">nitial, </w:t>
      </w:r>
      <w:r w:rsidR="00F40B57" w:rsidRPr="007E4B31">
        <w:rPr>
          <w:rFonts w:cstheme="minorHAnsi"/>
        </w:rPr>
        <w:t>R</w:t>
      </w:r>
      <w:r w:rsidRPr="007E4B31">
        <w:rPr>
          <w:rFonts w:cstheme="minorHAnsi"/>
        </w:rPr>
        <w:t xml:space="preserve">ecommencement or </w:t>
      </w:r>
      <w:r w:rsidR="00F40B57" w:rsidRPr="007E4B31">
        <w:rPr>
          <w:rFonts w:cstheme="minorHAnsi"/>
        </w:rPr>
        <w:t>R</w:t>
      </w:r>
      <w:r w:rsidR="00963190" w:rsidRPr="007E4B31">
        <w:rPr>
          <w:rFonts w:cstheme="minorHAnsi"/>
        </w:rPr>
        <w:t>e</w:t>
      </w:r>
      <w:r w:rsidRPr="007E4B31">
        <w:rPr>
          <w:rFonts w:cstheme="minorHAnsi"/>
        </w:rPr>
        <w:t xml:space="preserve">commencement as a reclassified patient, and 13 weeks for all other </w:t>
      </w:r>
      <w:r w:rsidR="00F40B57" w:rsidRPr="007E4B31">
        <w:rPr>
          <w:rFonts w:cstheme="minorHAnsi"/>
        </w:rPr>
        <w:t>treatment phases</w:t>
      </w:r>
      <w:r w:rsidRPr="007E4B31">
        <w:rPr>
          <w:rFonts w:cstheme="minorHAnsi"/>
        </w:rPr>
        <w:t xml:space="preserve">. </w:t>
      </w:r>
      <w:r w:rsidRPr="007E4B31">
        <w:rPr>
          <w:rFonts w:cstheme="minorHAnsi"/>
          <w:iCs/>
        </w:rPr>
        <w:t xml:space="preserve">In the </w:t>
      </w:r>
      <w:r w:rsidR="00223558" w:rsidRPr="007E4B31">
        <w:rPr>
          <w:rFonts w:cstheme="minorHAnsi"/>
          <w:iCs/>
        </w:rPr>
        <w:t>PSCR,</w:t>
      </w:r>
      <w:r w:rsidRPr="007E4B31">
        <w:rPr>
          <w:rFonts w:cstheme="minorHAnsi"/>
          <w:iCs/>
        </w:rPr>
        <w:t xml:space="preserve"> the sponsor </w:t>
      </w:r>
      <w:r w:rsidR="00F40B57" w:rsidRPr="007E4B31">
        <w:rPr>
          <w:rFonts w:cstheme="minorHAnsi"/>
          <w:iCs/>
        </w:rPr>
        <w:t>proposed an amendment to</w:t>
      </w:r>
      <w:r w:rsidRPr="007E4B31">
        <w:rPr>
          <w:rFonts w:cstheme="minorHAnsi"/>
          <w:iCs/>
        </w:rPr>
        <w:t xml:space="preserve"> the Notes to</w:t>
      </w:r>
      <w:r w:rsidR="00F40B57" w:rsidRPr="007E4B31">
        <w:rPr>
          <w:rFonts w:cstheme="minorHAnsi"/>
          <w:iCs/>
        </w:rPr>
        <w:t xml:space="preserve"> allow for</w:t>
      </w:r>
      <w:r w:rsidRPr="007E4B31">
        <w:rPr>
          <w:rFonts w:cstheme="minorHAnsi"/>
          <w:iCs/>
        </w:rPr>
        <w:t xml:space="preserve"> a 16-week treatment period for Initial, </w:t>
      </w:r>
      <w:r w:rsidR="00F40B57" w:rsidRPr="007E4B31">
        <w:rPr>
          <w:rFonts w:cstheme="minorHAnsi"/>
          <w:iCs/>
        </w:rPr>
        <w:t>R</w:t>
      </w:r>
      <w:r w:rsidRPr="007E4B31">
        <w:rPr>
          <w:rFonts w:cstheme="minorHAnsi"/>
          <w:iCs/>
        </w:rPr>
        <w:t xml:space="preserve">ecommencement or </w:t>
      </w:r>
      <w:r w:rsidR="00F40B57" w:rsidRPr="007E4B31">
        <w:rPr>
          <w:rFonts w:cstheme="minorHAnsi"/>
          <w:iCs/>
        </w:rPr>
        <w:t>R</w:t>
      </w:r>
      <w:r w:rsidRPr="007E4B31">
        <w:rPr>
          <w:rFonts w:cstheme="minorHAnsi"/>
          <w:iCs/>
        </w:rPr>
        <w:t xml:space="preserve">ecommencement as a reclassified patient treatment </w:t>
      </w:r>
      <w:proofErr w:type="gramStart"/>
      <w:r w:rsidRPr="007E4B31">
        <w:rPr>
          <w:rFonts w:cstheme="minorHAnsi"/>
          <w:iCs/>
        </w:rPr>
        <w:t>phases</w:t>
      </w:r>
      <w:proofErr w:type="gramEnd"/>
      <w:r w:rsidR="00F40B57" w:rsidRPr="007E4B31">
        <w:rPr>
          <w:rFonts w:cstheme="minorHAnsi"/>
          <w:iCs/>
        </w:rPr>
        <w:t>. The sponsor also proposed to update the</w:t>
      </w:r>
      <w:r w:rsidRPr="007E4B31">
        <w:rPr>
          <w:rFonts w:cstheme="minorHAnsi"/>
          <w:iCs/>
        </w:rPr>
        <w:t xml:space="preserve"> prescribed maximum quantity (in terms of pens) </w:t>
      </w:r>
      <w:r w:rsidR="00F40B57" w:rsidRPr="007E4B31">
        <w:rPr>
          <w:rFonts w:cstheme="minorHAnsi"/>
          <w:iCs/>
        </w:rPr>
        <w:t xml:space="preserve">to allow </w:t>
      </w:r>
      <w:r w:rsidRPr="007E4B31">
        <w:rPr>
          <w:rFonts w:cstheme="minorHAnsi"/>
          <w:iCs/>
        </w:rPr>
        <w:t>for 16 weeks of treatment</w:t>
      </w:r>
      <w:proofErr w:type="gramStart"/>
      <w:r w:rsidRPr="007E4B31">
        <w:rPr>
          <w:rFonts w:cstheme="minorHAnsi"/>
          <w:iCs/>
        </w:rPr>
        <w:t xml:space="preserve">.  </w:t>
      </w:r>
      <w:proofErr w:type="gramEnd"/>
    </w:p>
    <w:p w14:paraId="785DB249" w14:textId="5A2B13E9" w:rsidR="00B473E1" w:rsidRDefault="00B473E1" w:rsidP="00C4691D">
      <w:pPr>
        <w:pStyle w:val="3-BodyText"/>
        <w:rPr>
          <w:rFonts w:cstheme="minorHAnsi"/>
          <w:iCs/>
        </w:rPr>
      </w:pPr>
      <w:r>
        <w:rPr>
          <w:rFonts w:cstheme="minorHAnsi"/>
          <w:iCs/>
        </w:rPr>
        <w:t xml:space="preserve">The proposed maximum quantity of ‘1’ unit was consistent with other listings on the Growth Hormone Program, but not reflective of the true quantity that would </w:t>
      </w:r>
      <w:proofErr w:type="gramStart"/>
      <w:r>
        <w:rPr>
          <w:rFonts w:cstheme="minorHAnsi"/>
          <w:iCs/>
        </w:rPr>
        <w:t>be prescribed</w:t>
      </w:r>
      <w:proofErr w:type="gramEnd"/>
      <w:r>
        <w:rPr>
          <w:rFonts w:cstheme="minorHAnsi"/>
          <w:iCs/>
        </w:rPr>
        <w:t xml:space="preserve"> to the patient. A maximum quantity of ‘1’ has historically been listed where the dispensed amount is variable based on the patient’s weight/body surface (BSA), there is a large range of potential patient weights/BSA, and where the intent is for an amount appropriate to the individual patient to be determined as part of the authority approval process such that for small patients, the authority application does not automatically default to the maximum quantity that is suitable for the large patient, as the treatment duration supplied would exceed the intended treatment duration for </w:t>
      </w:r>
      <w:r>
        <w:rPr>
          <w:rFonts w:cstheme="minorHAnsi"/>
          <w:iCs/>
        </w:rPr>
        <w:lastRenderedPageBreak/>
        <w:t xml:space="preserve">the small patient. The Secretariat advised that for each strength presentation, it is likely that a patient would need not more than </w:t>
      </w:r>
      <w:proofErr w:type="gramStart"/>
      <w:r>
        <w:rPr>
          <w:rFonts w:cstheme="minorHAnsi"/>
          <w:iCs/>
        </w:rPr>
        <w:t>8</w:t>
      </w:r>
      <w:proofErr w:type="gramEnd"/>
      <w:r>
        <w:rPr>
          <w:rFonts w:cstheme="minorHAnsi"/>
          <w:iCs/>
        </w:rPr>
        <w:t xml:space="preserve"> units per dispensing and therefore the declared maximum quantity could be specified as </w:t>
      </w:r>
      <w:r w:rsidR="0046645B">
        <w:rPr>
          <w:rFonts w:cstheme="minorHAnsi"/>
          <w:iCs/>
        </w:rPr>
        <w:t>a number other than 1</w:t>
      </w:r>
      <w:r>
        <w:rPr>
          <w:rFonts w:cstheme="minorHAnsi"/>
          <w:iCs/>
        </w:rPr>
        <w:t xml:space="preserve"> unit.  Prescribers are not obligated to prescribe </w:t>
      </w:r>
      <w:r w:rsidR="0046645B">
        <w:rPr>
          <w:rFonts w:cstheme="minorHAnsi"/>
          <w:iCs/>
        </w:rPr>
        <w:t>the stated maximum quantity of</w:t>
      </w:r>
      <w:r>
        <w:rPr>
          <w:rFonts w:cstheme="minorHAnsi"/>
          <w:iCs/>
        </w:rPr>
        <w:t xml:space="preserve"> units per prescription – they may prescribe a lesser quantity</w:t>
      </w:r>
      <w:proofErr w:type="gramStart"/>
      <w:r>
        <w:rPr>
          <w:rFonts w:cstheme="minorHAnsi"/>
          <w:iCs/>
        </w:rPr>
        <w:t xml:space="preserve">.  </w:t>
      </w:r>
      <w:proofErr w:type="gramEnd"/>
      <w:r>
        <w:rPr>
          <w:rFonts w:cstheme="minorHAnsi"/>
          <w:iCs/>
        </w:rPr>
        <w:t>To facilitate this, the Secretariat proposed a restriction requirement that the quantity sought in a prescription is to comply with that outlined in a ‘Note’ which gives guidance on the appropriate number of units per weight range</w:t>
      </w:r>
      <w:r w:rsidR="003B5A0D">
        <w:rPr>
          <w:rFonts w:cstheme="minorHAnsi"/>
          <w:iCs/>
        </w:rPr>
        <w:t xml:space="preserve"> (see Section 8 below)</w:t>
      </w:r>
      <w:r>
        <w:rPr>
          <w:rFonts w:cstheme="minorHAnsi"/>
          <w:iCs/>
        </w:rPr>
        <w:t xml:space="preserve">. </w:t>
      </w:r>
    </w:p>
    <w:p w14:paraId="41A7B5C0" w14:textId="73CF6DDF" w:rsidR="0046645B" w:rsidRDefault="0046645B" w:rsidP="00C4691D">
      <w:pPr>
        <w:pStyle w:val="3-BodyText"/>
        <w:rPr>
          <w:rFonts w:cstheme="minorHAnsi"/>
          <w:iCs/>
        </w:rPr>
      </w:pPr>
      <w:r>
        <w:rPr>
          <w:rFonts w:cstheme="minorHAnsi"/>
          <w:iCs/>
        </w:rPr>
        <w:t>The Secretariat determined the appropriate number of units for a given patient weight by considering:</w:t>
      </w:r>
    </w:p>
    <w:p w14:paraId="203BAF77" w14:textId="6C04D7C0" w:rsidR="0046645B" w:rsidRDefault="0046645B" w:rsidP="00F527AB">
      <w:pPr>
        <w:pStyle w:val="3-BodyText"/>
        <w:numPr>
          <w:ilvl w:val="0"/>
          <w:numId w:val="9"/>
        </w:numPr>
        <w:rPr>
          <w:rFonts w:cstheme="minorHAnsi"/>
          <w:iCs/>
        </w:rPr>
      </w:pPr>
      <w:r>
        <w:rPr>
          <w:rFonts w:cstheme="minorHAnsi"/>
          <w:iCs/>
        </w:rPr>
        <w:t>The recommended dose as per the product information (i.e.</w:t>
      </w:r>
      <w:r w:rsidR="00B42380">
        <w:rPr>
          <w:rFonts w:cstheme="minorHAnsi"/>
          <w:iCs/>
        </w:rPr>
        <w:t>,</w:t>
      </w:r>
      <w:r>
        <w:rPr>
          <w:rFonts w:cstheme="minorHAnsi"/>
          <w:iCs/>
        </w:rPr>
        <w:t xml:space="preserve"> 0.16</w:t>
      </w:r>
      <w:r w:rsidR="009B173E">
        <w:rPr>
          <w:rFonts w:cstheme="minorHAnsi"/>
          <w:iCs/>
        </w:rPr>
        <w:t> </w:t>
      </w:r>
      <w:r>
        <w:rPr>
          <w:rFonts w:cstheme="minorHAnsi"/>
          <w:iCs/>
        </w:rPr>
        <w:t>mg/kg/week</w:t>
      </w:r>
      <w:proofErr w:type="gramStart"/>
      <w:r>
        <w:rPr>
          <w:rFonts w:cstheme="minorHAnsi"/>
          <w:iCs/>
        </w:rPr>
        <w:t>);</w:t>
      </w:r>
      <w:proofErr w:type="gramEnd"/>
    </w:p>
    <w:p w14:paraId="2760FD4E" w14:textId="605F34AC" w:rsidR="0046645B" w:rsidRDefault="0046645B" w:rsidP="00F527AB">
      <w:pPr>
        <w:pStyle w:val="3-BodyText"/>
        <w:numPr>
          <w:ilvl w:val="0"/>
          <w:numId w:val="9"/>
        </w:numPr>
        <w:rPr>
          <w:rFonts w:cstheme="minorHAnsi"/>
          <w:iCs/>
        </w:rPr>
      </w:pPr>
      <w:r>
        <w:rPr>
          <w:rFonts w:cstheme="minorHAnsi"/>
          <w:iCs/>
        </w:rPr>
        <w:t>The targeted treatment duration (16 weeks in some treatment phases, 13 weeks in other treatment phases</w:t>
      </w:r>
      <w:proofErr w:type="gramStart"/>
      <w:r>
        <w:rPr>
          <w:rFonts w:cstheme="minorHAnsi"/>
          <w:iCs/>
        </w:rPr>
        <w:t>);</w:t>
      </w:r>
      <w:proofErr w:type="gramEnd"/>
    </w:p>
    <w:p w14:paraId="3F7498B4" w14:textId="7D15D587" w:rsidR="00DD670C" w:rsidRDefault="00DD670C" w:rsidP="00F527AB">
      <w:pPr>
        <w:pStyle w:val="3-BodyText"/>
        <w:numPr>
          <w:ilvl w:val="0"/>
          <w:numId w:val="9"/>
        </w:numPr>
        <w:rPr>
          <w:rFonts w:cstheme="minorHAnsi"/>
          <w:iCs/>
        </w:rPr>
      </w:pPr>
      <w:r>
        <w:rPr>
          <w:rFonts w:cstheme="minorHAnsi"/>
          <w:iCs/>
        </w:rPr>
        <w:t xml:space="preserve">The 5 mg strength can deliver up to 2 mg per dose, the 10 mg strength can deliver up to 4 mg per dose, and the 15 mg strength can deliver up to 8 mg per </w:t>
      </w:r>
      <w:proofErr w:type="gramStart"/>
      <w:r>
        <w:rPr>
          <w:rFonts w:cstheme="minorHAnsi"/>
          <w:iCs/>
        </w:rPr>
        <w:t>dose;</w:t>
      </w:r>
      <w:proofErr w:type="gramEnd"/>
      <w:r>
        <w:rPr>
          <w:rFonts w:cstheme="minorHAnsi"/>
          <w:iCs/>
        </w:rPr>
        <w:t xml:space="preserve"> </w:t>
      </w:r>
    </w:p>
    <w:p w14:paraId="5C29CC99" w14:textId="5977B74B" w:rsidR="0046645B" w:rsidRDefault="0046645B" w:rsidP="00F527AB">
      <w:pPr>
        <w:pStyle w:val="3-BodyText"/>
        <w:numPr>
          <w:ilvl w:val="0"/>
          <w:numId w:val="9"/>
        </w:numPr>
        <w:rPr>
          <w:rFonts w:cstheme="minorHAnsi"/>
          <w:iCs/>
        </w:rPr>
      </w:pPr>
      <w:r>
        <w:rPr>
          <w:rFonts w:cstheme="minorHAnsi"/>
          <w:iCs/>
        </w:rPr>
        <w:t xml:space="preserve">The number of </w:t>
      </w:r>
      <w:r w:rsidR="00DD670C">
        <w:rPr>
          <w:rFonts w:cstheme="minorHAnsi"/>
          <w:iCs/>
        </w:rPr>
        <w:t>complete</w:t>
      </w:r>
      <w:r>
        <w:rPr>
          <w:rFonts w:cstheme="minorHAnsi"/>
          <w:iCs/>
        </w:rPr>
        <w:t>, full doses that c</w:t>
      </w:r>
      <w:r w:rsidR="00DD670C">
        <w:rPr>
          <w:rFonts w:cstheme="minorHAnsi"/>
          <w:iCs/>
        </w:rPr>
        <w:t>an</w:t>
      </w:r>
      <w:r>
        <w:rPr>
          <w:rFonts w:cstheme="minorHAnsi"/>
          <w:iCs/>
        </w:rPr>
        <w:t xml:space="preserve"> be extracted from a given strength (e.g.</w:t>
      </w:r>
      <w:r w:rsidR="00155EA4">
        <w:rPr>
          <w:rFonts w:cstheme="minorHAnsi"/>
          <w:iCs/>
        </w:rPr>
        <w:t>,</w:t>
      </w:r>
      <w:r>
        <w:rPr>
          <w:rFonts w:cstheme="minorHAnsi"/>
          <w:iCs/>
        </w:rPr>
        <w:t xml:space="preserve"> the 15 mg strength pen should be able to provide at least 2 doses</w:t>
      </w:r>
      <w:r w:rsidR="00DD670C">
        <w:rPr>
          <w:rFonts w:cstheme="minorHAnsi"/>
          <w:iCs/>
        </w:rPr>
        <w:t xml:space="preserve"> for a large child, but could provide up to 7 complete doses for a small child</w:t>
      </w:r>
      <w:proofErr w:type="gramStart"/>
      <w:r>
        <w:rPr>
          <w:rFonts w:cstheme="minorHAnsi"/>
          <w:iCs/>
        </w:rPr>
        <w:t>)</w:t>
      </w:r>
      <w:r w:rsidR="00DD670C">
        <w:rPr>
          <w:rFonts w:cstheme="minorHAnsi"/>
          <w:iCs/>
        </w:rPr>
        <w:t>;</w:t>
      </w:r>
      <w:proofErr w:type="gramEnd"/>
    </w:p>
    <w:p w14:paraId="4DE7983D" w14:textId="23548897" w:rsidR="006E08B1" w:rsidRDefault="006E08B1" w:rsidP="00F527AB">
      <w:pPr>
        <w:pStyle w:val="3-BodyText"/>
        <w:numPr>
          <w:ilvl w:val="0"/>
          <w:numId w:val="9"/>
        </w:numPr>
        <w:rPr>
          <w:rFonts w:cstheme="minorHAnsi"/>
          <w:iCs/>
        </w:rPr>
      </w:pPr>
      <w:r>
        <w:rPr>
          <w:rFonts w:cstheme="minorHAnsi"/>
          <w:iCs/>
        </w:rPr>
        <w:t>Dependent on the number of complete, full doses that can be extracted from one pen, the multiple of that pen closest to the target duration (e.g. if one pen provides 6 complete doses, then 2 units will provide 12 doses, but 3 units will provide 18 doses – if the target is 16 weeks,  the maximum quantity to be requested is to be 3 units as this quantity provides for at least 15 doses</w:t>
      </w:r>
      <w:r w:rsidR="00C25DF0">
        <w:rPr>
          <w:rFonts w:cstheme="minorHAnsi"/>
          <w:iCs/>
        </w:rPr>
        <w:t>, but cannot provide exactly 15 doses</w:t>
      </w:r>
      <w:r>
        <w:rPr>
          <w:rFonts w:cstheme="minorHAnsi"/>
          <w:iCs/>
        </w:rPr>
        <w:t>);</w:t>
      </w:r>
    </w:p>
    <w:p w14:paraId="77CF2853" w14:textId="789A7B43" w:rsidR="00DD670C" w:rsidRDefault="00DD670C" w:rsidP="00F527AB">
      <w:pPr>
        <w:pStyle w:val="3-BodyText"/>
        <w:numPr>
          <w:ilvl w:val="0"/>
          <w:numId w:val="9"/>
        </w:numPr>
        <w:rPr>
          <w:rFonts w:cstheme="minorHAnsi"/>
          <w:iCs/>
        </w:rPr>
      </w:pPr>
      <w:r>
        <w:rPr>
          <w:rFonts w:cstheme="minorHAnsi"/>
          <w:iCs/>
        </w:rPr>
        <w:t xml:space="preserve">The highest number of complete, full doses would be </w:t>
      </w:r>
      <w:proofErr w:type="gramStart"/>
      <w:r>
        <w:rPr>
          <w:rFonts w:cstheme="minorHAnsi"/>
          <w:iCs/>
        </w:rPr>
        <w:t>7</w:t>
      </w:r>
      <w:proofErr w:type="gramEnd"/>
      <w:r>
        <w:rPr>
          <w:rFonts w:cstheme="minorHAnsi"/>
          <w:iCs/>
        </w:rPr>
        <w:t xml:space="preserve"> given the shelf-life of 6 weeks (i.e.</w:t>
      </w:r>
      <w:r w:rsidR="00155EA4">
        <w:rPr>
          <w:rFonts w:cstheme="minorHAnsi"/>
          <w:iCs/>
        </w:rPr>
        <w:t>,</w:t>
      </w:r>
      <w:r>
        <w:rPr>
          <w:rFonts w:cstheme="minorHAnsi"/>
          <w:iCs/>
        </w:rPr>
        <w:t xml:space="preserve"> dosing would occur at days 0, 7, 14, 21, 28, 35 and 42 and then any remaining drug would need to be discarded)</w:t>
      </w:r>
    </w:p>
    <w:p w14:paraId="4F626091" w14:textId="159ADF1E" w:rsidR="0046645B" w:rsidRDefault="0046645B" w:rsidP="00F527AB">
      <w:pPr>
        <w:pStyle w:val="3-BodyText"/>
        <w:numPr>
          <w:ilvl w:val="0"/>
          <w:numId w:val="9"/>
        </w:numPr>
        <w:rPr>
          <w:rFonts w:cstheme="minorHAnsi"/>
          <w:iCs/>
        </w:rPr>
      </w:pPr>
      <w:r>
        <w:rPr>
          <w:rFonts w:cstheme="minorHAnsi"/>
          <w:iCs/>
        </w:rPr>
        <w:t>Some patients/carers may not be prepared to adjust the dos</w:t>
      </w:r>
      <w:r w:rsidR="00DD670C">
        <w:rPr>
          <w:rFonts w:cstheme="minorHAnsi"/>
          <w:iCs/>
        </w:rPr>
        <w:t>ing</w:t>
      </w:r>
      <w:r>
        <w:rPr>
          <w:rFonts w:cstheme="minorHAnsi"/>
          <w:iCs/>
        </w:rPr>
        <w:t xml:space="preserve"> dial to completely exhaust the quantity of </w:t>
      </w:r>
      <w:proofErr w:type="gramStart"/>
      <w:r>
        <w:rPr>
          <w:rFonts w:cstheme="minorHAnsi"/>
          <w:iCs/>
        </w:rPr>
        <w:t>drug</w:t>
      </w:r>
      <w:r w:rsidR="00DD670C">
        <w:rPr>
          <w:rFonts w:cstheme="minorHAnsi"/>
          <w:iCs/>
        </w:rPr>
        <w:t>;</w:t>
      </w:r>
      <w:proofErr w:type="gramEnd"/>
    </w:p>
    <w:p w14:paraId="716E47A7" w14:textId="637689C5" w:rsidR="00DD670C" w:rsidRPr="007E4B31" w:rsidRDefault="00DD670C" w:rsidP="00F527AB">
      <w:pPr>
        <w:pStyle w:val="3-BodyText"/>
        <w:numPr>
          <w:ilvl w:val="0"/>
          <w:numId w:val="9"/>
        </w:numPr>
        <w:rPr>
          <w:rFonts w:cstheme="minorHAnsi"/>
          <w:iCs/>
        </w:rPr>
      </w:pPr>
      <w:r>
        <w:rPr>
          <w:rFonts w:cstheme="minorHAnsi"/>
          <w:iCs/>
        </w:rPr>
        <w:t xml:space="preserve">Only one </w:t>
      </w:r>
      <w:proofErr w:type="gramStart"/>
      <w:r>
        <w:rPr>
          <w:rFonts w:cstheme="minorHAnsi"/>
          <w:iCs/>
        </w:rPr>
        <w:t>particular strength</w:t>
      </w:r>
      <w:proofErr w:type="gramEnd"/>
      <w:r>
        <w:rPr>
          <w:rFonts w:cstheme="minorHAnsi"/>
          <w:iCs/>
        </w:rPr>
        <w:t xml:space="preserve"> would be prescribed at any given time, unless the patient was greater than 47 kg.</w:t>
      </w:r>
    </w:p>
    <w:p w14:paraId="20752BCE" w14:textId="4D3DDFAD" w:rsidR="00C4691D" w:rsidRPr="004F1BAC" w:rsidRDefault="00C4691D" w:rsidP="00C4691D">
      <w:pPr>
        <w:pStyle w:val="3-BodyText"/>
        <w:numPr>
          <w:ilvl w:val="0"/>
          <w:numId w:val="0"/>
        </w:numPr>
        <w:ind w:left="720"/>
        <w:rPr>
          <w:rFonts w:cstheme="minorHAnsi"/>
          <w:i/>
        </w:rPr>
      </w:pPr>
      <w:r w:rsidRPr="004F1BAC">
        <w:rPr>
          <w:rFonts w:cstheme="minorHAnsi"/>
          <w:i/>
        </w:rPr>
        <w:t>For more detail on PBAC’s view, see section 7 PBAC outcome.</w:t>
      </w:r>
    </w:p>
    <w:p w14:paraId="7AFD9938" w14:textId="77777777" w:rsidR="00C604B7" w:rsidRPr="007E4B31" w:rsidDel="00195452" w:rsidRDefault="00C604B7" w:rsidP="00C604B7">
      <w:pPr>
        <w:pStyle w:val="2-SectionHeading"/>
        <w:numPr>
          <w:ilvl w:val="0"/>
          <w:numId w:val="1"/>
        </w:numPr>
      </w:pPr>
      <w:bookmarkStart w:id="13" w:name="_Toc134493579"/>
      <w:r w:rsidRPr="007E4B31" w:rsidDel="00195452">
        <w:t>Population and disease</w:t>
      </w:r>
      <w:bookmarkEnd w:id="13"/>
    </w:p>
    <w:p w14:paraId="6DEC0143" w14:textId="07844740" w:rsidR="00C604B7" w:rsidRPr="007E4B31" w:rsidRDefault="00C604B7" w:rsidP="001B22F2">
      <w:pPr>
        <w:pStyle w:val="3-BodyText"/>
      </w:pPr>
      <w:r w:rsidRPr="007E4B31">
        <w:t>Paediatric GHD affects the bone, lipids, protein, and glucose metabolism</w:t>
      </w:r>
      <w:r w:rsidR="00E310DC">
        <w:t>,</w:t>
      </w:r>
      <w:r w:rsidRPr="007E4B31">
        <w:t xml:space="preserve"> which results in abnormal growth height in children</w:t>
      </w:r>
      <w:r w:rsidR="00E310DC">
        <w:t>. Paediatric GHD</w:t>
      </w:r>
      <w:r w:rsidRPr="007E4B31">
        <w:t xml:space="preserve"> may be congenital, acquired, or idiopathic. Causes for acquired GHD include brain tumours in the hypothalamic region, traumatic brain injury, infiltrative disease, cranial irradiation, </w:t>
      </w:r>
      <w:r w:rsidRPr="007E4B31">
        <w:lastRenderedPageBreak/>
        <w:t xml:space="preserve">and surgical intervention. The idiopathic origin of GHD </w:t>
      </w:r>
      <w:proofErr w:type="gramStart"/>
      <w:r w:rsidRPr="007E4B31">
        <w:t>is poorly understood</w:t>
      </w:r>
      <w:proofErr w:type="gramEnd"/>
      <w:r w:rsidRPr="007E4B31">
        <w:t xml:space="preserve"> but appears to be caused by multiple factors.</w:t>
      </w:r>
    </w:p>
    <w:p w14:paraId="11F9545D" w14:textId="78AE137A" w:rsidR="00C604B7" w:rsidRPr="007E4B31" w:rsidRDefault="0053037D" w:rsidP="001B22F2">
      <w:pPr>
        <w:pStyle w:val="3-BodyText"/>
      </w:pPr>
      <w:r w:rsidRPr="007E4B31">
        <w:t>GH</w:t>
      </w:r>
      <w:r w:rsidR="00C604B7" w:rsidRPr="007E4B31">
        <w:t xml:space="preserve"> usually increases levels of the hormone insulin-like growth factor-1 (IGF-1) and IGF binding protein-3 (IGFBP-3) in the blood</w:t>
      </w:r>
      <w:r w:rsidR="00E310DC">
        <w:t>,</w:t>
      </w:r>
      <w:r w:rsidR="00C604B7" w:rsidRPr="007E4B31">
        <w:t xml:space="preserve"> which results in bone and height growth. Where paediatric GHD </w:t>
      </w:r>
      <w:proofErr w:type="gramStart"/>
      <w:r w:rsidR="00C604B7" w:rsidRPr="007E4B31">
        <w:t>is diagnosed</w:t>
      </w:r>
      <w:proofErr w:type="gramEnd"/>
      <w:r w:rsidR="00C604B7" w:rsidRPr="007E4B31">
        <w:t xml:space="preserve"> this does not occur and the recommended treatment is recombinant human growth hormone (rhGH) to achieve normalisation of height. </w:t>
      </w:r>
      <w:r w:rsidRPr="007E4B31">
        <w:t>GH</w:t>
      </w:r>
      <w:r w:rsidR="00C604B7" w:rsidRPr="007E4B31">
        <w:t xml:space="preserve"> therapy reduces body fat, reverses insulin insensitivity, and increases bone mineral mass.</w:t>
      </w:r>
    </w:p>
    <w:p w14:paraId="2526325A" w14:textId="4BC25732" w:rsidR="00C604B7" w:rsidRPr="007E4B31" w:rsidRDefault="00C604B7" w:rsidP="001B22F2">
      <w:pPr>
        <w:pStyle w:val="3-BodyText"/>
      </w:pPr>
      <w:r w:rsidRPr="007E4B31">
        <w:t xml:space="preserve">Somapacitan is a novel, long-acting recombinant GH derivative that reversibly binds to serum albumin to prolong in vivo half-life of the drug, making it suitable for once-weekly subcutaneous dosing. Somapacitan has over 99% structural similarity to the naturally occurring GH, somatropin and is intended as a </w:t>
      </w:r>
      <w:proofErr w:type="gramStart"/>
      <w:r w:rsidRPr="007E4B31">
        <w:t>first-line</w:t>
      </w:r>
      <w:proofErr w:type="gramEnd"/>
      <w:r w:rsidRPr="007E4B31">
        <w:t xml:space="preserve"> (1L) therapy for paediatric GHD.</w:t>
      </w:r>
    </w:p>
    <w:p w14:paraId="456673DF" w14:textId="77777777" w:rsidR="00C604B7" w:rsidRPr="007E4B31" w:rsidRDefault="00C604B7" w:rsidP="00C604B7">
      <w:pPr>
        <w:pStyle w:val="2-SectionHeading"/>
        <w:numPr>
          <w:ilvl w:val="0"/>
          <w:numId w:val="1"/>
        </w:numPr>
      </w:pPr>
      <w:bookmarkStart w:id="14" w:name="_Toc134493580"/>
      <w:r w:rsidRPr="007E4B31">
        <w:t>Comparator</w:t>
      </w:r>
      <w:bookmarkEnd w:id="14"/>
    </w:p>
    <w:p w14:paraId="06780F4D" w14:textId="24B263F4" w:rsidR="00C604B7" w:rsidRPr="007E4B31" w:rsidRDefault="00C604B7" w:rsidP="001B22F2">
      <w:pPr>
        <w:pStyle w:val="3-BodyText"/>
        <w:rPr>
          <w:snapToGrid/>
        </w:rPr>
      </w:pPr>
      <w:r w:rsidRPr="007E4B31">
        <w:rPr>
          <w:snapToGrid/>
        </w:rPr>
        <w:t xml:space="preserve">The submission nominated somatrogon (once-weekly dosing) as the main comparator and somatropin (once-daily dosing) as the secondary comparator. The main arguments provided in support of this nomination were that somatrogon and somatropin are currently PBS-listed GH treatments for paediatric GHD. As somatrogon </w:t>
      </w:r>
      <w:proofErr w:type="gramStart"/>
      <w:r w:rsidRPr="007E4B31">
        <w:rPr>
          <w:snapToGrid/>
        </w:rPr>
        <w:t>is administered</w:t>
      </w:r>
      <w:proofErr w:type="gramEnd"/>
      <w:r w:rsidRPr="007E4B31">
        <w:rPr>
          <w:snapToGrid/>
        </w:rPr>
        <w:t xml:space="preserve"> once weekly it was deemed most likely to be replaced in therapy. The </w:t>
      </w:r>
      <w:r w:rsidR="0024319F" w:rsidRPr="007E4B31">
        <w:rPr>
          <w:snapToGrid/>
        </w:rPr>
        <w:t>ESC agreed that</w:t>
      </w:r>
      <w:r w:rsidR="0024319F" w:rsidRPr="007E4B31">
        <w:rPr>
          <w:iCs/>
          <w:snapToGrid/>
        </w:rPr>
        <w:t xml:space="preserve"> </w:t>
      </w:r>
      <w:r w:rsidR="00086DE3" w:rsidRPr="007E4B31">
        <w:rPr>
          <w:iCs/>
          <w:snapToGrid/>
        </w:rPr>
        <w:t xml:space="preserve">the </w:t>
      </w:r>
      <w:r w:rsidRPr="007E4B31">
        <w:rPr>
          <w:iCs/>
          <w:snapToGrid/>
        </w:rPr>
        <w:t xml:space="preserve">nominated comparators were reasonable. </w:t>
      </w:r>
    </w:p>
    <w:p w14:paraId="6AB13B90" w14:textId="2AFFB819" w:rsidR="00C4691D" w:rsidRPr="004F1BAC" w:rsidRDefault="00C4691D" w:rsidP="00C4691D">
      <w:pPr>
        <w:pStyle w:val="3-BodyText"/>
        <w:numPr>
          <w:ilvl w:val="0"/>
          <w:numId w:val="0"/>
        </w:numPr>
        <w:ind w:left="720"/>
        <w:rPr>
          <w:i/>
          <w:iCs/>
          <w:snapToGrid/>
        </w:rPr>
      </w:pPr>
      <w:r w:rsidRPr="004F1BAC">
        <w:rPr>
          <w:i/>
          <w:iCs/>
          <w:snapToGrid/>
        </w:rPr>
        <w:t>For more detail on PBAC’s view, see section 7 PBAC outcome.</w:t>
      </w:r>
    </w:p>
    <w:p w14:paraId="46EFB5EB" w14:textId="020B7FBA" w:rsidR="00C604B7" w:rsidRPr="007E4B31" w:rsidRDefault="00C604B7" w:rsidP="001B22F2">
      <w:pPr>
        <w:pStyle w:val="2-SectionHeading"/>
        <w:numPr>
          <w:ilvl w:val="0"/>
          <w:numId w:val="1"/>
        </w:numPr>
      </w:pPr>
      <w:bookmarkStart w:id="15" w:name="_Toc134493581"/>
      <w:bookmarkStart w:id="16" w:name="_Toc22897640"/>
      <w:r w:rsidRPr="007E4B31">
        <w:t>Consideration of the evidence</w:t>
      </w:r>
      <w:bookmarkEnd w:id="15"/>
    </w:p>
    <w:p w14:paraId="0E2FA2F1" w14:textId="4640563E" w:rsidR="00A81C55" w:rsidRPr="007E4B31" w:rsidRDefault="00A81C55" w:rsidP="00A81C55">
      <w:pPr>
        <w:pStyle w:val="4-SubsectionHeading"/>
        <w:rPr>
          <w:i w:val="0"/>
          <w:iCs/>
        </w:rPr>
      </w:pPr>
      <w:r w:rsidRPr="007E4B31">
        <w:rPr>
          <w:i w:val="0"/>
          <w:iCs/>
        </w:rPr>
        <w:t>Sponsor hearing</w:t>
      </w:r>
    </w:p>
    <w:p w14:paraId="2D395BD8" w14:textId="06E34FC9" w:rsidR="00A81C55" w:rsidRPr="007E4B31" w:rsidRDefault="00A81C55" w:rsidP="00A81C55">
      <w:pPr>
        <w:pStyle w:val="3-BodyText"/>
      </w:pPr>
      <w:r w:rsidRPr="007E4B31">
        <w:rPr>
          <w:rFonts w:ascii="Calibri" w:hAnsi="Calibri" w:cs="Calibri"/>
          <w:bCs/>
        </w:rPr>
        <w:t>There was no hearing for this item.</w:t>
      </w:r>
    </w:p>
    <w:p w14:paraId="59787DED" w14:textId="6B038846" w:rsidR="00A81C55" w:rsidRPr="007E4B31" w:rsidRDefault="00A81C55" w:rsidP="00355B31">
      <w:pPr>
        <w:pStyle w:val="4-SubsectionHeading"/>
      </w:pPr>
      <w:r w:rsidRPr="007E4B31">
        <w:t>Consumer comments</w:t>
      </w:r>
    </w:p>
    <w:p w14:paraId="018FD441" w14:textId="042F3E1F" w:rsidR="00A81C55" w:rsidRPr="007E4B31" w:rsidRDefault="00A81C55" w:rsidP="00A81C55">
      <w:pPr>
        <w:pStyle w:val="3-BodyText"/>
      </w:pPr>
      <w:r w:rsidRPr="007E4B31">
        <w:rPr>
          <w:bCs/>
        </w:rPr>
        <w:t>The PBAC noted and welcomed the input from individuals (4) via the Consumer Comments facility on the PBS website</w:t>
      </w:r>
      <w:r w:rsidRPr="004F1BAC">
        <w:rPr>
          <w:bCs/>
        </w:rPr>
        <w:t xml:space="preserve">. </w:t>
      </w:r>
      <w:r w:rsidR="000C5FA5" w:rsidRPr="004F1BAC">
        <w:rPr>
          <w:bCs/>
        </w:rPr>
        <w:t xml:space="preserve">The comments described </w:t>
      </w:r>
      <w:r w:rsidR="004F1BAC" w:rsidRPr="004F1BAC">
        <w:rPr>
          <w:bCs/>
        </w:rPr>
        <w:t xml:space="preserve">the potential </w:t>
      </w:r>
      <w:r w:rsidR="007C0364">
        <w:rPr>
          <w:bCs/>
        </w:rPr>
        <w:t xml:space="preserve">benefit </w:t>
      </w:r>
      <w:r w:rsidR="00E310DC">
        <w:rPr>
          <w:bCs/>
        </w:rPr>
        <w:t>that</w:t>
      </w:r>
      <w:r w:rsidR="007C0364">
        <w:rPr>
          <w:bCs/>
        </w:rPr>
        <w:t xml:space="preserve"> once weekly</w:t>
      </w:r>
      <w:r w:rsidR="00E310DC">
        <w:rPr>
          <w:bCs/>
        </w:rPr>
        <w:t xml:space="preserve">, </w:t>
      </w:r>
      <w:r w:rsidR="007C0364">
        <w:rPr>
          <w:bCs/>
        </w:rPr>
        <w:t>compared to daily</w:t>
      </w:r>
      <w:r w:rsidR="00E310DC">
        <w:rPr>
          <w:bCs/>
        </w:rPr>
        <w:t>,</w:t>
      </w:r>
      <w:r w:rsidR="007C0364">
        <w:rPr>
          <w:bCs/>
        </w:rPr>
        <w:t xml:space="preserve"> injections can have on </w:t>
      </w:r>
      <w:r w:rsidR="000C5FA5" w:rsidRPr="004F1BAC">
        <w:rPr>
          <w:bCs/>
        </w:rPr>
        <w:t>quality of life.</w:t>
      </w:r>
    </w:p>
    <w:p w14:paraId="7522D401" w14:textId="77777777" w:rsidR="00C604B7" w:rsidRPr="00355B31" w:rsidRDefault="00C604B7" w:rsidP="00355B31">
      <w:pPr>
        <w:pStyle w:val="4-SubsectionHeading"/>
      </w:pPr>
      <w:bookmarkStart w:id="17" w:name="_Toc134493582"/>
      <w:r w:rsidRPr="00355B31">
        <w:t>Clinical trials</w:t>
      </w:r>
      <w:bookmarkEnd w:id="16"/>
      <w:bookmarkEnd w:id="17"/>
    </w:p>
    <w:p w14:paraId="542C302F" w14:textId="18CE053A" w:rsidR="00C604B7" w:rsidRPr="007E4B31" w:rsidRDefault="00C604B7" w:rsidP="001B22F2">
      <w:pPr>
        <w:pStyle w:val="3-BodyText"/>
      </w:pPr>
      <w:r w:rsidRPr="007E4B31">
        <w:t xml:space="preserve">The submission was based on five head-to-head randomised controlled trials (RCT): REAL-3 (26-weeks, N=28) and REAL-4 (52-weeks, N=200) compared somapacitan to somatropin and Opko II (52-weeks, N=53), Opko III (52-weeks, N=224), and Opko JPN (52-weeks, N=44) compared somatrogon to somatropin. No head-to-head RCTs </w:t>
      </w:r>
      <w:proofErr w:type="gramStart"/>
      <w:r w:rsidRPr="007E4B31">
        <w:t>were identified</w:t>
      </w:r>
      <w:proofErr w:type="gramEnd"/>
      <w:r w:rsidRPr="007E4B31">
        <w:t xml:space="preserve"> comparing somapacitan to somatrogon, therefore the submission informed this </w:t>
      </w:r>
      <w:r w:rsidR="00781382" w:rsidRPr="007E4B31">
        <w:t xml:space="preserve">comparison </w:t>
      </w:r>
      <w:r w:rsidRPr="007E4B31">
        <w:t xml:space="preserve">via a pairwise Bucher indirect treatment comparison (ITC) of the </w:t>
      </w:r>
      <w:r w:rsidRPr="007E4B31">
        <w:lastRenderedPageBreak/>
        <w:t>pooled data from REAL-3 and REAL-4 versus (vs) Opko II and Opko III</w:t>
      </w:r>
      <w:r w:rsidR="006F5F9F" w:rsidRPr="007E4B31">
        <w:t>, using somatropin as the common comparator</w:t>
      </w:r>
      <w:r w:rsidRPr="007E4B31">
        <w:t xml:space="preserve">. Opko JPN was </w:t>
      </w:r>
      <w:proofErr w:type="gramStart"/>
      <w:r w:rsidR="009C2843" w:rsidRPr="007E4B31">
        <w:rPr>
          <w:iCs/>
        </w:rPr>
        <w:t xml:space="preserve">reasonably </w:t>
      </w:r>
      <w:r w:rsidRPr="007E4B31">
        <w:t>excluded</w:t>
      </w:r>
      <w:proofErr w:type="gramEnd"/>
      <w:r w:rsidRPr="007E4B31">
        <w:t xml:space="preserve"> from the meta-analysis/ITC due to the somatropin dose </w:t>
      </w:r>
      <w:r w:rsidR="00E310DC">
        <w:t xml:space="preserve">used </w:t>
      </w:r>
      <w:r w:rsidRPr="007E4B31">
        <w:t xml:space="preserve">being lower than </w:t>
      </w:r>
      <w:r w:rsidR="00E310DC">
        <w:t xml:space="preserve">in </w:t>
      </w:r>
      <w:r w:rsidRPr="007E4B31">
        <w:t xml:space="preserve">the other trials (0.025 vs 0.034 mg/kg/day, respectively). </w:t>
      </w:r>
      <w:r w:rsidR="009C2843" w:rsidRPr="007E4B31">
        <w:t>Results f</w:t>
      </w:r>
      <w:r w:rsidR="00872466" w:rsidRPr="007E4B31">
        <w:t>ro</w:t>
      </w:r>
      <w:r w:rsidR="009C2843" w:rsidRPr="007E4B31">
        <w:t>m the o</w:t>
      </w:r>
      <w:r w:rsidRPr="007E4B31">
        <w:t xml:space="preserve">pen-label extension (OLE) periods </w:t>
      </w:r>
      <w:proofErr w:type="gramStart"/>
      <w:r w:rsidRPr="007E4B31">
        <w:t>were reported</w:t>
      </w:r>
      <w:proofErr w:type="gramEnd"/>
      <w:r w:rsidRPr="007E4B31">
        <w:t xml:space="preserve"> in REAL-3 (three years), Opko II (three years), and Opko III (one year). Extension periods </w:t>
      </w:r>
      <w:proofErr w:type="gramStart"/>
      <w:r w:rsidRPr="007E4B31">
        <w:t>were noted</w:t>
      </w:r>
      <w:proofErr w:type="gramEnd"/>
      <w:r w:rsidRPr="007E4B31">
        <w:t xml:space="preserve"> in REAL-4 (three years) and Opko JPN (period not specified), but results were not available. </w:t>
      </w:r>
      <w:r w:rsidR="004F05B4" w:rsidRPr="007E4B31">
        <w:t xml:space="preserve">Opko II (Study 4004), Opko III (Study 4006) and Opko JPN (Study 4009) </w:t>
      </w:r>
      <w:r w:rsidRPr="007E4B31">
        <w:t xml:space="preserve">have previously </w:t>
      </w:r>
      <w:proofErr w:type="gramStart"/>
      <w:r w:rsidRPr="007E4B31">
        <w:t>been considered</w:t>
      </w:r>
      <w:proofErr w:type="gramEnd"/>
      <w:r w:rsidRPr="007E4B31">
        <w:t xml:space="preserve"> by the PBAC </w:t>
      </w:r>
      <w:r w:rsidR="00E310DC">
        <w:t xml:space="preserve">in the PBAC’s consideration </w:t>
      </w:r>
      <w:r w:rsidRPr="007E4B31">
        <w:t>for somatrogon in March 2022 (somatrogon, PSD, March 2022 PBAC meeting).</w:t>
      </w:r>
      <w:r w:rsidR="00223558" w:rsidRPr="007E4B31">
        <w:t xml:space="preserve"> </w:t>
      </w:r>
      <w:r w:rsidR="00223558" w:rsidRPr="007E4B31">
        <w:rPr>
          <w:iCs/>
        </w:rPr>
        <w:t xml:space="preserve">The ESC considered that exclusion of the Opko JPN </w:t>
      </w:r>
      <w:r w:rsidR="00C84DB3" w:rsidRPr="007E4B31">
        <w:rPr>
          <w:iCs/>
        </w:rPr>
        <w:t xml:space="preserve">trial </w:t>
      </w:r>
      <w:r w:rsidR="00223558" w:rsidRPr="007E4B31">
        <w:rPr>
          <w:iCs/>
        </w:rPr>
        <w:t>from the meta-analysis w</w:t>
      </w:r>
      <w:r w:rsidR="00C84DB3" w:rsidRPr="007E4B31">
        <w:rPr>
          <w:iCs/>
        </w:rPr>
        <w:t>as</w:t>
      </w:r>
      <w:r w:rsidR="00223558" w:rsidRPr="007E4B31">
        <w:rPr>
          <w:iCs/>
        </w:rPr>
        <w:t xml:space="preserve"> reasonable.</w:t>
      </w:r>
    </w:p>
    <w:p w14:paraId="3E4164CC" w14:textId="6253DDC5" w:rsidR="00C604B7" w:rsidRPr="007E4B31" w:rsidRDefault="00C604B7" w:rsidP="001B22F2">
      <w:pPr>
        <w:pStyle w:val="3-BodyText"/>
      </w:pPr>
      <w:r w:rsidRPr="007E4B31">
        <w:t xml:space="preserve">The </w:t>
      </w:r>
      <w:r w:rsidR="008557AA" w:rsidRPr="007E4B31">
        <w:t xml:space="preserve">included </w:t>
      </w:r>
      <w:r w:rsidRPr="007E4B31">
        <w:t xml:space="preserve">trials </w:t>
      </w:r>
      <w:r w:rsidR="00796A8B" w:rsidRPr="007E4B31">
        <w:t xml:space="preserve">all </w:t>
      </w:r>
      <w:r w:rsidR="008557AA" w:rsidRPr="007E4B31">
        <w:t xml:space="preserve">enrolled </w:t>
      </w:r>
      <w:r w:rsidRPr="007E4B31">
        <w:t xml:space="preserve">pre-pubertal patients aged between 2.5 and 11 years, while the proposed restriction requires patients have a bone age of up to 15.5 years for males and 13.5 years for females. There was limited evidence to support the use of somapacitan in patients older than 11 years and who are post-puberty, which </w:t>
      </w:r>
      <w:proofErr w:type="gramStart"/>
      <w:r w:rsidRPr="007E4B31">
        <w:t>was previously noted</w:t>
      </w:r>
      <w:proofErr w:type="gramEnd"/>
      <w:r w:rsidRPr="007E4B31">
        <w:t xml:space="preserve"> by the PBAC </w:t>
      </w:r>
      <w:r w:rsidR="00E310DC">
        <w:t xml:space="preserve">in its consideration </w:t>
      </w:r>
      <w:r w:rsidRPr="007E4B31">
        <w:t xml:space="preserve">for somatrogon (paragraph 7.6, somatrogon, PSD, March 2022 PBAC meeting). </w:t>
      </w:r>
    </w:p>
    <w:p w14:paraId="4A4291BA" w14:textId="58D9F406" w:rsidR="006F5F9F" w:rsidRPr="007E4B31" w:rsidRDefault="006F5F9F" w:rsidP="006F5F9F">
      <w:pPr>
        <w:pStyle w:val="3-BodyText"/>
      </w:pPr>
      <w:r w:rsidRPr="007E4B31">
        <w:t>The submission considered the ITC to be feasible given the comparability in baseline characteristics between REAL-3, REAL-4, Opko II, and Opko III trials</w:t>
      </w:r>
      <w:r w:rsidR="00E310DC">
        <w:t>. The evaluation considered this to be</w:t>
      </w:r>
      <w:r w:rsidRPr="007E4B31">
        <w:rPr>
          <w:iCs/>
        </w:rPr>
        <w:t xml:space="preserve"> reasonable. There were slight differences in baseline clinical characteristics that potentially indicated that patients in REAL-4 and Opko III had less severe GHD compared to REAL-3 and Opko II as indicated by higher annualised HV SDS, height SDS, and peak GH levels at baseline</w:t>
      </w:r>
      <w:r w:rsidR="00E310DC">
        <w:rPr>
          <w:iCs/>
        </w:rPr>
        <w:t>. It</w:t>
      </w:r>
      <w:r w:rsidR="00B40B91" w:rsidRPr="007E4B31">
        <w:rPr>
          <w:iCs/>
        </w:rPr>
        <w:t xml:space="preserve"> was unclear if </w:t>
      </w:r>
      <w:r w:rsidR="00E04B43" w:rsidRPr="007E4B31">
        <w:rPr>
          <w:iCs/>
        </w:rPr>
        <w:t xml:space="preserve">these </w:t>
      </w:r>
      <w:r w:rsidR="00B40B91" w:rsidRPr="007E4B31">
        <w:rPr>
          <w:iCs/>
        </w:rPr>
        <w:t xml:space="preserve">differences were substantial enough to </w:t>
      </w:r>
      <w:r w:rsidR="00E04B43" w:rsidRPr="007E4B31">
        <w:rPr>
          <w:iCs/>
        </w:rPr>
        <w:t xml:space="preserve">present </w:t>
      </w:r>
      <w:r w:rsidR="00B4524F" w:rsidRPr="007E4B31">
        <w:rPr>
          <w:iCs/>
        </w:rPr>
        <w:t>transitivity issues.</w:t>
      </w:r>
      <w:r w:rsidRPr="007E4B31">
        <w:t xml:space="preserve"> </w:t>
      </w:r>
      <w:r w:rsidR="00805309" w:rsidRPr="007E4B31">
        <w:rPr>
          <w:iCs/>
        </w:rPr>
        <w:t>There were no notable differences in baseline characteristics in the common comparator (somatropin) arm across trials.</w:t>
      </w:r>
    </w:p>
    <w:p w14:paraId="6DC4CB43" w14:textId="1E7B89AD" w:rsidR="00C604B7" w:rsidRPr="007E4B31" w:rsidRDefault="00C604B7" w:rsidP="001B22F2">
      <w:pPr>
        <w:pStyle w:val="3-BodyText"/>
      </w:pPr>
      <w:r w:rsidRPr="007E4B31">
        <w:t xml:space="preserve">The evidence to support GH treatment switching </w:t>
      </w:r>
      <w:proofErr w:type="gramStart"/>
      <w:r w:rsidRPr="007E4B31">
        <w:t>is limited</w:t>
      </w:r>
      <w:proofErr w:type="gramEnd"/>
      <w:r w:rsidRPr="007E4B31">
        <w:t>. Patients were GH treatment naïve in all the trials. REAL-3 did not allow for treatment switching, though REAL-4 allowed cross over to the somapacitan arm in its OLE period, but results were not available. Opko III allowed for patients to switch from somatropin to somatrogon in the OLE period, but implications from long-term results were unclear.</w:t>
      </w:r>
    </w:p>
    <w:p w14:paraId="31B6AB6C" w14:textId="78FB517C" w:rsidR="00C604B7" w:rsidRPr="007E4B31" w:rsidRDefault="00C604B7" w:rsidP="001B22F2">
      <w:pPr>
        <w:pStyle w:val="3-BodyText"/>
      </w:pPr>
      <w:r w:rsidRPr="007E4B31">
        <w:t xml:space="preserve">Provisions for somapacitan dose increases </w:t>
      </w:r>
      <w:proofErr w:type="gramStart"/>
      <w:r w:rsidRPr="007E4B31">
        <w:t>were not described</w:t>
      </w:r>
      <w:proofErr w:type="gramEnd"/>
      <w:r w:rsidRPr="007E4B31">
        <w:t xml:space="preserve"> in the pivotal trials. The mean somapacitan doses in REAL-4 were consistent around the recommended dose of 0.16 mg/kg/week, with a maximum dose of 0.17 mg/kg/week </w:t>
      </w:r>
      <w:proofErr w:type="gramStart"/>
      <w:r w:rsidRPr="007E4B31">
        <w:t>being reported</w:t>
      </w:r>
      <w:proofErr w:type="gramEnd"/>
      <w:r w:rsidRPr="007E4B31">
        <w:t xml:space="preserve">. In REAL-3, the mean doses were more variable with doses increasing gradually from 0.146 to 0.157 mg/kg/week </w:t>
      </w:r>
      <w:r w:rsidR="00761F51" w:rsidRPr="007E4B31">
        <w:t>over the OLE period</w:t>
      </w:r>
      <w:r w:rsidRPr="007E4B31">
        <w:t xml:space="preserve">. However, the maximum doses in REAL-3 were </w:t>
      </w:r>
      <w:proofErr w:type="gramStart"/>
      <w:r w:rsidRPr="007E4B31">
        <w:t>considerably higher</w:t>
      </w:r>
      <w:proofErr w:type="gramEnd"/>
      <w:r w:rsidRPr="007E4B31">
        <w:t xml:space="preserve"> than the recommended dose, ranging between 0.223 and 0.275 mg/kg/week.</w:t>
      </w:r>
    </w:p>
    <w:p w14:paraId="47DB1F3B" w14:textId="0ECF42BA" w:rsidR="00D938A8" w:rsidRPr="007E4B31" w:rsidRDefault="00C604B7" w:rsidP="001B22F2">
      <w:pPr>
        <w:pStyle w:val="3-BodyText"/>
        <w:rPr>
          <w:snapToGrid/>
        </w:rPr>
      </w:pPr>
      <w:r w:rsidRPr="007E4B31">
        <w:rPr>
          <w:snapToGrid/>
        </w:rPr>
        <w:t xml:space="preserve">Details of the trials </w:t>
      </w:r>
      <w:r w:rsidR="00897FEA" w:rsidRPr="007E4B31">
        <w:rPr>
          <w:snapToGrid/>
        </w:rPr>
        <w:t xml:space="preserve">and the key publications </w:t>
      </w:r>
      <w:r w:rsidRPr="007E4B31">
        <w:rPr>
          <w:snapToGrid/>
        </w:rPr>
        <w:t xml:space="preserve">presented in the submission </w:t>
      </w:r>
      <w:proofErr w:type="gramStart"/>
      <w:r w:rsidRPr="007E4B31">
        <w:rPr>
          <w:snapToGrid/>
        </w:rPr>
        <w:t>are provided</w:t>
      </w:r>
      <w:proofErr w:type="gramEnd"/>
      <w:r w:rsidRPr="007E4B31">
        <w:rPr>
          <w:snapToGrid/>
        </w:rPr>
        <w:t xml:space="preserve"> in </w:t>
      </w:r>
      <w:r w:rsidRPr="007E4B31">
        <w:rPr>
          <w:snapToGrid/>
        </w:rPr>
        <w:fldChar w:fldCharType="begin" w:fldLock="1"/>
      </w:r>
      <w:r w:rsidRPr="007E4B31">
        <w:rPr>
          <w:snapToGrid/>
        </w:rPr>
        <w:instrText xml:space="preserve"> REF _Ref104803956 \h </w:instrText>
      </w:r>
      <w:r w:rsidR="00370FF4" w:rsidRPr="007E4B31">
        <w:rPr>
          <w:snapToGrid/>
        </w:rPr>
        <w:instrText xml:space="preserve"> \* MERGEFORMAT </w:instrText>
      </w:r>
      <w:r w:rsidRPr="007E4B31">
        <w:rPr>
          <w:snapToGrid/>
        </w:rPr>
      </w:r>
      <w:r w:rsidRPr="007E4B31">
        <w:rPr>
          <w:snapToGrid/>
        </w:rPr>
        <w:fldChar w:fldCharType="separate"/>
      </w:r>
      <w:r w:rsidR="00D3534F" w:rsidRPr="007E4B31">
        <w:t xml:space="preserve">Table </w:t>
      </w:r>
      <w:r w:rsidR="00D3534F">
        <w:rPr>
          <w:noProof/>
        </w:rPr>
        <w:t>2</w:t>
      </w:r>
      <w:r w:rsidRPr="007E4B31">
        <w:rPr>
          <w:snapToGrid/>
        </w:rPr>
        <w:fldChar w:fldCharType="end"/>
      </w:r>
      <w:r w:rsidRPr="007E4B31">
        <w:rPr>
          <w:snapToGrid/>
        </w:rPr>
        <w:t xml:space="preserve">. </w:t>
      </w:r>
    </w:p>
    <w:p w14:paraId="0D40BC28" w14:textId="41478829" w:rsidR="00D938A8" w:rsidRPr="007E4B31" w:rsidRDefault="00D938A8">
      <w:pPr>
        <w:jc w:val="left"/>
        <w:rPr>
          <w:rFonts w:asciiTheme="minorHAnsi" w:hAnsiTheme="minorHAnsi"/>
        </w:rPr>
      </w:pPr>
    </w:p>
    <w:p w14:paraId="3C4A01D6" w14:textId="2B385D12" w:rsidR="00C604B7" w:rsidRPr="007E4B31" w:rsidRDefault="00C604B7" w:rsidP="00CB0E51">
      <w:pPr>
        <w:pStyle w:val="TableFigureHeading"/>
        <w:keepLines/>
        <w:rPr>
          <w:rStyle w:val="CommentReference"/>
          <w:b/>
          <w:szCs w:val="24"/>
        </w:rPr>
      </w:pPr>
      <w:bookmarkStart w:id="18" w:name="_Ref104803956"/>
      <w:r w:rsidRPr="007E4B31">
        <w:t xml:space="preserve">Table </w:t>
      </w:r>
      <w:r w:rsidR="00402BC2">
        <w:fldChar w:fldCharType="begin" w:fldLock="1"/>
      </w:r>
      <w:r w:rsidR="00402BC2">
        <w:instrText xml:space="preserve"> SEQ Table \* ARABIC </w:instrText>
      </w:r>
      <w:r w:rsidR="00402BC2">
        <w:fldChar w:fldCharType="separate"/>
      </w:r>
      <w:r w:rsidR="00D3534F">
        <w:rPr>
          <w:noProof/>
        </w:rPr>
        <w:t>2</w:t>
      </w:r>
      <w:r w:rsidR="00402BC2">
        <w:rPr>
          <w:noProof/>
        </w:rPr>
        <w:fldChar w:fldCharType="end"/>
      </w:r>
      <w:bookmarkEnd w:id="18"/>
      <w:r w:rsidRPr="007E4B31">
        <w:t>:</w:t>
      </w:r>
      <w:r w:rsidRPr="007E4B31">
        <w:rPr>
          <w:rStyle w:val="CommentReference"/>
          <w:b/>
          <w:szCs w:val="24"/>
        </w:rPr>
        <w:t xml:space="preserve"> Trials and associated reports presented in the </w:t>
      </w:r>
      <w:proofErr w:type="gramStart"/>
      <w:r w:rsidRPr="007E4B31">
        <w:rPr>
          <w:rStyle w:val="CommentReference"/>
          <w:b/>
          <w:szCs w:val="24"/>
        </w:rPr>
        <w:t>submission</w:t>
      </w:r>
      <w:proofErr w:type="gramEnd"/>
    </w:p>
    <w:tbl>
      <w:tblPr>
        <w:tblStyle w:val="TableGrid"/>
        <w:tblW w:w="0" w:type="auto"/>
        <w:tblLook w:val="04A0" w:firstRow="1" w:lastRow="0" w:firstColumn="1" w:lastColumn="0" w:noHBand="0" w:noVBand="1"/>
      </w:tblPr>
      <w:tblGrid>
        <w:gridCol w:w="1413"/>
        <w:gridCol w:w="4961"/>
        <w:gridCol w:w="2642"/>
      </w:tblGrid>
      <w:tr w:rsidR="00CB0E51" w:rsidRPr="007E4B31" w14:paraId="5F11FC12" w14:textId="77777777" w:rsidTr="00CB0E51">
        <w:tc>
          <w:tcPr>
            <w:tcW w:w="1413" w:type="dxa"/>
            <w:tcBorders>
              <w:bottom w:val="single" w:sz="4" w:space="0" w:color="auto"/>
            </w:tcBorders>
            <w:vAlign w:val="center"/>
          </w:tcPr>
          <w:p w14:paraId="2FE49CF0" w14:textId="77777777" w:rsidR="00CB0E51" w:rsidRPr="007E4B31" w:rsidRDefault="00CB0E51" w:rsidP="00CB0E51">
            <w:pPr>
              <w:keepNext/>
              <w:keepLines/>
              <w:jc w:val="center"/>
              <w:rPr>
                <w:rFonts w:ascii="Arial Narrow" w:hAnsi="Arial Narrow"/>
                <w:b/>
                <w:bCs/>
                <w:sz w:val="20"/>
                <w:szCs w:val="20"/>
              </w:rPr>
            </w:pPr>
            <w:r w:rsidRPr="007E4B31">
              <w:rPr>
                <w:rFonts w:ascii="Arial Narrow" w:hAnsi="Arial Narrow"/>
                <w:b/>
                <w:bCs/>
                <w:sz w:val="20"/>
                <w:szCs w:val="20"/>
              </w:rPr>
              <w:t>Trial ID</w:t>
            </w:r>
          </w:p>
        </w:tc>
        <w:tc>
          <w:tcPr>
            <w:tcW w:w="4961" w:type="dxa"/>
            <w:tcBorders>
              <w:bottom w:val="single" w:sz="4" w:space="0" w:color="auto"/>
            </w:tcBorders>
            <w:vAlign w:val="center"/>
          </w:tcPr>
          <w:p w14:paraId="70655DB4" w14:textId="77777777" w:rsidR="00CB0E51" w:rsidRPr="007E4B31" w:rsidRDefault="00CB0E51" w:rsidP="00CB0E51">
            <w:pPr>
              <w:keepNext/>
              <w:keepLines/>
              <w:jc w:val="center"/>
              <w:rPr>
                <w:rFonts w:ascii="Arial Narrow" w:hAnsi="Arial Narrow"/>
                <w:b/>
                <w:bCs/>
                <w:sz w:val="20"/>
                <w:szCs w:val="20"/>
              </w:rPr>
            </w:pPr>
            <w:r w:rsidRPr="007E4B31">
              <w:rPr>
                <w:rFonts w:ascii="Arial Narrow" w:hAnsi="Arial Narrow"/>
                <w:b/>
                <w:bCs/>
                <w:sz w:val="20"/>
                <w:szCs w:val="20"/>
              </w:rPr>
              <w:t>Protocol title/ Publication title</w:t>
            </w:r>
          </w:p>
        </w:tc>
        <w:tc>
          <w:tcPr>
            <w:tcW w:w="2642" w:type="dxa"/>
            <w:tcBorders>
              <w:bottom w:val="single" w:sz="4" w:space="0" w:color="auto"/>
            </w:tcBorders>
            <w:vAlign w:val="center"/>
          </w:tcPr>
          <w:p w14:paraId="7BC8BD45" w14:textId="77777777" w:rsidR="00CB0E51" w:rsidRPr="007E4B31" w:rsidRDefault="00CB0E51" w:rsidP="00CB0E51">
            <w:pPr>
              <w:keepNext/>
              <w:keepLines/>
              <w:jc w:val="center"/>
              <w:rPr>
                <w:rFonts w:ascii="Arial Narrow" w:hAnsi="Arial Narrow"/>
                <w:b/>
                <w:bCs/>
                <w:sz w:val="20"/>
                <w:szCs w:val="20"/>
              </w:rPr>
            </w:pPr>
            <w:r w:rsidRPr="007E4B31">
              <w:rPr>
                <w:rFonts w:ascii="Arial Narrow" w:hAnsi="Arial Narrow"/>
                <w:b/>
                <w:bCs/>
                <w:sz w:val="20"/>
                <w:szCs w:val="20"/>
              </w:rPr>
              <w:t>Publication citation</w:t>
            </w:r>
          </w:p>
        </w:tc>
      </w:tr>
      <w:tr w:rsidR="00CB0E51" w:rsidRPr="007E4B31" w14:paraId="2F5F7D92" w14:textId="77777777" w:rsidTr="00CB0E51">
        <w:tc>
          <w:tcPr>
            <w:tcW w:w="1413" w:type="dxa"/>
            <w:tcBorders>
              <w:bottom w:val="nil"/>
            </w:tcBorders>
            <w:vAlign w:val="center"/>
          </w:tcPr>
          <w:p w14:paraId="5000300E" w14:textId="77777777" w:rsidR="00CB0E51" w:rsidRPr="007E4B31" w:rsidRDefault="00CB0E51" w:rsidP="00CB0E51">
            <w:pPr>
              <w:keepNext/>
              <w:keepLines/>
              <w:jc w:val="left"/>
              <w:rPr>
                <w:rFonts w:ascii="Arial Narrow" w:hAnsi="Arial Narrow"/>
                <w:sz w:val="20"/>
                <w:szCs w:val="20"/>
              </w:rPr>
            </w:pPr>
          </w:p>
        </w:tc>
        <w:tc>
          <w:tcPr>
            <w:tcW w:w="4961" w:type="dxa"/>
            <w:tcBorders>
              <w:bottom w:val="nil"/>
            </w:tcBorders>
            <w:vAlign w:val="center"/>
          </w:tcPr>
          <w:p w14:paraId="32406A0B"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REAL-3 Clinical study report</w:t>
            </w:r>
          </w:p>
        </w:tc>
        <w:tc>
          <w:tcPr>
            <w:tcW w:w="2642" w:type="dxa"/>
            <w:tcBorders>
              <w:bottom w:val="nil"/>
            </w:tcBorders>
            <w:vAlign w:val="center"/>
          </w:tcPr>
          <w:p w14:paraId="6C31037B"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September 2018</w:t>
            </w:r>
          </w:p>
        </w:tc>
      </w:tr>
      <w:tr w:rsidR="00CB0E51" w:rsidRPr="007E4B31" w14:paraId="52574FCE" w14:textId="77777777" w:rsidTr="00CB0E51">
        <w:tc>
          <w:tcPr>
            <w:tcW w:w="1413" w:type="dxa"/>
            <w:tcBorders>
              <w:top w:val="nil"/>
              <w:bottom w:val="single" w:sz="4" w:space="0" w:color="auto"/>
            </w:tcBorders>
            <w:vAlign w:val="center"/>
          </w:tcPr>
          <w:p w14:paraId="7D61157D"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 xml:space="preserve">REAL 3 NCT02616562 </w:t>
            </w:r>
          </w:p>
        </w:tc>
        <w:tc>
          <w:tcPr>
            <w:tcW w:w="4961" w:type="dxa"/>
            <w:tcBorders>
              <w:top w:val="nil"/>
              <w:bottom w:val="single" w:sz="4" w:space="0" w:color="auto"/>
            </w:tcBorders>
            <w:vAlign w:val="center"/>
          </w:tcPr>
          <w:p w14:paraId="1082593E"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Sävendahl L. Efficacy, Observer-Reported Outcomes, and Safety of Once-Weekly Somapacitan in Children with Growth Hormone Deficiency (GHD): 4-Year Results from the REAL 3 Trial</w:t>
            </w:r>
          </w:p>
        </w:tc>
        <w:tc>
          <w:tcPr>
            <w:tcW w:w="2642" w:type="dxa"/>
            <w:tcBorders>
              <w:top w:val="nil"/>
              <w:bottom w:val="single" w:sz="4" w:space="0" w:color="auto"/>
            </w:tcBorders>
            <w:vAlign w:val="center"/>
          </w:tcPr>
          <w:p w14:paraId="73A66AAC"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iCs/>
                <w:sz w:val="20"/>
                <w:szCs w:val="20"/>
              </w:rPr>
              <w:t>Journal of Clinical Endocrinology Metabolism</w:t>
            </w:r>
            <w:r w:rsidRPr="007E4B31">
              <w:rPr>
                <w:rFonts w:ascii="Arial Narrow" w:hAnsi="Arial Narrow"/>
                <w:sz w:val="20"/>
                <w:szCs w:val="20"/>
              </w:rPr>
              <w:t>. 2022 Apr 19;107(5):1357-1367.</w:t>
            </w:r>
          </w:p>
        </w:tc>
      </w:tr>
      <w:tr w:rsidR="00CB0E51" w:rsidRPr="007E4B31" w14:paraId="6223C296" w14:textId="77777777" w:rsidTr="00CB0E51">
        <w:tc>
          <w:tcPr>
            <w:tcW w:w="1413" w:type="dxa"/>
            <w:tcBorders>
              <w:bottom w:val="nil"/>
            </w:tcBorders>
            <w:vAlign w:val="center"/>
          </w:tcPr>
          <w:p w14:paraId="7A9D6D78" w14:textId="77777777" w:rsidR="00CB0E51" w:rsidRPr="007E4B31" w:rsidRDefault="00CB0E51" w:rsidP="00CB0E51">
            <w:pPr>
              <w:keepNext/>
              <w:keepLines/>
              <w:jc w:val="left"/>
              <w:rPr>
                <w:rFonts w:ascii="Arial Narrow" w:hAnsi="Arial Narrow"/>
                <w:sz w:val="20"/>
                <w:szCs w:val="20"/>
              </w:rPr>
            </w:pPr>
          </w:p>
        </w:tc>
        <w:tc>
          <w:tcPr>
            <w:tcW w:w="4961" w:type="dxa"/>
            <w:tcBorders>
              <w:bottom w:val="nil"/>
            </w:tcBorders>
            <w:vAlign w:val="center"/>
          </w:tcPr>
          <w:p w14:paraId="047D9A6B"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REAL-4 clinical study report</w:t>
            </w:r>
          </w:p>
        </w:tc>
        <w:tc>
          <w:tcPr>
            <w:tcW w:w="2642" w:type="dxa"/>
            <w:tcBorders>
              <w:bottom w:val="nil"/>
            </w:tcBorders>
            <w:vAlign w:val="center"/>
          </w:tcPr>
          <w:p w14:paraId="6199BE3B"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March 2022</w:t>
            </w:r>
          </w:p>
        </w:tc>
      </w:tr>
      <w:tr w:rsidR="00CB0E51" w:rsidRPr="007E4B31" w14:paraId="22D92191" w14:textId="77777777" w:rsidTr="00CB0E51">
        <w:tc>
          <w:tcPr>
            <w:tcW w:w="1413" w:type="dxa"/>
            <w:tcBorders>
              <w:top w:val="nil"/>
              <w:bottom w:val="nil"/>
            </w:tcBorders>
            <w:vAlign w:val="bottom"/>
          </w:tcPr>
          <w:p w14:paraId="10ECD694"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REAL 4 NCT03811535</w:t>
            </w:r>
          </w:p>
        </w:tc>
        <w:tc>
          <w:tcPr>
            <w:tcW w:w="4961" w:type="dxa"/>
            <w:tcBorders>
              <w:top w:val="nil"/>
              <w:bottom w:val="nil"/>
            </w:tcBorders>
            <w:vAlign w:val="center"/>
          </w:tcPr>
          <w:p w14:paraId="68F09653"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Miller BS, Blair JC, Rasmussen MH, Maniatis A, Kildemoes RJ, Mori J, Polak M, Bang RB, Böttcher V, Stagi S, Horikawa R. Weekly Somapacitan is Effective and Well Tolerated in Children with GH Deficiency: The Randomized Phase 3 REAL4 Trial.</w:t>
            </w:r>
          </w:p>
        </w:tc>
        <w:tc>
          <w:tcPr>
            <w:tcW w:w="2642" w:type="dxa"/>
            <w:tcBorders>
              <w:top w:val="nil"/>
              <w:bottom w:val="nil"/>
            </w:tcBorders>
            <w:vAlign w:val="center"/>
          </w:tcPr>
          <w:p w14:paraId="70C3CE95"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iCs/>
                <w:sz w:val="20"/>
                <w:szCs w:val="20"/>
              </w:rPr>
              <w:t>Journal of Clinical Endocrinology Metabolism</w:t>
            </w:r>
            <w:r w:rsidRPr="007E4B31">
              <w:rPr>
                <w:rFonts w:ascii="Arial Narrow" w:hAnsi="Arial Narrow"/>
                <w:sz w:val="20"/>
                <w:szCs w:val="20"/>
              </w:rPr>
              <w:t>. 2022 Sep 5</w:t>
            </w:r>
          </w:p>
        </w:tc>
      </w:tr>
      <w:tr w:rsidR="00CB0E51" w:rsidRPr="007E4B31" w14:paraId="5FE40311" w14:textId="77777777" w:rsidTr="00CB0E51">
        <w:tc>
          <w:tcPr>
            <w:tcW w:w="1413" w:type="dxa"/>
            <w:tcBorders>
              <w:top w:val="nil"/>
            </w:tcBorders>
            <w:vAlign w:val="center"/>
          </w:tcPr>
          <w:p w14:paraId="7EE97FD4" w14:textId="77777777" w:rsidR="00CB0E51" w:rsidRPr="007E4B31" w:rsidRDefault="00CB0E51" w:rsidP="00CB0E51">
            <w:pPr>
              <w:keepNext/>
              <w:keepLines/>
              <w:jc w:val="left"/>
              <w:rPr>
                <w:rFonts w:ascii="Arial Narrow" w:hAnsi="Arial Narrow"/>
                <w:sz w:val="20"/>
                <w:szCs w:val="20"/>
              </w:rPr>
            </w:pPr>
          </w:p>
        </w:tc>
        <w:tc>
          <w:tcPr>
            <w:tcW w:w="4961" w:type="dxa"/>
            <w:tcBorders>
              <w:top w:val="nil"/>
            </w:tcBorders>
            <w:vAlign w:val="center"/>
          </w:tcPr>
          <w:p w14:paraId="5ED9E525"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Zelinska N, Skorodok, J, Malievsky O, Iotova V, Rosenfeld R. G, Zadik Z, Vander S, Pastrak A. Long-Term Safety of a Once-Weekly Somatrogon (hGH-CTP): 4-Year Results of a phase 2 Extension Study in Children with Growth Hormone Deficiency</w:t>
            </w:r>
          </w:p>
        </w:tc>
        <w:tc>
          <w:tcPr>
            <w:tcW w:w="2642" w:type="dxa"/>
            <w:tcBorders>
              <w:top w:val="nil"/>
            </w:tcBorders>
            <w:vAlign w:val="center"/>
          </w:tcPr>
          <w:p w14:paraId="6838A377"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January 2017</w:t>
            </w:r>
          </w:p>
        </w:tc>
      </w:tr>
      <w:tr w:rsidR="00CB0E51" w:rsidRPr="007E4B31" w14:paraId="1B59F532" w14:textId="77777777" w:rsidTr="00CB0E51">
        <w:tc>
          <w:tcPr>
            <w:tcW w:w="1413" w:type="dxa"/>
            <w:tcBorders>
              <w:bottom w:val="single" w:sz="4" w:space="0" w:color="auto"/>
            </w:tcBorders>
            <w:vAlign w:val="center"/>
          </w:tcPr>
          <w:p w14:paraId="49568029"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Opko II NCT01592500</w:t>
            </w:r>
          </w:p>
        </w:tc>
        <w:tc>
          <w:tcPr>
            <w:tcW w:w="4961" w:type="dxa"/>
            <w:tcBorders>
              <w:bottom w:val="single" w:sz="4" w:space="0" w:color="auto"/>
            </w:tcBorders>
            <w:vAlign w:val="center"/>
          </w:tcPr>
          <w:p w14:paraId="167F8EB2"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 xml:space="preserve">Zelinska N, Iotova V, Skorodok J, Malievsky O, Peterkova V, Samsonova L, Rosenfeld RG, Zadik Z, Jaron-Mendelson M, Koren R, Amitzi L, Raduk D, Hershkovitz O, Hart G. Long-Acting C-Terminal Peptide-Modified hGH (MOD-4023): Results of a Safety and Dose-Finding Study in GHD Children. </w:t>
            </w:r>
          </w:p>
        </w:tc>
        <w:tc>
          <w:tcPr>
            <w:tcW w:w="2642" w:type="dxa"/>
            <w:tcBorders>
              <w:bottom w:val="single" w:sz="4" w:space="0" w:color="auto"/>
            </w:tcBorders>
            <w:vAlign w:val="center"/>
          </w:tcPr>
          <w:p w14:paraId="3692086C"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iCs/>
                <w:sz w:val="20"/>
                <w:szCs w:val="20"/>
              </w:rPr>
              <w:t>Journal of Clinical Endocrinology Metabolism</w:t>
            </w:r>
            <w:r w:rsidRPr="007E4B31">
              <w:rPr>
                <w:rFonts w:ascii="Arial Narrow" w:hAnsi="Arial Narrow"/>
                <w:sz w:val="20"/>
                <w:szCs w:val="20"/>
              </w:rPr>
              <w:t>. 2017 May 1;102(5):1578-1587.</w:t>
            </w:r>
          </w:p>
        </w:tc>
      </w:tr>
      <w:tr w:rsidR="00CB0E51" w:rsidRPr="007E4B31" w14:paraId="788C7798" w14:textId="77777777" w:rsidTr="00CB0E51">
        <w:tc>
          <w:tcPr>
            <w:tcW w:w="1413" w:type="dxa"/>
            <w:tcBorders>
              <w:bottom w:val="nil"/>
            </w:tcBorders>
            <w:vAlign w:val="bottom"/>
          </w:tcPr>
          <w:p w14:paraId="65205076"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Opko III NCT02968004</w:t>
            </w:r>
          </w:p>
        </w:tc>
        <w:tc>
          <w:tcPr>
            <w:tcW w:w="4961" w:type="dxa"/>
            <w:tcBorders>
              <w:bottom w:val="nil"/>
            </w:tcBorders>
            <w:vAlign w:val="center"/>
          </w:tcPr>
          <w:p w14:paraId="23BB9BC8"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 xml:space="preserve">Deal CL, Steelman J, Vlachopapadopoulou E, Stawerska R, Silverman LA, Phillip M, Kim HS, Ko C, Malievskiy O, Cara JF, Roland CL, Taylor CT, Valluri SR, Wajnrajch MP, Pastrak A, Miller BS. Efficacy and Safety of Weekly Somatrogon vs Daily Somatropin in Children </w:t>
            </w:r>
            <w:proofErr w:type="gramStart"/>
            <w:r w:rsidRPr="007E4B31">
              <w:rPr>
                <w:rFonts w:ascii="Arial Narrow" w:hAnsi="Arial Narrow"/>
                <w:sz w:val="20"/>
                <w:szCs w:val="20"/>
              </w:rPr>
              <w:t>With</w:t>
            </w:r>
            <w:proofErr w:type="gramEnd"/>
            <w:r w:rsidRPr="007E4B31">
              <w:rPr>
                <w:rFonts w:ascii="Arial Narrow" w:hAnsi="Arial Narrow"/>
                <w:sz w:val="20"/>
                <w:szCs w:val="20"/>
              </w:rPr>
              <w:t xml:space="preserve"> Growth Hormone Deficiency: A Phase 3 Study. </w:t>
            </w:r>
          </w:p>
        </w:tc>
        <w:tc>
          <w:tcPr>
            <w:tcW w:w="2642" w:type="dxa"/>
            <w:tcBorders>
              <w:bottom w:val="nil"/>
            </w:tcBorders>
            <w:vAlign w:val="center"/>
          </w:tcPr>
          <w:p w14:paraId="6F54041F" w14:textId="77777777" w:rsidR="00CB0E51" w:rsidRPr="007E4B31" w:rsidRDefault="00CB0E51" w:rsidP="00CB0E51">
            <w:pPr>
              <w:pStyle w:val="TableText0"/>
              <w:keepLines/>
              <w:rPr>
                <w:iCs/>
                <w:szCs w:val="20"/>
              </w:rPr>
            </w:pPr>
            <w:r w:rsidRPr="007E4B31">
              <w:rPr>
                <w:iCs/>
                <w:szCs w:val="20"/>
              </w:rPr>
              <w:t>April 2022</w:t>
            </w:r>
          </w:p>
          <w:p w14:paraId="052F0982"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iCs/>
                <w:sz w:val="20"/>
                <w:szCs w:val="20"/>
              </w:rPr>
              <w:t>Journal of Clinical Endocrinology Metabolism</w:t>
            </w:r>
            <w:r w:rsidRPr="007E4B31">
              <w:rPr>
                <w:rFonts w:ascii="Arial Narrow" w:hAnsi="Arial Narrow"/>
                <w:sz w:val="20"/>
                <w:szCs w:val="20"/>
              </w:rPr>
              <w:t>. 2022 Jun 16;107(7): e2717-e2728.</w:t>
            </w:r>
          </w:p>
        </w:tc>
      </w:tr>
      <w:tr w:rsidR="00CB0E51" w:rsidRPr="007E4B31" w14:paraId="7344C3C4" w14:textId="77777777" w:rsidTr="00CB0E51">
        <w:tc>
          <w:tcPr>
            <w:tcW w:w="1413" w:type="dxa"/>
            <w:tcBorders>
              <w:top w:val="nil"/>
            </w:tcBorders>
            <w:vAlign w:val="center"/>
          </w:tcPr>
          <w:p w14:paraId="3FD50B56" w14:textId="77777777" w:rsidR="00CB0E51" w:rsidRPr="007E4B31" w:rsidRDefault="00CB0E51" w:rsidP="00CB0E51">
            <w:pPr>
              <w:keepNext/>
              <w:keepLines/>
              <w:jc w:val="left"/>
              <w:rPr>
                <w:rFonts w:ascii="Arial Narrow" w:hAnsi="Arial Narrow"/>
                <w:sz w:val="20"/>
                <w:szCs w:val="20"/>
              </w:rPr>
            </w:pPr>
          </w:p>
        </w:tc>
        <w:tc>
          <w:tcPr>
            <w:tcW w:w="4961" w:type="dxa"/>
            <w:tcBorders>
              <w:top w:val="nil"/>
            </w:tcBorders>
            <w:vAlign w:val="center"/>
          </w:tcPr>
          <w:p w14:paraId="6B20CBAA"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Deal C, Pastrak A, Silverman L, Valluri SR, Wajnrajch MP, Cara JF. OR10-06 Somatrogon Growth Hormone in the Treatment of Paediatric Growth Hormone Deficiency: Results of the Pivotal Paediatric Phase 3 Clinical Trial.</w:t>
            </w:r>
          </w:p>
        </w:tc>
        <w:tc>
          <w:tcPr>
            <w:tcW w:w="2642" w:type="dxa"/>
            <w:tcBorders>
              <w:top w:val="nil"/>
            </w:tcBorders>
            <w:vAlign w:val="center"/>
          </w:tcPr>
          <w:p w14:paraId="64322866"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 xml:space="preserve">Journal of the Endocrine Society, </w:t>
            </w:r>
            <w:r w:rsidRPr="007E4B31">
              <w:rPr>
                <w:rFonts w:ascii="Arial Narrow" w:hAnsi="Arial Narrow"/>
                <w:iCs/>
                <w:sz w:val="20"/>
                <w:szCs w:val="20"/>
              </w:rPr>
              <w:t>Volume 4, Issue Supplement 1, April-May 2020</w:t>
            </w:r>
          </w:p>
        </w:tc>
      </w:tr>
      <w:tr w:rsidR="00CB0E51" w:rsidRPr="007E4B31" w14:paraId="2985AAA1" w14:textId="77777777" w:rsidTr="00CB0E51">
        <w:tc>
          <w:tcPr>
            <w:tcW w:w="1413" w:type="dxa"/>
            <w:vAlign w:val="center"/>
          </w:tcPr>
          <w:p w14:paraId="301739EE" w14:textId="77777777" w:rsidR="00CB0E51" w:rsidRPr="007E4B31" w:rsidRDefault="00CB0E51" w:rsidP="00CB0E51">
            <w:pPr>
              <w:pStyle w:val="TableText0"/>
              <w:keepLines/>
              <w:rPr>
                <w:szCs w:val="20"/>
              </w:rPr>
            </w:pPr>
            <w:r w:rsidRPr="007E4B31">
              <w:rPr>
                <w:szCs w:val="20"/>
              </w:rPr>
              <w:t>Opko JPN</w:t>
            </w:r>
          </w:p>
          <w:p w14:paraId="06161F87"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NCT03874013</w:t>
            </w:r>
          </w:p>
        </w:tc>
        <w:tc>
          <w:tcPr>
            <w:tcW w:w="4961" w:type="dxa"/>
            <w:vAlign w:val="center"/>
          </w:tcPr>
          <w:p w14:paraId="19C43D23"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sz w:val="20"/>
                <w:szCs w:val="20"/>
              </w:rPr>
              <w:t xml:space="preserve">Horikawa, R., Tanaka, T., Hasegawa, Y., Yorifuji, T., Ng, D., Rosenfeld, R. G., Hoshino, Y., Okayama, A., Shima, D., Gomez, R., Pastrak, A., &amp; Castellanos, O. (2022). Efficacy and Safety of Once-Weekly Somatrogon Compared with Once-Daily Somatropin (Genotropin®) in Japanese Children with Paediatric Growth Hormone Deficiency: Results from a Randomized Phase 3 Study. </w:t>
            </w:r>
          </w:p>
        </w:tc>
        <w:tc>
          <w:tcPr>
            <w:tcW w:w="2642" w:type="dxa"/>
            <w:vAlign w:val="center"/>
          </w:tcPr>
          <w:p w14:paraId="186A18F2" w14:textId="77777777" w:rsidR="00CB0E51" w:rsidRPr="007E4B31" w:rsidRDefault="00CB0E51" w:rsidP="00CB0E51">
            <w:pPr>
              <w:pStyle w:val="TableText0"/>
              <w:keepLines/>
              <w:rPr>
                <w:szCs w:val="20"/>
              </w:rPr>
            </w:pPr>
            <w:r w:rsidRPr="007E4B31">
              <w:rPr>
                <w:szCs w:val="20"/>
              </w:rPr>
              <w:t>April 2022</w:t>
            </w:r>
          </w:p>
          <w:p w14:paraId="394BBC5A" w14:textId="77777777" w:rsidR="00CB0E51" w:rsidRPr="007E4B31" w:rsidRDefault="00CB0E51" w:rsidP="00CB0E51">
            <w:pPr>
              <w:keepNext/>
              <w:keepLines/>
              <w:jc w:val="left"/>
              <w:rPr>
                <w:rFonts w:ascii="Arial Narrow" w:hAnsi="Arial Narrow"/>
                <w:sz w:val="20"/>
                <w:szCs w:val="20"/>
              </w:rPr>
            </w:pPr>
            <w:r w:rsidRPr="007E4B31">
              <w:rPr>
                <w:rFonts w:ascii="Arial Narrow" w:hAnsi="Arial Narrow"/>
                <w:iCs/>
                <w:sz w:val="20"/>
                <w:szCs w:val="20"/>
              </w:rPr>
              <w:t>Hormone research in paediatrics</w:t>
            </w:r>
            <w:r w:rsidRPr="007E4B31">
              <w:rPr>
                <w:rFonts w:ascii="Arial Narrow" w:hAnsi="Arial Narrow"/>
                <w:sz w:val="20"/>
                <w:szCs w:val="20"/>
              </w:rPr>
              <w:t xml:space="preserve">, 95(3), 275–285. </w:t>
            </w:r>
          </w:p>
        </w:tc>
      </w:tr>
    </w:tbl>
    <w:p w14:paraId="65313319" w14:textId="77777777" w:rsidR="00C604B7" w:rsidRPr="007E4B31" w:rsidRDefault="00C604B7" w:rsidP="00CB0E51">
      <w:pPr>
        <w:pStyle w:val="FooterTableFigure"/>
        <w:keepNext/>
        <w:keepLines/>
        <w:rPr>
          <w:sz w:val="20"/>
        </w:rPr>
      </w:pPr>
      <w:r w:rsidRPr="007E4B31">
        <w:t>Source: Table 2.3, pp.52-3 of the submission</w:t>
      </w:r>
    </w:p>
    <w:p w14:paraId="2B822B3D" w14:textId="76981B7D" w:rsidR="00C604B7" w:rsidRPr="007E4B31" w:rsidRDefault="00C604B7" w:rsidP="001B22F2">
      <w:pPr>
        <w:pStyle w:val="3-BodyText"/>
      </w:pPr>
      <w:r w:rsidRPr="007E4B31">
        <w:t xml:space="preserve">The key features of the </w:t>
      </w:r>
      <w:r w:rsidR="00D053D9">
        <w:t>included evidence that formed the basis of the ITC is</w:t>
      </w:r>
      <w:r w:rsidRPr="007E4B31">
        <w:t xml:space="preserve"> summarised in </w:t>
      </w:r>
      <w:r w:rsidRPr="007E4B31">
        <w:fldChar w:fldCharType="begin" w:fldLock="1"/>
      </w:r>
      <w:r w:rsidRPr="007E4B31">
        <w:instrText xml:space="preserve"> REF _Ref104804098 \h  \* MERGEFORMAT </w:instrText>
      </w:r>
      <w:r w:rsidRPr="007E4B31">
        <w:fldChar w:fldCharType="separate"/>
      </w:r>
      <w:r w:rsidR="00D3534F" w:rsidRPr="00D3534F">
        <w:t>Table 3</w:t>
      </w:r>
      <w:r w:rsidRPr="007E4B31">
        <w:fldChar w:fldCharType="end"/>
      </w:r>
      <w:r w:rsidRPr="007E4B31">
        <w:t>.</w:t>
      </w:r>
    </w:p>
    <w:p w14:paraId="3BC17EE1" w14:textId="37E3503A" w:rsidR="00C604B7" w:rsidRPr="007E4B31" w:rsidRDefault="00C604B7" w:rsidP="001B22F2">
      <w:pPr>
        <w:pStyle w:val="Caption"/>
        <w:rPr>
          <w:rStyle w:val="CommentReference"/>
          <w:rFonts w:eastAsiaTheme="majorEastAsia" w:cstheme="majorBidi"/>
          <w:b/>
          <w:szCs w:val="24"/>
        </w:rPr>
      </w:pPr>
      <w:bookmarkStart w:id="19" w:name="_Ref104804098"/>
      <w:r w:rsidRPr="007E4B31">
        <w:rPr>
          <w:rStyle w:val="CommentReference"/>
          <w:rFonts w:eastAsiaTheme="majorEastAsia" w:cstheme="majorBidi"/>
          <w:b/>
          <w:szCs w:val="24"/>
        </w:rPr>
        <w:lastRenderedPageBreak/>
        <w:t xml:space="preserve">Table </w:t>
      </w:r>
      <w:r w:rsidRPr="007E4B31">
        <w:rPr>
          <w:rStyle w:val="CommentReference"/>
          <w:rFonts w:eastAsiaTheme="majorEastAsia" w:cstheme="majorBidi"/>
          <w:b/>
          <w:szCs w:val="24"/>
        </w:rPr>
        <w:fldChar w:fldCharType="begin" w:fldLock="1"/>
      </w:r>
      <w:r w:rsidRPr="007E4B31">
        <w:rPr>
          <w:rStyle w:val="CommentReference"/>
          <w:rFonts w:eastAsiaTheme="majorEastAsia" w:cstheme="majorBidi"/>
          <w:b/>
          <w:szCs w:val="24"/>
        </w:rPr>
        <w:instrText xml:space="preserve"> SEQ Table \* ARABIC </w:instrText>
      </w:r>
      <w:r w:rsidRPr="007E4B31">
        <w:rPr>
          <w:rStyle w:val="CommentReference"/>
          <w:rFonts w:eastAsiaTheme="majorEastAsia" w:cstheme="majorBidi"/>
          <w:b/>
          <w:szCs w:val="24"/>
        </w:rPr>
        <w:fldChar w:fldCharType="separate"/>
      </w:r>
      <w:r w:rsidR="00D3534F">
        <w:rPr>
          <w:rStyle w:val="CommentReference"/>
          <w:rFonts w:eastAsiaTheme="majorEastAsia" w:cstheme="majorBidi"/>
          <w:b/>
          <w:noProof/>
          <w:szCs w:val="24"/>
        </w:rPr>
        <w:t>3</w:t>
      </w:r>
      <w:r w:rsidRPr="007E4B31">
        <w:rPr>
          <w:rStyle w:val="CommentReference"/>
          <w:rFonts w:eastAsiaTheme="majorEastAsia" w:cstheme="majorBidi"/>
          <w:b/>
          <w:szCs w:val="24"/>
        </w:rPr>
        <w:fldChar w:fldCharType="end"/>
      </w:r>
      <w:bookmarkEnd w:id="19"/>
      <w:r w:rsidRPr="007E4B31">
        <w:rPr>
          <w:rStyle w:val="CommentReference"/>
          <w:rFonts w:eastAsiaTheme="majorEastAsia" w:cstheme="majorBidi"/>
          <w:b/>
          <w:szCs w:val="24"/>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709"/>
        <w:gridCol w:w="1839"/>
        <w:gridCol w:w="997"/>
        <w:gridCol w:w="2409"/>
        <w:gridCol w:w="992"/>
        <w:gridCol w:w="1084"/>
      </w:tblGrid>
      <w:tr w:rsidR="00C604B7" w:rsidRPr="007E4B31" w14:paraId="35B1F6E7" w14:textId="77777777" w:rsidTr="002F07F5">
        <w:trPr>
          <w:cantSplit/>
          <w:tblHeader/>
        </w:trPr>
        <w:tc>
          <w:tcPr>
            <w:tcW w:w="547" w:type="pct"/>
            <w:shd w:val="clear" w:color="auto" w:fill="auto"/>
            <w:vAlign w:val="center"/>
          </w:tcPr>
          <w:p w14:paraId="092D4EAA" w14:textId="77777777" w:rsidR="00C604B7" w:rsidRPr="007E4B31" w:rsidRDefault="00C604B7" w:rsidP="001B22F2">
            <w:pPr>
              <w:pStyle w:val="In-tableHeading"/>
              <w:rPr>
                <w:lang w:val="en-AU"/>
              </w:rPr>
            </w:pPr>
            <w:r w:rsidRPr="007E4B31">
              <w:rPr>
                <w:lang w:val="en-AU"/>
              </w:rPr>
              <w:t>Trial</w:t>
            </w:r>
          </w:p>
        </w:tc>
        <w:tc>
          <w:tcPr>
            <w:tcW w:w="393" w:type="pct"/>
            <w:shd w:val="clear" w:color="auto" w:fill="auto"/>
            <w:vAlign w:val="center"/>
          </w:tcPr>
          <w:p w14:paraId="2A2F89D4" w14:textId="77777777" w:rsidR="00C604B7" w:rsidRPr="007E4B31" w:rsidRDefault="00C604B7" w:rsidP="001B22F2">
            <w:pPr>
              <w:pStyle w:val="In-tableHeading"/>
              <w:jc w:val="center"/>
              <w:rPr>
                <w:lang w:val="en-AU"/>
              </w:rPr>
            </w:pPr>
            <w:r w:rsidRPr="007E4B31">
              <w:rPr>
                <w:lang w:val="en-AU"/>
              </w:rPr>
              <w:t>N</w:t>
            </w:r>
          </w:p>
        </w:tc>
        <w:tc>
          <w:tcPr>
            <w:tcW w:w="1020" w:type="pct"/>
            <w:shd w:val="clear" w:color="auto" w:fill="auto"/>
            <w:vAlign w:val="center"/>
          </w:tcPr>
          <w:p w14:paraId="7CC75B16" w14:textId="77777777" w:rsidR="00C604B7" w:rsidRPr="007E4B31" w:rsidRDefault="00C604B7" w:rsidP="001B22F2">
            <w:pPr>
              <w:pStyle w:val="In-tableHeading"/>
              <w:jc w:val="center"/>
              <w:rPr>
                <w:lang w:val="en-AU"/>
              </w:rPr>
            </w:pPr>
            <w:r w:rsidRPr="007E4B31">
              <w:rPr>
                <w:lang w:val="en-AU"/>
              </w:rPr>
              <w:t>Design/ duration</w:t>
            </w:r>
          </w:p>
        </w:tc>
        <w:tc>
          <w:tcPr>
            <w:tcW w:w="553" w:type="pct"/>
            <w:shd w:val="clear" w:color="auto" w:fill="auto"/>
            <w:vAlign w:val="center"/>
          </w:tcPr>
          <w:p w14:paraId="06FE495E" w14:textId="77777777" w:rsidR="00C604B7" w:rsidRPr="007E4B31" w:rsidRDefault="00C604B7" w:rsidP="001B22F2">
            <w:pPr>
              <w:pStyle w:val="In-tableHeading"/>
              <w:jc w:val="center"/>
              <w:rPr>
                <w:lang w:val="en-AU"/>
              </w:rPr>
            </w:pPr>
            <w:r w:rsidRPr="007E4B31">
              <w:rPr>
                <w:lang w:val="en-AU"/>
              </w:rPr>
              <w:t>Risk of bias</w:t>
            </w:r>
          </w:p>
        </w:tc>
        <w:tc>
          <w:tcPr>
            <w:tcW w:w="1336" w:type="pct"/>
            <w:shd w:val="clear" w:color="auto" w:fill="auto"/>
            <w:vAlign w:val="center"/>
          </w:tcPr>
          <w:p w14:paraId="64513DB0" w14:textId="77777777" w:rsidR="00C604B7" w:rsidRPr="007E4B31" w:rsidRDefault="00C604B7" w:rsidP="001B22F2">
            <w:pPr>
              <w:pStyle w:val="In-tableHeading"/>
              <w:jc w:val="center"/>
              <w:rPr>
                <w:lang w:val="en-AU"/>
              </w:rPr>
            </w:pPr>
            <w:r w:rsidRPr="007E4B31">
              <w:rPr>
                <w:lang w:val="en-AU"/>
              </w:rPr>
              <w:t>Patient population</w:t>
            </w:r>
          </w:p>
        </w:tc>
        <w:tc>
          <w:tcPr>
            <w:tcW w:w="550" w:type="pct"/>
            <w:shd w:val="clear" w:color="auto" w:fill="auto"/>
            <w:vAlign w:val="center"/>
          </w:tcPr>
          <w:p w14:paraId="1BB87F07" w14:textId="77777777" w:rsidR="00C604B7" w:rsidRPr="007E4B31" w:rsidRDefault="00C604B7" w:rsidP="001B22F2">
            <w:pPr>
              <w:pStyle w:val="In-tableHeading"/>
              <w:jc w:val="center"/>
              <w:rPr>
                <w:lang w:val="en-AU"/>
              </w:rPr>
            </w:pPr>
            <w:r w:rsidRPr="007E4B31">
              <w:rPr>
                <w:lang w:val="en-AU"/>
              </w:rPr>
              <w:t>Outcome(s)</w:t>
            </w:r>
          </w:p>
        </w:tc>
        <w:tc>
          <w:tcPr>
            <w:tcW w:w="601" w:type="pct"/>
            <w:shd w:val="clear" w:color="auto" w:fill="auto"/>
            <w:vAlign w:val="center"/>
          </w:tcPr>
          <w:p w14:paraId="0FEDED36" w14:textId="77777777" w:rsidR="00C604B7" w:rsidRPr="007E4B31" w:rsidRDefault="00C604B7" w:rsidP="001B22F2">
            <w:pPr>
              <w:pStyle w:val="In-tableHeading"/>
              <w:jc w:val="center"/>
              <w:rPr>
                <w:lang w:val="en-AU"/>
              </w:rPr>
            </w:pPr>
            <w:r w:rsidRPr="007E4B31">
              <w:rPr>
                <w:lang w:val="en-AU"/>
              </w:rPr>
              <w:t>Use in CMA</w:t>
            </w:r>
          </w:p>
        </w:tc>
      </w:tr>
      <w:tr w:rsidR="00C604B7" w:rsidRPr="007E4B31" w14:paraId="18D82E47" w14:textId="77777777" w:rsidTr="00682BA6">
        <w:trPr>
          <w:cantSplit/>
        </w:trPr>
        <w:tc>
          <w:tcPr>
            <w:tcW w:w="5000" w:type="pct"/>
            <w:gridSpan w:val="7"/>
            <w:shd w:val="clear" w:color="auto" w:fill="auto"/>
            <w:vAlign w:val="center"/>
          </w:tcPr>
          <w:p w14:paraId="0759BDEF" w14:textId="77777777" w:rsidR="00C604B7" w:rsidRPr="007E4B31" w:rsidRDefault="00C604B7" w:rsidP="001B22F2">
            <w:pPr>
              <w:pStyle w:val="In-tableHeading"/>
              <w:rPr>
                <w:lang w:val="en-AU"/>
              </w:rPr>
            </w:pPr>
            <w:r w:rsidRPr="007E4B31">
              <w:rPr>
                <w:lang w:val="en-AU"/>
              </w:rPr>
              <w:t>Somapacitan vs somatropin (common reference)</w:t>
            </w:r>
          </w:p>
        </w:tc>
      </w:tr>
      <w:tr w:rsidR="00C604B7" w:rsidRPr="007E4B31" w14:paraId="0DCA8D75" w14:textId="77777777" w:rsidTr="002F07F5">
        <w:trPr>
          <w:cantSplit/>
        </w:trPr>
        <w:tc>
          <w:tcPr>
            <w:tcW w:w="547" w:type="pct"/>
            <w:shd w:val="clear" w:color="auto" w:fill="auto"/>
            <w:vAlign w:val="center"/>
          </w:tcPr>
          <w:p w14:paraId="387412F7" w14:textId="77777777" w:rsidR="00C604B7" w:rsidRPr="007E4B31" w:rsidRDefault="00C604B7" w:rsidP="001B22F2">
            <w:pPr>
              <w:pStyle w:val="TableText0"/>
            </w:pPr>
            <w:r w:rsidRPr="007E4B31">
              <w:t>REAL-3</w:t>
            </w:r>
          </w:p>
        </w:tc>
        <w:tc>
          <w:tcPr>
            <w:tcW w:w="393" w:type="pct"/>
            <w:shd w:val="clear" w:color="auto" w:fill="auto"/>
            <w:vAlign w:val="center"/>
          </w:tcPr>
          <w:p w14:paraId="580857E9" w14:textId="77777777" w:rsidR="00C604B7" w:rsidRPr="007E4B31" w:rsidRDefault="00C604B7" w:rsidP="001B22F2">
            <w:pPr>
              <w:pStyle w:val="TableText0"/>
              <w:jc w:val="center"/>
            </w:pPr>
            <w:r w:rsidRPr="007E4B31">
              <w:t>28</w:t>
            </w:r>
          </w:p>
        </w:tc>
        <w:tc>
          <w:tcPr>
            <w:tcW w:w="1020" w:type="pct"/>
            <w:shd w:val="clear" w:color="auto" w:fill="auto"/>
            <w:vAlign w:val="center"/>
          </w:tcPr>
          <w:p w14:paraId="532158BD" w14:textId="77777777" w:rsidR="00C604B7" w:rsidRPr="007E4B31" w:rsidRDefault="00C604B7" w:rsidP="001B22F2">
            <w:pPr>
              <w:pStyle w:val="TableText0"/>
              <w:jc w:val="center"/>
            </w:pPr>
            <w:r w:rsidRPr="007E4B31">
              <w:t xml:space="preserve">R, DB, MC </w:t>
            </w:r>
          </w:p>
          <w:p w14:paraId="4156355C" w14:textId="77777777" w:rsidR="00C604B7" w:rsidRPr="007E4B31" w:rsidRDefault="00C604B7" w:rsidP="001B22F2">
            <w:pPr>
              <w:pStyle w:val="TableText0"/>
              <w:jc w:val="center"/>
            </w:pPr>
            <w:r w:rsidRPr="007E4B31">
              <w:t>6 mths + 3 yrs OLE</w:t>
            </w:r>
          </w:p>
        </w:tc>
        <w:tc>
          <w:tcPr>
            <w:tcW w:w="553" w:type="pct"/>
            <w:shd w:val="clear" w:color="auto" w:fill="auto"/>
            <w:vAlign w:val="center"/>
          </w:tcPr>
          <w:p w14:paraId="2349D713" w14:textId="77777777" w:rsidR="00C604B7" w:rsidRPr="007E4B31" w:rsidRDefault="00C604B7" w:rsidP="001B22F2">
            <w:pPr>
              <w:pStyle w:val="TableText0"/>
              <w:jc w:val="center"/>
              <w:rPr>
                <w:iCs/>
              </w:rPr>
            </w:pPr>
            <w:r w:rsidRPr="007E4B31">
              <w:rPr>
                <w:iCs/>
              </w:rPr>
              <w:t>Low</w:t>
            </w:r>
          </w:p>
        </w:tc>
        <w:tc>
          <w:tcPr>
            <w:tcW w:w="1336" w:type="pct"/>
            <w:shd w:val="clear" w:color="auto" w:fill="auto"/>
            <w:vAlign w:val="center"/>
          </w:tcPr>
          <w:p w14:paraId="62CCC6C5" w14:textId="77777777" w:rsidR="00C604B7" w:rsidRPr="007E4B31" w:rsidRDefault="00C604B7" w:rsidP="001B22F2">
            <w:pPr>
              <w:pStyle w:val="TableText0"/>
              <w:jc w:val="center"/>
            </w:pPr>
            <w:r w:rsidRPr="007E4B31">
              <w:t>Treatment naïve pre-pubertal children with GHD</w:t>
            </w:r>
          </w:p>
        </w:tc>
        <w:tc>
          <w:tcPr>
            <w:tcW w:w="550" w:type="pct"/>
            <w:shd w:val="clear" w:color="auto" w:fill="auto"/>
            <w:vAlign w:val="center"/>
          </w:tcPr>
          <w:p w14:paraId="64F26FB8" w14:textId="23EB65EC" w:rsidR="00C604B7" w:rsidRPr="007E4B31" w:rsidRDefault="00C604B7" w:rsidP="001B22F2">
            <w:pPr>
              <w:pStyle w:val="TableText0"/>
              <w:jc w:val="center"/>
            </w:pPr>
            <w:r w:rsidRPr="007E4B31">
              <w:t>Annual</w:t>
            </w:r>
            <w:r w:rsidR="008D5DB9" w:rsidRPr="007E4B31">
              <w:t>ised</w:t>
            </w:r>
            <w:r w:rsidRPr="007E4B31">
              <w:t xml:space="preserve"> HV</w:t>
            </w:r>
          </w:p>
        </w:tc>
        <w:tc>
          <w:tcPr>
            <w:tcW w:w="601" w:type="pct"/>
            <w:shd w:val="clear" w:color="auto" w:fill="auto"/>
            <w:vAlign w:val="center"/>
          </w:tcPr>
          <w:p w14:paraId="43B4E539" w14:textId="77777777" w:rsidR="00C604B7" w:rsidRPr="007E4B31" w:rsidRDefault="00C604B7" w:rsidP="001B22F2">
            <w:pPr>
              <w:pStyle w:val="TableText0"/>
              <w:jc w:val="center"/>
            </w:pPr>
            <w:r w:rsidRPr="007E4B31">
              <w:t>Not used</w:t>
            </w:r>
          </w:p>
        </w:tc>
      </w:tr>
      <w:tr w:rsidR="00C604B7" w:rsidRPr="007E4B31" w14:paraId="541E36B1" w14:textId="77777777" w:rsidTr="002F07F5">
        <w:trPr>
          <w:cantSplit/>
        </w:trPr>
        <w:tc>
          <w:tcPr>
            <w:tcW w:w="547" w:type="pct"/>
            <w:shd w:val="clear" w:color="auto" w:fill="auto"/>
            <w:vAlign w:val="center"/>
          </w:tcPr>
          <w:p w14:paraId="2EA17B80" w14:textId="77777777" w:rsidR="00C604B7" w:rsidRPr="007E4B31" w:rsidRDefault="00C604B7" w:rsidP="001B22F2">
            <w:pPr>
              <w:pStyle w:val="TableText0"/>
            </w:pPr>
            <w:r w:rsidRPr="007E4B31">
              <w:t>REAL-4</w:t>
            </w:r>
          </w:p>
        </w:tc>
        <w:tc>
          <w:tcPr>
            <w:tcW w:w="393" w:type="pct"/>
            <w:shd w:val="clear" w:color="auto" w:fill="auto"/>
            <w:vAlign w:val="center"/>
          </w:tcPr>
          <w:p w14:paraId="040BA79C" w14:textId="77777777" w:rsidR="00C604B7" w:rsidRPr="007E4B31" w:rsidRDefault="00C604B7" w:rsidP="001B22F2">
            <w:pPr>
              <w:pStyle w:val="TableText0"/>
              <w:jc w:val="center"/>
            </w:pPr>
            <w:r w:rsidRPr="007E4B31">
              <w:t>200</w:t>
            </w:r>
          </w:p>
        </w:tc>
        <w:tc>
          <w:tcPr>
            <w:tcW w:w="1020" w:type="pct"/>
            <w:shd w:val="clear" w:color="auto" w:fill="auto"/>
            <w:vAlign w:val="center"/>
          </w:tcPr>
          <w:p w14:paraId="4E29B16F" w14:textId="77777777" w:rsidR="00C604B7" w:rsidRPr="007E4B31" w:rsidRDefault="00C604B7" w:rsidP="001B22F2">
            <w:pPr>
              <w:pStyle w:val="TableText0"/>
              <w:jc w:val="center"/>
            </w:pPr>
            <w:r w:rsidRPr="007E4B31">
              <w:t>R, OL, MC</w:t>
            </w:r>
          </w:p>
          <w:p w14:paraId="3088DE25" w14:textId="77777777" w:rsidR="00C604B7" w:rsidRPr="007E4B31" w:rsidRDefault="00C604B7" w:rsidP="001B22F2">
            <w:pPr>
              <w:pStyle w:val="TableText0"/>
              <w:jc w:val="center"/>
              <w:rPr>
                <w:vertAlign w:val="superscript"/>
              </w:rPr>
            </w:pPr>
            <w:r w:rsidRPr="007E4B31">
              <w:t xml:space="preserve">12 mths + 3 yrs OLE </w:t>
            </w:r>
            <w:r w:rsidRPr="007E4B31">
              <w:rPr>
                <w:vertAlign w:val="superscript"/>
              </w:rPr>
              <w:t>a</w:t>
            </w:r>
          </w:p>
        </w:tc>
        <w:tc>
          <w:tcPr>
            <w:tcW w:w="553" w:type="pct"/>
            <w:shd w:val="clear" w:color="auto" w:fill="auto"/>
            <w:vAlign w:val="center"/>
          </w:tcPr>
          <w:p w14:paraId="0DBEFDB9" w14:textId="77777777" w:rsidR="00C604B7" w:rsidRPr="007E4B31" w:rsidRDefault="00C604B7" w:rsidP="001B22F2">
            <w:pPr>
              <w:pStyle w:val="TableText0"/>
              <w:jc w:val="center"/>
              <w:rPr>
                <w:iCs/>
              </w:rPr>
            </w:pPr>
            <w:r w:rsidRPr="007E4B31">
              <w:rPr>
                <w:iCs/>
              </w:rPr>
              <w:t>Low</w:t>
            </w:r>
          </w:p>
        </w:tc>
        <w:tc>
          <w:tcPr>
            <w:tcW w:w="1336" w:type="pct"/>
            <w:shd w:val="clear" w:color="auto" w:fill="auto"/>
            <w:vAlign w:val="center"/>
          </w:tcPr>
          <w:p w14:paraId="7318523C" w14:textId="77777777" w:rsidR="00C604B7" w:rsidRPr="007E4B31" w:rsidRDefault="00C604B7" w:rsidP="001B22F2">
            <w:pPr>
              <w:pStyle w:val="TableText0"/>
              <w:jc w:val="center"/>
            </w:pPr>
            <w:r w:rsidRPr="007E4B31">
              <w:t>Treatment naïve pre-pubertal children with GHD</w:t>
            </w:r>
          </w:p>
        </w:tc>
        <w:tc>
          <w:tcPr>
            <w:tcW w:w="550" w:type="pct"/>
            <w:shd w:val="clear" w:color="auto" w:fill="auto"/>
            <w:vAlign w:val="center"/>
          </w:tcPr>
          <w:p w14:paraId="0717B233" w14:textId="51842DD3" w:rsidR="00C604B7" w:rsidRPr="007E4B31" w:rsidRDefault="008D5DB9" w:rsidP="001B22F2">
            <w:pPr>
              <w:pStyle w:val="TableText0"/>
              <w:jc w:val="center"/>
            </w:pPr>
            <w:r w:rsidRPr="007E4B31">
              <w:t>Annualised HV</w:t>
            </w:r>
          </w:p>
        </w:tc>
        <w:tc>
          <w:tcPr>
            <w:tcW w:w="601" w:type="pct"/>
            <w:shd w:val="clear" w:color="auto" w:fill="auto"/>
            <w:vAlign w:val="center"/>
          </w:tcPr>
          <w:p w14:paraId="331BFF4F" w14:textId="77777777" w:rsidR="00C604B7" w:rsidRPr="007E4B31" w:rsidRDefault="00C604B7" w:rsidP="001B22F2">
            <w:pPr>
              <w:pStyle w:val="TableText0"/>
              <w:jc w:val="center"/>
            </w:pPr>
            <w:r w:rsidRPr="007E4B31">
              <w:t>Used</w:t>
            </w:r>
          </w:p>
        </w:tc>
      </w:tr>
      <w:tr w:rsidR="00C604B7" w:rsidRPr="007E4B31" w14:paraId="7361C651" w14:textId="77777777" w:rsidTr="00B401BF">
        <w:trPr>
          <w:cantSplit/>
        </w:trPr>
        <w:tc>
          <w:tcPr>
            <w:tcW w:w="5000" w:type="pct"/>
            <w:gridSpan w:val="7"/>
            <w:shd w:val="clear" w:color="auto" w:fill="auto"/>
            <w:vAlign w:val="center"/>
          </w:tcPr>
          <w:p w14:paraId="2624F899" w14:textId="77777777" w:rsidR="00C604B7" w:rsidRPr="007E4B31" w:rsidRDefault="00C604B7" w:rsidP="001B22F2">
            <w:pPr>
              <w:pStyle w:val="TableText0"/>
              <w:rPr>
                <w:b/>
                <w:bCs w:val="0"/>
              </w:rPr>
            </w:pPr>
            <w:r w:rsidRPr="007E4B31">
              <w:rPr>
                <w:b/>
                <w:bCs w:val="0"/>
              </w:rPr>
              <w:t>Somatrogon vs somatropin (common reference)</w:t>
            </w:r>
          </w:p>
        </w:tc>
      </w:tr>
      <w:tr w:rsidR="00C604B7" w:rsidRPr="007E4B31" w14:paraId="3D447D71" w14:textId="77777777" w:rsidTr="002E0BF5">
        <w:trPr>
          <w:cantSplit/>
        </w:trPr>
        <w:tc>
          <w:tcPr>
            <w:tcW w:w="547" w:type="pct"/>
            <w:shd w:val="clear" w:color="auto" w:fill="DBE5F1" w:themeFill="accent1" w:themeFillTint="33"/>
            <w:vAlign w:val="center"/>
          </w:tcPr>
          <w:p w14:paraId="09020F3C" w14:textId="77777777" w:rsidR="00C604B7" w:rsidRPr="007E4B31" w:rsidRDefault="00C604B7" w:rsidP="001B22F2">
            <w:pPr>
              <w:pStyle w:val="TableText0"/>
            </w:pPr>
            <w:r w:rsidRPr="007E4B31">
              <w:t>Opko II</w:t>
            </w:r>
          </w:p>
        </w:tc>
        <w:tc>
          <w:tcPr>
            <w:tcW w:w="393" w:type="pct"/>
            <w:shd w:val="clear" w:color="auto" w:fill="DBE5F1" w:themeFill="accent1" w:themeFillTint="33"/>
            <w:vAlign w:val="center"/>
          </w:tcPr>
          <w:p w14:paraId="2F0F2360" w14:textId="77777777" w:rsidR="00C604B7" w:rsidRPr="007E4B31" w:rsidRDefault="00C604B7" w:rsidP="001B22F2">
            <w:pPr>
              <w:pStyle w:val="TableText0"/>
              <w:jc w:val="center"/>
            </w:pPr>
            <w:r w:rsidRPr="007E4B31">
              <w:t>53</w:t>
            </w:r>
          </w:p>
        </w:tc>
        <w:tc>
          <w:tcPr>
            <w:tcW w:w="1020" w:type="pct"/>
            <w:shd w:val="clear" w:color="auto" w:fill="DBE5F1" w:themeFill="accent1" w:themeFillTint="33"/>
            <w:vAlign w:val="center"/>
          </w:tcPr>
          <w:p w14:paraId="72CCE4A7" w14:textId="77777777" w:rsidR="00C604B7" w:rsidRPr="007E4B31" w:rsidRDefault="00C604B7" w:rsidP="001B22F2">
            <w:pPr>
              <w:pStyle w:val="TableText0"/>
              <w:jc w:val="center"/>
            </w:pPr>
            <w:r w:rsidRPr="007E4B31">
              <w:t>R, OL, MC</w:t>
            </w:r>
          </w:p>
          <w:p w14:paraId="396CBF26" w14:textId="77777777" w:rsidR="00C604B7" w:rsidRPr="007E4B31" w:rsidRDefault="00C604B7" w:rsidP="001B22F2">
            <w:pPr>
              <w:pStyle w:val="TableText0"/>
              <w:jc w:val="center"/>
            </w:pPr>
            <w:r w:rsidRPr="007E4B31">
              <w:t>12 mths + 3 yrs OLE</w:t>
            </w:r>
          </w:p>
        </w:tc>
        <w:tc>
          <w:tcPr>
            <w:tcW w:w="553" w:type="pct"/>
            <w:shd w:val="clear" w:color="auto" w:fill="DBE5F1" w:themeFill="accent1" w:themeFillTint="33"/>
            <w:vAlign w:val="center"/>
          </w:tcPr>
          <w:p w14:paraId="1BEDDE9D" w14:textId="77777777" w:rsidR="00C604B7" w:rsidRPr="007E4B31" w:rsidRDefault="00C604B7" w:rsidP="001B22F2">
            <w:pPr>
              <w:pStyle w:val="TableText0"/>
              <w:jc w:val="center"/>
              <w:rPr>
                <w:iCs/>
              </w:rPr>
            </w:pPr>
            <w:r w:rsidRPr="007E4B31">
              <w:rPr>
                <w:iCs/>
              </w:rPr>
              <w:t>Low</w:t>
            </w:r>
          </w:p>
        </w:tc>
        <w:tc>
          <w:tcPr>
            <w:tcW w:w="1336" w:type="pct"/>
            <w:shd w:val="clear" w:color="auto" w:fill="DBE5F1" w:themeFill="accent1" w:themeFillTint="33"/>
            <w:vAlign w:val="center"/>
          </w:tcPr>
          <w:p w14:paraId="0F81DD4B" w14:textId="77777777" w:rsidR="00C604B7" w:rsidRPr="007E4B31" w:rsidRDefault="00C604B7" w:rsidP="001B22F2">
            <w:pPr>
              <w:pStyle w:val="TableText0"/>
              <w:jc w:val="center"/>
            </w:pPr>
            <w:r w:rsidRPr="007E4B31">
              <w:t>Treatment naïve pre-pubertal children with GHD</w:t>
            </w:r>
          </w:p>
        </w:tc>
        <w:tc>
          <w:tcPr>
            <w:tcW w:w="550" w:type="pct"/>
            <w:shd w:val="clear" w:color="auto" w:fill="DBE5F1" w:themeFill="accent1" w:themeFillTint="33"/>
            <w:vAlign w:val="center"/>
          </w:tcPr>
          <w:p w14:paraId="041338D4" w14:textId="3F762528" w:rsidR="00C604B7" w:rsidRPr="007E4B31" w:rsidRDefault="008D5DB9" w:rsidP="001B22F2">
            <w:pPr>
              <w:pStyle w:val="TableText0"/>
              <w:jc w:val="center"/>
            </w:pPr>
            <w:r w:rsidRPr="007E4B31">
              <w:t>Annualised HV</w:t>
            </w:r>
          </w:p>
        </w:tc>
        <w:tc>
          <w:tcPr>
            <w:tcW w:w="601" w:type="pct"/>
            <w:shd w:val="clear" w:color="auto" w:fill="DBE5F1" w:themeFill="accent1" w:themeFillTint="33"/>
            <w:vAlign w:val="center"/>
          </w:tcPr>
          <w:p w14:paraId="7077C16E" w14:textId="77777777" w:rsidR="00C604B7" w:rsidRPr="007E4B31" w:rsidRDefault="00C604B7" w:rsidP="001B22F2">
            <w:pPr>
              <w:pStyle w:val="TableText0"/>
              <w:jc w:val="center"/>
            </w:pPr>
            <w:r w:rsidRPr="007E4B31">
              <w:t>Not used</w:t>
            </w:r>
          </w:p>
        </w:tc>
      </w:tr>
      <w:tr w:rsidR="00C604B7" w:rsidRPr="007E4B31" w14:paraId="73CD1AD1" w14:textId="77777777" w:rsidTr="002E0BF5">
        <w:trPr>
          <w:cantSplit/>
        </w:trPr>
        <w:tc>
          <w:tcPr>
            <w:tcW w:w="547" w:type="pct"/>
            <w:shd w:val="clear" w:color="auto" w:fill="DBE5F1" w:themeFill="accent1" w:themeFillTint="33"/>
            <w:vAlign w:val="center"/>
          </w:tcPr>
          <w:p w14:paraId="078D21DC" w14:textId="77777777" w:rsidR="00C604B7" w:rsidRPr="007E4B31" w:rsidRDefault="00C604B7" w:rsidP="001B22F2">
            <w:pPr>
              <w:pStyle w:val="TableText0"/>
            </w:pPr>
            <w:r w:rsidRPr="007E4B31">
              <w:t>Opko III</w:t>
            </w:r>
          </w:p>
        </w:tc>
        <w:tc>
          <w:tcPr>
            <w:tcW w:w="393" w:type="pct"/>
            <w:shd w:val="clear" w:color="auto" w:fill="DBE5F1" w:themeFill="accent1" w:themeFillTint="33"/>
            <w:vAlign w:val="center"/>
          </w:tcPr>
          <w:p w14:paraId="4C58A52D" w14:textId="77777777" w:rsidR="00C604B7" w:rsidRPr="007E4B31" w:rsidRDefault="00C604B7" w:rsidP="001B22F2">
            <w:pPr>
              <w:pStyle w:val="TableText0"/>
              <w:jc w:val="center"/>
            </w:pPr>
            <w:r w:rsidRPr="007E4B31">
              <w:t>224</w:t>
            </w:r>
          </w:p>
        </w:tc>
        <w:tc>
          <w:tcPr>
            <w:tcW w:w="1020" w:type="pct"/>
            <w:shd w:val="clear" w:color="auto" w:fill="DBE5F1" w:themeFill="accent1" w:themeFillTint="33"/>
            <w:vAlign w:val="center"/>
          </w:tcPr>
          <w:p w14:paraId="7FC58849" w14:textId="77777777" w:rsidR="00C604B7" w:rsidRPr="007E4B31" w:rsidRDefault="00C604B7" w:rsidP="001B22F2">
            <w:pPr>
              <w:pStyle w:val="TableText0"/>
              <w:jc w:val="center"/>
            </w:pPr>
            <w:r w:rsidRPr="007E4B31">
              <w:t>R, OL, MC</w:t>
            </w:r>
          </w:p>
          <w:p w14:paraId="580A49A9" w14:textId="77777777" w:rsidR="00C604B7" w:rsidRPr="007E4B31" w:rsidRDefault="00C604B7" w:rsidP="001B22F2">
            <w:pPr>
              <w:pStyle w:val="TableText0"/>
              <w:jc w:val="center"/>
            </w:pPr>
            <w:r w:rsidRPr="007E4B31">
              <w:t>12 mths + 12 mths OLE</w:t>
            </w:r>
          </w:p>
        </w:tc>
        <w:tc>
          <w:tcPr>
            <w:tcW w:w="553" w:type="pct"/>
            <w:shd w:val="clear" w:color="auto" w:fill="DBE5F1" w:themeFill="accent1" w:themeFillTint="33"/>
            <w:vAlign w:val="center"/>
          </w:tcPr>
          <w:p w14:paraId="1DB8BD07" w14:textId="77777777" w:rsidR="00C604B7" w:rsidRPr="007E4B31" w:rsidRDefault="00C604B7" w:rsidP="001B22F2">
            <w:pPr>
              <w:pStyle w:val="TableText0"/>
              <w:jc w:val="center"/>
              <w:rPr>
                <w:iCs/>
              </w:rPr>
            </w:pPr>
            <w:r w:rsidRPr="007E4B31">
              <w:rPr>
                <w:iCs/>
              </w:rPr>
              <w:t>Low</w:t>
            </w:r>
          </w:p>
        </w:tc>
        <w:tc>
          <w:tcPr>
            <w:tcW w:w="1336" w:type="pct"/>
            <w:shd w:val="clear" w:color="auto" w:fill="DBE5F1" w:themeFill="accent1" w:themeFillTint="33"/>
            <w:vAlign w:val="center"/>
          </w:tcPr>
          <w:p w14:paraId="533866D8" w14:textId="77777777" w:rsidR="00C604B7" w:rsidRPr="007E4B31" w:rsidRDefault="00C604B7" w:rsidP="001B22F2">
            <w:pPr>
              <w:pStyle w:val="TableText0"/>
              <w:jc w:val="center"/>
            </w:pPr>
            <w:r w:rsidRPr="007E4B31">
              <w:t>Treatment naïve pre-pubertal children with GHD</w:t>
            </w:r>
          </w:p>
        </w:tc>
        <w:tc>
          <w:tcPr>
            <w:tcW w:w="550" w:type="pct"/>
            <w:shd w:val="clear" w:color="auto" w:fill="DBE5F1" w:themeFill="accent1" w:themeFillTint="33"/>
            <w:vAlign w:val="center"/>
          </w:tcPr>
          <w:p w14:paraId="35CE5A3D" w14:textId="66F1DDD8" w:rsidR="00C604B7" w:rsidRPr="007E4B31" w:rsidRDefault="008D5DB9" w:rsidP="001B22F2">
            <w:pPr>
              <w:pStyle w:val="TableText0"/>
              <w:jc w:val="center"/>
            </w:pPr>
            <w:r w:rsidRPr="007E4B31">
              <w:t>Annualised HV</w:t>
            </w:r>
          </w:p>
        </w:tc>
        <w:tc>
          <w:tcPr>
            <w:tcW w:w="601" w:type="pct"/>
            <w:shd w:val="clear" w:color="auto" w:fill="DBE5F1" w:themeFill="accent1" w:themeFillTint="33"/>
            <w:vAlign w:val="center"/>
          </w:tcPr>
          <w:p w14:paraId="4868B3F8" w14:textId="77777777" w:rsidR="00C604B7" w:rsidRPr="007E4B31" w:rsidRDefault="00C604B7" w:rsidP="001B22F2">
            <w:pPr>
              <w:pStyle w:val="TableText0"/>
              <w:jc w:val="center"/>
            </w:pPr>
            <w:r w:rsidRPr="007E4B31">
              <w:t>Used</w:t>
            </w:r>
          </w:p>
        </w:tc>
      </w:tr>
      <w:tr w:rsidR="00C604B7" w:rsidRPr="007E4B31" w14:paraId="22644203" w14:textId="77777777" w:rsidTr="002E0BF5">
        <w:trPr>
          <w:cantSplit/>
        </w:trPr>
        <w:tc>
          <w:tcPr>
            <w:tcW w:w="547" w:type="pct"/>
            <w:shd w:val="clear" w:color="auto" w:fill="DBE5F1" w:themeFill="accent1" w:themeFillTint="33"/>
            <w:vAlign w:val="center"/>
          </w:tcPr>
          <w:p w14:paraId="1E8AA915" w14:textId="77777777" w:rsidR="00C604B7" w:rsidRPr="007E4B31" w:rsidRDefault="00C604B7" w:rsidP="001B22F2">
            <w:pPr>
              <w:pStyle w:val="TableText0"/>
              <w:rPr>
                <w:vertAlign w:val="superscript"/>
              </w:rPr>
            </w:pPr>
            <w:r w:rsidRPr="007E4B31">
              <w:t xml:space="preserve">Opko JPN </w:t>
            </w:r>
            <w:r w:rsidRPr="007E4B31">
              <w:rPr>
                <w:vertAlign w:val="superscript"/>
              </w:rPr>
              <w:t>b</w:t>
            </w:r>
          </w:p>
        </w:tc>
        <w:tc>
          <w:tcPr>
            <w:tcW w:w="393" w:type="pct"/>
            <w:shd w:val="clear" w:color="auto" w:fill="DBE5F1" w:themeFill="accent1" w:themeFillTint="33"/>
            <w:vAlign w:val="center"/>
          </w:tcPr>
          <w:p w14:paraId="4885467F" w14:textId="77777777" w:rsidR="00C604B7" w:rsidRPr="007E4B31" w:rsidRDefault="00C604B7" w:rsidP="001B22F2">
            <w:pPr>
              <w:pStyle w:val="TableText0"/>
              <w:jc w:val="center"/>
            </w:pPr>
            <w:r w:rsidRPr="007E4B31">
              <w:t>44</w:t>
            </w:r>
          </w:p>
        </w:tc>
        <w:tc>
          <w:tcPr>
            <w:tcW w:w="1020" w:type="pct"/>
            <w:shd w:val="clear" w:color="auto" w:fill="DBE5F1" w:themeFill="accent1" w:themeFillTint="33"/>
            <w:vAlign w:val="center"/>
          </w:tcPr>
          <w:p w14:paraId="3BEE54FF" w14:textId="77777777" w:rsidR="00C604B7" w:rsidRPr="007E4B31" w:rsidRDefault="00C604B7" w:rsidP="001B22F2">
            <w:pPr>
              <w:pStyle w:val="TableText0"/>
              <w:jc w:val="center"/>
            </w:pPr>
            <w:r w:rsidRPr="007E4B31">
              <w:t>R, OL, MC</w:t>
            </w:r>
          </w:p>
          <w:p w14:paraId="413F92D4" w14:textId="77777777" w:rsidR="00C604B7" w:rsidRPr="007E4B31" w:rsidRDefault="00C604B7" w:rsidP="001B22F2">
            <w:pPr>
              <w:pStyle w:val="TableText0"/>
              <w:jc w:val="center"/>
            </w:pPr>
            <w:proofErr w:type="gramStart"/>
            <w:r w:rsidRPr="007E4B31">
              <w:t>12</w:t>
            </w:r>
            <w:proofErr w:type="gramEnd"/>
            <w:r w:rsidRPr="007E4B31">
              <w:t xml:space="preserve"> mths</w:t>
            </w:r>
          </w:p>
        </w:tc>
        <w:tc>
          <w:tcPr>
            <w:tcW w:w="553" w:type="pct"/>
            <w:shd w:val="clear" w:color="auto" w:fill="DBE5F1" w:themeFill="accent1" w:themeFillTint="33"/>
            <w:vAlign w:val="center"/>
          </w:tcPr>
          <w:p w14:paraId="3EF0A0D6" w14:textId="77777777" w:rsidR="00C604B7" w:rsidRPr="007E4B31" w:rsidRDefault="00C604B7" w:rsidP="001B22F2">
            <w:pPr>
              <w:pStyle w:val="TableText0"/>
              <w:jc w:val="center"/>
              <w:rPr>
                <w:iCs/>
              </w:rPr>
            </w:pPr>
            <w:r w:rsidRPr="007E4B31">
              <w:rPr>
                <w:iCs/>
              </w:rPr>
              <w:t>Low</w:t>
            </w:r>
          </w:p>
        </w:tc>
        <w:tc>
          <w:tcPr>
            <w:tcW w:w="1336" w:type="pct"/>
            <w:shd w:val="clear" w:color="auto" w:fill="DBE5F1" w:themeFill="accent1" w:themeFillTint="33"/>
            <w:vAlign w:val="center"/>
          </w:tcPr>
          <w:p w14:paraId="30571912" w14:textId="77777777" w:rsidR="00C604B7" w:rsidRPr="007E4B31" w:rsidRDefault="00C604B7" w:rsidP="001B22F2">
            <w:pPr>
              <w:pStyle w:val="TableText0"/>
              <w:jc w:val="center"/>
            </w:pPr>
            <w:r w:rsidRPr="007E4B31">
              <w:t>Treatment naïve Japanese pre-pubertal children with GHD</w:t>
            </w:r>
          </w:p>
        </w:tc>
        <w:tc>
          <w:tcPr>
            <w:tcW w:w="550" w:type="pct"/>
            <w:shd w:val="clear" w:color="auto" w:fill="DBE5F1" w:themeFill="accent1" w:themeFillTint="33"/>
            <w:vAlign w:val="center"/>
          </w:tcPr>
          <w:p w14:paraId="18698D86" w14:textId="796993E9" w:rsidR="00C604B7" w:rsidRPr="007E4B31" w:rsidRDefault="008D5DB9" w:rsidP="001B22F2">
            <w:pPr>
              <w:pStyle w:val="TableText0"/>
              <w:jc w:val="center"/>
            </w:pPr>
            <w:r w:rsidRPr="007E4B31">
              <w:t>Annualised HV</w:t>
            </w:r>
          </w:p>
        </w:tc>
        <w:tc>
          <w:tcPr>
            <w:tcW w:w="601" w:type="pct"/>
            <w:shd w:val="clear" w:color="auto" w:fill="DBE5F1" w:themeFill="accent1" w:themeFillTint="33"/>
            <w:vAlign w:val="center"/>
          </w:tcPr>
          <w:p w14:paraId="24671A2F" w14:textId="77777777" w:rsidR="00C604B7" w:rsidRPr="007E4B31" w:rsidRDefault="00C604B7" w:rsidP="001B22F2">
            <w:pPr>
              <w:pStyle w:val="TableText0"/>
              <w:jc w:val="center"/>
            </w:pPr>
            <w:r w:rsidRPr="007E4B31">
              <w:t>Not used</w:t>
            </w:r>
          </w:p>
        </w:tc>
      </w:tr>
    </w:tbl>
    <w:p w14:paraId="7B4524C2" w14:textId="77777777" w:rsidR="00C604B7" w:rsidRPr="007E4B31" w:rsidRDefault="00C604B7" w:rsidP="001B22F2">
      <w:pPr>
        <w:pStyle w:val="FooterTableFigure"/>
      </w:pPr>
      <w:r w:rsidRPr="007E4B31">
        <w:t>Source: pp.55-9, Section 2.3 of the submission</w:t>
      </w:r>
    </w:p>
    <w:p w14:paraId="26A0251B" w14:textId="28FBA2B8" w:rsidR="00C604B7" w:rsidRPr="007E4B31" w:rsidRDefault="00C604B7" w:rsidP="001B22F2">
      <w:pPr>
        <w:pStyle w:val="FooterTableFigure"/>
      </w:pPr>
      <w:r w:rsidRPr="007E4B31">
        <w:t xml:space="preserve">CMA = cost minimisation approach; DB = double blind; GHD = growth hormone deficiency; HV = height velocity; MC = multi-centre; </w:t>
      </w:r>
      <w:r w:rsidR="008D5DB9" w:rsidRPr="007E4B31">
        <w:t xml:space="preserve">mths = months; </w:t>
      </w:r>
      <w:r w:rsidRPr="007E4B31">
        <w:t>OL = open label; OLE = open label extension; R = randomised</w:t>
      </w:r>
      <w:r w:rsidR="008D5DB9" w:rsidRPr="007E4B31">
        <w:t>; yr = year</w:t>
      </w:r>
    </w:p>
    <w:p w14:paraId="68BC55BF" w14:textId="77777777" w:rsidR="00C604B7" w:rsidRPr="007E4B31" w:rsidRDefault="00C604B7" w:rsidP="001B22F2">
      <w:pPr>
        <w:pStyle w:val="FooterTableFigure"/>
      </w:pPr>
      <w:proofErr w:type="gramStart"/>
      <w:r w:rsidRPr="007E4B31">
        <w:rPr>
          <w:vertAlign w:val="superscript"/>
        </w:rPr>
        <w:t>a</w:t>
      </w:r>
      <w:proofErr w:type="gramEnd"/>
      <w:r w:rsidRPr="007E4B31">
        <w:t xml:space="preserve"> OLE period in REAL-4 not available</w:t>
      </w:r>
    </w:p>
    <w:p w14:paraId="1C327188" w14:textId="77777777" w:rsidR="00C604B7" w:rsidRPr="007E4B31" w:rsidRDefault="00C604B7" w:rsidP="001B22F2">
      <w:pPr>
        <w:pStyle w:val="FooterTableFigure"/>
      </w:pPr>
      <w:r w:rsidRPr="007E4B31">
        <w:rPr>
          <w:vertAlign w:val="superscript"/>
        </w:rPr>
        <w:t xml:space="preserve">b </w:t>
      </w:r>
      <w:r w:rsidRPr="007E4B31">
        <w:t>Not included in the ITC</w:t>
      </w:r>
    </w:p>
    <w:p w14:paraId="7C5C116D" w14:textId="1899957E" w:rsidR="00D5644C" w:rsidRPr="007E4B31" w:rsidRDefault="00D5644C" w:rsidP="00D5644C">
      <w:pPr>
        <w:pStyle w:val="FooterTableFigure"/>
      </w:pPr>
      <w:proofErr w:type="gramStart"/>
      <w:r w:rsidRPr="007E4B31">
        <w:t>Blue-highlight</w:t>
      </w:r>
      <w:proofErr w:type="gramEnd"/>
      <w:r w:rsidRPr="007E4B31">
        <w:t xml:space="preserve"> indicates </w:t>
      </w:r>
      <w:r w:rsidR="008453F7" w:rsidRPr="007E4B31">
        <w:t xml:space="preserve">trials </w:t>
      </w:r>
      <w:r w:rsidRPr="007E4B31">
        <w:t>previously considered by the PBAC</w:t>
      </w:r>
    </w:p>
    <w:p w14:paraId="563A2C85" w14:textId="77777777" w:rsidR="00C604B7" w:rsidRPr="007E4B31" w:rsidRDefault="00C604B7" w:rsidP="00355B31">
      <w:pPr>
        <w:pStyle w:val="4-SubsectionHeading"/>
      </w:pPr>
      <w:bookmarkStart w:id="20" w:name="_Toc22897641"/>
      <w:bookmarkStart w:id="21" w:name="_Toc134493583"/>
      <w:r w:rsidRPr="007E4B31">
        <w:t>Comparative effectiveness</w:t>
      </w:r>
      <w:bookmarkEnd w:id="20"/>
      <w:bookmarkEnd w:id="21"/>
    </w:p>
    <w:p w14:paraId="10CADA6A" w14:textId="1FD7507C" w:rsidR="00C604B7" w:rsidRPr="007E4B31" w:rsidRDefault="00C604B7" w:rsidP="001B22F2">
      <w:pPr>
        <w:pStyle w:val="3-BodyText"/>
      </w:pPr>
      <w:r w:rsidRPr="007E4B31">
        <w:t>The primary efficacy endpoint was annualised height velocity (HV; cm/year) after 52-weeks in REAL-4, Opko II, Opko III, and Opko JPN</w:t>
      </w:r>
      <w:r w:rsidR="00C44B37" w:rsidRPr="007E4B31">
        <w:t>.</w:t>
      </w:r>
      <w:r w:rsidRPr="007E4B31">
        <w:t xml:space="preserve"> </w:t>
      </w:r>
      <w:r w:rsidR="00C44B37" w:rsidRPr="007E4B31">
        <w:t>In REAL-3, this was a secondary outcome (the primary outcome in REAL-3 was annualised HV at 26 weeks)</w:t>
      </w:r>
      <w:r w:rsidR="00B47064">
        <w:t>.</w:t>
      </w:r>
      <w:r w:rsidR="00C44B37" w:rsidRPr="007E4B31">
        <w:t xml:space="preserve"> The results of the annualised HV at 52</w:t>
      </w:r>
      <w:r w:rsidR="00706927">
        <w:t>-</w:t>
      </w:r>
      <w:r w:rsidR="00C44B37" w:rsidRPr="007E4B31">
        <w:t xml:space="preserve">weeks </w:t>
      </w:r>
      <w:proofErr w:type="gramStart"/>
      <w:r w:rsidR="00F17744" w:rsidRPr="007E4B31">
        <w:t>are</w:t>
      </w:r>
      <w:r w:rsidR="00C44B37" w:rsidRPr="007E4B31">
        <w:t xml:space="preserve"> presented</w:t>
      </w:r>
      <w:proofErr w:type="gramEnd"/>
      <w:r w:rsidR="00C44B37" w:rsidRPr="007E4B31">
        <w:t xml:space="preserve"> in </w:t>
      </w:r>
      <w:r w:rsidRPr="007E4B31">
        <w:fldChar w:fldCharType="begin" w:fldLock="1"/>
      </w:r>
      <w:r w:rsidRPr="007E4B31">
        <w:instrText xml:space="preserve"> REF _Ref133581385 \h </w:instrText>
      </w:r>
      <w:r w:rsidR="00370FF4" w:rsidRPr="007E4B31">
        <w:instrText xml:space="preserve"> \* MERGEFORMAT </w:instrText>
      </w:r>
      <w:r w:rsidRPr="007E4B31">
        <w:fldChar w:fldCharType="separate"/>
      </w:r>
      <w:r w:rsidR="00D3534F" w:rsidRPr="007E4B31">
        <w:t xml:space="preserve">Table </w:t>
      </w:r>
      <w:r w:rsidR="00D3534F">
        <w:rPr>
          <w:noProof/>
        </w:rPr>
        <w:t>4</w:t>
      </w:r>
      <w:r w:rsidRPr="007E4B31">
        <w:fldChar w:fldCharType="end"/>
      </w:r>
      <w:r w:rsidRPr="007E4B31">
        <w:t xml:space="preserve">. </w:t>
      </w:r>
      <w:r w:rsidR="002928F7" w:rsidRPr="007E4B31">
        <w:rPr>
          <w:iCs/>
        </w:rPr>
        <w:t xml:space="preserve">Results of Opko JPN </w:t>
      </w:r>
      <w:r w:rsidR="00F17744" w:rsidRPr="007E4B31">
        <w:rPr>
          <w:iCs/>
        </w:rPr>
        <w:t>we</w:t>
      </w:r>
      <w:r w:rsidR="002928F7" w:rsidRPr="007E4B31">
        <w:rPr>
          <w:iCs/>
        </w:rPr>
        <w:t xml:space="preserve">re not relied upon by the submission but have </w:t>
      </w:r>
      <w:proofErr w:type="gramStart"/>
      <w:r w:rsidR="002928F7" w:rsidRPr="007E4B31">
        <w:rPr>
          <w:iCs/>
        </w:rPr>
        <w:t>been presented</w:t>
      </w:r>
      <w:proofErr w:type="gramEnd"/>
      <w:r w:rsidR="002928F7" w:rsidRPr="007E4B31">
        <w:rPr>
          <w:iCs/>
        </w:rPr>
        <w:t xml:space="preserve"> for completeness.</w:t>
      </w:r>
    </w:p>
    <w:p w14:paraId="73E35C9A" w14:textId="6146EE3F" w:rsidR="00C604B7" w:rsidRPr="007E4B31" w:rsidRDefault="00C604B7" w:rsidP="00486C68">
      <w:pPr>
        <w:pStyle w:val="TableFigureHeading"/>
        <w:keepLines/>
        <w:rPr>
          <w:rStyle w:val="CommentReference"/>
          <w:b/>
          <w:szCs w:val="24"/>
        </w:rPr>
      </w:pPr>
      <w:bookmarkStart w:id="22" w:name="_Ref133581385"/>
      <w:r w:rsidRPr="007E4B31">
        <w:lastRenderedPageBreak/>
        <w:t xml:space="preserve">Table </w:t>
      </w:r>
      <w:r w:rsidR="00402BC2">
        <w:fldChar w:fldCharType="begin" w:fldLock="1"/>
      </w:r>
      <w:r w:rsidR="00402BC2">
        <w:instrText xml:space="preserve"> SEQ Table \* ARABIC </w:instrText>
      </w:r>
      <w:r w:rsidR="00402BC2">
        <w:fldChar w:fldCharType="separate"/>
      </w:r>
      <w:r w:rsidR="00D3534F">
        <w:rPr>
          <w:noProof/>
        </w:rPr>
        <w:t>4</w:t>
      </w:r>
      <w:r w:rsidR="00402BC2">
        <w:rPr>
          <w:noProof/>
        </w:rPr>
        <w:fldChar w:fldCharType="end"/>
      </w:r>
      <w:bookmarkEnd w:id="22"/>
      <w:r w:rsidRPr="007E4B31">
        <w:t>:</w:t>
      </w:r>
      <w:r w:rsidRPr="007E4B31">
        <w:rPr>
          <w:rStyle w:val="CommentReference"/>
          <w:b/>
          <w:szCs w:val="24"/>
        </w:rPr>
        <w:t xml:space="preserve"> Results of annualised HV (cm/year) at 52-weeks across the trials: continuous data</w:t>
      </w: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6"/>
        <w:gridCol w:w="1418"/>
        <w:gridCol w:w="1416"/>
        <w:gridCol w:w="1418"/>
        <w:gridCol w:w="2480"/>
      </w:tblGrid>
      <w:tr w:rsidR="005A597D" w:rsidRPr="007E4B31" w14:paraId="13378345" w14:textId="77777777" w:rsidTr="00062A22">
        <w:trPr>
          <w:trHeight w:val="20"/>
          <w:tblHeader/>
        </w:trPr>
        <w:tc>
          <w:tcPr>
            <w:tcW w:w="1316" w:type="pct"/>
            <w:vMerge w:val="restart"/>
            <w:vAlign w:val="center"/>
          </w:tcPr>
          <w:p w14:paraId="082C0215" w14:textId="77777777" w:rsidR="005A597D" w:rsidRPr="007E4B31" w:rsidRDefault="005A597D" w:rsidP="00486C68">
            <w:pPr>
              <w:pStyle w:val="In-tableHeading"/>
              <w:keepLines/>
              <w:rPr>
                <w:lang w:val="en-AU"/>
              </w:rPr>
            </w:pPr>
            <w:r w:rsidRPr="007E4B31">
              <w:rPr>
                <w:lang w:val="en-AU"/>
              </w:rPr>
              <w:t>Trial ID</w:t>
            </w:r>
          </w:p>
        </w:tc>
        <w:tc>
          <w:tcPr>
            <w:tcW w:w="776" w:type="pct"/>
            <w:vAlign w:val="center"/>
          </w:tcPr>
          <w:p w14:paraId="1B588A0A" w14:textId="61986747" w:rsidR="005A597D" w:rsidRPr="007E4B31" w:rsidRDefault="005A597D" w:rsidP="00486C68">
            <w:pPr>
              <w:pStyle w:val="In-tableHeading"/>
              <w:keepLines/>
              <w:jc w:val="center"/>
              <w:rPr>
                <w:vertAlign w:val="superscript"/>
                <w:lang w:val="en-AU"/>
              </w:rPr>
            </w:pPr>
            <w:r w:rsidRPr="007E4B31">
              <w:rPr>
                <w:iCs/>
                <w:lang w:val="en-AU"/>
              </w:rPr>
              <w:t>Somapacitan 0.16</w:t>
            </w:r>
            <w:r w:rsidR="00D32D17" w:rsidRPr="007E4B31">
              <w:rPr>
                <w:iCs/>
                <w:lang w:val="en-AU"/>
              </w:rPr>
              <w:t xml:space="preserve"> </w:t>
            </w:r>
            <w:r w:rsidRPr="007E4B31">
              <w:rPr>
                <w:iCs/>
                <w:lang w:val="en-AU"/>
              </w:rPr>
              <w:t>mg/kg/week</w:t>
            </w:r>
          </w:p>
        </w:tc>
        <w:tc>
          <w:tcPr>
            <w:tcW w:w="775" w:type="pct"/>
            <w:vAlign w:val="center"/>
          </w:tcPr>
          <w:p w14:paraId="2EB47421" w14:textId="77777777" w:rsidR="005A597D" w:rsidRPr="007E4B31" w:rsidRDefault="005A597D" w:rsidP="00486C68">
            <w:pPr>
              <w:pStyle w:val="In-tableHeading"/>
              <w:keepLines/>
              <w:jc w:val="center"/>
              <w:rPr>
                <w:iCs/>
                <w:lang w:val="en-AU"/>
              </w:rPr>
            </w:pPr>
            <w:r w:rsidRPr="007E4B31">
              <w:rPr>
                <w:iCs/>
                <w:lang w:val="en-AU"/>
              </w:rPr>
              <w:t>Somatropin</w:t>
            </w:r>
          </w:p>
          <w:p w14:paraId="5BD7EF4D" w14:textId="7A31BFCF" w:rsidR="005A597D" w:rsidRPr="007E4B31" w:rsidRDefault="005A597D" w:rsidP="00486C68">
            <w:pPr>
              <w:pStyle w:val="In-tableHeading"/>
              <w:keepLines/>
              <w:jc w:val="center"/>
              <w:rPr>
                <w:iCs/>
                <w:lang w:val="en-AU"/>
              </w:rPr>
            </w:pPr>
            <w:r w:rsidRPr="007E4B31">
              <w:rPr>
                <w:iCs/>
                <w:lang w:val="en-AU"/>
              </w:rPr>
              <w:t>0.034</w:t>
            </w:r>
            <w:r w:rsidR="00D32D17" w:rsidRPr="007E4B31">
              <w:rPr>
                <w:iCs/>
                <w:lang w:val="en-AU"/>
              </w:rPr>
              <w:t xml:space="preserve"> </w:t>
            </w:r>
            <w:r w:rsidRPr="007E4B31">
              <w:rPr>
                <w:iCs/>
                <w:lang w:val="en-AU"/>
              </w:rPr>
              <w:t>mg/kg/day</w:t>
            </w:r>
          </w:p>
        </w:tc>
        <w:tc>
          <w:tcPr>
            <w:tcW w:w="776" w:type="pct"/>
            <w:tcBorders>
              <w:right w:val="single" w:sz="4" w:space="0" w:color="auto"/>
            </w:tcBorders>
            <w:vAlign w:val="center"/>
          </w:tcPr>
          <w:p w14:paraId="06044A99" w14:textId="77777777" w:rsidR="005A597D" w:rsidRPr="007E4B31" w:rsidRDefault="005A597D" w:rsidP="00486C68">
            <w:pPr>
              <w:pStyle w:val="In-tableHeading"/>
              <w:keepLines/>
              <w:jc w:val="center"/>
              <w:rPr>
                <w:iCs/>
                <w:lang w:val="en-AU"/>
              </w:rPr>
            </w:pPr>
            <w:r w:rsidRPr="007E4B31">
              <w:rPr>
                <w:iCs/>
                <w:lang w:val="en-AU"/>
              </w:rPr>
              <w:t xml:space="preserve">Somatrogon </w:t>
            </w:r>
          </w:p>
          <w:p w14:paraId="6DAE7917" w14:textId="77777777" w:rsidR="005A597D" w:rsidRPr="007E4B31" w:rsidRDefault="005A597D" w:rsidP="00486C68">
            <w:pPr>
              <w:pStyle w:val="In-tableHeading"/>
              <w:keepLines/>
              <w:jc w:val="center"/>
              <w:rPr>
                <w:iCs/>
                <w:lang w:val="en-AU"/>
              </w:rPr>
            </w:pPr>
            <w:r w:rsidRPr="007E4B31">
              <w:rPr>
                <w:iCs/>
                <w:lang w:val="en-AU"/>
              </w:rPr>
              <w:t>0.66 mg/kg/week</w:t>
            </w:r>
          </w:p>
        </w:tc>
        <w:tc>
          <w:tcPr>
            <w:tcW w:w="1357" w:type="pct"/>
            <w:tcBorders>
              <w:top w:val="single" w:sz="4" w:space="0" w:color="auto"/>
              <w:left w:val="single" w:sz="4" w:space="0" w:color="auto"/>
              <w:bottom w:val="nil"/>
              <w:right w:val="single" w:sz="4" w:space="0" w:color="auto"/>
            </w:tcBorders>
            <w:vAlign w:val="center"/>
          </w:tcPr>
          <w:p w14:paraId="59685952" w14:textId="77777777" w:rsidR="005A597D" w:rsidRPr="007E4B31" w:rsidRDefault="005A597D" w:rsidP="00486C68">
            <w:pPr>
              <w:pStyle w:val="In-tableHeading"/>
              <w:keepLines/>
              <w:jc w:val="center"/>
              <w:rPr>
                <w:iCs/>
                <w:lang w:val="en-AU"/>
              </w:rPr>
            </w:pPr>
            <w:r w:rsidRPr="007E4B31">
              <w:rPr>
                <w:iCs/>
                <w:lang w:val="en-AU"/>
              </w:rPr>
              <w:t>Mean difference (95% CI),</w:t>
            </w:r>
          </w:p>
        </w:tc>
      </w:tr>
      <w:tr w:rsidR="005A597D" w:rsidRPr="007E4B31" w14:paraId="4BFE0789" w14:textId="77777777" w:rsidTr="00062A22">
        <w:trPr>
          <w:trHeight w:val="20"/>
          <w:tblHeader/>
        </w:trPr>
        <w:tc>
          <w:tcPr>
            <w:tcW w:w="1316" w:type="pct"/>
            <w:vMerge/>
            <w:tcBorders>
              <w:bottom w:val="single" w:sz="4" w:space="0" w:color="auto"/>
            </w:tcBorders>
            <w:vAlign w:val="center"/>
          </w:tcPr>
          <w:p w14:paraId="53B3B7CC" w14:textId="77777777" w:rsidR="005A597D" w:rsidRPr="007E4B31" w:rsidRDefault="005A597D" w:rsidP="00486C68">
            <w:pPr>
              <w:pStyle w:val="In-tableHeading"/>
              <w:keepLines/>
              <w:rPr>
                <w:lang w:val="en-AU"/>
              </w:rPr>
            </w:pPr>
          </w:p>
        </w:tc>
        <w:tc>
          <w:tcPr>
            <w:tcW w:w="2327" w:type="pct"/>
            <w:gridSpan w:val="3"/>
            <w:tcBorders>
              <w:bottom w:val="single" w:sz="4" w:space="0" w:color="auto"/>
              <w:right w:val="single" w:sz="4" w:space="0" w:color="auto"/>
            </w:tcBorders>
            <w:vAlign w:val="center"/>
          </w:tcPr>
          <w:p w14:paraId="309EDCC2" w14:textId="3DAFDE13" w:rsidR="005A597D" w:rsidRPr="007E4B31" w:rsidRDefault="00B3144D" w:rsidP="00486C68">
            <w:pPr>
              <w:pStyle w:val="In-tableHeading"/>
              <w:keepLines/>
              <w:jc w:val="center"/>
              <w:rPr>
                <w:iCs/>
                <w:lang w:val="en-AU"/>
              </w:rPr>
            </w:pPr>
            <w:r w:rsidRPr="007E4B31">
              <w:rPr>
                <w:iCs/>
                <w:lang w:val="en-AU"/>
              </w:rPr>
              <w:t>Annualised</w:t>
            </w:r>
            <w:r w:rsidR="005A597D" w:rsidRPr="007E4B31">
              <w:rPr>
                <w:iCs/>
                <w:lang w:val="en-AU"/>
              </w:rPr>
              <w:t xml:space="preserve"> HV </w:t>
            </w:r>
            <w:r w:rsidR="00D352E5" w:rsidRPr="007E4B31">
              <w:rPr>
                <w:iCs/>
                <w:lang w:val="en-AU"/>
              </w:rPr>
              <w:t xml:space="preserve">mean </w:t>
            </w:r>
            <w:r w:rsidR="005A597D" w:rsidRPr="007E4B31">
              <w:rPr>
                <w:iCs/>
                <w:lang w:val="en-AU"/>
              </w:rPr>
              <w:t>(SD) cm/year</w:t>
            </w:r>
          </w:p>
        </w:tc>
        <w:tc>
          <w:tcPr>
            <w:tcW w:w="1357" w:type="pct"/>
            <w:tcBorders>
              <w:top w:val="nil"/>
              <w:left w:val="single" w:sz="4" w:space="0" w:color="auto"/>
              <w:bottom w:val="single" w:sz="4" w:space="0" w:color="auto"/>
              <w:right w:val="single" w:sz="4" w:space="0" w:color="auto"/>
            </w:tcBorders>
            <w:vAlign w:val="center"/>
          </w:tcPr>
          <w:p w14:paraId="5987DB89" w14:textId="77777777" w:rsidR="005A597D" w:rsidRPr="007E4B31" w:rsidRDefault="005A597D" w:rsidP="00486C68">
            <w:pPr>
              <w:pStyle w:val="In-tableHeading"/>
              <w:keepLines/>
              <w:jc w:val="center"/>
              <w:rPr>
                <w:iCs/>
                <w:lang w:val="en-AU"/>
              </w:rPr>
            </w:pPr>
            <w:r w:rsidRPr="007E4B31">
              <w:rPr>
                <w:iCs/>
                <w:lang w:val="en-AU"/>
              </w:rPr>
              <w:t xml:space="preserve">p-value </w:t>
            </w:r>
            <w:r w:rsidRPr="007E4B31">
              <w:rPr>
                <w:iCs/>
                <w:vertAlign w:val="superscript"/>
                <w:lang w:val="en-AU"/>
              </w:rPr>
              <w:t>a</w:t>
            </w:r>
          </w:p>
        </w:tc>
      </w:tr>
      <w:tr w:rsidR="005A597D" w:rsidRPr="007E4B31" w14:paraId="0EB24616" w14:textId="77777777" w:rsidTr="00062A22">
        <w:trPr>
          <w:trHeight w:val="20"/>
        </w:trPr>
        <w:tc>
          <w:tcPr>
            <w:tcW w:w="1316" w:type="pct"/>
            <w:tcBorders>
              <w:top w:val="single" w:sz="4" w:space="0" w:color="auto"/>
              <w:left w:val="single" w:sz="4" w:space="0" w:color="auto"/>
              <w:bottom w:val="single" w:sz="4" w:space="0" w:color="auto"/>
              <w:right w:val="nil"/>
            </w:tcBorders>
            <w:vAlign w:val="center"/>
          </w:tcPr>
          <w:p w14:paraId="755FFCAA" w14:textId="77777777" w:rsidR="005A597D" w:rsidRPr="007E4B31" w:rsidRDefault="005A597D" w:rsidP="00486C68">
            <w:pPr>
              <w:pStyle w:val="TableText0"/>
              <w:keepLines/>
              <w:rPr>
                <w:b/>
                <w:bCs w:val="0"/>
              </w:rPr>
            </w:pPr>
            <w:r w:rsidRPr="007E4B31">
              <w:rPr>
                <w:b/>
                <w:bCs w:val="0"/>
              </w:rPr>
              <w:t>HV at 52W</w:t>
            </w:r>
          </w:p>
        </w:tc>
        <w:tc>
          <w:tcPr>
            <w:tcW w:w="776" w:type="pct"/>
            <w:tcBorders>
              <w:top w:val="single" w:sz="4" w:space="0" w:color="auto"/>
              <w:left w:val="nil"/>
              <w:bottom w:val="single" w:sz="4" w:space="0" w:color="auto"/>
              <w:right w:val="nil"/>
            </w:tcBorders>
            <w:vAlign w:val="center"/>
          </w:tcPr>
          <w:p w14:paraId="7E6D0369" w14:textId="77777777" w:rsidR="005A597D" w:rsidRPr="007E4B31" w:rsidRDefault="005A597D" w:rsidP="00486C68">
            <w:pPr>
              <w:pStyle w:val="TableText0"/>
              <w:keepLines/>
              <w:jc w:val="center"/>
              <w:rPr>
                <w:b/>
                <w:bCs w:val="0"/>
              </w:rPr>
            </w:pPr>
          </w:p>
        </w:tc>
        <w:tc>
          <w:tcPr>
            <w:tcW w:w="775" w:type="pct"/>
            <w:tcBorders>
              <w:top w:val="single" w:sz="4" w:space="0" w:color="auto"/>
              <w:left w:val="nil"/>
              <w:bottom w:val="single" w:sz="4" w:space="0" w:color="auto"/>
              <w:right w:val="nil"/>
            </w:tcBorders>
            <w:vAlign w:val="center"/>
          </w:tcPr>
          <w:p w14:paraId="3728C483" w14:textId="77777777" w:rsidR="005A597D" w:rsidRPr="007E4B31" w:rsidRDefault="005A597D" w:rsidP="00486C68">
            <w:pPr>
              <w:pStyle w:val="TableText0"/>
              <w:keepLines/>
              <w:jc w:val="center"/>
              <w:rPr>
                <w:b/>
                <w:bCs w:val="0"/>
              </w:rPr>
            </w:pPr>
          </w:p>
        </w:tc>
        <w:tc>
          <w:tcPr>
            <w:tcW w:w="776" w:type="pct"/>
            <w:tcBorders>
              <w:top w:val="single" w:sz="4" w:space="0" w:color="auto"/>
              <w:left w:val="nil"/>
              <w:bottom w:val="single" w:sz="4" w:space="0" w:color="auto"/>
              <w:right w:val="nil"/>
            </w:tcBorders>
            <w:vAlign w:val="center"/>
          </w:tcPr>
          <w:p w14:paraId="3207A8B0" w14:textId="77777777" w:rsidR="005A597D" w:rsidRPr="007E4B31" w:rsidRDefault="005A597D" w:rsidP="00486C68">
            <w:pPr>
              <w:pStyle w:val="TableText0"/>
              <w:keepLines/>
              <w:jc w:val="center"/>
              <w:rPr>
                <w:b/>
                <w:bCs w:val="0"/>
              </w:rPr>
            </w:pPr>
          </w:p>
        </w:tc>
        <w:tc>
          <w:tcPr>
            <w:tcW w:w="1357" w:type="pct"/>
            <w:tcBorders>
              <w:top w:val="single" w:sz="4" w:space="0" w:color="auto"/>
              <w:left w:val="nil"/>
              <w:bottom w:val="single" w:sz="4" w:space="0" w:color="auto"/>
              <w:right w:val="single" w:sz="4" w:space="0" w:color="auto"/>
            </w:tcBorders>
            <w:vAlign w:val="center"/>
          </w:tcPr>
          <w:p w14:paraId="6ADF2C45" w14:textId="77777777" w:rsidR="005A597D" w:rsidRPr="007E4B31" w:rsidRDefault="005A597D" w:rsidP="00486C68">
            <w:pPr>
              <w:pStyle w:val="TableText0"/>
              <w:keepLines/>
              <w:jc w:val="center"/>
              <w:rPr>
                <w:b/>
                <w:bCs w:val="0"/>
              </w:rPr>
            </w:pPr>
          </w:p>
        </w:tc>
      </w:tr>
      <w:tr w:rsidR="005A597D" w:rsidRPr="007E4B31" w14:paraId="67E061B4" w14:textId="77777777" w:rsidTr="00062A22">
        <w:trPr>
          <w:trHeight w:val="20"/>
        </w:trPr>
        <w:tc>
          <w:tcPr>
            <w:tcW w:w="1316" w:type="pct"/>
            <w:tcBorders>
              <w:top w:val="single" w:sz="4" w:space="0" w:color="auto"/>
            </w:tcBorders>
            <w:vAlign w:val="center"/>
          </w:tcPr>
          <w:p w14:paraId="68376693" w14:textId="77777777" w:rsidR="005A597D" w:rsidRPr="007E4B31" w:rsidRDefault="005A597D" w:rsidP="00486C68">
            <w:pPr>
              <w:pStyle w:val="TableText0"/>
              <w:keepLines/>
              <w:ind w:left="113"/>
            </w:pPr>
            <w:r w:rsidRPr="007E4B31">
              <w:t>REAL-3 (n=14; 14)</w:t>
            </w:r>
          </w:p>
        </w:tc>
        <w:tc>
          <w:tcPr>
            <w:tcW w:w="776" w:type="pct"/>
            <w:tcBorders>
              <w:top w:val="single" w:sz="4" w:space="0" w:color="auto"/>
            </w:tcBorders>
            <w:vAlign w:val="center"/>
          </w:tcPr>
          <w:p w14:paraId="3066F22A" w14:textId="77777777" w:rsidR="005A597D" w:rsidRPr="007E4B31" w:rsidRDefault="005A597D" w:rsidP="00486C68">
            <w:pPr>
              <w:pStyle w:val="TableText0"/>
              <w:keepLines/>
              <w:jc w:val="center"/>
            </w:pPr>
            <w:r w:rsidRPr="007E4B31">
              <w:rPr>
                <w:rFonts w:cstheme="minorHAnsi"/>
                <w:szCs w:val="14"/>
              </w:rPr>
              <w:t>11.70 (1.70</w:t>
            </w:r>
            <w:r w:rsidRPr="007E4B31">
              <w:rPr>
                <w:rFonts w:cstheme="minorHAnsi"/>
                <w:szCs w:val="14"/>
                <w:vertAlign w:val="superscript"/>
              </w:rPr>
              <w:t>b</w:t>
            </w:r>
            <w:r w:rsidRPr="007E4B31">
              <w:rPr>
                <w:rFonts w:cstheme="minorHAnsi"/>
                <w:szCs w:val="14"/>
              </w:rPr>
              <w:t>)</w:t>
            </w:r>
          </w:p>
        </w:tc>
        <w:tc>
          <w:tcPr>
            <w:tcW w:w="775" w:type="pct"/>
            <w:tcBorders>
              <w:top w:val="single" w:sz="4" w:space="0" w:color="auto"/>
            </w:tcBorders>
            <w:vAlign w:val="center"/>
          </w:tcPr>
          <w:p w14:paraId="78650A26" w14:textId="77777777" w:rsidR="005A597D" w:rsidRPr="007E4B31" w:rsidRDefault="005A597D" w:rsidP="00486C68">
            <w:pPr>
              <w:pStyle w:val="TableText0"/>
              <w:keepLines/>
              <w:jc w:val="center"/>
            </w:pPr>
            <w:r w:rsidRPr="007E4B31">
              <w:rPr>
                <w:rFonts w:cstheme="minorHAnsi"/>
                <w:szCs w:val="14"/>
              </w:rPr>
              <w:t>9.90 (1.70</w:t>
            </w:r>
            <w:r w:rsidRPr="007E4B31">
              <w:rPr>
                <w:rFonts w:cstheme="minorHAnsi"/>
                <w:szCs w:val="14"/>
                <w:vertAlign w:val="superscript"/>
              </w:rPr>
              <w:t>b</w:t>
            </w:r>
            <w:r w:rsidRPr="007E4B31">
              <w:rPr>
                <w:rFonts w:cstheme="minorHAnsi"/>
                <w:szCs w:val="14"/>
              </w:rPr>
              <w:t>)</w:t>
            </w:r>
          </w:p>
        </w:tc>
        <w:tc>
          <w:tcPr>
            <w:tcW w:w="776" w:type="pct"/>
            <w:tcBorders>
              <w:top w:val="single" w:sz="4" w:space="0" w:color="auto"/>
            </w:tcBorders>
            <w:vAlign w:val="center"/>
          </w:tcPr>
          <w:p w14:paraId="57434C4A"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tcBorders>
              <w:top w:val="single" w:sz="4" w:space="0" w:color="auto"/>
            </w:tcBorders>
            <w:vAlign w:val="center"/>
          </w:tcPr>
          <w:p w14:paraId="4BD28FB8" w14:textId="77777777" w:rsidR="005A597D" w:rsidRPr="007E4B31" w:rsidRDefault="005A597D" w:rsidP="00486C68">
            <w:pPr>
              <w:pStyle w:val="TableText0"/>
              <w:keepLines/>
              <w:jc w:val="center"/>
              <w:rPr>
                <w:b/>
                <w:bCs w:val="0"/>
              </w:rPr>
            </w:pPr>
            <w:r w:rsidRPr="007E4B31">
              <w:rPr>
                <w:rFonts w:cstheme="minorHAnsi"/>
                <w:b/>
                <w:bCs w:val="0"/>
                <w:szCs w:val="14"/>
              </w:rPr>
              <w:t>1.80 (0.5, 3.1); 0.005</w:t>
            </w:r>
          </w:p>
        </w:tc>
      </w:tr>
      <w:tr w:rsidR="005A597D" w:rsidRPr="007E4B31" w14:paraId="31DC3E66" w14:textId="77777777" w:rsidTr="00062A22">
        <w:trPr>
          <w:trHeight w:val="20"/>
        </w:trPr>
        <w:tc>
          <w:tcPr>
            <w:tcW w:w="1316" w:type="pct"/>
            <w:vAlign w:val="center"/>
          </w:tcPr>
          <w:p w14:paraId="26112AC2" w14:textId="77777777" w:rsidR="005A597D" w:rsidRPr="007E4B31" w:rsidRDefault="005A597D" w:rsidP="00486C68">
            <w:pPr>
              <w:pStyle w:val="TableText0"/>
              <w:keepLines/>
              <w:ind w:left="113"/>
            </w:pPr>
            <w:r w:rsidRPr="007E4B31">
              <w:t>REAL-4 (n=132; 68)</w:t>
            </w:r>
          </w:p>
        </w:tc>
        <w:tc>
          <w:tcPr>
            <w:tcW w:w="776" w:type="pct"/>
            <w:vAlign w:val="center"/>
          </w:tcPr>
          <w:p w14:paraId="7BA20B52" w14:textId="77777777" w:rsidR="005A597D" w:rsidRPr="007E4B31" w:rsidRDefault="005A597D" w:rsidP="00486C68">
            <w:pPr>
              <w:pStyle w:val="TableText0"/>
              <w:keepLines/>
              <w:jc w:val="center"/>
            </w:pPr>
            <w:r w:rsidRPr="007E4B31">
              <w:rPr>
                <w:rFonts w:cstheme="minorHAnsi"/>
                <w:szCs w:val="14"/>
              </w:rPr>
              <w:t>11.20 (2.20</w:t>
            </w:r>
            <w:r w:rsidRPr="007E4B31">
              <w:rPr>
                <w:rFonts w:cstheme="minorHAnsi"/>
                <w:szCs w:val="14"/>
                <w:vertAlign w:val="superscript"/>
              </w:rPr>
              <w:t>b</w:t>
            </w:r>
            <w:r w:rsidRPr="007E4B31">
              <w:rPr>
                <w:rFonts w:cstheme="minorHAnsi"/>
                <w:szCs w:val="14"/>
              </w:rPr>
              <w:t>)</w:t>
            </w:r>
          </w:p>
        </w:tc>
        <w:tc>
          <w:tcPr>
            <w:tcW w:w="775" w:type="pct"/>
            <w:vAlign w:val="center"/>
          </w:tcPr>
          <w:p w14:paraId="1299477F" w14:textId="77777777" w:rsidR="005A597D" w:rsidRPr="007E4B31" w:rsidRDefault="005A597D" w:rsidP="00486C68">
            <w:pPr>
              <w:pStyle w:val="TableText0"/>
              <w:keepLines/>
              <w:jc w:val="center"/>
            </w:pPr>
            <w:r w:rsidRPr="007E4B31">
              <w:rPr>
                <w:rFonts w:cstheme="minorHAnsi"/>
                <w:szCs w:val="14"/>
              </w:rPr>
              <w:t>11.70 (2.20</w:t>
            </w:r>
            <w:r w:rsidRPr="007E4B31">
              <w:rPr>
                <w:rFonts w:cstheme="minorHAnsi"/>
                <w:szCs w:val="14"/>
                <w:vertAlign w:val="superscript"/>
              </w:rPr>
              <w:t>b</w:t>
            </w:r>
            <w:r w:rsidRPr="007E4B31">
              <w:rPr>
                <w:rFonts w:cstheme="minorHAnsi"/>
                <w:szCs w:val="14"/>
              </w:rPr>
              <w:t>)</w:t>
            </w:r>
          </w:p>
        </w:tc>
        <w:tc>
          <w:tcPr>
            <w:tcW w:w="776" w:type="pct"/>
            <w:vAlign w:val="center"/>
          </w:tcPr>
          <w:p w14:paraId="1D588C9C"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vAlign w:val="center"/>
          </w:tcPr>
          <w:p w14:paraId="6916FC5C" w14:textId="77777777" w:rsidR="005A597D" w:rsidRPr="007E4B31" w:rsidRDefault="005A597D" w:rsidP="00486C68">
            <w:pPr>
              <w:pStyle w:val="TableText0"/>
              <w:keepLines/>
              <w:jc w:val="center"/>
            </w:pPr>
            <w:r w:rsidRPr="007E4B31">
              <w:rPr>
                <w:rFonts w:cstheme="minorHAnsi"/>
                <w:szCs w:val="14"/>
              </w:rPr>
              <w:t>–0.50 (–1.15, 0.15); 0.13</w:t>
            </w:r>
          </w:p>
        </w:tc>
      </w:tr>
      <w:tr w:rsidR="005A597D" w:rsidRPr="007E4B31" w14:paraId="00E8B4FE" w14:textId="77777777" w:rsidTr="00062A22">
        <w:trPr>
          <w:trHeight w:val="20"/>
        </w:trPr>
        <w:tc>
          <w:tcPr>
            <w:tcW w:w="1316" w:type="pct"/>
            <w:vAlign w:val="center"/>
          </w:tcPr>
          <w:p w14:paraId="695294E3" w14:textId="77777777" w:rsidR="005A597D" w:rsidRPr="007E4B31" w:rsidRDefault="005A597D" w:rsidP="00486C68">
            <w:pPr>
              <w:pStyle w:val="TableText0"/>
              <w:keepLines/>
              <w:ind w:left="113"/>
            </w:pPr>
            <w:r w:rsidRPr="007E4B31">
              <w:t>REAL-3 + REAL-4 (RE)</w:t>
            </w:r>
          </w:p>
        </w:tc>
        <w:tc>
          <w:tcPr>
            <w:tcW w:w="776" w:type="pct"/>
            <w:vAlign w:val="center"/>
          </w:tcPr>
          <w:p w14:paraId="2026AD65" w14:textId="77777777" w:rsidR="005A597D" w:rsidRPr="007E4B31" w:rsidRDefault="005A597D" w:rsidP="00486C68">
            <w:pPr>
              <w:pStyle w:val="TableText0"/>
              <w:keepLines/>
              <w:jc w:val="center"/>
              <w:rPr>
                <w:rFonts w:cstheme="minorHAnsi"/>
                <w:szCs w:val="14"/>
              </w:rPr>
            </w:pPr>
            <w:r w:rsidRPr="007E4B31">
              <w:t>-</w:t>
            </w:r>
          </w:p>
        </w:tc>
        <w:tc>
          <w:tcPr>
            <w:tcW w:w="775" w:type="pct"/>
            <w:vAlign w:val="center"/>
          </w:tcPr>
          <w:p w14:paraId="06D6C8DF" w14:textId="77777777" w:rsidR="005A597D" w:rsidRPr="007E4B31" w:rsidRDefault="005A597D" w:rsidP="00486C68">
            <w:pPr>
              <w:pStyle w:val="TableText0"/>
              <w:keepLines/>
              <w:jc w:val="center"/>
              <w:rPr>
                <w:rFonts w:cstheme="minorHAnsi"/>
                <w:szCs w:val="14"/>
              </w:rPr>
            </w:pPr>
            <w:r w:rsidRPr="007E4B31">
              <w:t>-</w:t>
            </w:r>
          </w:p>
        </w:tc>
        <w:tc>
          <w:tcPr>
            <w:tcW w:w="776" w:type="pct"/>
            <w:vAlign w:val="center"/>
          </w:tcPr>
          <w:p w14:paraId="78E4C9EE"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vAlign w:val="center"/>
          </w:tcPr>
          <w:p w14:paraId="7C23B521" w14:textId="77777777" w:rsidR="005A597D" w:rsidRPr="007E4B31" w:rsidRDefault="005A597D" w:rsidP="00486C68">
            <w:pPr>
              <w:pStyle w:val="TableText0"/>
              <w:keepLines/>
              <w:jc w:val="center"/>
              <w:rPr>
                <w:rFonts w:cstheme="minorHAnsi"/>
                <w:szCs w:val="14"/>
              </w:rPr>
            </w:pPr>
            <w:r w:rsidRPr="007E4B31">
              <w:t>0.58 (–1.67, 2.83); 0.61; I</w:t>
            </w:r>
            <w:r w:rsidRPr="007E4B31">
              <w:rPr>
                <w:vertAlign w:val="superscript"/>
              </w:rPr>
              <w:t>2</w:t>
            </w:r>
            <w:r w:rsidRPr="007E4B31">
              <w:t>=90%</w:t>
            </w:r>
          </w:p>
        </w:tc>
      </w:tr>
      <w:tr w:rsidR="005A597D" w:rsidRPr="007E4B31" w14:paraId="46D9DDDF" w14:textId="77777777" w:rsidTr="00062A22">
        <w:trPr>
          <w:trHeight w:val="20"/>
        </w:trPr>
        <w:tc>
          <w:tcPr>
            <w:tcW w:w="1316" w:type="pct"/>
            <w:vAlign w:val="center"/>
          </w:tcPr>
          <w:p w14:paraId="7A742D71" w14:textId="77777777" w:rsidR="005A597D" w:rsidRPr="007E4B31" w:rsidRDefault="005A597D" w:rsidP="00486C68">
            <w:pPr>
              <w:pStyle w:val="TableText0"/>
              <w:keepLines/>
              <w:ind w:left="113"/>
            </w:pPr>
            <w:r w:rsidRPr="007E4B31">
              <w:t>REAL-3 + REAL-4 (FE)</w:t>
            </w:r>
          </w:p>
        </w:tc>
        <w:tc>
          <w:tcPr>
            <w:tcW w:w="776" w:type="pct"/>
            <w:vAlign w:val="center"/>
          </w:tcPr>
          <w:p w14:paraId="56003898" w14:textId="77777777" w:rsidR="005A597D" w:rsidRPr="007E4B31" w:rsidRDefault="005A597D" w:rsidP="00486C68">
            <w:pPr>
              <w:pStyle w:val="TableText0"/>
              <w:keepLines/>
              <w:jc w:val="center"/>
              <w:rPr>
                <w:rFonts w:cstheme="minorHAnsi"/>
                <w:szCs w:val="14"/>
              </w:rPr>
            </w:pPr>
            <w:r w:rsidRPr="007E4B31">
              <w:t>-</w:t>
            </w:r>
          </w:p>
        </w:tc>
        <w:tc>
          <w:tcPr>
            <w:tcW w:w="775" w:type="pct"/>
            <w:vAlign w:val="center"/>
          </w:tcPr>
          <w:p w14:paraId="6187FDDA" w14:textId="77777777" w:rsidR="005A597D" w:rsidRPr="007E4B31" w:rsidRDefault="005A597D" w:rsidP="00486C68">
            <w:pPr>
              <w:pStyle w:val="TableText0"/>
              <w:keepLines/>
              <w:jc w:val="center"/>
              <w:rPr>
                <w:rFonts w:cstheme="minorHAnsi"/>
                <w:szCs w:val="14"/>
              </w:rPr>
            </w:pPr>
            <w:r w:rsidRPr="007E4B31">
              <w:t>-</w:t>
            </w:r>
          </w:p>
        </w:tc>
        <w:tc>
          <w:tcPr>
            <w:tcW w:w="776" w:type="pct"/>
            <w:vAlign w:val="center"/>
          </w:tcPr>
          <w:p w14:paraId="39227DD8"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vAlign w:val="center"/>
          </w:tcPr>
          <w:p w14:paraId="7B42A5A6" w14:textId="77777777" w:rsidR="005A597D" w:rsidRPr="007E4B31" w:rsidRDefault="005A597D" w:rsidP="00486C68">
            <w:pPr>
              <w:pStyle w:val="TableText0"/>
              <w:keepLines/>
              <w:jc w:val="center"/>
              <w:rPr>
                <w:rFonts w:cstheme="minorHAnsi"/>
                <w:szCs w:val="14"/>
              </w:rPr>
            </w:pPr>
            <w:r w:rsidRPr="007E4B31">
              <w:t>–0.02 (–0.60, 0.55); 0.94; I</w:t>
            </w:r>
            <w:r w:rsidRPr="007E4B31">
              <w:rPr>
                <w:vertAlign w:val="superscript"/>
              </w:rPr>
              <w:t>2</w:t>
            </w:r>
            <w:r w:rsidRPr="007E4B31">
              <w:t>=90%</w:t>
            </w:r>
          </w:p>
        </w:tc>
      </w:tr>
      <w:tr w:rsidR="005A597D" w:rsidRPr="007E4B31" w14:paraId="563BF76D" w14:textId="77777777" w:rsidTr="00062A22">
        <w:trPr>
          <w:trHeight w:val="20"/>
        </w:trPr>
        <w:tc>
          <w:tcPr>
            <w:tcW w:w="1316" w:type="pct"/>
            <w:vAlign w:val="center"/>
          </w:tcPr>
          <w:p w14:paraId="2F218490" w14:textId="77777777" w:rsidR="005A597D" w:rsidRPr="007E4B31" w:rsidRDefault="005A597D" w:rsidP="00486C68">
            <w:pPr>
              <w:pStyle w:val="TableText0"/>
              <w:keepLines/>
              <w:ind w:left="113"/>
            </w:pPr>
            <w:r w:rsidRPr="007E4B31">
              <w:t>Opko II (n=14; 11)</w:t>
            </w:r>
          </w:p>
        </w:tc>
        <w:tc>
          <w:tcPr>
            <w:tcW w:w="776" w:type="pct"/>
            <w:vAlign w:val="center"/>
          </w:tcPr>
          <w:p w14:paraId="33E745E8" w14:textId="77777777" w:rsidR="005A597D" w:rsidRPr="007E4B31" w:rsidRDefault="005A597D" w:rsidP="00486C68">
            <w:pPr>
              <w:pStyle w:val="TableText0"/>
              <w:keepLines/>
              <w:jc w:val="center"/>
            </w:pPr>
            <w:r w:rsidRPr="007E4B31">
              <w:rPr>
                <w:rFonts w:cstheme="minorHAnsi"/>
                <w:szCs w:val="14"/>
              </w:rPr>
              <w:t>-</w:t>
            </w:r>
          </w:p>
        </w:tc>
        <w:tc>
          <w:tcPr>
            <w:tcW w:w="775" w:type="pct"/>
            <w:shd w:val="clear" w:color="auto" w:fill="C6D9F1" w:themeFill="text2" w:themeFillTint="33"/>
            <w:vAlign w:val="center"/>
          </w:tcPr>
          <w:p w14:paraId="4A719498" w14:textId="77777777" w:rsidR="005A597D" w:rsidRPr="007E4B31" w:rsidRDefault="005A597D" w:rsidP="00486C68">
            <w:pPr>
              <w:pStyle w:val="TableText0"/>
              <w:keepLines/>
              <w:jc w:val="center"/>
            </w:pPr>
            <w:r w:rsidRPr="007E4B31">
              <w:rPr>
                <w:rFonts w:cstheme="minorHAnsi"/>
                <w:szCs w:val="14"/>
              </w:rPr>
              <w:t>12.50 (2.10)</w:t>
            </w:r>
          </w:p>
        </w:tc>
        <w:tc>
          <w:tcPr>
            <w:tcW w:w="776" w:type="pct"/>
            <w:vAlign w:val="center"/>
          </w:tcPr>
          <w:p w14:paraId="025E77B8" w14:textId="77777777" w:rsidR="005A597D" w:rsidRPr="007E4B31" w:rsidRDefault="005A597D" w:rsidP="00486C68">
            <w:pPr>
              <w:pStyle w:val="TableText0"/>
              <w:keepLines/>
              <w:jc w:val="center"/>
              <w:rPr>
                <w:rFonts w:cstheme="minorHAnsi"/>
                <w:szCs w:val="14"/>
              </w:rPr>
            </w:pPr>
            <w:r w:rsidRPr="007E4B31">
              <w:rPr>
                <w:rFonts w:cstheme="minorHAnsi"/>
                <w:szCs w:val="14"/>
              </w:rPr>
              <w:t xml:space="preserve">11.93 (3.50) </w:t>
            </w:r>
            <w:r w:rsidRPr="007E4B31">
              <w:rPr>
                <w:rFonts w:cstheme="minorHAnsi"/>
                <w:szCs w:val="14"/>
                <w:vertAlign w:val="superscript"/>
              </w:rPr>
              <w:t>c</w:t>
            </w:r>
          </w:p>
        </w:tc>
        <w:tc>
          <w:tcPr>
            <w:tcW w:w="1357" w:type="pct"/>
            <w:vAlign w:val="center"/>
          </w:tcPr>
          <w:p w14:paraId="7D2381EA" w14:textId="77777777" w:rsidR="005A597D" w:rsidRPr="007E4B31" w:rsidRDefault="005A597D" w:rsidP="00486C68">
            <w:pPr>
              <w:pStyle w:val="TableText0"/>
              <w:keepLines/>
              <w:jc w:val="center"/>
              <w:rPr>
                <w:vertAlign w:val="superscript"/>
              </w:rPr>
            </w:pPr>
            <w:r w:rsidRPr="007E4B31">
              <w:rPr>
                <w:rFonts w:cstheme="minorHAnsi"/>
                <w:szCs w:val="14"/>
              </w:rPr>
              <w:t>–0.57 (–2.78, 1.64); 0.6</w:t>
            </w:r>
            <w:r w:rsidRPr="007E4B31">
              <w:rPr>
                <w:rFonts w:cstheme="minorHAnsi"/>
                <w:szCs w:val="14"/>
                <w:vertAlign w:val="superscript"/>
              </w:rPr>
              <w:t>b</w:t>
            </w:r>
          </w:p>
        </w:tc>
      </w:tr>
      <w:tr w:rsidR="005A597D" w:rsidRPr="007E4B31" w14:paraId="514DBD71" w14:textId="77777777" w:rsidTr="00062A22">
        <w:trPr>
          <w:trHeight w:val="20"/>
        </w:trPr>
        <w:tc>
          <w:tcPr>
            <w:tcW w:w="1316" w:type="pct"/>
            <w:vAlign w:val="center"/>
          </w:tcPr>
          <w:p w14:paraId="55900675" w14:textId="77777777" w:rsidR="005A597D" w:rsidRPr="007E4B31" w:rsidRDefault="005A597D" w:rsidP="00486C68">
            <w:pPr>
              <w:pStyle w:val="TableText0"/>
              <w:keepLines/>
              <w:ind w:left="113"/>
            </w:pPr>
            <w:r w:rsidRPr="007E4B31">
              <w:t>Opko III (n=109; 115)</w:t>
            </w:r>
          </w:p>
        </w:tc>
        <w:tc>
          <w:tcPr>
            <w:tcW w:w="776" w:type="pct"/>
            <w:vAlign w:val="center"/>
          </w:tcPr>
          <w:p w14:paraId="1154ABFF" w14:textId="77777777" w:rsidR="005A597D" w:rsidRPr="007E4B31" w:rsidRDefault="005A597D" w:rsidP="00486C68">
            <w:pPr>
              <w:pStyle w:val="TableText0"/>
              <w:keepLines/>
              <w:jc w:val="center"/>
            </w:pPr>
            <w:r w:rsidRPr="007E4B31">
              <w:rPr>
                <w:rFonts w:cstheme="minorHAnsi"/>
                <w:szCs w:val="14"/>
              </w:rPr>
              <w:t>-</w:t>
            </w:r>
          </w:p>
        </w:tc>
        <w:tc>
          <w:tcPr>
            <w:tcW w:w="775" w:type="pct"/>
            <w:shd w:val="clear" w:color="auto" w:fill="C6D9F1" w:themeFill="text2" w:themeFillTint="33"/>
            <w:vAlign w:val="center"/>
          </w:tcPr>
          <w:p w14:paraId="785701EB" w14:textId="77777777" w:rsidR="005A597D" w:rsidRPr="007E4B31" w:rsidRDefault="005A597D" w:rsidP="00486C68">
            <w:pPr>
              <w:pStyle w:val="TableText0"/>
              <w:keepLines/>
              <w:jc w:val="center"/>
            </w:pPr>
            <w:r w:rsidRPr="007E4B31">
              <w:rPr>
                <w:rFonts w:cstheme="minorHAnsi"/>
                <w:szCs w:val="14"/>
              </w:rPr>
              <w:t>9.78 (2.70</w:t>
            </w:r>
            <w:r w:rsidRPr="007E4B31">
              <w:rPr>
                <w:rFonts w:cstheme="minorHAnsi"/>
                <w:szCs w:val="14"/>
                <w:vertAlign w:val="superscript"/>
              </w:rPr>
              <w:t>b</w:t>
            </w:r>
            <w:r w:rsidRPr="007E4B31">
              <w:rPr>
                <w:rFonts w:cstheme="minorHAnsi"/>
                <w:szCs w:val="14"/>
              </w:rPr>
              <w:t>)</w:t>
            </w:r>
          </w:p>
        </w:tc>
        <w:tc>
          <w:tcPr>
            <w:tcW w:w="776" w:type="pct"/>
            <w:shd w:val="clear" w:color="auto" w:fill="C6D9F1" w:themeFill="text2" w:themeFillTint="33"/>
            <w:vAlign w:val="center"/>
          </w:tcPr>
          <w:p w14:paraId="3CF17B9F" w14:textId="77777777" w:rsidR="005A597D" w:rsidRPr="007E4B31" w:rsidRDefault="005A597D" w:rsidP="00486C68">
            <w:pPr>
              <w:pStyle w:val="TableText0"/>
              <w:keepLines/>
              <w:jc w:val="center"/>
              <w:rPr>
                <w:rFonts w:cstheme="minorHAnsi"/>
                <w:szCs w:val="14"/>
              </w:rPr>
            </w:pPr>
            <w:r w:rsidRPr="007E4B31">
              <w:rPr>
                <w:rFonts w:cstheme="minorHAnsi"/>
                <w:szCs w:val="14"/>
              </w:rPr>
              <w:t>10.10 (2.8</w:t>
            </w:r>
            <w:r w:rsidRPr="007E4B31">
              <w:rPr>
                <w:rFonts w:cstheme="minorHAnsi"/>
                <w:szCs w:val="14"/>
                <w:vertAlign w:val="superscript"/>
              </w:rPr>
              <w:t>b</w:t>
            </w:r>
            <w:r w:rsidRPr="007E4B31">
              <w:rPr>
                <w:rFonts w:cstheme="minorHAnsi"/>
                <w:szCs w:val="14"/>
              </w:rPr>
              <w:t>)</w:t>
            </w:r>
          </w:p>
        </w:tc>
        <w:tc>
          <w:tcPr>
            <w:tcW w:w="1357" w:type="pct"/>
            <w:vAlign w:val="center"/>
          </w:tcPr>
          <w:p w14:paraId="1720684B" w14:textId="77777777" w:rsidR="005A597D" w:rsidRPr="007E4B31" w:rsidRDefault="005A597D" w:rsidP="00486C68">
            <w:pPr>
              <w:pStyle w:val="TableText0"/>
              <w:keepLines/>
              <w:jc w:val="center"/>
              <w:rPr>
                <w:vertAlign w:val="superscript"/>
              </w:rPr>
            </w:pPr>
            <w:r w:rsidRPr="007E4B31">
              <w:rPr>
                <w:rFonts w:cstheme="minorHAnsi"/>
                <w:szCs w:val="14"/>
              </w:rPr>
              <w:t>0.32 (–0.39, 1.03); 0.38</w:t>
            </w:r>
            <w:r w:rsidRPr="007E4B31">
              <w:rPr>
                <w:rFonts w:cstheme="minorHAnsi"/>
                <w:szCs w:val="14"/>
                <w:vertAlign w:val="superscript"/>
              </w:rPr>
              <w:t>b d</w:t>
            </w:r>
          </w:p>
        </w:tc>
      </w:tr>
      <w:tr w:rsidR="005A597D" w:rsidRPr="007E4B31" w14:paraId="70B8AC0A" w14:textId="77777777" w:rsidTr="00062A22">
        <w:trPr>
          <w:trHeight w:val="20"/>
        </w:trPr>
        <w:tc>
          <w:tcPr>
            <w:tcW w:w="1316" w:type="pct"/>
            <w:vAlign w:val="center"/>
          </w:tcPr>
          <w:p w14:paraId="2E697ABC" w14:textId="77777777" w:rsidR="005A597D" w:rsidRPr="007E4B31" w:rsidRDefault="005A597D" w:rsidP="00486C68">
            <w:pPr>
              <w:pStyle w:val="TableText0"/>
              <w:keepLines/>
              <w:ind w:left="113"/>
            </w:pPr>
            <w:r w:rsidRPr="007E4B31">
              <w:t>Opko JPN (n=22; 21)</w:t>
            </w:r>
          </w:p>
        </w:tc>
        <w:tc>
          <w:tcPr>
            <w:tcW w:w="776" w:type="pct"/>
            <w:vAlign w:val="center"/>
          </w:tcPr>
          <w:p w14:paraId="1F963A3E" w14:textId="77777777" w:rsidR="005A597D" w:rsidRPr="007E4B31" w:rsidRDefault="005A597D" w:rsidP="00486C68">
            <w:pPr>
              <w:pStyle w:val="TableText0"/>
              <w:keepLines/>
              <w:jc w:val="center"/>
            </w:pPr>
            <w:r w:rsidRPr="007E4B31">
              <w:rPr>
                <w:rFonts w:cstheme="minorHAnsi"/>
                <w:szCs w:val="14"/>
              </w:rPr>
              <w:t>-</w:t>
            </w:r>
          </w:p>
        </w:tc>
        <w:tc>
          <w:tcPr>
            <w:tcW w:w="775" w:type="pct"/>
            <w:shd w:val="clear" w:color="auto" w:fill="C6D9F1" w:themeFill="text2" w:themeFillTint="33"/>
            <w:vAlign w:val="center"/>
          </w:tcPr>
          <w:p w14:paraId="61451BFC" w14:textId="77777777" w:rsidR="005A597D" w:rsidRPr="007E4B31" w:rsidRDefault="005A597D" w:rsidP="00486C68">
            <w:pPr>
              <w:pStyle w:val="TableText0"/>
              <w:keepLines/>
              <w:jc w:val="center"/>
            </w:pPr>
            <w:r w:rsidRPr="007E4B31">
              <w:rPr>
                <w:rFonts w:cstheme="minorHAnsi"/>
                <w:szCs w:val="14"/>
              </w:rPr>
              <w:t>7.87</w:t>
            </w:r>
            <w:r w:rsidRPr="007E4B31">
              <w:rPr>
                <w:rFonts w:cstheme="minorHAnsi"/>
                <w:szCs w:val="14"/>
                <w:vertAlign w:val="superscript"/>
              </w:rPr>
              <w:t>e</w:t>
            </w:r>
            <w:r w:rsidRPr="007E4B31">
              <w:rPr>
                <w:rFonts w:cstheme="minorHAnsi"/>
                <w:szCs w:val="14"/>
              </w:rPr>
              <w:t xml:space="preserve"> (NR)</w:t>
            </w:r>
          </w:p>
        </w:tc>
        <w:tc>
          <w:tcPr>
            <w:tcW w:w="776" w:type="pct"/>
            <w:shd w:val="clear" w:color="auto" w:fill="C6D9F1" w:themeFill="text2" w:themeFillTint="33"/>
            <w:vAlign w:val="center"/>
          </w:tcPr>
          <w:p w14:paraId="334F8CFB" w14:textId="77777777" w:rsidR="005A597D" w:rsidRPr="007E4B31" w:rsidRDefault="005A597D" w:rsidP="00486C68">
            <w:pPr>
              <w:pStyle w:val="TableText0"/>
              <w:keepLines/>
              <w:jc w:val="center"/>
              <w:rPr>
                <w:rFonts w:cstheme="minorHAnsi"/>
                <w:szCs w:val="14"/>
              </w:rPr>
            </w:pPr>
            <w:r w:rsidRPr="007E4B31">
              <w:rPr>
                <w:rFonts w:cstheme="minorHAnsi"/>
                <w:szCs w:val="14"/>
              </w:rPr>
              <w:t>9.65</w:t>
            </w:r>
            <w:r w:rsidRPr="007E4B31">
              <w:rPr>
                <w:rFonts w:cstheme="minorHAnsi"/>
                <w:szCs w:val="14"/>
                <w:vertAlign w:val="superscript"/>
              </w:rPr>
              <w:t>e</w:t>
            </w:r>
            <w:r w:rsidRPr="007E4B31">
              <w:rPr>
                <w:rFonts w:cstheme="minorHAnsi"/>
                <w:szCs w:val="14"/>
              </w:rPr>
              <w:t xml:space="preserve"> (NR)</w:t>
            </w:r>
          </w:p>
        </w:tc>
        <w:tc>
          <w:tcPr>
            <w:tcW w:w="1357" w:type="pct"/>
            <w:shd w:val="clear" w:color="auto" w:fill="C6D9F1" w:themeFill="text2" w:themeFillTint="33"/>
            <w:vAlign w:val="center"/>
          </w:tcPr>
          <w:p w14:paraId="0DE04B62" w14:textId="77777777" w:rsidR="005A597D" w:rsidRPr="007E4B31" w:rsidRDefault="005A597D" w:rsidP="00486C68">
            <w:pPr>
              <w:pStyle w:val="TableText0"/>
              <w:keepLines/>
              <w:jc w:val="center"/>
            </w:pPr>
            <w:r w:rsidRPr="007E4B31">
              <w:rPr>
                <w:rFonts w:cstheme="minorHAnsi"/>
                <w:szCs w:val="14"/>
              </w:rPr>
              <w:t>1.79 (0.97, 2.61); NR</w:t>
            </w:r>
          </w:p>
        </w:tc>
      </w:tr>
      <w:tr w:rsidR="005A597D" w:rsidRPr="007E4B31" w14:paraId="51A41863" w14:textId="77777777" w:rsidTr="00062A22">
        <w:trPr>
          <w:trHeight w:val="20"/>
        </w:trPr>
        <w:tc>
          <w:tcPr>
            <w:tcW w:w="1316" w:type="pct"/>
            <w:vAlign w:val="center"/>
          </w:tcPr>
          <w:p w14:paraId="77ACF9BC" w14:textId="77777777" w:rsidR="005A597D" w:rsidRPr="007E4B31" w:rsidRDefault="005A597D" w:rsidP="00486C68">
            <w:pPr>
              <w:pStyle w:val="TableText0"/>
              <w:keepLines/>
              <w:ind w:left="113"/>
            </w:pPr>
            <w:r w:rsidRPr="007E4B31">
              <w:t>Opko II + Opko III (RE)</w:t>
            </w:r>
          </w:p>
        </w:tc>
        <w:tc>
          <w:tcPr>
            <w:tcW w:w="776" w:type="pct"/>
            <w:vAlign w:val="center"/>
          </w:tcPr>
          <w:p w14:paraId="41F5961C" w14:textId="77777777" w:rsidR="005A597D" w:rsidRPr="007E4B31" w:rsidRDefault="005A597D" w:rsidP="00486C68">
            <w:pPr>
              <w:pStyle w:val="TableText0"/>
              <w:keepLines/>
              <w:jc w:val="center"/>
              <w:rPr>
                <w:rFonts w:cstheme="minorHAnsi"/>
                <w:szCs w:val="14"/>
              </w:rPr>
            </w:pPr>
            <w:r w:rsidRPr="007E4B31">
              <w:t>-</w:t>
            </w:r>
          </w:p>
        </w:tc>
        <w:tc>
          <w:tcPr>
            <w:tcW w:w="775" w:type="pct"/>
            <w:vAlign w:val="center"/>
          </w:tcPr>
          <w:p w14:paraId="058C90E8" w14:textId="77777777" w:rsidR="005A597D" w:rsidRPr="007E4B31" w:rsidRDefault="005A597D" w:rsidP="00486C68">
            <w:pPr>
              <w:pStyle w:val="TableText0"/>
              <w:keepLines/>
              <w:jc w:val="center"/>
              <w:rPr>
                <w:rFonts w:cstheme="minorHAnsi"/>
                <w:szCs w:val="14"/>
              </w:rPr>
            </w:pPr>
            <w:r w:rsidRPr="007E4B31">
              <w:t>-</w:t>
            </w:r>
          </w:p>
        </w:tc>
        <w:tc>
          <w:tcPr>
            <w:tcW w:w="776" w:type="pct"/>
            <w:vAlign w:val="center"/>
          </w:tcPr>
          <w:p w14:paraId="7C9FDADC"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vAlign w:val="center"/>
          </w:tcPr>
          <w:p w14:paraId="1B9C2E2C" w14:textId="77777777" w:rsidR="005A597D" w:rsidRPr="007E4B31" w:rsidRDefault="005A597D" w:rsidP="00486C68">
            <w:pPr>
              <w:pStyle w:val="TableText0"/>
              <w:keepLines/>
              <w:jc w:val="center"/>
              <w:rPr>
                <w:rFonts w:cstheme="minorHAnsi"/>
                <w:szCs w:val="14"/>
              </w:rPr>
            </w:pPr>
            <w:r w:rsidRPr="007E4B31">
              <w:t>0.24 (–0.44, 0.92); 0.50; I</w:t>
            </w:r>
            <w:r w:rsidRPr="007E4B31">
              <w:rPr>
                <w:vertAlign w:val="superscript"/>
              </w:rPr>
              <w:t>2</w:t>
            </w:r>
            <w:r w:rsidRPr="007E4B31">
              <w:t>=0%</w:t>
            </w:r>
          </w:p>
        </w:tc>
      </w:tr>
      <w:tr w:rsidR="005A597D" w:rsidRPr="007E4B31" w14:paraId="4F22BC08" w14:textId="77777777" w:rsidTr="00062A22">
        <w:trPr>
          <w:trHeight w:val="20"/>
        </w:trPr>
        <w:tc>
          <w:tcPr>
            <w:tcW w:w="1316" w:type="pct"/>
            <w:tcBorders>
              <w:bottom w:val="single" w:sz="4" w:space="0" w:color="auto"/>
            </w:tcBorders>
            <w:vAlign w:val="center"/>
          </w:tcPr>
          <w:p w14:paraId="1F4875F8" w14:textId="77777777" w:rsidR="005A597D" w:rsidRPr="007E4B31" w:rsidRDefault="005A597D" w:rsidP="00486C68">
            <w:pPr>
              <w:pStyle w:val="TableText0"/>
              <w:keepLines/>
              <w:ind w:left="113"/>
            </w:pPr>
            <w:r w:rsidRPr="007E4B31">
              <w:t>Opko II + Opko III (FE)</w:t>
            </w:r>
          </w:p>
        </w:tc>
        <w:tc>
          <w:tcPr>
            <w:tcW w:w="776" w:type="pct"/>
            <w:tcBorders>
              <w:bottom w:val="single" w:sz="4" w:space="0" w:color="auto"/>
            </w:tcBorders>
            <w:vAlign w:val="center"/>
          </w:tcPr>
          <w:p w14:paraId="39E26311" w14:textId="77777777" w:rsidR="005A597D" w:rsidRPr="007E4B31" w:rsidRDefault="005A597D" w:rsidP="00486C68">
            <w:pPr>
              <w:pStyle w:val="TableText0"/>
              <w:keepLines/>
              <w:jc w:val="center"/>
              <w:rPr>
                <w:rFonts w:cstheme="minorHAnsi"/>
                <w:szCs w:val="14"/>
              </w:rPr>
            </w:pPr>
            <w:r w:rsidRPr="007E4B31">
              <w:t>-</w:t>
            </w:r>
          </w:p>
        </w:tc>
        <w:tc>
          <w:tcPr>
            <w:tcW w:w="775" w:type="pct"/>
            <w:tcBorders>
              <w:bottom w:val="single" w:sz="4" w:space="0" w:color="auto"/>
            </w:tcBorders>
            <w:vAlign w:val="center"/>
          </w:tcPr>
          <w:p w14:paraId="3CFF50F4" w14:textId="77777777" w:rsidR="005A597D" w:rsidRPr="007E4B31" w:rsidRDefault="005A597D" w:rsidP="00486C68">
            <w:pPr>
              <w:pStyle w:val="TableText0"/>
              <w:keepLines/>
              <w:jc w:val="center"/>
              <w:rPr>
                <w:rFonts w:cstheme="minorHAnsi"/>
                <w:szCs w:val="14"/>
              </w:rPr>
            </w:pPr>
            <w:r w:rsidRPr="007E4B31">
              <w:t>-</w:t>
            </w:r>
          </w:p>
        </w:tc>
        <w:tc>
          <w:tcPr>
            <w:tcW w:w="776" w:type="pct"/>
            <w:tcBorders>
              <w:bottom w:val="single" w:sz="4" w:space="0" w:color="auto"/>
            </w:tcBorders>
            <w:vAlign w:val="center"/>
          </w:tcPr>
          <w:p w14:paraId="29D168F3"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tcBorders>
              <w:bottom w:val="single" w:sz="4" w:space="0" w:color="auto"/>
            </w:tcBorders>
            <w:vAlign w:val="center"/>
          </w:tcPr>
          <w:p w14:paraId="61B3F09E" w14:textId="77777777" w:rsidR="005A597D" w:rsidRPr="007E4B31" w:rsidRDefault="005A597D" w:rsidP="00486C68">
            <w:pPr>
              <w:pStyle w:val="TableText0"/>
              <w:keepLines/>
              <w:jc w:val="center"/>
              <w:rPr>
                <w:rFonts w:cstheme="minorHAnsi"/>
                <w:szCs w:val="14"/>
              </w:rPr>
            </w:pPr>
            <w:r w:rsidRPr="007E4B31">
              <w:t>0.24 (–0.44, 0.92); 0.50; I</w:t>
            </w:r>
            <w:r w:rsidRPr="007E4B31">
              <w:rPr>
                <w:vertAlign w:val="superscript"/>
              </w:rPr>
              <w:t>2</w:t>
            </w:r>
            <w:r w:rsidRPr="007E4B31">
              <w:t>=0%</w:t>
            </w:r>
          </w:p>
        </w:tc>
      </w:tr>
      <w:tr w:rsidR="005A597D" w:rsidRPr="007E4B31" w14:paraId="6D6A8385" w14:textId="77777777" w:rsidTr="00062A22">
        <w:trPr>
          <w:trHeight w:val="20"/>
        </w:trPr>
        <w:tc>
          <w:tcPr>
            <w:tcW w:w="1316" w:type="pct"/>
            <w:tcBorders>
              <w:top w:val="single" w:sz="4" w:space="0" w:color="auto"/>
              <w:left w:val="single" w:sz="4" w:space="0" w:color="auto"/>
              <w:bottom w:val="single" w:sz="4" w:space="0" w:color="auto"/>
              <w:right w:val="nil"/>
            </w:tcBorders>
            <w:vAlign w:val="center"/>
          </w:tcPr>
          <w:p w14:paraId="0294688F" w14:textId="77777777" w:rsidR="005A597D" w:rsidRPr="007E4B31" w:rsidRDefault="005A597D" w:rsidP="00486C68">
            <w:pPr>
              <w:pStyle w:val="TableText0"/>
              <w:keepLines/>
              <w:ind w:left="113"/>
              <w:rPr>
                <w:b/>
                <w:bCs w:val="0"/>
              </w:rPr>
            </w:pPr>
            <w:r w:rsidRPr="007E4B31">
              <w:rPr>
                <w:b/>
                <w:bCs w:val="0"/>
              </w:rPr>
              <w:t>Indirect comparison</w:t>
            </w:r>
          </w:p>
        </w:tc>
        <w:tc>
          <w:tcPr>
            <w:tcW w:w="776" w:type="pct"/>
            <w:tcBorders>
              <w:top w:val="single" w:sz="4" w:space="0" w:color="auto"/>
              <w:left w:val="nil"/>
              <w:bottom w:val="single" w:sz="4" w:space="0" w:color="auto"/>
              <w:right w:val="nil"/>
            </w:tcBorders>
            <w:vAlign w:val="center"/>
          </w:tcPr>
          <w:p w14:paraId="127BEDC6" w14:textId="77777777" w:rsidR="005A597D" w:rsidRPr="007E4B31" w:rsidRDefault="005A597D" w:rsidP="00486C68">
            <w:pPr>
              <w:pStyle w:val="TableText0"/>
              <w:keepLines/>
              <w:jc w:val="center"/>
            </w:pPr>
          </w:p>
        </w:tc>
        <w:tc>
          <w:tcPr>
            <w:tcW w:w="775" w:type="pct"/>
            <w:tcBorders>
              <w:top w:val="single" w:sz="4" w:space="0" w:color="auto"/>
              <w:left w:val="nil"/>
              <w:bottom w:val="single" w:sz="4" w:space="0" w:color="auto"/>
              <w:right w:val="nil"/>
            </w:tcBorders>
            <w:vAlign w:val="center"/>
          </w:tcPr>
          <w:p w14:paraId="375D84C6" w14:textId="77777777" w:rsidR="005A597D" w:rsidRPr="007E4B31" w:rsidRDefault="005A597D" w:rsidP="00486C68">
            <w:pPr>
              <w:pStyle w:val="TableText0"/>
              <w:keepLines/>
              <w:jc w:val="center"/>
            </w:pPr>
          </w:p>
        </w:tc>
        <w:tc>
          <w:tcPr>
            <w:tcW w:w="776" w:type="pct"/>
            <w:tcBorders>
              <w:top w:val="single" w:sz="4" w:space="0" w:color="auto"/>
              <w:left w:val="nil"/>
              <w:bottom w:val="single" w:sz="4" w:space="0" w:color="auto"/>
              <w:right w:val="nil"/>
            </w:tcBorders>
            <w:vAlign w:val="center"/>
          </w:tcPr>
          <w:p w14:paraId="19BB611F" w14:textId="77777777" w:rsidR="005A597D" w:rsidRPr="007E4B31" w:rsidRDefault="005A597D" w:rsidP="00486C68">
            <w:pPr>
              <w:pStyle w:val="TableText0"/>
              <w:keepLines/>
              <w:jc w:val="center"/>
              <w:rPr>
                <w:rFonts w:cstheme="minorHAnsi"/>
                <w:szCs w:val="14"/>
              </w:rPr>
            </w:pPr>
          </w:p>
        </w:tc>
        <w:tc>
          <w:tcPr>
            <w:tcW w:w="1357" w:type="pct"/>
            <w:tcBorders>
              <w:top w:val="single" w:sz="4" w:space="0" w:color="auto"/>
              <w:left w:val="nil"/>
              <w:bottom w:val="single" w:sz="4" w:space="0" w:color="auto"/>
              <w:right w:val="single" w:sz="4" w:space="0" w:color="auto"/>
            </w:tcBorders>
            <w:vAlign w:val="center"/>
          </w:tcPr>
          <w:p w14:paraId="448996C9" w14:textId="77777777" w:rsidR="005A597D" w:rsidRPr="007E4B31" w:rsidRDefault="005A597D" w:rsidP="00486C68">
            <w:pPr>
              <w:pStyle w:val="TableText0"/>
              <w:keepLines/>
              <w:jc w:val="center"/>
            </w:pPr>
          </w:p>
        </w:tc>
      </w:tr>
      <w:tr w:rsidR="005A597D" w:rsidRPr="007E4B31" w14:paraId="2E19535E" w14:textId="77777777" w:rsidTr="00062A22">
        <w:trPr>
          <w:trHeight w:val="20"/>
        </w:trPr>
        <w:tc>
          <w:tcPr>
            <w:tcW w:w="1316" w:type="pct"/>
            <w:tcBorders>
              <w:top w:val="single" w:sz="4" w:space="0" w:color="auto"/>
            </w:tcBorders>
            <w:vAlign w:val="center"/>
          </w:tcPr>
          <w:p w14:paraId="2A4471BD" w14:textId="77777777" w:rsidR="005A597D" w:rsidRPr="007E4B31" w:rsidRDefault="005A597D" w:rsidP="00486C68">
            <w:pPr>
              <w:pStyle w:val="TableText0"/>
              <w:keepLines/>
              <w:ind w:left="113"/>
            </w:pPr>
            <w:r w:rsidRPr="007E4B31">
              <w:t xml:space="preserve">REAL-3 + REAL-4 vs </w:t>
            </w:r>
          </w:p>
          <w:p w14:paraId="1ECC3335" w14:textId="77777777" w:rsidR="005A597D" w:rsidRPr="007E4B31" w:rsidRDefault="005A597D" w:rsidP="00486C68">
            <w:pPr>
              <w:pStyle w:val="TableText0"/>
              <w:keepLines/>
              <w:ind w:left="113"/>
            </w:pPr>
            <w:r w:rsidRPr="007E4B31">
              <w:t>Opko II + Opko III (RE)</w:t>
            </w:r>
          </w:p>
        </w:tc>
        <w:tc>
          <w:tcPr>
            <w:tcW w:w="776" w:type="pct"/>
            <w:tcBorders>
              <w:top w:val="single" w:sz="4" w:space="0" w:color="auto"/>
            </w:tcBorders>
            <w:vAlign w:val="center"/>
          </w:tcPr>
          <w:p w14:paraId="1AD5400A" w14:textId="77777777" w:rsidR="005A597D" w:rsidRPr="007E4B31" w:rsidRDefault="005A597D" w:rsidP="00486C68">
            <w:pPr>
              <w:pStyle w:val="TableText0"/>
              <w:keepLines/>
              <w:jc w:val="center"/>
            </w:pPr>
            <w:r w:rsidRPr="007E4B31">
              <w:t>-</w:t>
            </w:r>
          </w:p>
        </w:tc>
        <w:tc>
          <w:tcPr>
            <w:tcW w:w="775" w:type="pct"/>
            <w:tcBorders>
              <w:top w:val="single" w:sz="4" w:space="0" w:color="auto"/>
            </w:tcBorders>
            <w:vAlign w:val="center"/>
          </w:tcPr>
          <w:p w14:paraId="02067390" w14:textId="77777777" w:rsidR="005A597D" w:rsidRPr="007E4B31" w:rsidRDefault="005A597D" w:rsidP="00486C68">
            <w:pPr>
              <w:pStyle w:val="TableText0"/>
              <w:keepLines/>
              <w:jc w:val="center"/>
            </w:pPr>
            <w:r w:rsidRPr="007E4B31">
              <w:t>-</w:t>
            </w:r>
          </w:p>
        </w:tc>
        <w:tc>
          <w:tcPr>
            <w:tcW w:w="776" w:type="pct"/>
            <w:tcBorders>
              <w:top w:val="single" w:sz="4" w:space="0" w:color="auto"/>
            </w:tcBorders>
            <w:vAlign w:val="center"/>
          </w:tcPr>
          <w:p w14:paraId="4C8C0A11"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tcBorders>
              <w:top w:val="single" w:sz="4" w:space="0" w:color="auto"/>
            </w:tcBorders>
            <w:vAlign w:val="center"/>
          </w:tcPr>
          <w:p w14:paraId="336B1535" w14:textId="77777777" w:rsidR="005A597D" w:rsidRPr="007E4B31" w:rsidRDefault="005A597D" w:rsidP="00486C68">
            <w:pPr>
              <w:pStyle w:val="TableText0"/>
              <w:keepLines/>
              <w:jc w:val="center"/>
            </w:pPr>
            <w:r w:rsidRPr="007E4B31">
              <w:t>0.34 (–2.01, 2.69); 0.78</w:t>
            </w:r>
          </w:p>
        </w:tc>
      </w:tr>
      <w:tr w:rsidR="005A597D" w:rsidRPr="007E4B31" w14:paraId="1C2C8AD4" w14:textId="77777777" w:rsidTr="00062A22">
        <w:trPr>
          <w:trHeight w:val="20"/>
        </w:trPr>
        <w:tc>
          <w:tcPr>
            <w:tcW w:w="1316" w:type="pct"/>
            <w:vAlign w:val="center"/>
          </w:tcPr>
          <w:p w14:paraId="1CA01112" w14:textId="77777777" w:rsidR="005A597D" w:rsidRPr="007E4B31" w:rsidRDefault="005A597D" w:rsidP="00486C68">
            <w:pPr>
              <w:pStyle w:val="TableText0"/>
              <w:keepLines/>
              <w:ind w:left="113"/>
            </w:pPr>
            <w:r w:rsidRPr="007E4B31">
              <w:t xml:space="preserve">REAL-3 + REAL-4 vs </w:t>
            </w:r>
          </w:p>
          <w:p w14:paraId="43BBA3CD" w14:textId="77777777" w:rsidR="005A597D" w:rsidRPr="007E4B31" w:rsidRDefault="005A597D" w:rsidP="00486C68">
            <w:pPr>
              <w:pStyle w:val="TableText0"/>
              <w:keepLines/>
              <w:ind w:left="113"/>
            </w:pPr>
            <w:r w:rsidRPr="007E4B31">
              <w:t>Opko II + Opko III (FE)</w:t>
            </w:r>
          </w:p>
        </w:tc>
        <w:tc>
          <w:tcPr>
            <w:tcW w:w="776" w:type="pct"/>
            <w:vAlign w:val="center"/>
          </w:tcPr>
          <w:p w14:paraId="1087B529" w14:textId="77777777" w:rsidR="005A597D" w:rsidRPr="007E4B31" w:rsidRDefault="005A597D" w:rsidP="00486C68">
            <w:pPr>
              <w:pStyle w:val="TableText0"/>
              <w:keepLines/>
              <w:jc w:val="center"/>
            </w:pPr>
            <w:r w:rsidRPr="007E4B31">
              <w:t>-</w:t>
            </w:r>
          </w:p>
        </w:tc>
        <w:tc>
          <w:tcPr>
            <w:tcW w:w="775" w:type="pct"/>
            <w:vAlign w:val="center"/>
          </w:tcPr>
          <w:p w14:paraId="413D9686" w14:textId="77777777" w:rsidR="005A597D" w:rsidRPr="007E4B31" w:rsidRDefault="005A597D" w:rsidP="00486C68">
            <w:pPr>
              <w:pStyle w:val="TableText0"/>
              <w:keepLines/>
              <w:jc w:val="center"/>
            </w:pPr>
            <w:r w:rsidRPr="007E4B31">
              <w:t>-</w:t>
            </w:r>
          </w:p>
        </w:tc>
        <w:tc>
          <w:tcPr>
            <w:tcW w:w="776" w:type="pct"/>
            <w:vAlign w:val="center"/>
          </w:tcPr>
          <w:p w14:paraId="72C46818"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vAlign w:val="center"/>
          </w:tcPr>
          <w:p w14:paraId="73DA639E" w14:textId="77777777" w:rsidR="005A597D" w:rsidRPr="007E4B31" w:rsidRDefault="005A597D" w:rsidP="00486C68">
            <w:pPr>
              <w:pStyle w:val="TableText0"/>
              <w:keepLines/>
              <w:jc w:val="center"/>
            </w:pPr>
            <w:r w:rsidRPr="007E4B31">
              <w:t>–0.26 (–1.11, 0.63); 0.57</w:t>
            </w:r>
          </w:p>
        </w:tc>
      </w:tr>
      <w:tr w:rsidR="005A597D" w:rsidRPr="007E4B31" w14:paraId="590AE977" w14:textId="77777777" w:rsidTr="00062A22">
        <w:trPr>
          <w:trHeight w:val="20"/>
        </w:trPr>
        <w:tc>
          <w:tcPr>
            <w:tcW w:w="1316" w:type="pct"/>
            <w:vAlign w:val="center"/>
          </w:tcPr>
          <w:p w14:paraId="73D6A62D" w14:textId="77777777" w:rsidR="005A597D" w:rsidRPr="007E4B31" w:rsidRDefault="005A597D" w:rsidP="00486C68">
            <w:pPr>
              <w:pStyle w:val="TableText0"/>
              <w:keepLines/>
              <w:ind w:left="113"/>
            </w:pPr>
            <w:r w:rsidRPr="007E4B31">
              <w:t>REAL-4 vs Opko II + Opko III</w:t>
            </w:r>
          </w:p>
        </w:tc>
        <w:tc>
          <w:tcPr>
            <w:tcW w:w="776" w:type="pct"/>
            <w:vAlign w:val="center"/>
          </w:tcPr>
          <w:p w14:paraId="0CB21146" w14:textId="77777777" w:rsidR="005A597D" w:rsidRPr="007E4B31" w:rsidRDefault="005A597D" w:rsidP="00486C68">
            <w:pPr>
              <w:pStyle w:val="TableText0"/>
              <w:keepLines/>
              <w:jc w:val="center"/>
            </w:pPr>
            <w:r w:rsidRPr="007E4B31">
              <w:t>-</w:t>
            </w:r>
          </w:p>
        </w:tc>
        <w:tc>
          <w:tcPr>
            <w:tcW w:w="775" w:type="pct"/>
            <w:vAlign w:val="center"/>
          </w:tcPr>
          <w:p w14:paraId="264D66E6" w14:textId="77777777" w:rsidR="005A597D" w:rsidRPr="007E4B31" w:rsidRDefault="005A597D" w:rsidP="00486C68">
            <w:pPr>
              <w:pStyle w:val="TableText0"/>
              <w:keepLines/>
              <w:jc w:val="center"/>
            </w:pPr>
            <w:r w:rsidRPr="007E4B31">
              <w:t>-</w:t>
            </w:r>
          </w:p>
        </w:tc>
        <w:tc>
          <w:tcPr>
            <w:tcW w:w="776" w:type="pct"/>
            <w:vAlign w:val="center"/>
          </w:tcPr>
          <w:p w14:paraId="02714F70"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vAlign w:val="center"/>
          </w:tcPr>
          <w:p w14:paraId="500132E9" w14:textId="77777777" w:rsidR="005A597D" w:rsidRPr="007E4B31" w:rsidRDefault="005A597D" w:rsidP="00486C68">
            <w:pPr>
              <w:pStyle w:val="TableText0"/>
              <w:keepLines/>
              <w:jc w:val="center"/>
            </w:pPr>
            <w:r w:rsidRPr="007E4B31">
              <w:t>–0.74 (–1.68, 0.20); 0.12</w:t>
            </w:r>
          </w:p>
        </w:tc>
      </w:tr>
      <w:tr w:rsidR="005A597D" w:rsidRPr="007E4B31" w14:paraId="12490449" w14:textId="77777777" w:rsidTr="00062A22">
        <w:trPr>
          <w:trHeight w:val="20"/>
        </w:trPr>
        <w:tc>
          <w:tcPr>
            <w:tcW w:w="1316" w:type="pct"/>
            <w:vAlign w:val="center"/>
          </w:tcPr>
          <w:p w14:paraId="12AB5C64" w14:textId="77777777" w:rsidR="005A597D" w:rsidRPr="007E4B31" w:rsidRDefault="005A597D" w:rsidP="00486C68">
            <w:pPr>
              <w:pStyle w:val="TableText0"/>
              <w:keepLines/>
              <w:ind w:left="113"/>
            </w:pPr>
            <w:r w:rsidRPr="007E4B31">
              <w:t>REAL-4 vs Opko III</w:t>
            </w:r>
          </w:p>
        </w:tc>
        <w:tc>
          <w:tcPr>
            <w:tcW w:w="776" w:type="pct"/>
            <w:vAlign w:val="center"/>
          </w:tcPr>
          <w:p w14:paraId="530419DB" w14:textId="77777777" w:rsidR="005A597D" w:rsidRPr="007E4B31" w:rsidRDefault="005A597D" w:rsidP="00486C68">
            <w:pPr>
              <w:pStyle w:val="TableText0"/>
              <w:keepLines/>
              <w:jc w:val="center"/>
            </w:pPr>
            <w:r w:rsidRPr="007E4B31">
              <w:t>-</w:t>
            </w:r>
          </w:p>
        </w:tc>
        <w:tc>
          <w:tcPr>
            <w:tcW w:w="775" w:type="pct"/>
            <w:vAlign w:val="center"/>
          </w:tcPr>
          <w:p w14:paraId="5F60C2DE" w14:textId="77777777" w:rsidR="005A597D" w:rsidRPr="007E4B31" w:rsidRDefault="005A597D" w:rsidP="00486C68">
            <w:pPr>
              <w:pStyle w:val="TableText0"/>
              <w:keepLines/>
              <w:jc w:val="center"/>
            </w:pPr>
            <w:r w:rsidRPr="007E4B31">
              <w:t>-</w:t>
            </w:r>
          </w:p>
        </w:tc>
        <w:tc>
          <w:tcPr>
            <w:tcW w:w="776" w:type="pct"/>
            <w:vAlign w:val="center"/>
          </w:tcPr>
          <w:p w14:paraId="1E20B676" w14:textId="77777777" w:rsidR="005A597D" w:rsidRPr="007E4B31" w:rsidRDefault="005A597D" w:rsidP="00486C68">
            <w:pPr>
              <w:pStyle w:val="TableText0"/>
              <w:keepLines/>
              <w:jc w:val="center"/>
              <w:rPr>
                <w:rFonts w:cstheme="minorHAnsi"/>
                <w:szCs w:val="14"/>
              </w:rPr>
            </w:pPr>
            <w:r w:rsidRPr="007E4B31">
              <w:rPr>
                <w:rFonts w:cstheme="minorHAnsi"/>
                <w:szCs w:val="14"/>
              </w:rPr>
              <w:t>-</w:t>
            </w:r>
          </w:p>
        </w:tc>
        <w:tc>
          <w:tcPr>
            <w:tcW w:w="1357" w:type="pct"/>
            <w:vAlign w:val="center"/>
          </w:tcPr>
          <w:p w14:paraId="68049159" w14:textId="77777777" w:rsidR="005A597D" w:rsidRPr="007E4B31" w:rsidRDefault="005A597D" w:rsidP="00486C68">
            <w:pPr>
              <w:pStyle w:val="TableText0"/>
              <w:keepLines/>
              <w:jc w:val="center"/>
            </w:pPr>
            <w:r w:rsidRPr="007E4B31">
              <w:t>–0.82 (–1.78, 0.14); 0.10</w:t>
            </w:r>
          </w:p>
        </w:tc>
      </w:tr>
    </w:tbl>
    <w:p w14:paraId="16362F27" w14:textId="77777777" w:rsidR="005A597D" w:rsidRPr="007E4B31" w:rsidRDefault="005A597D" w:rsidP="00486C68">
      <w:pPr>
        <w:pStyle w:val="FooterTableFigure"/>
        <w:keepNext/>
        <w:keepLines/>
        <w:rPr>
          <w:sz w:val="20"/>
        </w:rPr>
      </w:pPr>
      <w:r w:rsidRPr="007E4B31">
        <w:t>Source: Tables 2.16-18, p.106; Table 2.58-9, pp.143-4 of the submission</w:t>
      </w:r>
    </w:p>
    <w:p w14:paraId="37BB9B59" w14:textId="77777777" w:rsidR="005A597D" w:rsidRPr="007E4B31" w:rsidRDefault="005A597D" w:rsidP="00486C68">
      <w:pPr>
        <w:pStyle w:val="FooterTableFigure"/>
        <w:keepNext/>
        <w:keepLines/>
      </w:pPr>
      <w:r w:rsidRPr="007E4B31">
        <w:t>ANCOVA = analysis of covariance; CI = confidence interval; FAS = full analysis set; FE = fixed effects; HV = height velocity; ITC = indirect treatment comparison; MMRM = Mixed Model Repeated Measure; NR = not reported; RE = random effects; SD = standard deviation</w:t>
      </w:r>
    </w:p>
    <w:p w14:paraId="2C7CFE46" w14:textId="109E49FC" w:rsidR="00FC4580" w:rsidRPr="007E4B31" w:rsidRDefault="00FC4580" w:rsidP="00486C68">
      <w:pPr>
        <w:pStyle w:val="FooterTableFigure"/>
        <w:keepNext/>
        <w:keepLines/>
      </w:pPr>
      <w:r w:rsidRPr="007E4B31">
        <w:t>Sample sizes for each timepoint read as: (n=number in intervention arm; number in comparator arm).</w:t>
      </w:r>
    </w:p>
    <w:p w14:paraId="3343774E" w14:textId="77777777" w:rsidR="005A597D" w:rsidRPr="007E4B31" w:rsidRDefault="005A597D" w:rsidP="00486C68">
      <w:pPr>
        <w:pStyle w:val="FooterTableFigure"/>
        <w:keepNext/>
        <w:keepLines/>
      </w:pPr>
      <w:proofErr w:type="gramStart"/>
      <w:r w:rsidRPr="007E4B31">
        <w:rPr>
          <w:vertAlign w:val="superscript"/>
        </w:rPr>
        <w:t>a</w:t>
      </w:r>
      <w:proofErr w:type="gramEnd"/>
      <w:r w:rsidRPr="007E4B31">
        <w:t xml:space="preserve"> Adjusted mean change: </w:t>
      </w:r>
    </w:p>
    <w:p w14:paraId="3E44BA3C" w14:textId="77777777" w:rsidR="005A597D" w:rsidRPr="007E4B31" w:rsidRDefault="005A597D" w:rsidP="00486C68">
      <w:pPr>
        <w:pStyle w:val="FooterTableFigure"/>
        <w:keepNext/>
        <w:keepLines/>
        <w:ind w:left="113"/>
      </w:pPr>
      <w:r w:rsidRPr="007E4B31">
        <w:t xml:space="preserve">REAL-3: MMRM for repeated measurements, with treatment, age group, sex, region and sex by age group interaction as factors and height at baseline as a covariate, all nested within week as a </w:t>
      </w:r>
      <w:proofErr w:type="gramStart"/>
      <w:r w:rsidRPr="007E4B31">
        <w:t>factor;</w:t>
      </w:r>
      <w:proofErr w:type="gramEnd"/>
      <w:r w:rsidRPr="007E4B31">
        <w:t xml:space="preserve"> </w:t>
      </w:r>
    </w:p>
    <w:p w14:paraId="6DA973E6" w14:textId="77777777" w:rsidR="005A597D" w:rsidRPr="007E4B31" w:rsidRDefault="005A597D" w:rsidP="00486C68">
      <w:pPr>
        <w:pStyle w:val="FooterTableFigure"/>
        <w:keepNext/>
        <w:keepLines/>
        <w:ind w:left="113"/>
      </w:pPr>
      <w:r w:rsidRPr="007E4B31">
        <w:t xml:space="preserve">REAL-4: ANCOVA with treatment, gender, age group, region, GH peak group and gender by age group by region interaction term as factors, and baseline height as </w:t>
      </w:r>
      <w:proofErr w:type="gramStart"/>
      <w:r w:rsidRPr="007E4B31">
        <w:t>covariates;</w:t>
      </w:r>
      <w:proofErr w:type="gramEnd"/>
    </w:p>
    <w:p w14:paraId="18D0322C" w14:textId="77777777" w:rsidR="005A597D" w:rsidRPr="007E4B31" w:rsidRDefault="005A597D" w:rsidP="00486C68">
      <w:pPr>
        <w:pStyle w:val="FooterTableFigure"/>
        <w:keepNext/>
        <w:keepLines/>
        <w:ind w:left="113"/>
      </w:pPr>
      <w:r w:rsidRPr="007E4B31">
        <w:t xml:space="preserve">Opko III: ANCOVA model for stratification classes for treatment, age group, peak GH value during stimulation test, </w:t>
      </w:r>
      <w:proofErr w:type="gramStart"/>
      <w:r w:rsidRPr="007E4B31">
        <w:t>region</w:t>
      </w:r>
      <w:proofErr w:type="gramEnd"/>
      <w:r w:rsidRPr="007E4B31">
        <w:t xml:space="preserve"> and sex; baseline height SDS as a covariate</w:t>
      </w:r>
    </w:p>
    <w:p w14:paraId="06217FF4" w14:textId="77777777" w:rsidR="005A597D" w:rsidRPr="007E4B31" w:rsidRDefault="005A597D" w:rsidP="00486C68">
      <w:pPr>
        <w:pStyle w:val="FooterTableFigure"/>
        <w:keepNext/>
        <w:keepLines/>
        <w:ind w:left="113"/>
      </w:pPr>
      <w:r w:rsidRPr="007E4B31">
        <w:t>Opko JPN: ANCOVA model for treatment and sex as factors; peak GH value during stimulation test and baseline height SDS as covariates</w:t>
      </w:r>
    </w:p>
    <w:p w14:paraId="4E366F6F" w14:textId="77777777" w:rsidR="005A597D" w:rsidRPr="007E4B31" w:rsidRDefault="005A597D" w:rsidP="00486C68">
      <w:pPr>
        <w:pStyle w:val="FooterTableFigure"/>
        <w:keepNext/>
        <w:keepLines/>
      </w:pPr>
      <w:r w:rsidRPr="007E4B31">
        <w:rPr>
          <w:vertAlign w:val="superscript"/>
        </w:rPr>
        <w:t>b</w:t>
      </w:r>
      <w:r w:rsidRPr="007E4B31">
        <w:t xml:space="preserve"> not reported in CSR, calculated </w:t>
      </w:r>
      <w:r w:rsidRPr="007E4B31">
        <w:rPr>
          <w:iCs/>
        </w:rPr>
        <w:t>post hoc</w:t>
      </w:r>
      <w:r w:rsidRPr="007E4B31">
        <w:t xml:space="preserve"> on RevMan 5.4.1</w:t>
      </w:r>
    </w:p>
    <w:p w14:paraId="195DCD38" w14:textId="77777777" w:rsidR="005A597D" w:rsidRPr="007E4B31" w:rsidRDefault="005A597D" w:rsidP="00486C68">
      <w:pPr>
        <w:pStyle w:val="FooterTableFigure"/>
        <w:keepNext/>
        <w:keepLines/>
      </w:pPr>
      <w:r w:rsidRPr="007E4B31">
        <w:rPr>
          <w:vertAlign w:val="superscript"/>
        </w:rPr>
        <w:t xml:space="preserve">c </w:t>
      </w:r>
      <w:r w:rsidRPr="007E4B31">
        <w:t xml:space="preserve">Results differed to Table 4, somatrogon PSD, March 2022 PBAC meeting. 11.93 cm/year as reported in Zelinska 2017 reported in submission but 11.4 reported in Table 4, somatrogon PSD, March 2022 PBAC meeting. Reason for discrepancy was </w:t>
      </w:r>
      <w:proofErr w:type="gramStart"/>
      <w:r w:rsidRPr="007E4B31">
        <w:t>unknown</w:t>
      </w:r>
      <w:proofErr w:type="gramEnd"/>
    </w:p>
    <w:p w14:paraId="3E96934B" w14:textId="77777777" w:rsidR="005A597D" w:rsidRPr="007E4B31" w:rsidRDefault="005A597D" w:rsidP="00486C68">
      <w:pPr>
        <w:pStyle w:val="FooterTableFigure"/>
        <w:keepNext/>
        <w:keepLines/>
      </w:pPr>
      <w:r w:rsidRPr="007E4B31">
        <w:rPr>
          <w:vertAlign w:val="superscript"/>
        </w:rPr>
        <w:t>d</w:t>
      </w:r>
      <w:r w:rsidRPr="007E4B31">
        <w:t xml:space="preserve"> Results differed to Table 4, somatrogon PSD, March 2022 PBAC meeting. 0.33 (95%CI -0.24, 0.89) reported in Deal 2022 and in Table 4, somatrogon PSD, March 2022 PBAC meeting. Reason for discrepancy was unknown.</w:t>
      </w:r>
    </w:p>
    <w:p w14:paraId="319D75B2" w14:textId="3A7D5438" w:rsidR="005A597D" w:rsidRPr="007E4B31" w:rsidRDefault="005A597D" w:rsidP="00486C68">
      <w:pPr>
        <w:pStyle w:val="FooterTableFigure"/>
        <w:keepNext/>
        <w:keepLines/>
      </w:pPr>
      <w:r w:rsidRPr="007E4B31">
        <w:rPr>
          <w:vertAlign w:val="superscript"/>
        </w:rPr>
        <w:t xml:space="preserve">e </w:t>
      </w:r>
      <w:r w:rsidRPr="007E4B31">
        <w:t>Opko JPN calculated mean using the last squares mean</w:t>
      </w:r>
      <w:r w:rsidR="002928F7" w:rsidRPr="007E4B31">
        <w:t>. Somatr</w:t>
      </w:r>
      <w:r w:rsidR="001011EE" w:rsidRPr="007E4B31">
        <w:t xml:space="preserve">opin dose in Opko JPN (0.025 mg/kg/day) was lower than other trials and was excluded from all meta-analyses and indirect </w:t>
      </w:r>
      <w:proofErr w:type="gramStart"/>
      <w:r w:rsidR="001011EE" w:rsidRPr="007E4B31">
        <w:t>comparisons</w:t>
      </w:r>
      <w:proofErr w:type="gramEnd"/>
    </w:p>
    <w:p w14:paraId="00B8F227" w14:textId="77777777" w:rsidR="005A597D" w:rsidRPr="007E4B31" w:rsidRDefault="005A597D" w:rsidP="00486C68">
      <w:pPr>
        <w:pStyle w:val="FooterTableFigure"/>
        <w:keepNext/>
        <w:keepLines/>
      </w:pPr>
      <w:r w:rsidRPr="007E4B31">
        <w:t>Bold indicates a statistically significant result (p&lt;0.05)</w:t>
      </w:r>
    </w:p>
    <w:p w14:paraId="5B80CB52" w14:textId="77777777" w:rsidR="005A597D" w:rsidRPr="007E4B31" w:rsidRDefault="005A597D" w:rsidP="00486C68">
      <w:pPr>
        <w:pStyle w:val="FooterTableFigure"/>
        <w:keepNext/>
        <w:keepLines/>
      </w:pPr>
      <w:r w:rsidRPr="007E4B31">
        <w:t xml:space="preserve">Blue-shaded cells indicates values/text that have been previously considered by the </w:t>
      </w:r>
      <w:proofErr w:type="gramStart"/>
      <w:r w:rsidRPr="007E4B31">
        <w:t>PBAC</w:t>
      </w:r>
      <w:proofErr w:type="gramEnd"/>
    </w:p>
    <w:p w14:paraId="5AEDA6A0" w14:textId="0BA1FFC1" w:rsidR="00A52FE7" w:rsidRPr="007E4B31" w:rsidRDefault="00A52FE7" w:rsidP="00A52FE7">
      <w:pPr>
        <w:pStyle w:val="3-BodyText"/>
      </w:pPr>
      <w:r w:rsidRPr="007E4B31">
        <w:t xml:space="preserve">Based on the </w:t>
      </w:r>
      <w:r w:rsidR="004B75D7" w:rsidRPr="007E4B31">
        <w:t>prespecified non-inferiority margin of -1.8</w:t>
      </w:r>
      <w:r w:rsidR="00CF4845" w:rsidRPr="007E4B31">
        <w:t xml:space="preserve"> </w:t>
      </w:r>
      <w:r w:rsidR="004B75D7" w:rsidRPr="007E4B31">
        <w:t>cm/year for annualised HV</w:t>
      </w:r>
      <w:r w:rsidR="00373211" w:rsidRPr="007E4B31">
        <w:t xml:space="preserve">, which was previously accepted by the PBAC (paragraph 6.11, somatrogon, PSD, March 2022 PBAC meeting), </w:t>
      </w:r>
      <w:r w:rsidRPr="007E4B31">
        <w:t>the submission concluded that somatrogon was non-inferior to somatropin</w:t>
      </w:r>
      <w:r w:rsidR="00AB3DF2" w:rsidRPr="007E4B31">
        <w:t xml:space="preserve"> as the lower 95% </w:t>
      </w:r>
      <w:r w:rsidR="00231CEB" w:rsidRPr="007E4B31">
        <w:t>confidence interval (</w:t>
      </w:r>
      <w:r w:rsidR="00AB3DF2" w:rsidRPr="007E4B31">
        <w:t>CI</w:t>
      </w:r>
      <w:r w:rsidR="00231CEB" w:rsidRPr="007E4B31">
        <w:t>)</w:t>
      </w:r>
      <w:r w:rsidR="00AB3DF2" w:rsidRPr="007E4B31">
        <w:t xml:space="preserve"> </w:t>
      </w:r>
      <w:r w:rsidR="003B2727">
        <w:t>from</w:t>
      </w:r>
      <w:r w:rsidR="00AB3DF2" w:rsidRPr="007E4B31">
        <w:t xml:space="preserve"> the meta-analysis (-0.44) was greater than the non-inferiority margin</w:t>
      </w:r>
      <w:r w:rsidR="00CF5A76" w:rsidRPr="007E4B31">
        <w:t>.</w:t>
      </w:r>
      <w:r w:rsidRPr="007E4B31">
        <w:t xml:space="preserve"> </w:t>
      </w:r>
      <w:r w:rsidR="00CF5A76" w:rsidRPr="007E4B31">
        <w:rPr>
          <w:iCs/>
        </w:rPr>
        <w:t xml:space="preserve">This </w:t>
      </w:r>
      <w:r w:rsidRPr="007E4B31">
        <w:rPr>
          <w:iCs/>
        </w:rPr>
        <w:t xml:space="preserve">was consistent with the PBAC’s previous consideration of somatrogon (paragraph 7.4, somatrogon, PSD, March 2022 PBAC meeting). </w:t>
      </w:r>
    </w:p>
    <w:p w14:paraId="1510BA04" w14:textId="10D5D20B" w:rsidR="00953618" w:rsidRPr="007E4B31" w:rsidRDefault="000F5005" w:rsidP="00455822">
      <w:pPr>
        <w:pStyle w:val="3-BodyText"/>
      </w:pPr>
      <w:r w:rsidRPr="007E4B31">
        <w:t>For the comparison of somapacitan v</w:t>
      </w:r>
      <w:r w:rsidR="00706927">
        <w:t>ersu</w:t>
      </w:r>
      <w:r w:rsidRPr="007E4B31">
        <w:t xml:space="preserve">s somatropin, </w:t>
      </w:r>
      <w:r w:rsidR="00706927">
        <w:t xml:space="preserve">both </w:t>
      </w:r>
      <w:r w:rsidRPr="007E4B31">
        <w:t xml:space="preserve">the individual </w:t>
      </w:r>
      <w:r w:rsidR="00706927">
        <w:t>trial results and the results from the m</w:t>
      </w:r>
      <w:r w:rsidRPr="007E4B31">
        <w:t xml:space="preserve">eta-analysis from REAL-3 and REAL-4 demonstrated the </w:t>
      </w:r>
      <w:r w:rsidRPr="007E4B31">
        <w:lastRenderedPageBreak/>
        <w:t xml:space="preserve">lower bound 95% CI for the mean difference in annualised HV fell within the prespecified </w:t>
      </w:r>
      <w:r w:rsidR="009748AA" w:rsidRPr="007E4B31">
        <w:noBreakHyphen/>
      </w:r>
      <w:r w:rsidRPr="007E4B31">
        <w:t>1.8 cm/year non-inferiority margin</w:t>
      </w:r>
      <w:r w:rsidR="00DF1ABC" w:rsidRPr="007E4B31">
        <w:t>, supporting a claim of non-inferiority</w:t>
      </w:r>
      <w:r w:rsidRPr="007E4B31">
        <w:t xml:space="preserve">. </w:t>
      </w:r>
      <w:r w:rsidR="00CD1D00" w:rsidRPr="007E4B31">
        <w:rPr>
          <w:iCs/>
        </w:rPr>
        <w:t xml:space="preserve">REAL-3 </w:t>
      </w:r>
      <w:r w:rsidR="00F039D9" w:rsidRPr="007E4B31">
        <w:rPr>
          <w:iCs/>
        </w:rPr>
        <w:t>reported that patients randomised to somapacitan had statistically significantly greater annualised HV at 52 weeks compared to patients randomised to somatropin</w:t>
      </w:r>
      <w:r w:rsidR="00DF1ABC" w:rsidRPr="007E4B31">
        <w:rPr>
          <w:iCs/>
        </w:rPr>
        <w:t xml:space="preserve"> (mean difference 1.80, 95% CI 0.5, 3.1, p = 0.005)</w:t>
      </w:r>
      <w:r w:rsidRPr="007E4B31">
        <w:rPr>
          <w:iCs/>
        </w:rPr>
        <w:t>,</w:t>
      </w:r>
      <w:r w:rsidR="00F039D9" w:rsidRPr="007E4B31">
        <w:rPr>
          <w:iCs/>
        </w:rPr>
        <w:t xml:space="preserve"> though this was not observed in the larger REAL-4 trial</w:t>
      </w:r>
      <w:r w:rsidR="00455822" w:rsidRPr="007E4B31">
        <w:rPr>
          <w:iCs/>
        </w:rPr>
        <w:t>, which could have contributed to the</w:t>
      </w:r>
      <w:r w:rsidRPr="007E4B31">
        <w:rPr>
          <w:iCs/>
        </w:rPr>
        <w:t xml:space="preserve"> </w:t>
      </w:r>
      <w:r w:rsidR="00A52FE7" w:rsidRPr="007E4B31">
        <w:rPr>
          <w:iCs/>
        </w:rPr>
        <w:t>difference between the random effects (RE) and fixed</w:t>
      </w:r>
      <w:r w:rsidR="009F0F0D" w:rsidRPr="007E4B31">
        <w:rPr>
          <w:iCs/>
        </w:rPr>
        <w:t>-</w:t>
      </w:r>
      <w:r w:rsidR="00A52FE7" w:rsidRPr="007E4B31">
        <w:rPr>
          <w:iCs/>
        </w:rPr>
        <w:t>effects (FE) meta-analyses of the two somapacitan trials</w:t>
      </w:r>
      <w:r w:rsidR="00455822" w:rsidRPr="007E4B31">
        <w:rPr>
          <w:iCs/>
        </w:rPr>
        <w:t xml:space="preserve">. Overall, </w:t>
      </w:r>
      <w:r w:rsidR="00706927">
        <w:rPr>
          <w:iCs/>
        </w:rPr>
        <w:t xml:space="preserve">the results from </w:t>
      </w:r>
      <w:r w:rsidR="00455822" w:rsidRPr="007E4B31">
        <w:rPr>
          <w:iCs/>
        </w:rPr>
        <w:t>both REAL-3 and REAL-4 supported th</w:t>
      </w:r>
      <w:r w:rsidR="00706927">
        <w:rPr>
          <w:iCs/>
        </w:rPr>
        <w:t>e submission’s claim th</w:t>
      </w:r>
      <w:r w:rsidR="00455822" w:rsidRPr="007E4B31">
        <w:rPr>
          <w:iCs/>
        </w:rPr>
        <w:t>at somapacitan was non-inferior to somatro</w:t>
      </w:r>
      <w:r w:rsidR="00E35249" w:rsidRPr="007E4B31">
        <w:rPr>
          <w:iCs/>
        </w:rPr>
        <w:t>pin</w:t>
      </w:r>
      <w:r w:rsidR="00455822" w:rsidRPr="007E4B31">
        <w:rPr>
          <w:iCs/>
        </w:rPr>
        <w:t xml:space="preserve">. The TGA clinical evaluation report round </w:t>
      </w:r>
      <w:proofErr w:type="gramStart"/>
      <w:r w:rsidR="00455822" w:rsidRPr="007E4B31">
        <w:rPr>
          <w:iCs/>
        </w:rPr>
        <w:t>1</w:t>
      </w:r>
      <w:r w:rsidR="00706927">
        <w:rPr>
          <w:iCs/>
        </w:rPr>
        <w:t xml:space="preserve"> </w:t>
      </w:r>
      <w:r w:rsidR="00455822" w:rsidRPr="007E4B31">
        <w:rPr>
          <w:iCs/>
        </w:rPr>
        <w:t xml:space="preserve"> also</w:t>
      </w:r>
      <w:proofErr w:type="gramEnd"/>
      <w:r w:rsidR="00455822" w:rsidRPr="007E4B31">
        <w:rPr>
          <w:iCs/>
        </w:rPr>
        <w:t xml:space="preserve"> indicated that for primary endpoint analyses, somapacitan led to similar improvements in growth as </w:t>
      </w:r>
      <w:r w:rsidR="00706927">
        <w:rPr>
          <w:iCs/>
        </w:rPr>
        <w:t>soma</w:t>
      </w:r>
      <w:r w:rsidR="00455822" w:rsidRPr="007E4B31">
        <w:rPr>
          <w:iCs/>
        </w:rPr>
        <w:t>tropin</w:t>
      </w:r>
      <w:r w:rsidR="00A52FE7" w:rsidRPr="007E4B31">
        <w:rPr>
          <w:iCs/>
        </w:rPr>
        <w:t xml:space="preserve"> </w:t>
      </w:r>
      <w:r w:rsidR="00455822" w:rsidRPr="007E4B31">
        <w:rPr>
          <w:iCs/>
        </w:rPr>
        <w:t xml:space="preserve">whilst the results for the secondary points including </w:t>
      </w:r>
      <w:r w:rsidR="00E35249" w:rsidRPr="007E4B31">
        <w:rPr>
          <w:iCs/>
        </w:rPr>
        <w:t>pharmacokinetic (PK)</w:t>
      </w:r>
      <w:r w:rsidR="00455822" w:rsidRPr="007E4B31">
        <w:rPr>
          <w:iCs/>
        </w:rPr>
        <w:t xml:space="preserve"> outcomes such as IGF-1 and IGFBP-3 SDS also supported the results of the primary endpoints.</w:t>
      </w:r>
      <w:r w:rsidR="00A52FE7" w:rsidRPr="007E4B31">
        <w:rPr>
          <w:iCs/>
        </w:rPr>
        <w:t xml:space="preserve"> </w:t>
      </w:r>
    </w:p>
    <w:p w14:paraId="5A229A57" w14:textId="7885FFB2" w:rsidR="000F5005" w:rsidRPr="007E4B31" w:rsidRDefault="000F5005" w:rsidP="000F5005">
      <w:pPr>
        <w:pStyle w:val="3-BodyText"/>
      </w:pPr>
      <w:r w:rsidRPr="007E4B31">
        <w:t xml:space="preserve">The </w:t>
      </w:r>
      <w:r w:rsidR="008B6D77">
        <w:t xml:space="preserve">results of the </w:t>
      </w:r>
      <w:r w:rsidRPr="007E4B31">
        <w:t>ITC between somapacitan and somatrogon based on the meta-analysis of REAL-3 and REAL-4 v</w:t>
      </w:r>
      <w:r w:rsidR="008B6D77">
        <w:t>ersu</w:t>
      </w:r>
      <w:r w:rsidRPr="007E4B31">
        <w:t xml:space="preserve">s Opko II and Opko III, </w:t>
      </w:r>
      <w:r w:rsidR="008B6D77">
        <w:t>support</w:t>
      </w:r>
      <w:r w:rsidRPr="007E4B31">
        <w:t xml:space="preserve">ed non-inferiority when </w:t>
      </w:r>
      <w:r w:rsidR="00641654" w:rsidRPr="007E4B31">
        <w:t xml:space="preserve">the efficacy of somapacitan </w:t>
      </w:r>
      <w:proofErr w:type="gramStart"/>
      <w:r w:rsidR="00641654" w:rsidRPr="007E4B31">
        <w:t xml:space="preserve">was </w:t>
      </w:r>
      <w:r w:rsidRPr="007E4B31">
        <w:t>informed</w:t>
      </w:r>
      <w:proofErr w:type="gramEnd"/>
      <w:r w:rsidRPr="007E4B31">
        <w:t xml:space="preserve"> by the FE model</w:t>
      </w:r>
      <w:r w:rsidR="00641654" w:rsidRPr="007E4B31">
        <w:t xml:space="preserve"> (lower 95% CI </w:t>
      </w:r>
      <w:r w:rsidR="00CF5A76" w:rsidRPr="007E4B31">
        <w:t>-1.11)</w:t>
      </w:r>
      <w:r w:rsidRPr="007E4B31">
        <w:t xml:space="preserve"> but not the RE model</w:t>
      </w:r>
      <w:r w:rsidR="00CF5A76" w:rsidRPr="007E4B31">
        <w:t xml:space="preserve"> (lower 95% CI -2.01)</w:t>
      </w:r>
      <w:r w:rsidRPr="007E4B31">
        <w:t xml:space="preserve">. </w:t>
      </w:r>
      <w:r w:rsidRPr="007E4B31">
        <w:rPr>
          <w:iCs/>
        </w:rPr>
        <w:t xml:space="preserve">The point estimates suggested that annualised HV favoured somapacitan in the RE model but favoured somatrogon in the FE </w:t>
      </w:r>
      <w:r w:rsidR="00AB3DF2" w:rsidRPr="007E4B31">
        <w:rPr>
          <w:iCs/>
        </w:rPr>
        <w:t>model</w:t>
      </w:r>
      <w:r w:rsidRPr="007E4B31">
        <w:rPr>
          <w:iCs/>
        </w:rPr>
        <w:t xml:space="preserve">. </w:t>
      </w:r>
      <w:r w:rsidR="00641654" w:rsidRPr="007E4B31">
        <w:t xml:space="preserve">There was high statistical heterogeneity between REAL-3 and REAL-4, </w:t>
      </w:r>
      <w:proofErr w:type="gramStart"/>
      <w:r w:rsidR="00641654" w:rsidRPr="007E4B31">
        <w:rPr>
          <w:iCs/>
        </w:rPr>
        <w:t>that</w:t>
      </w:r>
      <w:proofErr w:type="gramEnd"/>
      <w:r w:rsidR="00641654" w:rsidRPr="007E4B31">
        <w:rPr>
          <w:iCs/>
        </w:rPr>
        <w:t xml:space="preserve"> was not explored by the submission.</w:t>
      </w:r>
      <w:r w:rsidR="00641654" w:rsidRPr="007E4B31">
        <w:t xml:space="preserve"> </w:t>
      </w:r>
      <w:r w:rsidR="008B6D77">
        <w:t>The results of s</w:t>
      </w:r>
      <w:r w:rsidR="00641654" w:rsidRPr="007E4B31">
        <w:t>ensitivity analyses omitting REAL-3</w:t>
      </w:r>
      <w:r w:rsidR="008B6D77">
        <w:t xml:space="preserve"> from the ITC</w:t>
      </w:r>
      <w:r w:rsidR="00641654" w:rsidRPr="007E4B31">
        <w:t xml:space="preserve"> </w:t>
      </w:r>
      <w:r w:rsidR="00D5039D" w:rsidRPr="007E4B31">
        <w:t>(i.e.</w:t>
      </w:r>
      <w:r w:rsidR="00BD7909" w:rsidRPr="007E4B31">
        <w:t>,</w:t>
      </w:r>
      <w:r w:rsidR="00D5039D" w:rsidRPr="007E4B31">
        <w:t xml:space="preserve"> REAL-4 only compared to Opko II and Opko III) </w:t>
      </w:r>
      <w:r w:rsidR="008B6D77">
        <w:t>supported non-inferiority</w:t>
      </w:r>
      <w:r w:rsidR="00641654" w:rsidRPr="007E4B31">
        <w:t>.</w:t>
      </w:r>
    </w:p>
    <w:p w14:paraId="7C87E64D" w14:textId="7EE10917" w:rsidR="000F5005" w:rsidRPr="007E4B31" w:rsidRDefault="000F5005" w:rsidP="000F5005">
      <w:pPr>
        <w:pStyle w:val="3-BodyText"/>
      </w:pPr>
      <w:r w:rsidRPr="007E4B31">
        <w:t xml:space="preserve">The submission </w:t>
      </w:r>
      <w:r w:rsidR="00FF2F9E" w:rsidRPr="007E4B31">
        <w:t>stated</w:t>
      </w:r>
      <w:r w:rsidRPr="007E4B31">
        <w:t xml:space="preserve"> that the results from the RE model w</w:t>
      </w:r>
      <w:r w:rsidR="00CF4845" w:rsidRPr="007E4B31">
        <w:t>ere</w:t>
      </w:r>
      <w:r w:rsidRPr="007E4B31">
        <w:t xml:space="preserve"> attributable to the increased weight placed on REAL-3 (~50%) despite its smaller sample size</w:t>
      </w:r>
      <w:r w:rsidR="008B6D77">
        <w:t>,</w:t>
      </w:r>
      <w:r w:rsidRPr="007E4B31">
        <w:t xml:space="preserve"> as well as the high statistical heterogeneity between REAL-3 and REAL-4</w:t>
      </w:r>
      <w:r w:rsidR="008B6D77">
        <w:t xml:space="preserve">, </w:t>
      </w:r>
      <w:r w:rsidRPr="007E4B31">
        <w:t xml:space="preserve">leading to a wide CI. </w:t>
      </w:r>
      <w:r w:rsidRPr="007E4B31">
        <w:rPr>
          <w:iCs/>
        </w:rPr>
        <w:t xml:space="preserve">While the limitations of the RE model </w:t>
      </w:r>
      <w:proofErr w:type="gramStart"/>
      <w:r w:rsidR="00DC765A" w:rsidRPr="007E4B31">
        <w:rPr>
          <w:iCs/>
        </w:rPr>
        <w:t>we</w:t>
      </w:r>
      <w:r w:rsidRPr="007E4B31">
        <w:rPr>
          <w:iCs/>
        </w:rPr>
        <w:t>re acknowledged</w:t>
      </w:r>
      <w:proofErr w:type="gramEnd"/>
      <w:r w:rsidRPr="007E4B31">
        <w:rPr>
          <w:iCs/>
        </w:rPr>
        <w:t xml:space="preserve">, by relying on the FE model the heterogeneity observed between REAL-3 and REAL-4 </w:t>
      </w:r>
      <w:r w:rsidR="00DC765A" w:rsidRPr="007E4B31">
        <w:rPr>
          <w:iCs/>
        </w:rPr>
        <w:t>wa</w:t>
      </w:r>
      <w:r w:rsidRPr="007E4B31">
        <w:rPr>
          <w:iCs/>
        </w:rPr>
        <w:t>s ignored</w:t>
      </w:r>
      <w:r w:rsidR="008B6D77">
        <w:rPr>
          <w:iCs/>
        </w:rPr>
        <w:t>,</w:t>
      </w:r>
      <w:r w:rsidRPr="007E4B31">
        <w:rPr>
          <w:iCs/>
        </w:rPr>
        <w:t xml:space="preserve"> which can potentially lead to an overly precise summary estimate (i.e., a narrower CI) bias</w:t>
      </w:r>
      <w:r w:rsidR="008B6D77">
        <w:rPr>
          <w:iCs/>
        </w:rPr>
        <w:t>ing</w:t>
      </w:r>
      <w:r w:rsidRPr="007E4B31">
        <w:rPr>
          <w:iCs/>
        </w:rPr>
        <w:t xml:space="preserve"> the results in favour of a non-inferiority conclusion. The PBAC (p47 Guidelines for preparing a submission to the PBAC v5.0) has expressed a preference for using RE models in meta-analyses. </w:t>
      </w:r>
      <w:r w:rsidR="00F5667F" w:rsidRPr="007E4B31">
        <w:t xml:space="preserve">The </w:t>
      </w:r>
      <w:r w:rsidR="00F92894">
        <w:t xml:space="preserve">pre-PBAC response </w:t>
      </w:r>
      <w:r w:rsidR="007B4AA7" w:rsidRPr="007E4B31">
        <w:t>maintained</w:t>
      </w:r>
      <w:r w:rsidR="00F5667F" w:rsidRPr="007E4B31">
        <w:t xml:space="preserve"> that</w:t>
      </w:r>
      <w:r w:rsidR="007B4AA7" w:rsidRPr="007E4B31">
        <w:t xml:space="preserve"> informing the ITC using the FE model was informative for decision making given the results from the RE model indicated high statistical heterogeneity between REAL-3 and REAL-4.</w:t>
      </w:r>
      <w:r w:rsidR="00F5667F" w:rsidRPr="007E4B31">
        <w:t xml:space="preserve"> </w:t>
      </w:r>
      <w:r w:rsidR="007B4AA7" w:rsidRPr="007E4B31">
        <w:t xml:space="preserve">The PSCR </w:t>
      </w:r>
      <w:r w:rsidR="00F92894">
        <w:t>and the pre-PBAC response f</w:t>
      </w:r>
      <w:r w:rsidR="007B4AA7" w:rsidRPr="007E4B31">
        <w:t xml:space="preserve">urther claimed that </w:t>
      </w:r>
      <w:r w:rsidR="00F5667F" w:rsidRPr="007E4B31">
        <w:t xml:space="preserve">FE models were </w:t>
      </w:r>
      <w:r w:rsidR="00CF2B95" w:rsidRPr="007E4B31">
        <w:t>informative for decision making</w:t>
      </w:r>
      <w:r w:rsidR="00F5667F" w:rsidRPr="007E4B31">
        <w:t xml:space="preserve"> as they assume a common effect size, resulting in less weighting placed on studies with smaller sample sizes</w:t>
      </w:r>
      <w:r w:rsidR="00CF2B95" w:rsidRPr="007E4B31">
        <w:t xml:space="preserve">. </w:t>
      </w:r>
      <w:r w:rsidR="00CF4845" w:rsidRPr="007E4B31">
        <w:rPr>
          <w:iCs/>
        </w:rPr>
        <w:t xml:space="preserve">The evaluation considered that </w:t>
      </w:r>
      <w:r w:rsidRPr="007E4B31">
        <w:rPr>
          <w:iCs/>
        </w:rPr>
        <w:t xml:space="preserve">on balance, it was plausible that somapacitan was non-inferior in efficacy to somatrogon, given that the PBAC has previously accepted that somatrogon was non-inferior to somatropin, and somapacitan was also non-inferior to somatropin based on the direct trial results from REAL-3 and REAL-4. </w:t>
      </w:r>
      <w:r w:rsidR="00CF4845" w:rsidRPr="007E4B31">
        <w:t>The ESC considered this was reasonable.</w:t>
      </w:r>
      <w:r w:rsidR="00CF4845" w:rsidRPr="007E4B31">
        <w:rPr>
          <w:iCs/>
        </w:rPr>
        <w:t xml:space="preserve"> </w:t>
      </w:r>
    </w:p>
    <w:p w14:paraId="58047540" w14:textId="16E4689A" w:rsidR="00E547CC" w:rsidRPr="007E4B31" w:rsidRDefault="00E547CC" w:rsidP="00E547CC">
      <w:pPr>
        <w:pStyle w:val="3-BodyText"/>
        <w:rPr>
          <w:iCs/>
        </w:rPr>
      </w:pPr>
      <w:r w:rsidRPr="007E4B31">
        <w:rPr>
          <w:iCs/>
        </w:rPr>
        <w:lastRenderedPageBreak/>
        <w:t xml:space="preserve">The results </w:t>
      </w:r>
      <w:r w:rsidR="00E47C30" w:rsidRPr="007E4B31">
        <w:rPr>
          <w:iCs/>
        </w:rPr>
        <w:t>for</w:t>
      </w:r>
      <w:r w:rsidRPr="007E4B31">
        <w:rPr>
          <w:iCs/>
        </w:rPr>
        <w:t xml:space="preserve"> somatropin varied between trials, with REAL-3 (9.90) and Opko III (9.78) reporting a lower mean annualised HV than REAL-4 (11.70) and Opko II (12.50) in patients randomised to somatropin. The cause of this difference was unclear, and the difference between trials could be considered substantial (e.g.</w:t>
      </w:r>
      <w:r w:rsidR="00E47C30" w:rsidRPr="007E4B31">
        <w:rPr>
          <w:iCs/>
        </w:rPr>
        <w:t>,</w:t>
      </w:r>
      <w:r w:rsidRPr="007E4B31">
        <w:rPr>
          <w:iCs/>
        </w:rPr>
        <w:t xml:space="preserve"> the difference between the mean annualised HV in the somatropin arm of REAL-4 and REAL-3 was 1.8 cm/year, which was the same magnitude as the proposed non-inferiority margin, and the difference in Opko II and Opko III was even greater). It is possible that this difference contributed to the heterogeneity observed in REA</w:t>
      </w:r>
      <w:r w:rsidR="00F92894">
        <w:rPr>
          <w:iCs/>
        </w:rPr>
        <w:t>L</w:t>
      </w:r>
      <w:r w:rsidRPr="007E4B31">
        <w:rPr>
          <w:iCs/>
        </w:rPr>
        <w:t xml:space="preserve">-3 and REAL-4, though the same </w:t>
      </w:r>
      <w:r w:rsidR="00B60158" w:rsidRPr="007E4B31">
        <w:rPr>
          <w:iCs/>
        </w:rPr>
        <w:t xml:space="preserve">degree of </w:t>
      </w:r>
      <w:r w:rsidRPr="007E4B31">
        <w:rPr>
          <w:iCs/>
        </w:rPr>
        <w:t xml:space="preserve">heterogeneity </w:t>
      </w:r>
      <w:proofErr w:type="gramStart"/>
      <w:r w:rsidRPr="007E4B31">
        <w:rPr>
          <w:iCs/>
        </w:rPr>
        <w:t>was not observed</w:t>
      </w:r>
      <w:proofErr w:type="gramEnd"/>
      <w:r w:rsidRPr="007E4B31">
        <w:rPr>
          <w:iCs/>
        </w:rPr>
        <w:t xml:space="preserve"> in </w:t>
      </w:r>
      <w:r w:rsidR="008A48F5" w:rsidRPr="007E4B31">
        <w:rPr>
          <w:iCs/>
        </w:rPr>
        <w:t xml:space="preserve">the </w:t>
      </w:r>
      <w:r w:rsidR="00B60158" w:rsidRPr="007E4B31">
        <w:rPr>
          <w:iCs/>
        </w:rPr>
        <w:t xml:space="preserve">meta-analysis of </w:t>
      </w:r>
      <w:r w:rsidRPr="007E4B31">
        <w:rPr>
          <w:iCs/>
        </w:rPr>
        <w:t xml:space="preserve">Opko II and Opko III despite a similar difference in terms of mean annualised HV of the </w:t>
      </w:r>
      <w:r w:rsidR="00B60158" w:rsidRPr="007E4B31">
        <w:rPr>
          <w:iCs/>
        </w:rPr>
        <w:t>somatropin</w:t>
      </w:r>
      <w:r w:rsidRPr="007E4B31">
        <w:rPr>
          <w:iCs/>
        </w:rPr>
        <w:t xml:space="preserve"> arm between the two trials. Overall, the variation </w:t>
      </w:r>
      <w:r w:rsidR="00BF2E7A" w:rsidRPr="007E4B31">
        <w:rPr>
          <w:iCs/>
        </w:rPr>
        <w:t>i</w:t>
      </w:r>
      <w:r w:rsidRPr="007E4B31">
        <w:rPr>
          <w:iCs/>
        </w:rPr>
        <w:t xml:space="preserve">n annualised HV </w:t>
      </w:r>
      <w:r w:rsidR="00F92894">
        <w:rPr>
          <w:iCs/>
        </w:rPr>
        <w:t>seen with</w:t>
      </w:r>
      <w:r w:rsidRPr="007E4B31">
        <w:rPr>
          <w:iCs/>
        </w:rPr>
        <w:t xml:space="preserve"> the common comparator increased the uncertainty of the ITC</w:t>
      </w:r>
      <w:r w:rsidR="00291984">
        <w:rPr>
          <w:iCs/>
        </w:rPr>
        <w:t>. The evaluation stated i</w:t>
      </w:r>
      <w:r w:rsidRPr="007E4B31">
        <w:rPr>
          <w:iCs/>
        </w:rPr>
        <w:t xml:space="preserve">t was unclear if </w:t>
      </w:r>
      <w:r w:rsidR="00291984">
        <w:rPr>
          <w:iCs/>
        </w:rPr>
        <w:t>this</w:t>
      </w:r>
      <w:r w:rsidRPr="007E4B31">
        <w:rPr>
          <w:iCs/>
        </w:rPr>
        <w:t xml:space="preserve"> represented a transitivity issue as the variation affected both the somapacitan </w:t>
      </w:r>
      <w:r w:rsidR="00F92894">
        <w:rPr>
          <w:iCs/>
        </w:rPr>
        <w:t>versus</w:t>
      </w:r>
      <w:r w:rsidRPr="007E4B31">
        <w:rPr>
          <w:iCs/>
        </w:rPr>
        <w:t xml:space="preserve"> somatropin trials and somatrogon v</w:t>
      </w:r>
      <w:r w:rsidR="00F92894">
        <w:rPr>
          <w:iCs/>
        </w:rPr>
        <w:t>ersu</w:t>
      </w:r>
      <w:r w:rsidRPr="007E4B31">
        <w:rPr>
          <w:iCs/>
        </w:rPr>
        <w:t>s somatropin trials.</w:t>
      </w:r>
    </w:p>
    <w:p w14:paraId="3BCACF3C" w14:textId="32931D0C" w:rsidR="007702B1" w:rsidRPr="007E4B31" w:rsidRDefault="007702B1" w:rsidP="006D3E83">
      <w:pPr>
        <w:pStyle w:val="3-BodyText"/>
      </w:pPr>
      <w:r w:rsidRPr="007E4B31">
        <w:t xml:space="preserve">The submission considered that </w:t>
      </w:r>
      <w:r w:rsidR="0064213A" w:rsidRPr="007E4B31">
        <w:t xml:space="preserve">due to the greater bone age delay and lower peak GH levels and height SDS values in REAL-3 and REAL-4 compared to the Australian patient population, </w:t>
      </w:r>
      <w:r w:rsidRPr="007E4B31">
        <w:t xml:space="preserve">the treatment outcomes of somapacitan </w:t>
      </w:r>
      <w:proofErr w:type="gramStart"/>
      <w:r w:rsidR="0064213A" w:rsidRPr="007E4B31">
        <w:t>were expected</w:t>
      </w:r>
      <w:proofErr w:type="gramEnd"/>
      <w:r w:rsidR="0064213A" w:rsidRPr="007E4B31">
        <w:t xml:space="preserve"> to be </w:t>
      </w:r>
      <w:r w:rsidRPr="007E4B31">
        <w:t xml:space="preserve">conservative </w:t>
      </w:r>
      <w:r w:rsidR="0064213A" w:rsidRPr="007E4B31">
        <w:t>compared to clinical practice</w:t>
      </w:r>
      <w:r w:rsidRPr="007E4B31">
        <w:t xml:space="preserve">. </w:t>
      </w:r>
      <w:r w:rsidRPr="007E4B31">
        <w:rPr>
          <w:iCs/>
        </w:rPr>
        <w:t>Howeve</w:t>
      </w:r>
      <w:r w:rsidR="0064213A" w:rsidRPr="007E4B31">
        <w:rPr>
          <w:iCs/>
        </w:rPr>
        <w:t>r,</w:t>
      </w:r>
      <w:r w:rsidRPr="007E4B31">
        <w:rPr>
          <w:iCs/>
        </w:rPr>
        <w:t xml:space="preserve"> th</w:t>
      </w:r>
      <w:r w:rsidR="00E47C30" w:rsidRPr="007E4B31">
        <w:rPr>
          <w:iCs/>
        </w:rPr>
        <w:t>e evaluation considered that th</w:t>
      </w:r>
      <w:r w:rsidR="00DA0BCD" w:rsidRPr="007E4B31">
        <w:rPr>
          <w:iCs/>
        </w:rPr>
        <w:t xml:space="preserve">is may not be a reasonable assertion </w:t>
      </w:r>
      <w:r w:rsidR="00F32AFF" w:rsidRPr="007E4B31">
        <w:rPr>
          <w:iCs/>
        </w:rPr>
        <w:t xml:space="preserve">as </w:t>
      </w:r>
      <w:r w:rsidRPr="007E4B31">
        <w:rPr>
          <w:iCs/>
        </w:rPr>
        <w:t xml:space="preserve">evidence to suggest this direction in treatment effect was uncertain and there </w:t>
      </w:r>
      <w:r w:rsidR="00E47C30" w:rsidRPr="007E4B31">
        <w:rPr>
          <w:iCs/>
        </w:rPr>
        <w:t>we</w:t>
      </w:r>
      <w:r w:rsidRPr="007E4B31">
        <w:rPr>
          <w:iCs/>
        </w:rPr>
        <w:t>re conflicting results in the literature</w:t>
      </w:r>
      <w:r w:rsidR="006E3977" w:rsidRPr="007E4B31">
        <w:rPr>
          <w:iCs/>
        </w:rPr>
        <w:t>.</w:t>
      </w:r>
      <w:r w:rsidR="006E3977" w:rsidRPr="007E4B31">
        <w:t xml:space="preserve"> </w:t>
      </w:r>
    </w:p>
    <w:p w14:paraId="41180A05" w14:textId="0AE41E05" w:rsidR="00B71F7D" w:rsidRPr="007E4B31" w:rsidRDefault="00855406" w:rsidP="00933EE3">
      <w:pPr>
        <w:pStyle w:val="3-BodyText"/>
      </w:pPr>
      <w:bookmarkStart w:id="23" w:name="_Ref134183783"/>
      <w:r w:rsidRPr="007E4B31">
        <w:rPr>
          <w:iCs/>
        </w:rPr>
        <w:t xml:space="preserve">For example, there </w:t>
      </w:r>
      <w:r w:rsidR="00B71F7D" w:rsidRPr="007E4B31">
        <w:rPr>
          <w:iCs/>
        </w:rPr>
        <w:t xml:space="preserve">was </w:t>
      </w:r>
      <w:proofErr w:type="gramStart"/>
      <w:r w:rsidR="00B71F7D" w:rsidRPr="007E4B31">
        <w:rPr>
          <w:iCs/>
        </w:rPr>
        <w:t>some</w:t>
      </w:r>
      <w:proofErr w:type="gramEnd"/>
      <w:r w:rsidR="00B71F7D" w:rsidRPr="007E4B31">
        <w:rPr>
          <w:iCs/>
        </w:rPr>
        <w:t xml:space="preserve"> evidence from REAL-4 subgroup data that peak GH level was a potential treatment modifier</w:t>
      </w:r>
      <w:r w:rsidR="00E2435A" w:rsidRPr="007E4B31">
        <w:rPr>
          <w:iCs/>
        </w:rPr>
        <w:t xml:space="preserve"> </w:t>
      </w:r>
      <w:r w:rsidR="00B14A3E" w:rsidRPr="007E4B31">
        <w:rPr>
          <w:iCs/>
        </w:rPr>
        <w:t xml:space="preserve">(p=0.0466) </w:t>
      </w:r>
      <w:r w:rsidR="00E2435A" w:rsidRPr="007E4B31">
        <w:rPr>
          <w:iCs/>
        </w:rPr>
        <w:t>based on a test for interaction condu</w:t>
      </w:r>
      <w:r w:rsidR="00B14A3E" w:rsidRPr="007E4B31">
        <w:rPr>
          <w:iCs/>
        </w:rPr>
        <w:t>cted during the evaluation</w:t>
      </w:r>
      <w:r w:rsidR="00B71F7D" w:rsidRPr="007E4B31">
        <w:rPr>
          <w:iCs/>
        </w:rPr>
        <w:t xml:space="preserve">. The treatment effect favoured somapacitan over somatropin </w:t>
      </w:r>
      <w:r w:rsidR="00B14A3E" w:rsidRPr="007E4B31">
        <w:rPr>
          <w:iCs/>
        </w:rPr>
        <w:t xml:space="preserve">(difference = </w:t>
      </w:r>
      <w:r w:rsidR="004F132A" w:rsidRPr="007E4B31">
        <w:rPr>
          <w:iCs/>
        </w:rPr>
        <w:t xml:space="preserve">0.6, 95%CI -0.4, 1.6) </w:t>
      </w:r>
      <w:r w:rsidR="00B71F7D" w:rsidRPr="007E4B31">
        <w:rPr>
          <w:iCs/>
        </w:rPr>
        <w:t xml:space="preserve">in patients with higher peak GH levels (≥7 ng/ml), but favoured somatropin </w:t>
      </w:r>
      <w:r w:rsidR="004F132A" w:rsidRPr="007E4B31">
        <w:rPr>
          <w:iCs/>
        </w:rPr>
        <w:t xml:space="preserve">over somapacitan (difference = -0.7, 95%CI -1.5, 0.1) </w:t>
      </w:r>
      <w:r w:rsidR="00B71F7D" w:rsidRPr="007E4B31">
        <w:rPr>
          <w:iCs/>
        </w:rPr>
        <w:t>in patients with lower peak GH levels (&lt;7 ng/ml)</w:t>
      </w:r>
      <w:r w:rsidR="004F132A" w:rsidRPr="007E4B31">
        <w:rPr>
          <w:iCs/>
        </w:rPr>
        <w:t>.</w:t>
      </w:r>
      <w:r w:rsidR="00B71F7D" w:rsidRPr="007E4B31">
        <w:rPr>
          <w:iCs/>
        </w:rPr>
        <w:t xml:space="preserve"> </w:t>
      </w:r>
      <w:r w:rsidR="004F132A" w:rsidRPr="007E4B31">
        <w:rPr>
          <w:iCs/>
        </w:rPr>
        <w:t xml:space="preserve">This </w:t>
      </w:r>
      <w:r w:rsidR="00B71F7D" w:rsidRPr="007E4B31">
        <w:rPr>
          <w:iCs/>
        </w:rPr>
        <w:t>suggest</w:t>
      </w:r>
      <w:r w:rsidR="004F132A" w:rsidRPr="007E4B31">
        <w:rPr>
          <w:iCs/>
        </w:rPr>
        <w:t xml:space="preserve">ed that, compared to somatropin, </w:t>
      </w:r>
      <w:r w:rsidR="00B71F7D" w:rsidRPr="007E4B31">
        <w:rPr>
          <w:iCs/>
        </w:rPr>
        <w:t>somapacitan may be more effective in patients with less severe GHD</w:t>
      </w:r>
      <w:r w:rsidR="004F132A" w:rsidRPr="007E4B31">
        <w:rPr>
          <w:iCs/>
        </w:rPr>
        <w:t>,</w:t>
      </w:r>
      <w:r w:rsidR="00C01433" w:rsidRPr="007E4B31">
        <w:rPr>
          <w:iCs/>
        </w:rPr>
        <w:t xml:space="preserve"> </w:t>
      </w:r>
      <w:r w:rsidR="004F132A" w:rsidRPr="007E4B31">
        <w:rPr>
          <w:iCs/>
        </w:rPr>
        <w:t xml:space="preserve">in which case the </w:t>
      </w:r>
      <w:r w:rsidR="00B53BBE" w:rsidRPr="007E4B31">
        <w:rPr>
          <w:iCs/>
        </w:rPr>
        <w:t xml:space="preserve">lower peak GH levels in REAL-3 and REAL-4 may have </w:t>
      </w:r>
      <w:proofErr w:type="gramStart"/>
      <w:r w:rsidR="006B04BD" w:rsidRPr="007E4B31">
        <w:rPr>
          <w:iCs/>
        </w:rPr>
        <w:t>actually overestimated</w:t>
      </w:r>
      <w:proofErr w:type="gramEnd"/>
      <w:r w:rsidR="006B04BD" w:rsidRPr="007E4B31">
        <w:rPr>
          <w:iCs/>
        </w:rPr>
        <w:t xml:space="preserve"> the </w:t>
      </w:r>
      <w:r w:rsidR="00DA0BCD" w:rsidRPr="007E4B31">
        <w:rPr>
          <w:iCs/>
        </w:rPr>
        <w:t xml:space="preserve">efficacy of </w:t>
      </w:r>
      <w:r w:rsidR="00B53BBE" w:rsidRPr="007E4B31">
        <w:rPr>
          <w:iCs/>
        </w:rPr>
        <w:t>somapacitan</w:t>
      </w:r>
      <w:r w:rsidR="00DA0BCD" w:rsidRPr="007E4B31">
        <w:rPr>
          <w:iCs/>
        </w:rPr>
        <w:t xml:space="preserve"> compared to the expected efficacy in the proposed PBS population</w:t>
      </w:r>
      <w:r w:rsidR="00B71F7D" w:rsidRPr="007E4B31">
        <w:rPr>
          <w:iCs/>
        </w:rPr>
        <w:t>. Notably, in the Australian population, patients with biochemical GHD (BGHD</w:t>
      </w:r>
      <w:r w:rsidR="004A59CA" w:rsidRPr="007E4B31">
        <w:rPr>
          <w:iCs/>
        </w:rPr>
        <w:t>, 1.9 ng/ml</w:t>
      </w:r>
      <w:r w:rsidR="00B71F7D" w:rsidRPr="007E4B31">
        <w:rPr>
          <w:iCs/>
        </w:rPr>
        <w:t xml:space="preserve">) had </w:t>
      </w:r>
      <w:proofErr w:type="gramStart"/>
      <w:r w:rsidR="00B71F7D" w:rsidRPr="007E4B31">
        <w:rPr>
          <w:iCs/>
        </w:rPr>
        <w:t>substantially lower</w:t>
      </w:r>
      <w:proofErr w:type="gramEnd"/>
      <w:r w:rsidR="00B71F7D" w:rsidRPr="007E4B31">
        <w:rPr>
          <w:iCs/>
        </w:rPr>
        <w:t xml:space="preserve"> peak GH levels </w:t>
      </w:r>
      <w:r w:rsidR="00B71F7D" w:rsidRPr="007E4B31">
        <w:rPr>
          <w:bCs/>
          <w:iCs/>
        </w:rPr>
        <w:t>compared to patients with SSSG (ISS</w:t>
      </w:r>
      <w:r w:rsidR="004A59CA" w:rsidRPr="007E4B31">
        <w:rPr>
          <w:bCs/>
          <w:iCs/>
        </w:rPr>
        <w:t>,</w:t>
      </w:r>
      <w:r w:rsidR="00B71F7D" w:rsidRPr="007E4B31">
        <w:rPr>
          <w:bCs/>
          <w:iCs/>
        </w:rPr>
        <w:t xml:space="preserve"> </w:t>
      </w:r>
      <w:r w:rsidR="004A59CA" w:rsidRPr="007E4B31">
        <w:rPr>
          <w:bCs/>
          <w:iCs/>
        </w:rPr>
        <w:t xml:space="preserve">9 ng/ml, </w:t>
      </w:r>
      <w:r w:rsidR="00B71F7D" w:rsidRPr="007E4B31">
        <w:rPr>
          <w:bCs/>
          <w:iCs/>
        </w:rPr>
        <w:t>and familial short stature [FSS]</w:t>
      </w:r>
      <w:r w:rsidR="004A59CA" w:rsidRPr="007E4B31">
        <w:rPr>
          <w:bCs/>
          <w:iCs/>
        </w:rPr>
        <w:t>, 6.9 ng/ml</w:t>
      </w:r>
      <w:r w:rsidR="00B71F7D" w:rsidRPr="007E4B31">
        <w:rPr>
          <w:bCs/>
          <w:iCs/>
        </w:rPr>
        <w:t xml:space="preserve">), and patients in REAL-3 </w:t>
      </w:r>
      <w:r w:rsidR="00BF4ACE" w:rsidRPr="007E4B31">
        <w:rPr>
          <w:bCs/>
          <w:iCs/>
        </w:rPr>
        <w:t xml:space="preserve">(4.1 ng/ml) </w:t>
      </w:r>
      <w:r w:rsidR="00B71F7D" w:rsidRPr="007E4B31">
        <w:rPr>
          <w:bCs/>
          <w:iCs/>
        </w:rPr>
        <w:t>and REAL-4</w:t>
      </w:r>
      <w:r w:rsidR="00BF4ACE" w:rsidRPr="007E4B31">
        <w:rPr>
          <w:bCs/>
          <w:iCs/>
        </w:rPr>
        <w:t xml:space="preserve"> (4.9 ng/ml)</w:t>
      </w:r>
      <w:r w:rsidR="00B71F7D" w:rsidRPr="007E4B31">
        <w:rPr>
          <w:bCs/>
          <w:iCs/>
        </w:rPr>
        <w:t>.</w:t>
      </w:r>
      <w:r w:rsidR="00B71F7D" w:rsidRPr="007E4B31">
        <w:t xml:space="preserve"> </w:t>
      </w:r>
      <w:r w:rsidR="00B71F7D" w:rsidRPr="007E4B31">
        <w:rPr>
          <w:iCs/>
        </w:rPr>
        <w:t xml:space="preserve">Assuming the treatment effect modification of peak GH levels exists, this would suggest that somapacitan is potentially less effective compared to somatropin in patients with BGHD compared to patients with SSSG (ISS and FSS). However, it is unclear whether the same relationship relative to somatrogon would </w:t>
      </w:r>
      <w:proofErr w:type="gramStart"/>
      <w:r w:rsidR="00B71F7D" w:rsidRPr="007E4B31">
        <w:rPr>
          <w:iCs/>
        </w:rPr>
        <w:t>be observed</w:t>
      </w:r>
      <w:proofErr w:type="gramEnd"/>
      <w:r w:rsidR="00B71F7D" w:rsidRPr="007E4B31">
        <w:rPr>
          <w:iCs/>
        </w:rPr>
        <w:t>.</w:t>
      </w:r>
      <w:bookmarkEnd w:id="23"/>
    </w:p>
    <w:p w14:paraId="76333CC4" w14:textId="37894491" w:rsidR="00855406" w:rsidRPr="007E4B31" w:rsidRDefault="00780895" w:rsidP="00C041C8">
      <w:pPr>
        <w:pStyle w:val="3-BodyText"/>
      </w:pPr>
      <w:bookmarkStart w:id="24" w:name="_Ref134183784"/>
      <w:r w:rsidRPr="007E4B31">
        <w:rPr>
          <w:iCs/>
        </w:rPr>
        <w:t>I</w:t>
      </w:r>
      <w:r w:rsidR="00855406" w:rsidRPr="007E4B31">
        <w:rPr>
          <w:iCs/>
        </w:rPr>
        <w:t xml:space="preserve">n the literature, Yoon (2022) reported no significant difference in growth outcomes after one year between patients </w:t>
      </w:r>
      <w:r w:rsidR="00013B8F" w:rsidRPr="007E4B31">
        <w:rPr>
          <w:iCs/>
        </w:rPr>
        <w:t xml:space="preserve">treated with somatropin </w:t>
      </w:r>
      <w:r w:rsidR="00855406" w:rsidRPr="007E4B31">
        <w:rPr>
          <w:iCs/>
        </w:rPr>
        <w:t xml:space="preserve">with complete and partial GHD (i.e., more </w:t>
      </w:r>
      <w:r w:rsidR="00570DB2" w:rsidRPr="007E4B31">
        <w:rPr>
          <w:iCs/>
        </w:rPr>
        <w:t>severe,</w:t>
      </w:r>
      <w:r w:rsidR="00855406" w:rsidRPr="007E4B31">
        <w:rPr>
          <w:iCs/>
        </w:rPr>
        <w:t xml:space="preserve"> and less severe GHD, respectively) and a significant difference </w:t>
      </w:r>
      <w:r w:rsidR="00855406" w:rsidRPr="007E4B31">
        <w:rPr>
          <w:iCs/>
        </w:rPr>
        <w:lastRenderedPageBreak/>
        <w:t xml:space="preserve">after two years. It </w:t>
      </w:r>
      <w:proofErr w:type="gramStart"/>
      <w:r w:rsidR="00855406" w:rsidRPr="007E4B31">
        <w:rPr>
          <w:iCs/>
        </w:rPr>
        <w:t>was added</w:t>
      </w:r>
      <w:proofErr w:type="gramEnd"/>
      <w:r w:rsidR="00855406" w:rsidRPr="007E4B31">
        <w:rPr>
          <w:iCs/>
        </w:rPr>
        <w:t xml:space="preserve"> that baseline height SDS was a significant negative predictor of growth response after one and two </w:t>
      </w:r>
      <w:r w:rsidR="001A1042" w:rsidRPr="007E4B31">
        <w:rPr>
          <w:iCs/>
        </w:rPr>
        <w:t>years</w:t>
      </w:r>
      <w:r w:rsidR="00855406" w:rsidRPr="007E4B31">
        <w:rPr>
          <w:iCs/>
        </w:rPr>
        <w:t xml:space="preserve"> in patients with more severe GHD, though, unlike REAL-4, peak GH level was not a significant predictor of growth outcomes in this study.</w:t>
      </w:r>
      <w:r w:rsidR="001A1042" w:rsidRPr="007E4B31">
        <w:t xml:space="preserve"> </w:t>
      </w:r>
      <w:r w:rsidRPr="007E4B31">
        <w:rPr>
          <w:iCs/>
        </w:rPr>
        <w:t>Further highlighting the uncertainty in this relationship</w:t>
      </w:r>
      <w:r w:rsidR="00406805" w:rsidRPr="007E4B31">
        <w:rPr>
          <w:iCs/>
        </w:rPr>
        <w:t>,</w:t>
      </w:r>
      <w:r w:rsidRPr="007E4B31">
        <w:rPr>
          <w:iCs/>
        </w:rPr>
        <w:t xml:space="preserve"> other studies have </w:t>
      </w:r>
      <w:r w:rsidR="001A1042" w:rsidRPr="007E4B31">
        <w:rPr>
          <w:iCs/>
        </w:rPr>
        <w:t xml:space="preserve">reported a lower growth response in patients with less severe GHD compared to more severe </w:t>
      </w:r>
      <w:r w:rsidRPr="007E4B31">
        <w:rPr>
          <w:iCs/>
        </w:rPr>
        <w:t>GHD;</w:t>
      </w:r>
      <w:r w:rsidR="00570DB2" w:rsidRPr="007E4B31">
        <w:rPr>
          <w:rStyle w:val="FootnoteReference"/>
          <w:iCs/>
        </w:rPr>
        <w:t xml:space="preserve"> </w:t>
      </w:r>
      <w:r w:rsidR="00570DB2" w:rsidRPr="007E4B31">
        <w:rPr>
          <w:rStyle w:val="FootnoteReference"/>
          <w:iCs/>
        </w:rPr>
        <w:footnoteReference w:id="2"/>
      </w:r>
      <w:r w:rsidR="00570DB2" w:rsidRPr="007E4B31">
        <w:rPr>
          <w:iCs/>
          <w:vertAlign w:val="superscript"/>
        </w:rPr>
        <w:t>,</w:t>
      </w:r>
      <w:r w:rsidR="00570DB2" w:rsidRPr="007E4B31">
        <w:rPr>
          <w:rStyle w:val="FootnoteReference"/>
          <w:iCs/>
        </w:rPr>
        <w:footnoteReference w:id="3"/>
      </w:r>
      <w:r w:rsidR="00570DB2" w:rsidRPr="007E4B31">
        <w:rPr>
          <w:iCs/>
        </w:rPr>
        <w:t xml:space="preserve"> </w:t>
      </w:r>
      <w:r w:rsidR="001A1042" w:rsidRPr="007E4B31">
        <w:rPr>
          <w:iCs/>
        </w:rPr>
        <w:t>no difference in growth response after one year;</w:t>
      </w:r>
      <w:r w:rsidR="00570DB2" w:rsidRPr="007E4B31">
        <w:rPr>
          <w:rStyle w:val="FootnoteReference"/>
          <w:iCs/>
        </w:rPr>
        <w:t xml:space="preserve"> </w:t>
      </w:r>
      <w:r w:rsidR="00570DB2" w:rsidRPr="007E4B31">
        <w:rPr>
          <w:rStyle w:val="FootnoteReference"/>
          <w:iCs/>
        </w:rPr>
        <w:footnoteReference w:id="4"/>
      </w:r>
      <w:r w:rsidR="00570DB2" w:rsidRPr="007E4B31">
        <w:rPr>
          <w:iCs/>
        </w:rPr>
        <w:t xml:space="preserve"> </w:t>
      </w:r>
      <w:r w:rsidR="001A1042" w:rsidRPr="007E4B31">
        <w:rPr>
          <w:iCs/>
        </w:rPr>
        <w:t xml:space="preserve">and </w:t>
      </w:r>
      <w:r w:rsidR="00406805" w:rsidRPr="007E4B31">
        <w:rPr>
          <w:iCs/>
        </w:rPr>
        <w:t>that</w:t>
      </w:r>
      <w:r w:rsidR="001A1042" w:rsidRPr="007E4B31">
        <w:rPr>
          <w:iCs/>
        </w:rPr>
        <w:t xml:space="preserve"> peak GH level was predictive of growth response</w:t>
      </w:r>
      <w:r w:rsidR="004A59CA" w:rsidRPr="007E4B31">
        <w:rPr>
          <w:iCs/>
        </w:rPr>
        <w:t>.</w:t>
      </w:r>
      <w:r w:rsidR="004A59CA" w:rsidRPr="007E4B31">
        <w:rPr>
          <w:rStyle w:val="FootnoteReference"/>
          <w:iCs/>
        </w:rPr>
        <w:footnoteReference w:id="5"/>
      </w:r>
      <w:r w:rsidR="001A1042" w:rsidRPr="007E4B31">
        <w:rPr>
          <w:iCs/>
        </w:rPr>
        <w:t xml:space="preserve"> In addition, experts from the Growth Hormone Research Society (2019</w:t>
      </w:r>
      <w:r w:rsidRPr="007E4B31">
        <w:rPr>
          <w:iCs/>
        </w:rPr>
        <w:t>) recommended</w:t>
      </w:r>
      <w:r w:rsidR="001A1042" w:rsidRPr="007E4B31">
        <w:rPr>
          <w:iCs/>
        </w:rPr>
        <w:t xml:space="preserve"> that patients with greater GHD severity, as evidenced by lower peak GH levels, lower IGF-1 levels, and clinical features, initiate GH treatment at lower doses, suggesting a higher sensitivity to treatment in these patients.</w:t>
      </w:r>
      <w:r w:rsidR="004A59CA" w:rsidRPr="007E4B31">
        <w:rPr>
          <w:rStyle w:val="FootnoteReference"/>
          <w:iCs/>
        </w:rPr>
        <w:footnoteReference w:id="6"/>
      </w:r>
      <w:bookmarkEnd w:id="24"/>
      <w:r w:rsidR="00DD12E5" w:rsidRPr="007E4B31">
        <w:rPr>
          <w:iCs/>
        </w:rPr>
        <w:t xml:space="preserve"> </w:t>
      </w:r>
      <w:r w:rsidR="006E3977" w:rsidRPr="007E4B31">
        <w:rPr>
          <w:iCs/>
        </w:rPr>
        <w:t>Overall, it is unclear whether differences in GHD severity will have contributed to any differences in response to different treatments</w:t>
      </w:r>
      <w:r w:rsidR="00E010C0" w:rsidRPr="007E4B31">
        <w:rPr>
          <w:iCs/>
        </w:rPr>
        <w:t>.</w:t>
      </w:r>
      <w:r w:rsidR="006E3977" w:rsidRPr="007E4B31">
        <w:rPr>
          <w:iCs/>
        </w:rPr>
        <w:t xml:space="preserve"> </w:t>
      </w:r>
      <w:r w:rsidR="00E010C0" w:rsidRPr="007E4B31">
        <w:rPr>
          <w:iCs/>
        </w:rPr>
        <w:t xml:space="preserve">As such, </w:t>
      </w:r>
      <w:r w:rsidR="006E3977" w:rsidRPr="007E4B31">
        <w:rPr>
          <w:iCs/>
        </w:rPr>
        <w:t xml:space="preserve">the </w:t>
      </w:r>
      <w:r w:rsidR="00E010C0" w:rsidRPr="007E4B31">
        <w:rPr>
          <w:iCs/>
        </w:rPr>
        <w:t xml:space="preserve">claim </w:t>
      </w:r>
      <w:r w:rsidR="006E3977" w:rsidRPr="007E4B31">
        <w:rPr>
          <w:iCs/>
        </w:rPr>
        <w:t>that REAL-3 and REAL-4 represent conservative treatment estimates compared to the Australian population remains unclear.</w:t>
      </w:r>
    </w:p>
    <w:p w14:paraId="1D54C753" w14:textId="59985A21" w:rsidR="00C604B7" w:rsidRPr="007E4B31" w:rsidRDefault="009F14DB" w:rsidP="001B22F2">
      <w:pPr>
        <w:pStyle w:val="3-BodyText"/>
      </w:pPr>
      <w:r>
        <w:rPr>
          <w:iCs/>
        </w:rPr>
        <w:t>I</w:t>
      </w:r>
      <w:r w:rsidR="00961EBE" w:rsidRPr="007E4B31">
        <w:rPr>
          <w:iCs/>
        </w:rPr>
        <w:t xml:space="preserve">mprovements in HV </w:t>
      </w:r>
      <w:r w:rsidR="00146353" w:rsidRPr="007E4B31">
        <w:rPr>
          <w:iCs/>
        </w:rPr>
        <w:t>standard deviation score (</w:t>
      </w:r>
      <w:r w:rsidR="00961EBE" w:rsidRPr="007E4B31">
        <w:rPr>
          <w:iCs/>
        </w:rPr>
        <w:t>SDS</w:t>
      </w:r>
      <w:r w:rsidR="00146353" w:rsidRPr="007E4B31">
        <w:rPr>
          <w:iCs/>
        </w:rPr>
        <w:t>)</w:t>
      </w:r>
      <w:r w:rsidR="00961EBE" w:rsidRPr="007E4B31">
        <w:rPr>
          <w:iCs/>
        </w:rPr>
        <w:t xml:space="preserve"> and height SDS were consistent with improvements in </w:t>
      </w:r>
      <w:r w:rsidR="00B3144D" w:rsidRPr="007E4B31">
        <w:rPr>
          <w:iCs/>
        </w:rPr>
        <w:t xml:space="preserve">annualised </w:t>
      </w:r>
      <w:r w:rsidR="00961EBE" w:rsidRPr="007E4B31">
        <w:rPr>
          <w:iCs/>
        </w:rPr>
        <w:t xml:space="preserve">HV, and statistically significant differences for most comparisons between somapacitan vs somatropin and </w:t>
      </w:r>
      <w:r w:rsidR="00146353" w:rsidRPr="007E4B31">
        <w:rPr>
          <w:iCs/>
        </w:rPr>
        <w:t xml:space="preserve">somapacitan vs </w:t>
      </w:r>
      <w:r w:rsidR="00961EBE" w:rsidRPr="007E4B31">
        <w:rPr>
          <w:iCs/>
        </w:rPr>
        <w:t xml:space="preserve">somatrogon </w:t>
      </w:r>
      <w:proofErr w:type="gramStart"/>
      <w:r w:rsidR="00961EBE" w:rsidRPr="007E4B31">
        <w:rPr>
          <w:iCs/>
        </w:rPr>
        <w:t>were not observed</w:t>
      </w:r>
      <w:proofErr w:type="gramEnd"/>
      <w:r w:rsidR="00961EBE" w:rsidRPr="007E4B31">
        <w:rPr>
          <w:iCs/>
        </w:rPr>
        <w:t xml:space="preserve"> after 52</w:t>
      </w:r>
      <w:r>
        <w:rPr>
          <w:iCs/>
        </w:rPr>
        <w:t xml:space="preserve"> </w:t>
      </w:r>
      <w:r w:rsidR="00961EBE" w:rsidRPr="007E4B31">
        <w:rPr>
          <w:iCs/>
        </w:rPr>
        <w:t xml:space="preserve">weeks. </w:t>
      </w:r>
    </w:p>
    <w:p w14:paraId="586F6C14" w14:textId="0B275518" w:rsidR="00C604B7" w:rsidRPr="007E4B31" w:rsidRDefault="00146353" w:rsidP="001B22F2">
      <w:pPr>
        <w:pStyle w:val="3-BodyText"/>
      </w:pPr>
      <w:r w:rsidRPr="007E4B31">
        <w:t>Patient reported outcomes</w:t>
      </w:r>
      <w:r w:rsidR="00C604B7" w:rsidRPr="007E4B31">
        <w:t xml:space="preserve"> </w:t>
      </w:r>
      <w:r w:rsidR="00961EBE" w:rsidRPr="007E4B31">
        <w:t>(TRIM-CGHD-O, TB-CGHD-O, and TB-CGHD-P)</w:t>
      </w:r>
      <w:r w:rsidR="00961EBE" w:rsidRPr="007E4B31">
        <w:rPr>
          <w:rStyle w:val="FootnoteReference"/>
        </w:rPr>
        <w:footnoteReference w:id="7"/>
      </w:r>
      <w:r w:rsidR="00961EBE" w:rsidRPr="007E4B31">
        <w:t xml:space="preserve"> </w:t>
      </w:r>
      <w:r w:rsidR="00C604B7" w:rsidRPr="007E4B31">
        <w:t>measuring</w:t>
      </w:r>
      <w:r w:rsidR="00961EBE" w:rsidRPr="007E4B31">
        <w:t xml:space="preserve"> the impact or burden of GH</w:t>
      </w:r>
      <w:r w:rsidR="00C604B7" w:rsidRPr="007E4B31">
        <w:t xml:space="preserve"> treatment</w:t>
      </w:r>
      <w:r w:rsidR="00B039EA" w:rsidRPr="007E4B31">
        <w:t xml:space="preserve"> </w:t>
      </w:r>
      <w:r w:rsidR="00B654A1" w:rsidRPr="007E4B31">
        <w:t xml:space="preserve">based on REAL-3 and REAL-4 </w:t>
      </w:r>
      <w:proofErr w:type="gramStart"/>
      <w:r w:rsidR="00B039EA" w:rsidRPr="007E4B31">
        <w:t>generally</w:t>
      </w:r>
      <w:r w:rsidR="00C604B7" w:rsidRPr="007E4B31">
        <w:t xml:space="preserve"> favour</w:t>
      </w:r>
      <w:r w:rsidR="00961EBE" w:rsidRPr="007E4B31">
        <w:t>ed</w:t>
      </w:r>
      <w:proofErr w:type="gramEnd"/>
      <w:r w:rsidR="00C604B7" w:rsidRPr="007E4B31">
        <w:t xml:space="preserve"> somapacitan over somatropin. </w:t>
      </w:r>
      <w:r w:rsidR="005D62C4" w:rsidRPr="007E4B31">
        <w:t>T</w:t>
      </w:r>
      <w:r w:rsidR="00C604B7" w:rsidRPr="007E4B31">
        <w:t xml:space="preserve">he submission </w:t>
      </w:r>
      <w:proofErr w:type="gramStart"/>
      <w:r w:rsidR="00C604B7" w:rsidRPr="007E4B31">
        <w:rPr>
          <w:iCs/>
        </w:rPr>
        <w:t>reasonably</w:t>
      </w:r>
      <w:r w:rsidR="00C604B7" w:rsidRPr="007E4B31">
        <w:t xml:space="preserve"> considered</w:t>
      </w:r>
      <w:proofErr w:type="gramEnd"/>
      <w:r w:rsidR="00C604B7" w:rsidRPr="007E4B31">
        <w:t xml:space="preserve"> </w:t>
      </w:r>
      <w:r w:rsidR="009F14DB">
        <w:t>QoL</w:t>
      </w:r>
      <w:r w:rsidR="00640C2A" w:rsidRPr="007E4B31">
        <w:t xml:space="preserve"> </w:t>
      </w:r>
      <w:r w:rsidR="00C604B7" w:rsidRPr="007E4B31">
        <w:t xml:space="preserve">benefits of somatrogon </w:t>
      </w:r>
      <w:r w:rsidR="00640C2A" w:rsidRPr="007E4B31">
        <w:t xml:space="preserve">compared to somapacitan </w:t>
      </w:r>
      <w:r w:rsidR="00C604B7" w:rsidRPr="007E4B31">
        <w:t xml:space="preserve">to be applicable to somapacitan </w:t>
      </w:r>
      <w:r w:rsidR="00640C2A" w:rsidRPr="007E4B31">
        <w:t>as both were once weekly GH treatments. T</w:t>
      </w:r>
      <w:r w:rsidR="004444A6" w:rsidRPr="007E4B31">
        <w:t xml:space="preserve">he </w:t>
      </w:r>
      <w:r w:rsidR="00640C2A" w:rsidRPr="007E4B31">
        <w:t xml:space="preserve">QoL benefits of somatrogon compared to somatropin </w:t>
      </w:r>
      <w:proofErr w:type="gramStart"/>
      <w:r w:rsidR="00640C2A" w:rsidRPr="007E4B31">
        <w:t>w</w:t>
      </w:r>
      <w:r w:rsidR="00E47C30" w:rsidRPr="007E4B31">
        <w:t>ere</w:t>
      </w:r>
      <w:r w:rsidR="00640C2A" w:rsidRPr="007E4B31">
        <w:t xml:space="preserve"> </w:t>
      </w:r>
      <w:r w:rsidR="00927435" w:rsidRPr="007E4B31">
        <w:t>supported</w:t>
      </w:r>
      <w:proofErr w:type="gramEnd"/>
      <w:r w:rsidR="00927435" w:rsidRPr="007E4B31">
        <w:t xml:space="preserve"> by the </w:t>
      </w:r>
      <w:r w:rsidR="004444A6" w:rsidRPr="007E4B31">
        <w:t xml:space="preserve">Quality of Life in Short Stature Youth (QoLISSY) questionnaire </w:t>
      </w:r>
      <w:r w:rsidR="004444A6" w:rsidRPr="007E4B31">
        <w:lastRenderedPageBreak/>
        <w:t>(</w:t>
      </w:r>
      <w:r w:rsidR="00C604B7" w:rsidRPr="007E4B31">
        <w:t>Opko III</w:t>
      </w:r>
      <w:r w:rsidR="004444A6" w:rsidRPr="007E4B31">
        <w:t xml:space="preserve">) </w:t>
      </w:r>
      <w:r w:rsidR="00C604B7" w:rsidRPr="007E4B31">
        <w:t>and the Dyad Clinical outcomes Assessment (DCOA 1 and 2) questionnaire (NCT03831880 trial)</w:t>
      </w:r>
      <w:r w:rsidR="00F525B4" w:rsidRPr="007E4B31">
        <w:t xml:space="preserve"> from patients enrolled in Opko III</w:t>
      </w:r>
      <w:r w:rsidR="00C604B7" w:rsidRPr="007E4B31">
        <w:t xml:space="preserve">. </w:t>
      </w:r>
      <w:r w:rsidR="002C7B09">
        <w:rPr>
          <w:iCs/>
        </w:rPr>
        <w:t>The PBAC previously</w:t>
      </w:r>
      <w:r w:rsidR="00927435" w:rsidRPr="007E4B31">
        <w:rPr>
          <w:iCs/>
        </w:rPr>
        <w:t xml:space="preserve"> considered</w:t>
      </w:r>
      <w:r w:rsidR="002C7B09">
        <w:rPr>
          <w:iCs/>
        </w:rPr>
        <w:t xml:space="preserve"> that while</w:t>
      </w:r>
      <w:r w:rsidR="00927435" w:rsidRPr="007E4B31">
        <w:rPr>
          <w:iCs/>
        </w:rPr>
        <w:t xml:space="preserve"> the DCOA 1 questionnaire </w:t>
      </w:r>
      <w:proofErr w:type="gramStart"/>
      <w:r w:rsidR="00927435" w:rsidRPr="007E4B31">
        <w:rPr>
          <w:iCs/>
        </w:rPr>
        <w:t>was validated</w:t>
      </w:r>
      <w:proofErr w:type="gramEnd"/>
      <w:r w:rsidR="00927435" w:rsidRPr="007E4B31">
        <w:rPr>
          <w:iCs/>
        </w:rPr>
        <w:t xml:space="preserve"> for use among children with GHD</w:t>
      </w:r>
      <w:r w:rsidR="002C7B09">
        <w:rPr>
          <w:iCs/>
        </w:rPr>
        <w:t>, that</w:t>
      </w:r>
      <w:r w:rsidR="00927435" w:rsidRPr="007E4B31">
        <w:rPr>
          <w:iCs/>
        </w:rPr>
        <w:t xml:space="preserve"> using a subjective outcome in an unblinded trial </w:t>
      </w:r>
      <w:r w:rsidR="002C7B09">
        <w:rPr>
          <w:iCs/>
        </w:rPr>
        <w:t>wa</w:t>
      </w:r>
      <w:r w:rsidR="00927435" w:rsidRPr="007E4B31">
        <w:rPr>
          <w:iCs/>
        </w:rPr>
        <w:t>s problematic. In addition, the</w:t>
      </w:r>
      <w:r w:rsidR="002C7B09">
        <w:rPr>
          <w:iCs/>
        </w:rPr>
        <w:t xml:space="preserve"> PBAC previously noted the</w:t>
      </w:r>
      <w:r w:rsidR="00927435" w:rsidRPr="007E4B31">
        <w:rPr>
          <w:iCs/>
        </w:rPr>
        <w:t>re was no definition provided for non-inferiority, and no definition of a clinically significant difference (paragraph 6.15, somatrogon, PSD, March 2022 PBAC meeting).</w:t>
      </w:r>
    </w:p>
    <w:p w14:paraId="45922C8F" w14:textId="77777777" w:rsidR="00C604B7" w:rsidRPr="007E4B31" w:rsidRDefault="00C604B7" w:rsidP="00355B31">
      <w:pPr>
        <w:pStyle w:val="4-SubsectionHeading"/>
      </w:pPr>
      <w:bookmarkStart w:id="25" w:name="_Toc22897642"/>
      <w:bookmarkStart w:id="26" w:name="_Toc134493584"/>
      <w:r w:rsidRPr="007E4B31">
        <w:t>Comparative harms</w:t>
      </w:r>
      <w:bookmarkEnd w:id="25"/>
      <w:bookmarkEnd w:id="26"/>
    </w:p>
    <w:p w14:paraId="7EAB1687" w14:textId="77F30102" w:rsidR="00496681" w:rsidRPr="007E4B31" w:rsidRDefault="00496681" w:rsidP="001B22F2">
      <w:pPr>
        <w:pStyle w:val="3-BodyText"/>
      </w:pPr>
      <w:r w:rsidRPr="007E4B31">
        <w:t xml:space="preserve">A summary of the </w:t>
      </w:r>
      <w:r w:rsidR="009F14DB">
        <w:t xml:space="preserve">results from the </w:t>
      </w:r>
      <w:r w:rsidR="00BC392D" w:rsidRPr="007E4B31">
        <w:t xml:space="preserve">meta-analyses of adverse events (AE) </w:t>
      </w:r>
      <w:r w:rsidR="009F14DB">
        <w:t>from</w:t>
      </w:r>
      <w:r w:rsidR="00821407" w:rsidRPr="007E4B31">
        <w:t xml:space="preserve"> the included trials </w:t>
      </w:r>
      <w:r w:rsidR="00BC392D" w:rsidRPr="007E4B31">
        <w:t xml:space="preserve">and the results of the ITC </w:t>
      </w:r>
      <w:r w:rsidR="009F14DB">
        <w:t>for</w:t>
      </w:r>
      <w:r w:rsidR="001E0B7D" w:rsidRPr="007E4B31">
        <w:t xml:space="preserve"> AEs </w:t>
      </w:r>
      <w:proofErr w:type="gramStart"/>
      <w:r w:rsidR="001E0B7D" w:rsidRPr="007E4B31">
        <w:t>are presented</w:t>
      </w:r>
      <w:proofErr w:type="gramEnd"/>
      <w:r w:rsidR="001E0B7D" w:rsidRPr="007E4B31">
        <w:t xml:space="preserve"> in</w:t>
      </w:r>
      <w:r w:rsidR="00927917" w:rsidRPr="007E4B31">
        <w:t xml:space="preserve"> </w:t>
      </w:r>
      <w:r w:rsidR="00927917" w:rsidRPr="007E4B31">
        <w:fldChar w:fldCharType="begin" w:fldLock="1"/>
      </w:r>
      <w:r w:rsidR="00927917" w:rsidRPr="007E4B31">
        <w:instrText xml:space="preserve"> REF _Ref134490963 \h </w:instrText>
      </w:r>
      <w:r w:rsidR="00370FF4" w:rsidRPr="007E4B31">
        <w:instrText xml:space="preserve"> \* MERGEFORMAT </w:instrText>
      </w:r>
      <w:r w:rsidR="00927917" w:rsidRPr="007E4B31">
        <w:fldChar w:fldCharType="separate"/>
      </w:r>
      <w:r w:rsidR="00D3534F" w:rsidRPr="007E4B31">
        <w:t xml:space="preserve">Table </w:t>
      </w:r>
      <w:r w:rsidR="00D3534F">
        <w:rPr>
          <w:noProof/>
        </w:rPr>
        <w:t>5</w:t>
      </w:r>
      <w:r w:rsidR="00927917" w:rsidRPr="007E4B31">
        <w:fldChar w:fldCharType="end"/>
      </w:r>
      <w:r w:rsidR="001E0B7D" w:rsidRPr="007E4B31">
        <w:t xml:space="preserve">. </w:t>
      </w:r>
    </w:p>
    <w:p w14:paraId="5E59A9A1" w14:textId="4EDFD44B" w:rsidR="002B2AF8" w:rsidRPr="007E4B31" w:rsidRDefault="002B2AF8" w:rsidP="008C6D80">
      <w:pPr>
        <w:pStyle w:val="TableFigureHeading"/>
        <w:keepLines/>
        <w:rPr>
          <w:rStyle w:val="CommentReference"/>
          <w:b/>
          <w:szCs w:val="24"/>
        </w:rPr>
      </w:pPr>
      <w:bookmarkStart w:id="27" w:name="_Ref134490963"/>
      <w:r w:rsidRPr="007E4B31">
        <w:lastRenderedPageBreak/>
        <w:t xml:space="preserve">Table </w:t>
      </w:r>
      <w:r w:rsidR="00402BC2">
        <w:fldChar w:fldCharType="begin" w:fldLock="1"/>
      </w:r>
      <w:r w:rsidR="00402BC2">
        <w:instrText xml:space="preserve"> SEQ Table \* ARABIC </w:instrText>
      </w:r>
      <w:r w:rsidR="00402BC2">
        <w:fldChar w:fldCharType="separate"/>
      </w:r>
      <w:r w:rsidR="00D3534F">
        <w:rPr>
          <w:noProof/>
        </w:rPr>
        <w:t>5</w:t>
      </w:r>
      <w:r w:rsidR="00402BC2">
        <w:rPr>
          <w:noProof/>
        </w:rPr>
        <w:fldChar w:fldCharType="end"/>
      </w:r>
      <w:bookmarkEnd w:id="27"/>
      <w:r w:rsidRPr="007E4B31">
        <w:t xml:space="preserve">: </w:t>
      </w:r>
      <w:r w:rsidRPr="007E4B31">
        <w:rPr>
          <w:rStyle w:val="CommentReference"/>
          <w:b/>
          <w:szCs w:val="24"/>
        </w:rPr>
        <w:t xml:space="preserve">Summary of </w:t>
      </w:r>
      <w:r w:rsidR="00FF09FB" w:rsidRPr="007E4B31">
        <w:rPr>
          <w:rStyle w:val="CommentReference"/>
          <w:b/>
          <w:szCs w:val="24"/>
        </w:rPr>
        <w:t xml:space="preserve">meta-analysis and indirect comparison of </w:t>
      </w:r>
      <w:r w:rsidRPr="007E4B31">
        <w:rPr>
          <w:rStyle w:val="CommentReference"/>
          <w:b/>
          <w:szCs w:val="24"/>
        </w:rPr>
        <w:t xml:space="preserve">key adverse events </w:t>
      </w:r>
    </w:p>
    <w:tbl>
      <w:tblPr>
        <w:tblStyle w:val="TableGrid"/>
        <w:tblW w:w="8995" w:type="dxa"/>
        <w:tblLook w:val="04A0" w:firstRow="1" w:lastRow="0" w:firstColumn="1" w:lastColumn="0" w:noHBand="0" w:noVBand="1"/>
      </w:tblPr>
      <w:tblGrid>
        <w:gridCol w:w="1795"/>
        <w:gridCol w:w="1080"/>
        <w:gridCol w:w="1080"/>
        <w:gridCol w:w="1080"/>
        <w:gridCol w:w="2400"/>
        <w:gridCol w:w="1560"/>
      </w:tblGrid>
      <w:tr w:rsidR="00835463" w:rsidRPr="007E4B31" w14:paraId="118D6C1A" w14:textId="77777777" w:rsidTr="00C01433">
        <w:tc>
          <w:tcPr>
            <w:tcW w:w="1795" w:type="dxa"/>
            <w:tcMar>
              <w:left w:w="20" w:type="dxa"/>
              <w:right w:w="20" w:type="dxa"/>
            </w:tcMar>
            <w:vAlign w:val="center"/>
          </w:tcPr>
          <w:p w14:paraId="7496F467" w14:textId="77777777" w:rsidR="00835463" w:rsidRPr="007E4B31" w:rsidRDefault="00835463" w:rsidP="008C6D80">
            <w:pPr>
              <w:keepNext/>
              <w:keepLines/>
              <w:jc w:val="left"/>
              <w:rPr>
                <w:rFonts w:ascii="Arial Narrow" w:hAnsi="Arial Narrow"/>
                <w:b/>
                <w:bCs/>
                <w:sz w:val="20"/>
                <w:szCs w:val="20"/>
              </w:rPr>
            </w:pPr>
            <w:r w:rsidRPr="007E4B31">
              <w:rPr>
                <w:rFonts w:ascii="Arial Narrow" w:hAnsi="Arial Narrow"/>
                <w:b/>
                <w:bCs/>
                <w:sz w:val="20"/>
                <w:szCs w:val="20"/>
              </w:rPr>
              <w:t xml:space="preserve">Trial ID </w:t>
            </w:r>
            <w:r w:rsidRPr="007E4B31">
              <w:rPr>
                <w:rFonts w:ascii="Arial Narrow" w:hAnsi="Arial Narrow"/>
                <w:b/>
                <w:bCs/>
                <w:sz w:val="20"/>
                <w:szCs w:val="20"/>
                <w:vertAlign w:val="superscript"/>
              </w:rPr>
              <w:t>a</w:t>
            </w:r>
          </w:p>
        </w:tc>
        <w:tc>
          <w:tcPr>
            <w:tcW w:w="1080" w:type="dxa"/>
            <w:tcMar>
              <w:left w:w="20" w:type="dxa"/>
              <w:right w:w="20" w:type="dxa"/>
            </w:tcMar>
            <w:vAlign w:val="center"/>
          </w:tcPr>
          <w:p w14:paraId="5E2B0EE6"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Somapacitan</w:t>
            </w:r>
          </w:p>
        </w:tc>
        <w:tc>
          <w:tcPr>
            <w:tcW w:w="1080" w:type="dxa"/>
            <w:tcMar>
              <w:left w:w="20" w:type="dxa"/>
              <w:right w:w="20" w:type="dxa"/>
            </w:tcMar>
            <w:vAlign w:val="center"/>
          </w:tcPr>
          <w:p w14:paraId="34E77495"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Somatropin</w:t>
            </w:r>
          </w:p>
        </w:tc>
        <w:tc>
          <w:tcPr>
            <w:tcW w:w="1080" w:type="dxa"/>
            <w:tcMar>
              <w:left w:w="20" w:type="dxa"/>
              <w:right w:w="20" w:type="dxa"/>
            </w:tcMar>
            <w:vAlign w:val="center"/>
          </w:tcPr>
          <w:p w14:paraId="2E70489A"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Somatrogon</w:t>
            </w:r>
          </w:p>
        </w:tc>
        <w:tc>
          <w:tcPr>
            <w:tcW w:w="2400" w:type="dxa"/>
            <w:tcMar>
              <w:left w:w="20" w:type="dxa"/>
              <w:right w:w="20" w:type="dxa"/>
            </w:tcMar>
            <w:vAlign w:val="center"/>
          </w:tcPr>
          <w:p w14:paraId="249E18EF"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RR</w:t>
            </w:r>
          </w:p>
        </w:tc>
        <w:tc>
          <w:tcPr>
            <w:tcW w:w="1560" w:type="dxa"/>
            <w:tcMar>
              <w:left w:w="20" w:type="dxa"/>
              <w:right w:w="20" w:type="dxa"/>
            </w:tcMar>
            <w:vAlign w:val="center"/>
          </w:tcPr>
          <w:p w14:paraId="602F4C42"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 xml:space="preserve">RD (%) </w:t>
            </w:r>
            <w:r w:rsidRPr="007E4B31">
              <w:rPr>
                <w:rFonts w:ascii="Arial Narrow" w:hAnsi="Arial Narrow"/>
                <w:b/>
                <w:bCs/>
                <w:sz w:val="20"/>
                <w:szCs w:val="20"/>
                <w:vertAlign w:val="superscript"/>
              </w:rPr>
              <w:t>b</w:t>
            </w:r>
          </w:p>
        </w:tc>
      </w:tr>
      <w:tr w:rsidR="00835463" w:rsidRPr="007E4B31" w14:paraId="5C51B34E" w14:textId="77777777" w:rsidTr="00C01433">
        <w:tc>
          <w:tcPr>
            <w:tcW w:w="1795" w:type="dxa"/>
            <w:tcBorders>
              <w:bottom w:val="single" w:sz="4" w:space="0" w:color="auto"/>
            </w:tcBorders>
            <w:tcMar>
              <w:left w:w="20" w:type="dxa"/>
              <w:right w:w="20" w:type="dxa"/>
            </w:tcMar>
            <w:vAlign w:val="center"/>
          </w:tcPr>
          <w:p w14:paraId="7978D90A" w14:textId="77777777" w:rsidR="00835463" w:rsidRPr="007E4B31" w:rsidRDefault="00835463" w:rsidP="008C6D80">
            <w:pPr>
              <w:keepNext/>
              <w:keepLines/>
              <w:jc w:val="left"/>
              <w:rPr>
                <w:rFonts w:ascii="Arial Narrow" w:hAnsi="Arial Narrow"/>
                <w:b/>
                <w:bCs/>
                <w:sz w:val="20"/>
                <w:szCs w:val="20"/>
              </w:rPr>
            </w:pPr>
          </w:p>
        </w:tc>
        <w:tc>
          <w:tcPr>
            <w:tcW w:w="1080" w:type="dxa"/>
            <w:tcBorders>
              <w:bottom w:val="single" w:sz="4" w:space="0" w:color="auto"/>
            </w:tcBorders>
            <w:tcMar>
              <w:left w:w="20" w:type="dxa"/>
              <w:right w:w="20" w:type="dxa"/>
            </w:tcMar>
            <w:vAlign w:val="center"/>
          </w:tcPr>
          <w:p w14:paraId="2C2B4C4B"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n (%)</w:t>
            </w:r>
          </w:p>
        </w:tc>
        <w:tc>
          <w:tcPr>
            <w:tcW w:w="1080" w:type="dxa"/>
            <w:tcBorders>
              <w:bottom w:val="single" w:sz="4" w:space="0" w:color="auto"/>
            </w:tcBorders>
            <w:tcMar>
              <w:left w:w="20" w:type="dxa"/>
              <w:right w:w="20" w:type="dxa"/>
            </w:tcMar>
            <w:vAlign w:val="center"/>
          </w:tcPr>
          <w:p w14:paraId="141AB63C"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n (%)</w:t>
            </w:r>
          </w:p>
        </w:tc>
        <w:tc>
          <w:tcPr>
            <w:tcW w:w="1080" w:type="dxa"/>
            <w:tcBorders>
              <w:bottom w:val="single" w:sz="4" w:space="0" w:color="auto"/>
            </w:tcBorders>
            <w:tcMar>
              <w:left w:w="20" w:type="dxa"/>
              <w:right w:w="20" w:type="dxa"/>
            </w:tcMar>
            <w:vAlign w:val="center"/>
          </w:tcPr>
          <w:p w14:paraId="5FCDDF3B"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n (%)</w:t>
            </w:r>
          </w:p>
        </w:tc>
        <w:tc>
          <w:tcPr>
            <w:tcW w:w="2400" w:type="dxa"/>
            <w:tcBorders>
              <w:bottom w:val="single" w:sz="4" w:space="0" w:color="auto"/>
            </w:tcBorders>
            <w:tcMar>
              <w:left w:w="20" w:type="dxa"/>
              <w:right w:w="20" w:type="dxa"/>
            </w:tcMar>
            <w:vAlign w:val="center"/>
          </w:tcPr>
          <w:p w14:paraId="77F9C68D"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w:t>
            </w:r>
            <w:proofErr w:type="gramStart"/>
            <w:r w:rsidRPr="007E4B31">
              <w:rPr>
                <w:rFonts w:ascii="Arial Narrow" w:hAnsi="Arial Narrow"/>
                <w:b/>
                <w:bCs/>
                <w:sz w:val="20"/>
                <w:szCs w:val="20"/>
              </w:rPr>
              <w:t>95%</w:t>
            </w:r>
            <w:proofErr w:type="gramEnd"/>
            <w:r w:rsidRPr="007E4B31">
              <w:rPr>
                <w:rFonts w:ascii="Arial Narrow" w:hAnsi="Arial Narrow"/>
                <w:b/>
                <w:bCs/>
                <w:sz w:val="20"/>
                <w:szCs w:val="20"/>
              </w:rPr>
              <w:t xml:space="preserve"> CI); p-value</w:t>
            </w:r>
          </w:p>
        </w:tc>
        <w:tc>
          <w:tcPr>
            <w:tcW w:w="1560" w:type="dxa"/>
            <w:tcBorders>
              <w:bottom w:val="single" w:sz="4" w:space="0" w:color="auto"/>
            </w:tcBorders>
            <w:tcMar>
              <w:left w:w="20" w:type="dxa"/>
              <w:right w:w="20" w:type="dxa"/>
            </w:tcMar>
            <w:vAlign w:val="center"/>
          </w:tcPr>
          <w:p w14:paraId="4443138C" w14:textId="77777777" w:rsidR="00835463" w:rsidRPr="007E4B31" w:rsidRDefault="00835463" w:rsidP="008C6D80">
            <w:pPr>
              <w:keepNext/>
              <w:keepLines/>
              <w:jc w:val="center"/>
              <w:rPr>
                <w:rFonts w:ascii="Arial Narrow" w:hAnsi="Arial Narrow"/>
                <w:b/>
                <w:bCs/>
                <w:sz w:val="20"/>
                <w:szCs w:val="20"/>
              </w:rPr>
            </w:pPr>
            <w:r w:rsidRPr="007E4B31">
              <w:rPr>
                <w:rFonts w:ascii="Arial Narrow" w:hAnsi="Arial Narrow"/>
                <w:b/>
                <w:bCs/>
                <w:sz w:val="20"/>
                <w:szCs w:val="20"/>
              </w:rPr>
              <w:t>(</w:t>
            </w:r>
            <w:proofErr w:type="gramStart"/>
            <w:r w:rsidRPr="007E4B31">
              <w:rPr>
                <w:rFonts w:ascii="Arial Narrow" w:hAnsi="Arial Narrow"/>
                <w:b/>
                <w:bCs/>
                <w:sz w:val="20"/>
                <w:szCs w:val="20"/>
              </w:rPr>
              <w:t>95%</w:t>
            </w:r>
            <w:proofErr w:type="gramEnd"/>
            <w:r w:rsidRPr="007E4B31">
              <w:rPr>
                <w:rFonts w:ascii="Arial Narrow" w:hAnsi="Arial Narrow"/>
                <w:b/>
                <w:bCs/>
                <w:sz w:val="20"/>
                <w:szCs w:val="20"/>
              </w:rPr>
              <w:t xml:space="preserve"> CI)</w:t>
            </w:r>
          </w:p>
        </w:tc>
      </w:tr>
      <w:tr w:rsidR="00835463" w:rsidRPr="007E4B31" w14:paraId="533528B3" w14:textId="77777777" w:rsidTr="00C01433">
        <w:tc>
          <w:tcPr>
            <w:tcW w:w="1795" w:type="dxa"/>
            <w:tcBorders>
              <w:right w:val="nil"/>
            </w:tcBorders>
            <w:tcMar>
              <w:left w:w="20" w:type="dxa"/>
              <w:right w:w="20" w:type="dxa"/>
            </w:tcMar>
            <w:vAlign w:val="center"/>
          </w:tcPr>
          <w:p w14:paraId="4558A22F"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b/>
                <w:sz w:val="20"/>
                <w:szCs w:val="20"/>
              </w:rPr>
              <w:t>Any/all-cause AE</w:t>
            </w:r>
          </w:p>
        </w:tc>
        <w:tc>
          <w:tcPr>
            <w:tcW w:w="1080" w:type="dxa"/>
            <w:tcBorders>
              <w:left w:val="nil"/>
              <w:right w:val="nil"/>
            </w:tcBorders>
            <w:tcMar>
              <w:left w:w="20" w:type="dxa"/>
              <w:right w:w="20" w:type="dxa"/>
            </w:tcMar>
            <w:vAlign w:val="center"/>
          </w:tcPr>
          <w:p w14:paraId="7452BFA9" w14:textId="77777777" w:rsidR="00835463" w:rsidRPr="007E4B31" w:rsidRDefault="00835463" w:rsidP="008C6D80">
            <w:pPr>
              <w:keepNext/>
              <w:keepLines/>
              <w:jc w:val="center"/>
              <w:rPr>
                <w:rFonts w:ascii="Arial Narrow" w:hAnsi="Arial Narrow"/>
                <w:sz w:val="20"/>
                <w:szCs w:val="20"/>
              </w:rPr>
            </w:pPr>
          </w:p>
        </w:tc>
        <w:tc>
          <w:tcPr>
            <w:tcW w:w="1080" w:type="dxa"/>
            <w:tcBorders>
              <w:left w:val="nil"/>
              <w:right w:val="nil"/>
            </w:tcBorders>
            <w:tcMar>
              <w:left w:w="20" w:type="dxa"/>
              <w:right w:w="20" w:type="dxa"/>
            </w:tcMar>
            <w:vAlign w:val="center"/>
          </w:tcPr>
          <w:p w14:paraId="258FA763" w14:textId="77777777" w:rsidR="00835463" w:rsidRPr="007E4B31" w:rsidRDefault="00835463" w:rsidP="008C6D80">
            <w:pPr>
              <w:keepNext/>
              <w:keepLines/>
              <w:jc w:val="center"/>
              <w:rPr>
                <w:rFonts w:ascii="Arial Narrow" w:hAnsi="Arial Narrow"/>
                <w:sz w:val="20"/>
                <w:szCs w:val="20"/>
              </w:rPr>
            </w:pPr>
          </w:p>
        </w:tc>
        <w:tc>
          <w:tcPr>
            <w:tcW w:w="1080" w:type="dxa"/>
            <w:tcBorders>
              <w:left w:val="nil"/>
              <w:right w:val="nil"/>
            </w:tcBorders>
            <w:tcMar>
              <w:left w:w="20" w:type="dxa"/>
              <w:right w:w="20" w:type="dxa"/>
            </w:tcMar>
            <w:vAlign w:val="center"/>
          </w:tcPr>
          <w:p w14:paraId="13155783" w14:textId="77777777" w:rsidR="00835463" w:rsidRPr="007E4B31" w:rsidRDefault="00835463" w:rsidP="008C6D80">
            <w:pPr>
              <w:keepNext/>
              <w:keepLines/>
              <w:jc w:val="center"/>
              <w:rPr>
                <w:rFonts w:ascii="Arial Narrow" w:hAnsi="Arial Narrow"/>
                <w:sz w:val="20"/>
                <w:szCs w:val="20"/>
              </w:rPr>
            </w:pPr>
          </w:p>
        </w:tc>
        <w:tc>
          <w:tcPr>
            <w:tcW w:w="2400" w:type="dxa"/>
            <w:tcBorders>
              <w:left w:val="nil"/>
              <w:right w:val="nil"/>
            </w:tcBorders>
            <w:tcMar>
              <w:left w:w="20" w:type="dxa"/>
              <w:right w:w="20" w:type="dxa"/>
            </w:tcMar>
            <w:vAlign w:val="center"/>
          </w:tcPr>
          <w:p w14:paraId="34CAE833" w14:textId="77777777" w:rsidR="00835463" w:rsidRPr="007E4B31" w:rsidRDefault="00835463" w:rsidP="008C6D80">
            <w:pPr>
              <w:keepNext/>
              <w:keepLines/>
              <w:jc w:val="center"/>
              <w:rPr>
                <w:rFonts w:ascii="Arial Narrow" w:hAnsi="Arial Narrow"/>
                <w:sz w:val="20"/>
                <w:szCs w:val="20"/>
              </w:rPr>
            </w:pPr>
          </w:p>
        </w:tc>
        <w:tc>
          <w:tcPr>
            <w:tcW w:w="1560" w:type="dxa"/>
            <w:tcBorders>
              <w:left w:val="nil"/>
            </w:tcBorders>
            <w:tcMar>
              <w:left w:w="20" w:type="dxa"/>
              <w:right w:w="20" w:type="dxa"/>
            </w:tcMar>
            <w:vAlign w:val="center"/>
          </w:tcPr>
          <w:p w14:paraId="673ABB6D" w14:textId="77777777" w:rsidR="00835463" w:rsidRPr="007E4B31" w:rsidRDefault="00835463" w:rsidP="008C6D80">
            <w:pPr>
              <w:keepNext/>
              <w:keepLines/>
              <w:jc w:val="center"/>
              <w:rPr>
                <w:rFonts w:ascii="Arial Narrow" w:hAnsi="Arial Narrow"/>
                <w:sz w:val="20"/>
                <w:szCs w:val="20"/>
              </w:rPr>
            </w:pPr>
          </w:p>
        </w:tc>
      </w:tr>
      <w:tr w:rsidR="00835463" w:rsidRPr="007E4B31" w14:paraId="6513D4EB" w14:textId="77777777" w:rsidTr="00C01433">
        <w:tc>
          <w:tcPr>
            <w:tcW w:w="1795" w:type="dxa"/>
            <w:tcMar>
              <w:left w:w="20" w:type="dxa"/>
              <w:right w:w="20" w:type="dxa"/>
            </w:tcMar>
            <w:vAlign w:val="center"/>
          </w:tcPr>
          <w:p w14:paraId="39674EA4"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REAL-3 + REAL-4 (RE)</w:t>
            </w:r>
          </w:p>
        </w:tc>
        <w:tc>
          <w:tcPr>
            <w:tcW w:w="1080" w:type="dxa"/>
            <w:tcMar>
              <w:left w:w="20" w:type="dxa"/>
              <w:right w:w="20" w:type="dxa"/>
            </w:tcMar>
            <w:vAlign w:val="center"/>
          </w:tcPr>
          <w:p w14:paraId="4B40CDD5"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107 (73.29)</w:t>
            </w:r>
          </w:p>
        </w:tc>
        <w:tc>
          <w:tcPr>
            <w:tcW w:w="1080" w:type="dxa"/>
            <w:tcMar>
              <w:left w:w="20" w:type="dxa"/>
              <w:right w:w="20" w:type="dxa"/>
            </w:tcMar>
            <w:vAlign w:val="center"/>
          </w:tcPr>
          <w:p w14:paraId="10253F92"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55 (67.07)</w:t>
            </w:r>
          </w:p>
        </w:tc>
        <w:tc>
          <w:tcPr>
            <w:tcW w:w="1080" w:type="dxa"/>
            <w:tcMar>
              <w:left w:w="20" w:type="dxa"/>
              <w:right w:w="20" w:type="dxa"/>
            </w:tcMar>
            <w:vAlign w:val="center"/>
          </w:tcPr>
          <w:p w14:paraId="000479B1"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2400" w:type="dxa"/>
            <w:tcMar>
              <w:left w:w="20" w:type="dxa"/>
              <w:right w:w="20" w:type="dxa"/>
            </w:tcMar>
            <w:vAlign w:val="center"/>
          </w:tcPr>
          <w:p w14:paraId="46BD30E0"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1.04 (0.78, 1.40)</w:t>
            </w:r>
            <w:r w:rsidRPr="007E4B31">
              <w:rPr>
                <w:rFonts w:ascii="Arial Narrow" w:hAnsi="Arial Narrow"/>
                <w:iCs/>
                <w:sz w:val="20"/>
                <w:szCs w:val="20"/>
              </w:rPr>
              <w:t xml:space="preserve">; </w:t>
            </w:r>
            <w:r w:rsidRPr="007E4B31">
              <w:rPr>
                <w:rFonts w:ascii="Arial Narrow" w:hAnsi="Arial Narrow"/>
                <w:sz w:val="20"/>
                <w:szCs w:val="20"/>
              </w:rPr>
              <w:t>0.77 I</w:t>
            </w:r>
            <w:r w:rsidRPr="007E4B31">
              <w:rPr>
                <w:rFonts w:ascii="Arial Narrow" w:hAnsi="Arial Narrow"/>
                <w:sz w:val="20"/>
                <w:szCs w:val="20"/>
                <w:vertAlign w:val="superscript"/>
              </w:rPr>
              <w:t>2</w:t>
            </w:r>
            <w:r w:rsidRPr="007E4B31">
              <w:rPr>
                <w:rFonts w:ascii="Arial Narrow" w:hAnsi="Arial Narrow"/>
                <w:sz w:val="20"/>
                <w:szCs w:val="20"/>
              </w:rPr>
              <w:t>=75%</w:t>
            </w:r>
          </w:p>
        </w:tc>
        <w:tc>
          <w:tcPr>
            <w:tcW w:w="1560" w:type="dxa"/>
            <w:tcMar>
              <w:left w:w="20" w:type="dxa"/>
              <w:right w:w="20" w:type="dxa"/>
            </w:tcMar>
            <w:vAlign w:val="center"/>
          </w:tcPr>
          <w:p w14:paraId="6308D658"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6.21 (-5.89, 18.92)</w:t>
            </w:r>
          </w:p>
        </w:tc>
      </w:tr>
      <w:tr w:rsidR="00835463" w:rsidRPr="007E4B31" w14:paraId="1D7287CD" w14:textId="77777777" w:rsidTr="00C01433">
        <w:tc>
          <w:tcPr>
            <w:tcW w:w="1795" w:type="dxa"/>
            <w:tcMar>
              <w:left w:w="20" w:type="dxa"/>
              <w:right w:w="20" w:type="dxa"/>
            </w:tcMar>
            <w:vAlign w:val="center"/>
          </w:tcPr>
          <w:p w14:paraId="44DC2B3D"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REAL-3 + REAL-4 (FE)</w:t>
            </w:r>
          </w:p>
        </w:tc>
        <w:tc>
          <w:tcPr>
            <w:tcW w:w="1080" w:type="dxa"/>
            <w:tcMar>
              <w:left w:w="20" w:type="dxa"/>
              <w:right w:w="20" w:type="dxa"/>
            </w:tcMar>
            <w:vAlign w:val="center"/>
          </w:tcPr>
          <w:p w14:paraId="4D73A444" w14:textId="77777777" w:rsidR="00835463" w:rsidRPr="007E4B31" w:rsidRDefault="00835463" w:rsidP="008C6D80">
            <w:pPr>
              <w:keepNext/>
              <w:keepLines/>
              <w:jc w:val="center"/>
              <w:rPr>
                <w:rFonts w:ascii="Arial Narrow" w:hAnsi="Arial Narrow"/>
                <w:sz w:val="20"/>
                <w:szCs w:val="20"/>
              </w:rPr>
            </w:pPr>
          </w:p>
        </w:tc>
        <w:tc>
          <w:tcPr>
            <w:tcW w:w="1080" w:type="dxa"/>
            <w:tcMar>
              <w:left w:w="20" w:type="dxa"/>
              <w:right w:w="20" w:type="dxa"/>
            </w:tcMar>
            <w:vAlign w:val="center"/>
          </w:tcPr>
          <w:p w14:paraId="6871AE20" w14:textId="77777777" w:rsidR="00835463" w:rsidRPr="007E4B31" w:rsidRDefault="00835463" w:rsidP="008C6D80">
            <w:pPr>
              <w:keepNext/>
              <w:keepLines/>
              <w:jc w:val="center"/>
              <w:rPr>
                <w:rFonts w:ascii="Arial Narrow" w:hAnsi="Arial Narrow"/>
                <w:sz w:val="20"/>
                <w:szCs w:val="20"/>
              </w:rPr>
            </w:pPr>
          </w:p>
        </w:tc>
        <w:tc>
          <w:tcPr>
            <w:tcW w:w="1080" w:type="dxa"/>
            <w:tcMar>
              <w:left w:w="20" w:type="dxa"/>
              <w:right w:w="20" w:type="dxa"/>
            </w:tcMar>
            <w:vAlign w:val="center"/>
          </w:tcPr>
          <w:p w14:paraId="6C31F144" w14:textId="77777777" w:rsidR="00835463" w:rsidRPr="007E4B31" w:rsidRDefault="00835463" w:rsidP="008C6D80">
            <w:pPr>
              <w:keepNext/>
              <w:keepLines/>
              <w:jc w:val="center"/>
              <w:rPr>
                <w:rFonts w:ascii="Arial Narrow" w:hAnsi="Arial Narrow"/>
                <w:sz w:val="20"/>
                <w:szCs w:val="20"/>
              </w:rPr>
            </w:pPr>
          </w:p>
        </w:tc>
        <w:tc>
          <w:tcPr>
            <w:tcW w:w="2400" w:type="dxa"/>
            <w:tcMar>
              <w:left w:w="20" w:type="dxa"/>
              <w:right w:w="20" w:type="dxa"/>
            </w:tcMar>
            <w:vAlign w:val="center"/>
          </w:tcPr>
          <w:p w14:paraId="5301B045"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1.13 (0.94, 1.35)</w:t>
            </w:r>
            <w:r w:rsidRPr="007E4B31">
              <w:rPr>
                <w:rFonts w:ascii="Arial Narrow" w:hAnsi="Arial Narrow"/>
                <w:iCs/>
                <w:sz w:val="20"/>
                <w:szCs w:val="20"/>
              </w:rPr>
              <w:t xml:space="preserve">; </w:t>
            </w:r>
            <w:r w:rsidRPr="007E4B31">
              <w:rPr>
                <w:rFonts w:ascii="Arial Narrow" w:hAnsi="Arial Narrow"/>
                <w:sz w:val="20"/>
                <w:szCs w:val="20"/>
              </w:rPr>
              <w:t>0.19 I</w:t>
            </w:r>
            <w:r w:rsidRPr="007E4B31">
              <w:rPr>
                <w:rFonts w:ascii="Arial Narrow" w:hAnsi="Arial Narrow"/>
                <w:sz w:val="20"/>
                <w:szCs w:val="20"/>
                <w:vertAlign w:val="superscript"/>
              </w:rPr>
              <w:t>2</w:t>
            </w:r>
            <w:r w:rsidRPr="007E4B31">
              <w:rPr>
                <w:rFonts w:ascii="Arial Narrow" w:hAnsi="Arial Narrow"/>
                <w:sz w:val="20"/>
                <w:szCs w:val="20"/>
              </w:rPr>
              <w:t>=75%</w:t>
            </w:r>
          </w:p>
        </w:tc>
        <w:tc>
          <w:tcPr>
            <w:tcW w:w="1560" w:type="dxa"/>
            <w:tcMar>
              <w:left w:w="20" w:type="dxa"/>
              <w:right w:w="20" w:type="dxa"/>
            </w:tcMar>
            <w:vAlign w:val="center"/>
          </w:tcPr>
          <w:p w14:paraId="02D41692" w14:textId="77777777" w:rsidR="00835463" w:rsidRPr="007E4B31" w:rsidRDefault="00835463" w:rsidP="008C6D80">
            <w:pPr>
              <w:keepNext/>
              <w:keepLines/>
              <w:jc w:val="center"/>
              <w:rPr>
                <w:rFonts w:ascii="Arial Narrow" w:hAnsi="Arial Narrow"/>
                <w:sz w:val="20"/>
                <w:szCs w:val="20"/>
              </w:rPr>
            </w:pPr>
          </w:p>
        </w:tc>
      </w:tr>
      <w:tr w:rsidR="00835463" w:rsidRPr="007E4B31" w14:paraId="6A6D9281" w14:textId="77777777" w:rsidTr="00C01433">
        <w:tc>
          <w:tcPr>
            <w:tcW w:w="1795" w:type="dxa"/>
            <w:tcMar>
              <w:left w:w="20" w:type="dxa"/>
              <w:right w:w="20" w:type="dxa"/>
            </w:tcMar>
            <w:vAlign w:val="center"/>
          </w:tcPr>
          <w:p w14:paraId="4DD0961F"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Opko II + Opko III (RE and FE)</w:t>
            </w:r>
          </w:p>
        </w:tc>
        <w:tc>
          <w:tcPr>
            <w:tcW w:w="1080" w:type="dxa"/>
            <w:tcMar>
              <w:left w:w="20" w:type="dxa"/>
              <w:right w:w="20" w:type="dxa"/>
            </w:tcMar>
            <w:vAlign w:val="center"/>
          </w:tcPr>
          <w:p w14:paraId="561BFB27"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Mar>
              <w:left w:w="20" w:type="dxa"/>
              <w:right w:w="20" w:type="dxa"/>
            </w:tcMar>
            <w:vAlign w:val="center"/>
          </w:tcPr>
          <w:p w14:paraId="0A7EE37C"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105 (83.33)</w:t>
            </w:r>
          </w:p>
        </w:tc>
        <w:tc>
          <w:tcPr>
            <w:tcW w:w="1080" w:type="dxa"/>
            <w:tcMar>
              <w:left w:w="20" w:type="dxa"/>
              <w:right w:w="20" w:type="dxa"/>
            </w:tcMar>
            <w:vAlign w:val="center"/>
          </w:tcPr>
          <w:p w14:paraId="40E9B722"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105 (85.37)</w:t>
            </w:r>
          </w:p>
        </w:tc>
        <w:tc>
          <w:tcPr>
            <w:tcW w:w="2400" w:type="dxa"/>
            <w:tcMar>
              <w:left w:w="20" w:type="dxa"/>
              <w:right w:w="20" w:type="dxa"/>
            </w:tcMar>
            <w:vAlign w:val="center"/>
          </w:tcPr>
          <w:p w14:paraId="612357D6"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1.03 (0.93, 1.14); 0.57 I</w:t>
            </w:r>
            <w:r w:rsidRPr="007E4B31">
              <w:rPr>
                <w:rFonts w:ascii="Arial Narrow" w:hAnsi="Arial Narrow"/>
                <w:sz w:val="20"/>
                <w:szCs w:val="20"/>
                <w:vertAlign w:val="superscript"/>
              </w:rPr>
              <w:t>2</w:t>
            </w:r>
            <w:r w:rsidRPr="007E4B31">
              <w:rPr>
                <w:rFonts w:ascii="Arial Narrow" w:hAnsi="Arial Narrow"/>
                <w:sz w:val="20"/>
                <w:szCs w:val="20"/>
              </w:rPr>
              <w:t>=0%</w:t>
            </w:r>
          </w:p>
        </w:tc>
        <w:tc>
          <w:tcPr>
            <w:tcW w:w="1560" w:type="dxa"/>
            <w:tcMar>
              <w:left w:w="20" w:type="dxa"/>
              <w:right w:w="20" w:type="dxa"/>
            </w:tcMar>
            <w:vAlign w:val="center"/>
          </w:tcPr>
          <w:p w14:paraId="23ED8755"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2.03 (-7.18, 11.23)</w:t>
            </w:r>
          </w:p>
        </w:tc>
      </w:tr>
      <w:tr w:rsidR="00835463" w:rsidRPr="007E4B31" w14:paraId="0CBE8030" w14:textId="77777777" w:rsidTr="00C01433">
        <w:tc>
          <w:tcPr>
            <w:tcW w:w="1795" w:type="dxa"/>
            <w:tcMar>
              <w:left w:w="20" w:type="dxa"/>
              <w:right w:w="20" w:type="dxa"/>
            </w:tcMar>
            <w:vAlign w:val="center"/>
          </w:tcPr>
          <w:p w14:paraId="089A5BC6"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 xml:space="preserve">ITC (RE) </w:t>
            </w:r>
            <w:r w:rsidRPr="007E4B31">
              <w:rPr>
                <w:rFonts w:ascii="Arial Narrow" w:hAnsi="Arial Narrow"/>
                <w:sz w:val="20"/>
                <w:szCs w:val="20"/>
                <w:vertAlign w:val="superscript"/>
              </w:rPr>
              <w:t>e</w:t>
            </w:r>
          </w:p>
        </w:tc>
        <w:tc>
          <w:tcPr>
            <w:tcW w:w="1080" w:type="dxa"/>
            <w:tcMar>
              <w:left w:w="20" w:type="dxa"/>
              <w:right w:w="20" w:type="dxa"/>
            </w:tcMar>
            <w:vAlign w:val="center"/>
          </w:tcPr>
          <w:p w14:paraId="24BF668A"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Mar>
              <w:left w:w="20" w:type="dxa"/>
              <w:right w:w="20" w:type="dxa"/>
            </w:tcMar>
            <w:vAlign w:val="center"/>
          </w:tcPr>
          <w:p w14:paraId="5DCD8B08"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Mar>
              <w:left w:w="20" w:type="dxa"/>
              <w:right w:w="20" w:type="dxa"/>
            </w:tcMar>
            <w:vAlign w:val="center"/>
          </w:tcPr>
          <w:p w14:paraId="315B9603"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2400" w:type="dxa"/>
            <w:tcMar>
              <w:left w:w="20" w:type="dxa"/>
              <w:right w:w="20" w:type="dxa"/>
            </w:tcMar>
            <w:vAlign w:val="center"/>
          </w:tcPr>
          <w:p w14:paraId="2196BE58"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1.01 (0.74, 1.38); 0.95</w:t>
            </w:r>
          </w:p>
        </w:tc>
        <w:tc>
          <w:tcPr>
            <w:tcW w:w="1560" w:type="dxa"/>
            <w:vMerge w:val="restart"/>
            <w:tcMar>
              <w:left w:w="20" w:type="dxa"/>
              <w:right w:w="20" w:type="dxa"/>
            </w:tcMar>
            <w:vAlign w:val="center"/>
          </w:tcPr>
          <w:p w14:paraId="2F10F3DC" w14:textId="68BC8604" w:rsidR="00835463" w:rsidRPr="001F25E2" w:rsidRDefault="00835463" w:rsidP="001F25E2">
            <w:pPr>
              <w:keepNext/>
              <w:keepLines/>
              <w:jc w:val="center"/>
              <w:rPr>
                <w:rFonts w:ascii="Arial Narrow" w:hAnsi="Arial Narrow"/>
                <w:sz w:val="20"/>
                <w:szCs w:val="20"/>
              </w:rPr>
            </w:pPr>
            <w:r w:rsidRPr="001F25E2">
              <w:rPr>
                <w:rFonts w:ascii="Arial Narrow" w:hAnsi="Arial Narrow"/>
                <w:sz w:val="20"/>
                <w:szCs w:val="20"/>
              </w:rPr>
              <w:t>-12.08</w:t>
            </w:r>
            <w:r w:rsidR="00402BC2">
              <w:rPr>
                <w:rFonts w:ascii="Arial Narrow" w:hAnsi="Arial Narrow"/>
                <w:sz w:val="20"/>
                <w:szCs w:val="20"/>
              </w:rPr>
              <w:t xml:space="preserve"> </w:t>
            </w:r>
          </w:p>
          <w:p w14:paraId="38681A1C"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(-21.55, -2.33)</w:t>
            </w:r>
          </w:p>
        </w:tc>
      </w:tr>
      <w:tr w:rsidR="00835463" w:rsidRPr="007E4B31" w14:paraId="268003AE" w14:textId="77777777" w:rsidTr="00C01433">
        <w:tc>
          <w:tcPr>
            <w:tcW w:w="1795" w:type="dxa"/>
            <w:tcBorders>
              <w:bottom w:val="single" w:sz="4" w:space="0" w:color="auto"/>
            </w:tcBorders>
            <w:tcMar>
              <w:left w:w="20" w:type="dxa"/>
              <w:right w:w="20" w:type="dxa"/>
            </w:tcMar>
            <w:vAlign w:val="center"/>
          </w:tcPr>
          <w:p w14:paraId="03486704"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 xml:space="preserve">ITC (FE) </w:t>
            </w:r>
            <w:r w:rsidRPr="007E4B31">
              <w:rPr>
                <w:rFonts w:ascii="Arial Narrow" w:hAnsi="Arial Narrow"/>
                <w:sz w:val="20"/>
                <w:szCs w:val="20"/>
                <w:vertAlign w:val="superscript"/>
              </w:rPr>
              <w:t>e</w:t>
            </w:r>
          </w:p>
        </w:tc>
        <w:tc>
          <w:tcPr>
            <w:tcW w:w="1080" w:type="dxa"/>
            <w:tcBorders>
              <w:bottom w:val="single" w:sz="4" w:space="0" w:color="auto"/>
            </w:tcBorders>
            <w:tcMar>
              <w:left w:w="20" w:type="dxa"/>
              <w:right w:w="20" w:type="dxa"/>
            </w:tcMar>
            <w:vAlign w:val="center"/>
          </w:tcPr>
          <w:p w14:paraId="0BA4B310"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Borders>
              <w:bottom w:val="single" w:sz="4" w:space="0" w:color="auto"/>
            </w:tcBorders>
            <w:tcMar>
              <w:left w:w="20" w:type="dxa"/>
              <w:right w:w="20" w:type="dxa"/>
            </w:tcMar>
            <w:vAlign w:val="center"/>
          </w:tcPr>
          <w:p w14:paraId="48761F8B"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Borders>
              <w:bottom w:val="single" w:sz="4" w:space="0" w:color="auto"/>
            </w:tcBorders>
            <w:tcMar>
              <w:left w:w="20" w:type="dxa"/>
              <w:right w:w="20" w:type="dxa"/>
            </w:tcMar>
            <w:vAlign w:val="center"/>
          </w:tcPr>
          <w:p w14:paraId="76A4E0D7"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2400" w:type="dxa"/>
            <w:tcBorders>
              <w:bottom w:val="single" w:sz="4" w:space="0" w:color="auto"/>
            </w:tcBorders>
            <w:tcMar>
              <w:left w:w="20" w:type="dxa"/>
              <w:right w:w="20" w:type="dxa"/>
            </w:tcMar>
            <w:vAlign w:val="center"/>
          </w:tcPr>
          <w:p w14:paraId="2E52825B"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1.1 (0.89, 1.35); 0.38</w:t>
            </w:r>
          </w:p>
        </w:tc>
        <w:tc>
          <w:tcPr>
            <w:tcW w:w="1560" w:type="dxa"/>
            <w:vMerge/>
            <w:tcBorders>
              <w:bottom w:val="single" w:sz="4" w:space="0" w:color="auto"/>
            </w:tcBorders>
            <w:tcMar>
              <w:left w:w="20" w:type="dxa"/>
              <w:right w:w="20" w:type="dxa"/>
            </w:tcMar>
            <w:vAlign w:val="center"/>
          </w:tcPr>
          <w:p w14:paraId="2E5FA66A" w14:textId="77777777" w:rsidR="00835463" w:rsidRPr="007E4B31" w:rsidRDefault="00835463" w:rsidP="008C6D80">
            <w:pPr>
              <w:keepNext/>
              <w:keepLines/>
              <w:jc w:val="center"/>
              <w:rPr>
                <w:rFonts w:ascii="Arial Narrow" w:hAnsi="Arial Narrow"/>
                <w:sz w:val="20"/>
                <w:szCs w:val="20"/>
              </w:rPr>
            </w:pPr>
          </w:p>
        </w:tc>
      </w:tr>
      <w:tr w:rsidR="00835463" w:rsidRPr="007E4B31" w14:paraId="5AAF5F8D" w14:textId="77777777" w:rsidTr="00C01433">
        <w:tc>
          <w:tcPr>
            <w:tcW w:w="1795" w:type="dxa"/>
            <w:tcBorders>
              <w:right w:val="nil"/>
            </w:tcBorders>
            <w:tcMar>
              <w:left w:w="20" w:type="dxa"/>
              <w:right w:w="20" w:type="dxa"/>
            </w:tcMar>
            <w:vAlign w:val="center"/>
          </w:tcPr>
          <w:p w14:paraId="1819F584"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b/>
                <w:sz w:val="20"/>
                <w:szCs w:val="20"/>
              </w:rPr>
              <w:t>Serious AE</w:t>
            </w:r>
          </w:p>
        </w:tc>
        <w:tc>
          <w:tcPr>
            <w:tcW w:w="1080" w:type="dxa"/>
            <w:tcBorders>
              <w:left w:val="nil"/>
              <w:right w:val="nil"/>
            </w:tcBorders>
            <w:tcMar>
              <w:left w:w="20" w:type="dxa"/>
              <w:right w:w="20" w:type="dxa"/>
            </w:tcMar>
            <w:vAlign w:val="center"/>
          </w:tcPr>
          <w:p w14:paraId="36EC917C" w14:textId="77777777" w:rsidR="00835463" w:rsidRPr="007E4B31" w:rsidRDefault="00835463" w:rsidP="008C6D80">
            <w:pPr>
              <w:keepNext/>
              <w:keepLines/>
              <w:jc w:val="center"/>
              <w:rPr>
                <w:rFonts w:ascii="Arial Narrow" w:hAnsi="Arial Narrow"/>
                <w:sz w:val="20"/>
                <w:szCs w:val="20"/>
              </w:rPr>
            </w:pPr>
          </w:p>
        </w:tc>
        <w:tc>
          <w:tcPr>
            <w:tcW w:w="1080" w:type="dxa"/>
            <w:tcBorders>
              <w:left w:val="nil"/>
              <w:right w:val="nil"/>
            </w:tcBorders>
            <w:tcMar>
              <w:left w:w="20" w:type="dxa"/>
              <w:right w:w="20" w:type="dxa"/>
            </w:tcMar>
            <w:vAlign w:val="center"/>
          </w:tcPr>
          <w:p w14:paraId="2C96154B" w14:textId="77777777" w:rsidR="00835463" w:rsidRPr="007E4B31" w:rsidRDefault="00835463" w:rsidP="008C6D80">
            <w:pPr>
              <w:keepNext/>
              <w:keepLines/>
              <w:jc w:val="center"/>
              <w:rPr>
                <w:rFonts w:ascii="Arial Narrow" w:hAnsi="Arial Narrow"/>
                <w:sz w:val="20"/>
                <w:szCs w:val="20"/>
              </w:rPr>
            </w:pPr>
          </w:p>
        </w:tc>
        <w:tc>
          <w:tcPr>
            <w:tcW w:w="1080" w:type="dxa"/>
            <w:tcBorders>
              <w:left w:val="nil"/>
              <w:right w:val="nil"/>
            </w:tcBorders>
            <w:tcMar>
              <w:left w:w="20" w:type="dxa"/>
              <w:right w:w="20" w:type="dxa"/>
            </w:tcMar>
            <w:vAlign w:val="center"/>
          </w:tcPr>
          <w:p w14:paraId="14BBB085" w14:textId="77777777" w:rsidR="00835463" w:rsidRPr="007E4B31" w:rsidRDefault="00835463" w:rsidP="008C6D80">
            <w:pPr>
              <w:keepNext/>
              <w:keepLines/>
              <w:jc w:val="center"/>
              <w:rPr>
                <w:rFonts w:ascii="Arial Narrow" w:hAnsi="Arial Narrow"/>
                <w:sz w:val="20"/>
                <w:szCs w:val="20"/>
              </w:rPr>
            </w:pPr>
          </w:p>
        </w:tc>
        <w:tc>
          <w:tcPr>
            <w:tcW w:w="2400" w:type="dxa"/>
            <w:tcBorders>
              <w:left w:val="nil"/>
              <w:right w:val="nil"/>
            </w:tcBorders>
            <w:tcMar>
              <w:left w:w="20" w:type="dxa"/>
              <w:right w:w="20" w:type="dxa"/>
            </w:tcMar>
            <w:vAlign w:val="center"/>
          </w:tcPr>
          <w:p w14:paraId="7F6FA2B9" w14:textId="77777777" w:rsidR="00835463" w:rsidRPr="007E4B31" w:rsidRDefault="00835463" w:rsidP="008C6D80">
            <w:pPr>
              <w:keepNext/>
              <w:keepLines/>
              <w:jc w:val="center"/>
              <w:rPr>
                <w:rFonts w:ascii="Arial Narrow" w:hAnsi="Arial Narrow"/>
                <w:sz w:val="20"/>
                <w:szCs w:val="20"/>
              </w:rPr>
            </w:pPr>
          </w:p>
        </w:tc>
        <w:tc>
          <w:tcPr>
            <w:tcW w:w="1560" w:type="dxa"/>
            <w:tcBorders>
              <w:left w:val="nil"/>
            </w:tcBorders>
            <w:tcMar>
              <w:left w:w="20" w:type="dxa"/>
              <w:right w:w="20" w:type="dxa"/>
            </w:tcMar>
            <w:vAlign w:val="center"/>
          </w:tcPr>
          <w:p w14:paraId="78C28D30" w14:textId="77777777" w:rsidR="00835463" w:rsidRPr="007E4B31" w:rsidRDefault="00835463" w:rsidP="008C6D80">
            <w:pPr>
              <w:keepNext/>
              <w:keepLines/>
              <w:jc w:val="center"/>
              <w:rPr>
                <w:rFonts w:ascii="Arial Narrow" w:hAnsi="Arial Narrow"/>
                <w:sz w:val="20"/>
                <w:szCs w:val="20"/>
              </w:rPr>
            </w:pPr>
          </w:p>
        </w:tc>
      </w:tr>
      <w:tr w:rsidR="00835463" w:rsidRPr="007E4B31" w14:paraId="18443058" w14:textId="77777777" w:rsidTr="00C01433">
        <w:tc>
          <w:tcPr>
            <w:tcW w:w="1795" w:type="dxa"/>
            <w:tcMar>
              <w:left w:w="20" w:type="dxa"/>
              <w:right w:w="20" w:type="dxa"/>
            </w:tcMar>
            <w:vAlign w:val="center"/>
          </w:tcPr>
          <w:p w14:paraId="14F17A78"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REAL-3 + REAL-4 (RE)</w:t>
            </w:r>
          </w:p>
        </w:tc>
        <w:tc>
          <w:tcPr>
            <w:tcW w:w="1080" w:type="dxa"/>
            <w:vMerge w:val="restart"/>
            <w:tcMar>
              <w:left w:w="20" w:type="dxa"/>
              <w:right w:w="20" w:type="dxa"/>
            </w:tcMar>
            <w:vAlign w:val="center"/>
          </w:tcPr>
          <w:p w14:paraId="0EF403B2"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7 (4.79)</w:t>
            </w:r>
          </w:p>
        </w:tc>
        <w:tc>
          <w:tcPr>
            <w:tcW w:w="1080" w:type="dxa"/>
            <w:vMerge w:val="restart"/>
            <w:tcMar>
              <w:left w:w="20" w:type="dxa"/>
              <w:right w:w="20" w:type="dxa"/>
            </w:tcMar>
            <w:vAlign w:val="center"/>
          </w:tcPr>
          <w:p w14:paraId="423E7CAF"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3 (3.66)</w:t>
            </w:r>
          </w:p>
        </w:tc>
        <w:tc>
          <w:tcPr>
            <w:tcW w:w="1080" w:type="dxa"/>
            <w:vMerge w:val="restart"/>
            <w:tcMar>
              <w:left w:w="20" w:type="dxa"/>
              <w:right w:w="20" w:type="dxa"/>
            </w:tcMar>
            <w:vAlign w:val="center"/>
          </w:tcPr>
          <w:p w14:paraId="7242282D"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2400" w:type="dxa"/>
            <w:tcMar>
              <w:left w:w="20" w:type="dxa"/>
              <w:right w:w="20" w:type="dxa"/>
            </w:tcMar>
            <w:vAlign w:val="center"/>
          </w:tcPr>
          <w:p w14:paraId="6F0C480C"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1.38 (0.36, 5.36); 0.64 I</w:t>
            </w:r>
            <w:r w:rsidRPr="007E4B31">
              <w:rPr>
                <w:rFonts w:ascii="Arial Narrow" w:hAnsi="Arial Narrow"/>
                <w:sz w:val="20"/>
                <w:szCs w:val="20"/>
                <w:vertAlign w:val="superscript"/>
              </w:rPr>
              <w:t>2</w:t>
            </w:r>
            <w:r w:rsidRPr="007E4B31">
              <w:rPr>
                <w:rFonts w:ascii="Arial Narrow" w:hAnsi="Arial Narrow"/>
                <w:sz w:val="20"/>
                <w:szCs w:val="20"/>
              </w:rPr>
              <w:t>=0%</w:t>
            </w:r>
          </w:p>
        </w:tc>
        <w:tc>
          <w:tcPr>
            <w:tcW w:w="1560" w:type="dxa"/>
            <w:vMerge w:val="restart"/>
            <w:tcMar>
              <w:left w:w="20" w:type="dxa"/>
              <w:right w:w="20" w:type="dxa"/>
            </w:tcMar>
            <w:vAlign w:val="center"/>
          </w:tcPr>
          <w:p w14:paraId="4534DE62"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1.14 (-5.86, 6.60)</w:t>
            </w:r>
          </w:p>
        </w:tc>
      </w:tr>
      <w:tr w:rsidR="00835463" w:rsidRPr="007E4B31" w14:paraId="7B09E75F" w14:textId="77777777" w:rsidTr="00C01433">
        <w:tc>
          <w:tcPr>
            <w:tcW w:w="1795" w:type="dxa"/>
            <w:tcMar>
              <w:left w:w="20" w:type="dxa"/>
              <w:right w:w="20" w:type="dxa"/>
            </w:tcMar>
            <w:vAlign w:val="center"/>
          </w:tcPr>
          <w:p w14:paraId="0AFF522D"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REAL-3 + REAL-4 (FE)</w:t>
            </w:r>
          </w:p>
        </w:tc>
        <w:tc>
          <w:tcPr>
            <w:tcW w:w="1080" w:type="dxa"/>
            <w:vMerge/>
            <w:tcMar>
              <w:left w:w="20" w:type="dxa"/>
              <w:right w:w="20" w:type="dxa"/>
            </w:tcMar>
            <w:vAlign w:val="center"/>
          </w:tcPr>
          <w:p w14:paraId="0000304A" w14:textId="77777777" w:rsidR="00835463" w:rsidRPr="007E4B31" w:rsidRDefault="00835463" w:rsidP="008C6D80">
            <w:pPr>
              <w:keepNext/>
              <w:keepLines/>
              <w:jc w:val="center"/>
              <w:rPr>
                <w:rFonts w:ascii="Arial Narrow" w:hAnsi="Arial Narrow"/>
                <w:sz w:val="20"/>
                <w:szCs w:val="20"/>
              </w:rPr>
            </w:pPr>
          </w:p>
        </w:tc>
        <w:tc>
          <w:tcPr>
            <w:tcW w:w="1080" w:type="dxa"/>
            <w:vMerge/>
            <w:tcMar>
              <w:left w:w="20" w:type="dxa"/>
              <w:right w:w="20" w:type="dxa"/>
            </w:tcMar>
            <w:vAlign w:val="center"/>
          </w:tcPr>
          <w:p w14:paraId="2249333E" w14:textId="77777777" w:rsidR="00835463" w:rsidRPr="007E4B31" w:rsidRDefault="00835463" w:rsidP="008C6D80">
            <w:pPr>
              <w:keepNext/>
              <w:keepLines/>
              <w:jc w:val="center"/>
              <w:rPr>
                <w:rFonts w:ascii="Arial Narrow" w:hAnsi="Arial Narrow"/>
                <w:sz w:val="20"/>
                <w:szCs w:val="20"/>
              </w:rPr>
            </w:pPr>
          </w:p>
        </w:tc>
        <w:tc>
          <w:tcPr>
            <w:tcW w:w="1080" w:type="dxa"/>
            <w:vMerge/>
            <w:tcMar>
              <w:left w:w="20" w:type="dxa"/>
              <w:right w:w="20" w:type="dxa"/>
            </w:tcMar>
            <w:vAlign w:val="center"/>
          </w:tcPr>
          <w:p w14:paraId="6D3F9961" w14:textId="77777777" w:rsidR="00835463" w:rsidRPr="007E4B31" w:rsidRDefault="00835463" w:rsidP="008C6D80">
            <w:pPr>
              <w:keepNext/>
              <w:keepLines/>
              <w:jc w:val="center"/>
              <w:rPr>
                <w:rFonts w:ascii="Arial Narrow" w:hAnsi="Arial Narrow"/>
                <w:sz w:val="20"/>
                <w:szCs w:val="20"/>
              </w:rPr>
            </w:pPr>
          </w:p>
        </w:tc>
        <w:tc>
          <w:tcPr>
            <w:tcW w:w="2400" w:type="dxa"/>
            <w:tcMar>
              <w:left w:w="20" w:type="dxa"/>
              <w:right w:w="20" w:type="dxa"/>
            </w:tcMar>
            <w:vAlign w:val="center"/>
          </w:tcPr>
          <w:p w14:paraId="3BEC0D48"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1.40 (0.36, 5.39); 0.63 I</w:t>
            </w:r>
            <w:r w:rsidRPr="007E4B31">
              <w:rPr>
                <w:rFonts w:ascii="Arial Narrow" w:hAnsi="Arial Narrow"/>
                <w:sz w:val="20"/>
                <w:szCs w:val="20"/>
                <w:vertAlign w:val="superscript"/>
              </w:rPr>
              <w:t>2</w:t>
            </w:r>
            <w:r w:rsidRPr="007E4B31">
              <w:rPr>
                <w:rFonts w:ascii="Arial Narrow" w:hAnsi="Arial Narrow"/>
                <w:sz w:val="20"/>
                <w:szCs w:val="20"/>
              </w:rPr>
              <w:t>=0%</w:t>
            </w:r>
          </w:p>
        </w:tc>
        <w:tc>
          <w:tcPr>
            <w:tcW w:w="1560" w:type="dxa"/>
            <w:vMerge/>
            <w:tcMar>
              <w:left w:w="20" w:type="dxa"/>
              <w:right w:w="20" w:type="dxa"/>
            </w:tcMar>
            <w:vAlign w:val="center"/>
          </w:tcPr>
          <w:p w14:paraId="69C6647C" w14:textId="77777777" w:rsidR="00835463" w:rsidRPr="007E4B31" w:rsidRDefault="00835463" w:rsidP="008C6D80">
            <w:pPr>
              <w:keepNext/>
              <w:keepLines/>
              <w:jc w:val="center"/>
              <w:rPr>
                <w:rFonts w:ascii="Arial Narrow" w:hAnsi="Arial Narrow"/>
                <w:sz w:val="20"/>
                <w:szCs w:val="20"/>
              </w:rPr>
            </w:pPr>
          </w:p>
        </w:tc>
      </w:tr>
      <w:tr w:rsidR="00835463" w:rsidRPr="007E4B31" w14:paraId="54996F7C" w14:textId="77777777" w:rsidTr="00C01433">
        <w:tc>
          <w:tcPr>
            <w:tcW w:w="1795" w:type="dxa"/>
            <w:tcMar>
              <w:left w:w="20" w:type="dxa"/>
              <w:right w:w="20" w:type="dxa"/>
            </w:tcMar>
            <w:vAlign w:val="center"/>
          </w:tcPr>
          <w:p w14:paraId="45FE3128"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Opko II + Opko III (RE and FE)</w:t>
            </w:r>
          </w:p>
        </w:tc>
        <w:tc>
          <w:tcPr>
            <w:tcW w:w="1080" w:type="dxa"/>
            <w:tcMar>
              <w:left w:w="20" w:type="dxa"/>
              <w:right w:w="20" w:type="dxa"/>
            </w:tcMar>
            <w:vAlign w:val="center"/>
          </w:tcPr>
          <w:p w14:paraId="43B098EF"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Mar>
              <w:left w:w="20" w:type="dxa"/>
              <w:right w:w="20" w:type="dxa"/>
            </w:tcMar>
            <w:vAlign w:val="center"/>
          </w:tcPr>
          <w:p w14:paraId="68E7D4A6"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2 (1.59)</w:t>
            </w:r>
          </w:p>
        </w:tc>
        <w:tc>
          <w:tcPr>
            <w:tcW w:w="1080" w:type="dxa"/>
            <w:tcMar>
              <w:left w:w="20" w:type="dxa"/>
              <w:right w:w="20" w:type="dxa"/>
            </w:tcMar>
            <w:vAlign w:val="center"/>
          </w:tcPr>
          <w:p w14:paraId="20D5DD9E"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3 (2.44)</w:t>
            </w:r>
          </w:p>
        </w:tc>
        <w:tc>
          <w:tcPr>
            <w:tcW w:w="2400" w:type="dxa"/>
            <w:tcMar>
              <w:left w:w="20" w:type="dxa"/>
              <w:right w:w="20" w:type="dxa"/>
            </w:tcMar>
            <w:vAlign w:val="center"/>
          </w:tcPr>
          <w:p w14:paraId="47A3ACCC"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1.58 (0.27, 9.29); 0.61 I</w:t>
            </w:r>
            <w:r w:rsidRPr="007E4B31">
              <w:rPr>
                <w:rFonts w:ascii="Arial Narrow" w:hAnsi="Arial Narrow"/>
                <w:sz w:val="20"/>
                <w:szCs w:val="20"/>
                <w:vertAlign w:val="superscript"/>
              </w:rPr>
              <w:t>2</w:t>
            </w:r>
            <w:r w:rsidRPr="007E4B31">
              <w:rPr>
                <w:rFonts w:ascii="Arial Narrow" w:hAnsi="Arial Narrow"/>
                <w:sz w:val="20"/>
                <w:szCs w:val="20"/>
              </w:rPr>
              <w:t>=NE</w:t>
            </w:r>
            <w:r w:rsidRPr="007E4B31">
              <w:rPr>
                <w:rFonts w:ascii="Arial Narrow" w:hAnsi="Arial Narrow"/>
                <w:sz w:val="20"/>
                <w:szCs w:val="20"/>
                <w:vertAlign w:val="superscript"/>
              </w:rPr>
              <w:t xml:space="preserve"> d</w:t>
            </w:r>
          </w:p>
        </w:tc>
        <w:tc>
          <w:tcPr>
            <w:tcW w:w="1560" w:type="dxa"/>
            <w:tcMar>
              <w:left w:w="20" w:type="dxa"/>
              <w:right w:w="20" w:type="dxa"/>
            </w:tcMar>
            <w:vAlign w:val="center"/>
          </w:tcPr>
          <w:p w14:paraId="6D28E300"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0.85 (-3.46, 5.54)</w:t>
            </w:r>
          </w:p>
        </w:tc>
      </w:tr>
      <w:tr w:rsidR="00835463" w:rsidRPr="007E4B31" w14:paraId="61016DBD" w14:textId="77777777" w:rsidTr="00C01433">
        <w:tc>
          <w:tcPr>
            <w:tcW w:w="1795" w:type="dxa"/>
            <w:tcMar>
              <w:left w:w="20" w:type="dxa"/>
              <w:right w:w="20" w:type="dxa"/>
            </w:tcMar>
            <w:vAlign w:val="center"/>
          </w:tcPr>
          <w:p w14:paraId="1D56C4E3"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 xml:space="preserve">ITC (RE) </w:t>
            </w:r>
            <w:r w:rsidRPr="007E4B31">
              <w:rPr>
                <w:rFonts w:ascii="Arial Narrow" w:hAnsi="Arial Narrow"/>
                <w:sz w:val="20"/>
                <w:szCs w:val="20"/>
                <w:vertAlign w:val="superscript"/>
              </w:rPr>
              <w:t>e</w:t>
            </w:r>
          </w:p>
        </w:tc>
        <w:tc>
          <w:tcPr>
            <w:tcW w:w="1080" w:type="dxa"/>
            <w:tcMar>
              <w:left w:w="20" w:type="dxa"/>
              <w:right w:w="20" w:type="dxa"/>
            </w:tcMar>
            <w:vAlign w:val="center"/>
          </w:tcPr>
          <w:p w14:paraId="24CBEDF7"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Mar>
              <w:left w:w="20" w:type="dxa"/>
              <w:right w:w="20" w:type="dxa"/>
            </w:tcMar>
            <w:vAlign w:val="center"/>
          </w:tcPr>
          <w:p w14:paraId="3E74EABB"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Mar>
              <w:left w:w="20" w:type="dxa"/>
              <w:right w:w="20" w:type="dxa"/>
            </w:tcMar>
            <w:vAlign w:val="center"/>
          </w:tcPr>
          <w:p w14:paraId="265DE525"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2400" w:type="dxa"/>
            <w:tcMar>
              <w:left w:w="20" w:type="dxa"/>
              <w:right w:w="20" w:type="dxa"/>
            </w:tcMar>
            <w:vAlign w:val="center"/>
          </w:tcPr>
          <w:p w14:paraId="7B2C94C7"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0.87 (0.094, 8.087);0.91</w:t>
            </w:r>
          </w:p>
        </w:tc>
        <w:tc>
          <w:tcPr>
            <w:tcW w:w="1560" w:type="dxa"/>
            <w:vMerge w:val="restart"/>
            <w:tcMar>
              <w:left w:w="20" w:type="dxa"/>
              <w:right w:w="20" w:type="dxa"/>
            </w:tcMar>
            <w:vAlign w:val="center"/>
          </w:tcPr>
          <w:p w14:paraId="78549C69"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2.36 (-2.69, 7.49)</w:t>
            </w:r>
          </w:p>
        </w:tc>
      </w:tr>
      <w:tr w:rsidR="00835463" w:rsidRPr="007E4B31" w14:paraId="433E9653" w14:textId="77777777" w:rsidTr="00C01433">
        <w:tc>
          <w:tcPr>
            <w:tcW w:w="1795" w:type="dxa"/>
            <w:tcBorders>
              <w:bottom w:val="single" w:sz="4" w:space="0" w:color="auto"/>
            </w:tcBorders>
            <w:tcMar>
              <w:left w:w="20" w:type="dxa"/>
              <w:right w:w="20" w:type="dxa"/>
            </w:tcMar>
            <w:vAlign w:val="center"/>
          </w:tcPr>
          <w:p w14:paraId="0EDBE6C5"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 xml:space="preserve">ITC (FE) </w:t>
            </w:r>
            <w:r w:rsidRPr="007E4B31">
              <w:rPr>
                <w:rFonts w:ascii="Arial Narrow" w:hAnsi="Arial Narrow"/>
                <w:sz w:val="20"/>
                <w:szCs w:val="20"/>
                <w:vertAlign w:val="superscript"/>
              </w:rPr>
              <w:t>e</w:t>
            </w:r>
          </w:p>
        </w:tc>
        <w:tc>
          <w:tcPr>
            <w:tcW w:w="1080" w:type="dxa"/>
            <w:tcBorders>
              <w:bottom w:val="single" w:sz="4" w:space="0" w:color="auto"/>
            </w:tcBorders>
            <w:tcMar>
              <w:left w:w="20" w:type="dxa"/>
              <w:right w:w="20" w:type="dxa"/>
            </w:tcMar>
            <w:vAlign w:val="center"/>
          </w:tcPr>
          <w:p w14:paraId="2530D7C1"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Borders>
              <w:bottom w:val="single" w:sz="4" w:space="0" w:color="auto"/>
            </w:tcBorders>
            <w:tcMar>
              <w:left w:w="20" w:type="dxa"/>
              <w:right w:w="20" w:type="dxa"/>
            </w:tcMar>
            <w:vAlign w:val="center"/>
          </w:tcPr>
          <w:p w14:paraId="5DD1C5D4"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Borders>
              <w:bottom w:val="single" w:sz="4" w:space="0" w:color="auto"/>
            </w:tcBorders>
            <w:tcMar>
              <w:left w:w="20" w:type="dxa"/>
              <w:right w:w="20" w:type="dxa"/>
            </w:tcMar>
            <w:vAlign w:val="center"/>
          </w:tcPr>
          <w:p w14:paraId="539F3121"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2400" w:type="dxa"/>
            <w:tcBorders>
              <w:bottom w:val="single" w:sz="4" w:space="0" w:color="auto"/>
            </w:tcBorders>
            <w:tcMar>
              <w:left w:w="20" w:type="dxa"/>
              <w:right w:w="20" w:type="dxa"/>
            </w:tcMar>
            <w:vAlign w:val="center"/>
          </w:tcPr>
          <w:p w14:paraId="1D2C9409"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0.89 (0.096, 8.218);0.92</w:t>
            </w:r>
          </w:p>
        </w:tc>
        <w:tc>
          <w:tcPr>
            <w:tcW w:w="1560" w:type="dxa"/>
            <w:vMerge/>
            <w:tcBorders>
              <w:bottom w:val="single" w:sz="4" w:space="0" w:color="auto"/>
            </w:tcBorders>
            <w:tcMar>
              <w:left w:w="20" w:type="dxa"/>
              <w:right w:w="20" w:type="dxa"/>
            </w:tcMar>
            <w:vAlign w:val="center"/>
          </w:tcPr>
          <w:p w14:paraId="5237D6F7" w14:textId="77777777" w:rsidR="00835463" w:rsidRPr="007E4B31" w:rsidRDefault="00835463" w:rsidP="008C6D80">
            <w:pPr>
              <w:keepNext/>
              <w:keepLines/>
              <w:jc w:val="center"/>
              <w:rPr>
                <w:rFonts w:ascii="Arial Narrow" w:hAnsi="Arial Narrow"/>
                <w:sz w:val="20"/>
                <w:szCs w:val="20"/>
              </w:rPr>
            </w:pPr>
          </w:p>
        </w:tc>
      </w:tr>
      <w:tr w:rsidR="00835463" w:rsidRPr="007E4B31" w14:paraId="54CBB5C4" w14:textId="77777777" w:rsidTr="00C01433">
        <w:tc>
          <w:tcPr>
            <w:tcW w:w="1795" w:type="dxa"/>
            <w:tcBorders>
              <w:right w:val="nil"/>
            </w:tcBorders>
            <w:tcMar>
              <w:left w:w="20" w:type="dxa"/>
              <w:right w:w="20" w:type="dxa"/>
            </w:tcMar>
            <w:vAlign w:val="center"/>
          </w:tcPr>
          <w:p w14:paraId="5319CAC3"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b/>
                <w:sz w:val="20"/>
                <w:szCs w:val="20"/>
              </w:rPr>
              <w:t>Severe AE</w:t>
            </w:r>
          </w:p>
        </w:tc>
        <w:tc>
          <w:tcPr>
            <w:tcW w:w="1080" w:type="dxa"/>
            <w:tcBorders>
              <w:left w:val="nil"/>
              <w:right w:val="nil"/>
            </w:tcBorders>
            <w:tcMar>
              <w:left w:w="20" w:type="dxa"/>
              <w:right w:w="20" w:type="dxa"/>
            </w:tcMar>
            <w:vAlign w:val="center"/>
          </w:tcPr>
          <w:p w14:paraId="1F84882A" w14:textId="77777777" w:rsidR="00835463" w:rsidRPr="007E4B31" w:rsidRDefault="00835463" w:rsidP="008C6D80">
            <w:pPr>
              <w:keepNext/>
              <w:keepLines/>
              <w:jc w:val="center"/>
              <w:rPr>
                <w:rFonts w:ascii="Arial Narrow" w:hAnsi="Arial Narrow"/>
                <w:sz w:val="20"/>
                <w:szCs w:val="20"/>
              </w:rPr>
            </w:pPr>
          </w:p>
        </w:tc>
        <w:tc>
          <w:tcPr>
            <w:tcW w:w="1080" w:type="dxa"/>
            <w:tcBorders>
              <w:left w:val="nil"/>
              <w:right w:val="nil"/>
            </w:tcBorders>
            <w:tcMar>
              <w:left w:w="20" w:type="dxa"/>
              <w:right w:w="20" w:type="dxa"/>
            </w:tcMar>
            <w:vAlign w:val="center"/>
          </w:tcPr>
          <w:p w14:paraId="3A686742" w14:textId="77777777" w:rsidR="00835463" w:rsidRPr="007E4B31" w:rsidRDefault="00835463" w:rsidP="008C6D80">
            <w:pPr>
              <w:keepNext/>
              <w:keepLines/>
              <w:jc w:val="center"/>
              <w:rPr>
                <w:rFonts w:ascii="Arial Narrow" w:hAnsi="Arial Narrow"/>
                <w:sz w:val="20"/>
                <w:szCs w:val="20"/>
              </w:rPr>
            </w:pPr>
          </w:p>
        </w:tc>
        <w:tc>
          <w:tcPr>
            <w:tcW w:w="1080" w:type="dxa"/>
            <w:tcBorders>
              <w:left w:val="nil"/>
              <w:right w:val="nil"/>
            </w:tcBorders>
            <w:tcMar>
              <w:left w:w="20" w:type="dxa"/>
              <w:right w:w="20" w:type="dxa"/>
            </w:tcMar>
            <w:vAlign w:val="center"/>
          </w:tcPr>
          <w:p w14:paraId="524E2B10" w14:textId="77777777" w:rsidR="00835463" w:rsidRPr="007E4B31" w:rsidRDefault="00835463" w:rsidP="008C6D80">
            <w:pPr>
              <w:keepNext/>
              <w:keepLines/>
              <w:jc w:val="center"/>
              <w:rPr>
                <w:rFonts w:ascii="Arial Narrow" w:hAnsi="Arial Narrow"/>
                <w:sz w:val="20"/>
                <w:szCs w:val="20"/>
              </w:rPr>
            </w:pPr>
          </w:p>
        </w:tc>
        <w:tc>
          <w:tcPr>
            <w:tcW w:w="2400" w:type="dxa"/>
            <w:tcBorders>
              <w:left w:val="nil"/>
              <w:right w:val="nil"/>
            </w:tcBorders>
            <w:tcMar>
              <w:left w:w="20" w:type="dxa"/>
              <w:right w:w="20" w:type="dxa"/>
            </w:tcMar>
            <w:vAlign w:val="center"/>
          </w:tcPr>
          <w:p w14:paraId="1BD6E7B8" w14:textId="77777777" w:rsidR="00835463" w:rsidRPr="007E4B31" w:rsidRDefault="00835463" w:rsidP="008C6D80">
            <w:pPr>
              <w:keepNext/>
              <w:keepLines/>
              <w:jc w:val="center"/>
              <w:rPr>
                <w:rFonts w:ascii="Arial Narrow" w:hAnsi="Arial Narrow"/>
                <w:sz w:val="20"/>
                <w:szCs w:val="20"/>
              </w:rPr>
            </w:pPr>
          </w:p>
        </w:tc>
        <w:tc>
          <w:tcPr>
            <w:tcW w:w="1560" w:type="dxa"/>
            <w:tcBorders>
              <w:left w:val="nil"/>
            </w:tcBorders>
            <w:tcMar>
              <w:left w:w="20" w:type="dxa"/>
              <w:right w:w="20" w:type="dxa"/>
            </w:tcMar>
            <w:vAlign w:val="center"/>
          </w:tcPr>
          <w:p w14:paraId="1E844EB2" w14:textId="77777777" w:rsidR="00835463" w:rsidRPr="007E4B31" w:rsidRDefault="00835463" w:rsidP="008C6D80">
            <w:pPr>
              <w:keepNext/>
              <w:keepLines/>
              <w:jc w:val="center"/>
              <w:rPr>
                <w:rFonts w:ascii="Arial Narrow" w:hAnsi="Arial Narrow"/>
                <w:sz w:val="20"/>
                <w:szCs w:val="20"/>
              </w:rPr>
            </w:pPr>
          </w:p>
        </w:tc>
      </w:tr>
      <w:tr w:rsidR="00835463" w:rsidRPr="007E4B31" w14:paraId="0A8CD9BF" w14:textId="77777777" w:rsidTr="00C01433">
        <w:tc>
          <w:tcPr>
            <w:tcW w:w="1795" w:type="dxa"/>
            <w:tcMar>
              <w:left w:w="20" w:type="dxa"/>
              <w:right w:w="20" w:type="dxa"/>
            </w:tcMar>
            <w:vAlign w:val="center"/>
          </w:tcPr>
          <w:p w14:paraId="2608F566"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REAL-3 + REAL-4 (RE and FE)</w:t>
            </w:r>
          </w:p>
        </w:tc>
        <w:tc>
          <w:tcPr>
            <w:tcW w:w="1080" w:type="dxa"/>
            <w:tcMar>
              <w:left w:w="20" w:type="dxa"/>
              <w:right w:w="20" w:type="dxa"/>
            </w:tcMar>
            <w:vAlign w:val="center"/>
          </w:tcPr>
          <w:p w14:paraId="40BB11B0"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4 (2.74)</w:t>
            </w:r>
          </w:p>
        </w:tc>
        <w:tc>
          <w:tcPr>
            <w:tcW w:w="1080" w:type="dxa"/>
            <w:tcMar>
              <w:left w:w="20" w:type="dxa"/>
              <w:right w:w="20" w:type="dxa"/>
            </w:tcMar>
            <w:vAlign w:val="center"/>
          </w:tcPr>
          <w:p w14:paraId="63A2594A"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 (1.22)</w:t>
            </w:r>
          </w:p>
        </w:tc>
        <w:tc>
          <w:tcPr>
            <w:tcW w:w="1080" w:type="dxa"/>
            <w:tcMar>
              <w:left w:w="20" w:type="dxa"/>
              <w:right w:w="20" w:type="dxa"/>
            </w:tcMar>
            <w:vAlign w:val="center"/>
          </w:tcPr>
          <w:p w14:paraId="6648493E"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2400" w:type="dxa"/>
            <w:tcMar>
              <w:left w:w="20" w:type="dxa"/>
              <w:right w:w="20" w:type="dxa"/>
            </w:tcMar>
            <w:vAlign w:val="center"/>
          </w:tcPr>
          <w:p w14:paraId="7E2EB5CC"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2.06 (0.23, 18.08); 0.51 I</w:t>
            </w:r>
            <w:r w:rsidRPr="007E4B31">
              <w:rPr>
                <w:rFonts w:ascii="Arial Narrow" w:hAnsi="Arial Narrow"/>
                <w:sz w:val="20"/>
                <w:szCs w:val="20"/>
                <w:vertAlign w:val="superscript"/>
              </w:rPr>
              <w:t>2</w:t>
            </w:r>
            <w:r w:rsidRPr="007E4B31">
              <w:rPr>
                <w:rFonts w:ascii="Arial Narrow" w:hAnsi="Arial Narrow"/>
                <w:sz w:val="20"/>
                <w:szCs w:val="20"/>
              </w:rPr>
              <w:t>=NE</w:t>
            </w:r>
            <w:r w:rsidRPr="007E4B31">
              <w:rPr>
                <w:rFonts w:ascii="Arial Narrow" w:hAnsi="Arial Narrow"/>
                <w:sz w:val="20"/>
                <w:szCs w:val="20"/>
                <w:vertAlign w:val="superscript"/>
              </w:rPr>
              <w:t xml:space="preserve"> d</w:t>
            </w:r>
          </w:p>
        </w:tc>
        <w:tc>
          <w:tcPr>
            <w:tcW w:w="1560" w:type="dxa"/>
            <w:tcMar>
              <w:left w:w="20" w:type="dxa"/>
              <w:right w:w="20" w:type="dxa"/>
            </w:tcMar>
            <w:vAlign w:val="center"/>
          </w:tcPr>
          <w:p w14:paraId="610150FD"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1.52 (-4.05, 5.83)</w:t>
            </w:r>
          </w:p>
        </w:tc>
      </w:tr>
      <w:tr w:rsidR="00835463" w:rsidRPr="007E4B31" w14:paraId="41BBD601" w14:textId="77777777" w:rsidTr="00C01433">
        <w:tc>
          <w:tcPr>
            <w:tcW w:w="1795" w:type="dxa"/>
            <w:tcMar>
              <w:left w:w="20" w:type="dxa"/>
              <w:right w:w="20" w:type="dxa"/>
            </w:tcMar>
            <w:vAlign w:val="center"/>
          </w:tcPr>
          <w:p w14:paraId="588A3413"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Opko II + Opko III (RE and FE)</w:t>
            </w:r>
          </w:p>
        </w:tc>
        <w:tc>
          <w:tcPr>
            <w:tcW w:w="1080" w:type="dxa"/>
            <w:tcMar>
              <w:left w:w="20" w:type="dxa"/>
              <w:right w:w="20" w:type="dxa"/>
            </w:tcMar>
            <w:vAlign w:val="center"/>
          </w:tcPr>
          <w:p w14:paraId="48FCA5E0"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Mar>
              <w:left w:w="20" w:type="dxa"/>
              <w:right w:w="20" w:type="dxa"/>
            </w:tcMar>
            <w:vAlign w:val="center"/>
          </w:tcPr>
          <w:p w14:paraId="1F746E93"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6 (4.76)</w:t>
            </w:r>
          </w:p>
        </w:tc>
        <w:tc>
          <w:tcPr>
            <w:tcW w:w="1080" w:type="dxa"/>
            <w:tcMar>
              <w:left w:w="20" w:type="dxa"/>
              <w:right w:w="20" w:type="dxa"/>
            </w:tcMar>
            <w:vAlign w:val="center"/>
          </w:tcPr>
          <w:p w14:paraId="50C2BBF7"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9 (7.32)</w:t>
            </w:r>
          </w:p>
        </w:tc>
        <w:tc>
          <w:tcPr>
            <w:tcW w:w="2400" w:type="dxa"/>
            <w:tcMar>
              <w:left w:w="20" w:type="dxa"/>
              <w:right w:w="20" w:type="dxa"/>
            </w:tcMar>
            <w:vAlign w:val="center"/>
          </w:tcPr>
          <w:p w14:paraId="59B1E645"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1.58 (0.58, 4.30); 0.37 I</w:t>
            </w:r>
            <w:r w:rsidRPr="007E4B31">
              <w:rPr>
                <w:rFonts w:ascii="Arial Narrow" w:hAnsi="Arial Narrow"/>
                <w:sz w:val="20"/>
                <w:szCs w:val="20"/>
                <w:vertAlign w:val="superscript"/>
              </w:rPr>
              <w:t>2</w:t>
            </w:r>
            <w:r w:rsidRPr="007E4B31">
              <w:rPr>
                <w:rFonts w:ascii="Arial Narrow" w:hAnsi="Arial Narrow"/>
                <w:sz w:val="20"/>
                <w:szCs w:val="20"/>
              </w:rPr>
              <w:t>=NE</w:t>
            </w:r>
            <w:r w:rsidRPr="007E4B31">
              <w:rPr>
                <w:rFonts w:ascii="Arial Narrow" w:hAnsi="Arial Narrow"/>
                <w:sz w:val="20"/>
                <w:szCs w:val="20"/>
                <w:vertAlign w:val="superscript"/>
              </w:rPr>
              <w:t>d</w:t>
            </w:r>
          </w:p>
        </w:tc>
        <w:tc>
          <w:tcPr>
            <w:tcW w:w="1560" w:type="dxa"/>
            <w:tcMar>
              <w:left w:w="20" w:type="dxa"/>
              <w:right w:w="20" w:type="dxa"/>
            </w:tcMar>
            <w:vAlign w:val="center"/>
          </w:tcPr>
          <w:p w14:paraId="18DBC25B"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2.56 (-3.68, 9.19)</w:t>
            </w:r>
          </w:p>
        </w:tc>
      </w:tr>
      <w:tr w:rsidR="00835463" w:rsidRPr="007E4B31" w14:paraId="50ADBEE7" w14:textId="77777777" w:rsidTr="00C01433">
        <w:tc>
          <w:tcPr>
            <w:tcW w:w="1795" w:type="dxa"/>
            <w:tcBorders>
              <w:bottom w:val="single" w:sz="4" w:space="0" w:color="auto"/>
            </w:tcBorders>
            <w:tcMar>
              <w:left w:w="20" w:type="dxa"/>
              <w:right w:w="20" w:type="dxa"/>
            </w:tcMar>
            <w:vAlign w:val="center"/>
          </w:tcPr>
          <w:p w14:paraId="5E0DC000"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 xml:space="preserve">ITC (RE and FE) </w:t>
            </w:r>
            <w:r w:rsidRPr="007E4B31">
              <w:rPr>
                <w:rFonts w:ascii="Arial Narrow" w:hAnsi="Arial Narrow"/>
                <w:sz w:val="20"/>
                <w:szCs w:val="20"/>
                <w:vertAlign w:val="superscript"/>
              </w:rPr>
              <w:t>e</w:t>
            </w:r>
          </w:p>
        </w:tc>
        <w:tc>
          <w:tcPr>
            <w:tcW w:w="1080" w:type="dxa"/>
            <w:tcBorders>
              <w:bottom w:val="single" w:sz="4" w:space="0" w:color="auto"/>
            </w:tcBorders>
            <w:tcMar>
              <w:left w:w="20" w:type="dxa"/>
              <w:right w:w="20" w:type="dxa"/>
            </w:tcMar>
            <w:vAlign w:val="center"/>
          </w:tcPr>
          <w:p w14:paraId="508B9F75"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Borders>
              <w:bottom w:val="single" w:sz="4" w:space="0" w:color="auto"/>
            </w:tcBorders>
            <w:tcMar>
              <w:left w:w="20" w:type="dxa"/>
              <w:right w:w="20" w:type="dxa"/>
            </w:tcMar>
            <w:vAlign w:val="center"/>
          </w:tcPr>
          <w:p w14:paraId="17713515"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Borders>
              <w:bottom w:val="single" w:sz="4" w:space="0" w:color="auto"/>
            </w:tcBorders>
            <w:tcMar>
              <w:left w:w="20" w:type="dxa"/>
              <w:right w:w="20" w:type="dxa"/>
            </w:tcMar>
            <w:vAlign w:val="center"/>
          </w:tcPr>
          <w:p w14:paraId="6D0E177B"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2400" w:type="dxa"/>
            <w:tcBorders>
              <w:bottom w:val="single" w:sz="4" w:space="0" w:color="auto"/>
            </w:tcBorders>
            <w:tcMar>
              <w:left w:w="20" w:type="dxa"/>
              <w:right w:w="20" w:type="dxa"/>
            </w:tcMar>
            <w:vAlign w:val="center"/>
          </w:tcPr>
          <w:p w14:paraId="50A7B402"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1.3 (0.12, 14.39); 0.83</w:t>
            </w:r>
          </w:p>
        </w:tc>
        <w:tc>
          <w:tcPr>
            <w:tcW w:w="1560" w:type="dxa"/>
            <w:tcBorders>
              <w:bottom w:val="single" w:sz="4" w:space="0" w:color="auto"/>
            </w:tcBorders>
            <w:tcMar>
              <w:left w:w="20" w:type="dxa"/>
              <w:right w:w="20" w:type="dxa"/>
            </w:tcMar>
            <w:vAlign w:val="center"/>
          </w:tcPr>
          <w:p w14:paraId="4CB180F9"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-4.58 (-10.92, 0.63)</w:t>
            </w:r>
          </w:p>
        </w:tc>
      </w:tr>
      <w:tr w:rsidR="00835463" w:rsidRPr="007E4B31" w14:paraId="03935B7F" w14:textId="77777777" w:rsidTr="00C01433">
        <w:tc>
          <w:tcPr>
            <w:tcW w:w="1795" w:type="dxa"/>
            <w:tcBorders>
              <w:right w:val="nil"/>
            </w:tcBorders>
            <w:tcMar>
              <w:left w:w="20" w:type="dxa"/>
              <w:right w:w="20" w:type="dxa"/>
            </w:tcMar>
            <w:vAlign w:val="center"/>
          </w:tcPr>
          <w:p w14:paraId="348173B8"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b/>
                <w:sz w:val="20"/>
                <w:szCs w:val="20"/>
              </w:rPr>
              <w:t>Treatment-related AEs</w:t>
            </w:r>
          </w:p>
        </w:tc>
        <w:tc>
          <w:tcPr>
            <w:tcW w:w="1080" w:type="dxa"/>
            <w:tcBorders>
              <w:left w:val="nil"/>
              <w:right w:val="nil"/>
            </w:tcBorders>
            <w:tcMar>
              <w:left w:w="20" w:type="dxa"/>
              <w:right w:w="20" w:type="dxa"/>
            </w:tcMar>
            <w:vAlign w:val="center"/>
          </w:tcPr>
          <w:p w14:paraId="65411E7A" w14:textId="77777777" w:rsidR="00835463" w:rsidRPr="007E4B31" w:rsidRDefault="00835463" w:rsidP="008C6D80">
            <w:pPr>
              <w:keepNext/>
              <w:keepLines/>
              <w:jc w:val="center"/>
              <w:rPr>
                <w:rFonts w:ascii="Arial Narrow" w:hAnsi="Arial Narrow"/>
                <w:sz w:val="20"/>
                <w:szCs w:val="20"/>
              </w:rPr>
            </w:pPr>
          </w:p>
        </w:tc>
        <w:tc>
          <w:tcPr>
            <w:tcW w:w="1080" w:type="dxa"/>
            <w:tcBorders>
              <w:left w:val="nil"/>
              <w:right w:val="nil"/>
            </w:tcBorders>
            <w:tcMar>
              <w:left w:w="20" w:type="dxa"/>
              <w:right w:w="20" w:type="dxa"/>
            </w:tcMar>
            <w:vAlign w:val="center"/>
          </w:tcPr>
          <w:p w14:paraId="0E3B16D9" w14:textId="77777777" w:rsidR="00835463" w:rsidRPr="007E4B31" w:rsidRDefault="00835463" w:rsidP="008C6D80">
            <w:pPr>
              <w:keepNext/>
              <w:keepLines/>
              <w:jc w:val="center"/>
              <w:rPr>
                <w:rFonts w:ascii="Arial Narrow" w:hAnsi="Arial Narrow"/>
                <w:sz w:val="20"/>
                <w:szCs w:val="20"/>
              </w:rPr>
            </w:pPr>
          </w:p>
        </w:tc>
        <w:tc>
          <w:tcPr>
            <w:tcW w:w="1080" w:type="dxa"/>
            <w:tcBorders>
              <w:left w:val="nil"/>
              <w:right w:val="nil"/>
            </w:tcBorders>
            <w:tcMar>
              <w:left w:w="20" w:type="dxa"/>
              <w:right w:w="20" w:type="dxa"/>
            </w:tcMar>
            <w:vAlign w:val="center"/>
          </w:tcPr>
          <w:p w14:paraId="0BE84539" w14:textId="77777777" w:rsidR="00835463" w:rsidRPr="007E4B31" w:rsidRDefault="00835463" w:rsidP="008C6D80">
            <w:pPr>
              <w:keepNext/>
              <w:keepLines/>
              <w:jc w:val="center"/>
              <w:rPr>
                <w:rFonts w:ascii="Arial Narrow" w:hAnsi="Arial Narrow"/>
                <w:sz w:val="20"/>
                <w:szCs w:val="20"/>
              </w:rPr>
            </w:pPr>
          </w:p>
        </w:tc>
        <w:tc>
          <w:tcPr>
            <w:tcW w:w="2400" w:type="dxa"/>
            <w:tcBorders>
              <w:left w:val="nil"/>
              <w:right w:val="nil"/>
            </w:tcBorders>
            <w:tcMar>
              <w:left w:w="20" w:type="dxa"/>
              <w:right w:w="20" w:type="dxa"/>
            </w:tcMar>
            <w:vAlign w:val="center"/>
          </w:tcPr>
          <w:p w14:paraId="68B44CA2" w14:textId="77777777" w:rsidR="00835463" w:rsidRPr="007E4B31" w:rsidRDefault="00835463" w:rsidP="008C6D80">
            <w:pPr>
              <w:keepNext/>
              <w:keepLines/>
              <w:jc w:val="center"/>
              <w:rPr>
                <w:rFonts w:ascii="Arial Narrow" w:hAnsi="Arial Narrow"/>
                <w:sz w:val="20"/>
                <w:szCs w:val="20"/>
              </w:rPr>
            </w:pPr>
          </w:p>
        </w:tc>
        <w:tc>
          <w:tcPr>
            <w:tcW w:w="1560" w:type="dxa"/>
            <w:tcBorders>
              <w:left w:val="nil"/>
            </w:tcBorders>
            <w:tcMar>
              <w:left w:w="20" w:type="dxa"/>
              <w:right w:w="20" w:type="dxa"/>
            </w:tcMar>
            <w:vAlign w:val="center"/>
          </w:tcPr>
          <w:p w14:paraId="67ECD424" w14:textId="77777777" w:rsidR="00835463" w:rsidRPr="007E4B31" w:rsidRDefault="00835463" w:rsidP="008C6D80">
            <w:pPr>
              <w:keepNext/>
              <w:keepLines/>
              <w:jc w:val="center"/>
              <w:rPr>
                <w:rFonts w:ascii="Arial Narrow" w:hAnsi="Arial Narrow"/>
                <w:sz w:val="20"/>
                <w:szCs w:val="20"/>
              </w:rPr>
            </w:pPr>
          </w:p>
        </w:tc>
      </w:tr>
      <w:tr w:rsidR="00835463" w:rsidRPr="007E4B31" w14:paraId="5B40BE76" w14:textId="77777777" w:rsidTr="00C01433">
        <w:tc>
          <w:tcPr>
            <w:tcW w:w="1795" w:type="dxa"/>
            <w:tcMar>
              <w:left w:w="20" w:type="dxa"/>
              <w:right w:w="20" w:type="dxa"/>
            </w:tcMar>
            <w:vAlign w:val="center"/>
          </w:tcPr>
          <w:p w14:paraId="4729D8A0"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REAL-3 + REAL-4 (RE and FE)</w:t>
            </w:r>
          </w:p>
        </w:tc>
        <w:tc>
          <w:tcPr>
            <w:tcW w:w="1080" w:type="dxa"/>
            <w:tcMar>
              <w:left w:w="20" w:type="dxa"/>
              <w:right w:w="20" w:type="dxa"/>
            </w:tcMar>
            <w:vAlign w:val="center"/>
          </w:tcPr>
          <w:p w14:paraId="2B684286"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29 (19.86)</w:t>
            </w:r>
          </w:p>
        </w:tc>
        <w:tc>
          <w:tcPr>
            <w:tcW w:w="1080" w:type="dxa"/>
            <w:tcMar>
              <w:left w:w="20" w:type="dxa"/>
              <w:right w:w="20" w:type="dxa"/>
            </w:tcMar>
            <w:vAlign w:val="center"/>
          </w:tcPr>
          <w:p w14:paraId="59CCE4B2"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12 (14.63)</w:t>
            </w:r>
          </w:p>
        </w:tc>
        <w:tc>
          <w:tcPr>
            <w:tcW w:w="1080" w:type="dxa"/>
            <w:tcMar>
              <w:left w:w="20" w:type="dxa"/>
              <w:right w:w="20" w:type="dxa"/>
            </w:tcMar>
            <w:vAlign w:val="center"/>
          </w:tcPr>
          <w:p w14:paraId="246E6E96"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2400" w:type="dxa"/>
            <w:tcMar>
              <w:left w:w="20" w:type="dxa"/>
              <w:right w:w="20" w:type="dxa"/>
            </w:tcMar>
            <w:vAlign w:val="center"/>
          </w:tcPr>
          <w:p w14:paraId="3B9535E0"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1.31 (0.71, 2.41);0.39 I</w:t>
            </w:r>
            <w:r w:rsidRPr="007E4B31">
              <w:rPr>
                <w:rFonts w:ascii="Arial Narrow" w:hAnsi="Arial Narrow"/>
                <w:sz w:val="20"/>
                <w:szCs w:val="20"/>
                <w:vertAlign w:val="superscript"/>
              </w:rPr>
              <w:t>2</w:t>
            </w:r>
            <w:r w:rsidRPr="007E4B31">
              <w:rPr>
                <w:rFonts w:ascii="Arial Narrow" w:hAnsi="Arial Narrow"/>
                <w:sz w:val="20"/>
                <w:szCs w:val="20"/>
              </w:rPr>
              <w:t>=0%</w:t>
            </w:r>
          </w:p>
        </w:tc>
        <w:tc>
          <w:tcPr>
            <w:tcW w:w="1560" w:type="dxa"/>
            <w:tcMar>
              <w:left w:w="20" w:type="dxa"/>
              <w:right w:w="20" w:type="dxa"/>
            </w:tcMar>
            <w:vAlign w:val="center"/>
          </w:tcPr>
          <w:p w14:paraId="6640B3DB"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5.23 (-5.61, 14.85)</w:t>
            </w:r>
          </w:p>
        </w:tc>
      </w:tr>
      <w:tr w:rsidR="00835463" w:rsidRPr="007E4B31" w14:paraId="0B280A65" w14:textId="77777777" w:rsidTr="00C01433">
        <w:tc>
          <w:tcPr>
            <w:tcW w:w="1795" w:type="dxa"/>
            <w:tcMar>
              <w:left w:w="20" w:type="dxa"/>
              <w:right w:w="20" w:type="dxa"/>
            </w:tcMar>
            <w:vAlign w:val="center"/>
          </w:tcPr>
          <w:p w14:paraId="5DD78FE7"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sz w:val="20"/>
                <w:szCs w:val="20"/>
              </w:rPr>
              <w:t>Opko II (RE and FE)</w:t>
            </w:r>
          </w:p>
        </w:tc>
        <w:tc>
          <w:tcPr>
            <w:tcW w:w="1080" w:type="dxa"/>
            <w:tcMar>
              <w:left w:w="20" w:type="dxa"/>
              <w:right w:w="20" w:type="dxa"/>
            </w:tcMar>
            <w:vAlign w:val="center"/>
          </w:tcPr>
          <w:p w14:paraId="31B8855C"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w:t>
            </w:r>
          </w:p>
        </w:tc>
        <w:tc>
          <w:tcPr>
            <w:tcW w:w="1080" w:type="dxa"/>
            <w:tcMar>
              <w:left w:w="20" w:type="dxa"/>
              <w:right w:w="20" w:type="dxa"/>
            </w:tcMar>
            <w:vAlign w:val="center"/>
          </w:tcPr>
          <w:p w14:paraId="0EE0D83E"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0</w:t>
            </w:r>
          </w:p>
        </w:tc>
        <w:tc>
          <w:tcPr>
            <w:tcW w:w="1080" w:type="dxa"/>
            <w:tcMar>
              <w:left w:w="20" w:type="dxa"/>
              <w:right w:w="20" w:type="dxa"/>
            </w:tcMar>
            <w:vAlign w:val="center"/>
          </w:tcPr>
          <w:p w14:paraId="62D47061"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5 (35.71)</w:t>
            </w:r>
          </w:p>
        </w:tc>
        <w:tc>
          <w:tcPr>
            <w:tcW w:w="2400" w:type="dxa"/>
            <w:tcMar>
              <w:left w:w="20" w:type="dxa"/>
              <w:right w:w="20" w:type="dxa"/>
            </w:tcMar>
            <w:vAlign w:val="center"/>
          </w:tcPr>
          <w:p w14:paraId="0AE81960"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8.80 (0.54, 143.81);0.13 I</w:t>
            </w:r>
            <w:r w:rsidRPr="007E4B31">
              <w:rPr>
                <w:rFonts w:ascii="Arial Narrow" w:hAnsi="Arial Narrow"/>
                <w:sz w:val="20"/>
                <w:szCs w:val="20"/>
                <w:vertAlign w:val="superscript"/>
              </w:rPr>
              <w:t>2</w:t>
            </w:r>
            <w:r w:rsidRPr="007E4B31">
              <w:rPr>
                <w:rFonts w:ascii="Arial Narrow" w:hAnsi="Arial Narrow"/>
                <w:sz w:val="20"/>
                <w:szCs w:val="20"/>
              </w:rPr>
              <w:t>=NE</w:t>
            </w:r>
            <w:r w:rsidRPr="007E4B31">
              <w:rPr>
                <w:rFonts w:ascii="Arial Narrow" w:hAnsi="Arial Narrow"/>
                <w:sz w:val="20"/>
                <w:szCs w:val="20"/>
                <w:vertAlign w:val="superscript"/>
              </w:rPr>
              <w:t>d</w:t>
            </w:r>
          </w:p>
        </w:tc>
        <w:tc>
          <w:tcPr>
            <w:tcW w:w="1560" w:type="dxa"/>
            <w:tcMar>
              <w:left w:w="20" w:type="dxa"/>
              <w:right w:w="20" w:type="dxa"/>
            </w:tcMar>
            <w:vAlign w:val="center"/>
          </w:tcPr>
          <w:p w14:paraId="05222D14"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sz w:val="20"/>
                <w:szCs w:val="20"/>
              </w:rPr>
              <w:t>35.71 (4.99, 61.70)</w:t>
            </w:r>
          </w:p>
        </w:tc>
      </w:tr>
      <w:tr w:rsidR="00835463" w:rsidRPr="007E4B31" w14:paraId="25BE9D61" w14:textId="77777777" w:rsidTr="00C01433">
        <w:tc>
          <w:tcPr>
            <w:tcW w:w="1795" w:type="dxa"/>
            <w:tcMar>
              <w:left w:w="20" w:type="dxa"/>
              <w:right w:w="20" w:type="dxa"/>
            </w:tcMar>
            <w:vAlign w:val="center"/>
          </w:tcPr>
          <w:p w14:paraId="1A238C07" w14:textId="77777777" w:rsidR="00835463" w:rsidRPr="007E4B31" w:rsidRDefault="00835463" w:rsidP="008C6D80">
            <w:pPr>
              <w:keepNext/>
              <w:keepLines/>
              <w:jc w:val="left"/>
              <w:rPr>
                <w:rFonts w:ascii="Arial Narrow" w:hAnsi="Arial Narrow"/>
                <w:sz w:val="20"/>
                <w:szCs w:val="20"/>
              </w:rPr>
            </w:pPr>
            <w:r w:rsidRPr="007E4B31">
              <w:rPr>
                <w:rFonts w:ascii="Arial Narrow" w:hAnsi="Arial Narrow"/>
                <w:bCs/>
                <w:sz w:val="20"/>
                <w:szCs w:val="20"/>
              </w:rPr>
              <w:t xml:space="preserve">ITC (RE and FE) </w:t>
            </w:r>
            <w:r w:rsidRPr="007E4B31">
              <w:rPr>
                <w:rFonts w:ascii="Arial Narrow" w:hAnsi="Arial Narrow"/>
                <w:bCs/>
                <w:sz w:val="20"/>
                <w:szCs w:val="20"/>
                <w:vertAlign w:val="superscript"/>
              </w:rPr>
              <w:t>e</w:t>
            </w:r>
          </w:p>
        </w:tc>
        <w:tc>
          <w:tcPr>
            <w:tcW w:w="1080" w:type="dxa"/>
            <w:tcMar>
              <w:left w:w="20" w:type="dxa"/>
              <w:right w:w="20" w:type="dxa"/>
            </w:tcMar>
            <w:vAlign w:val="center"/>
          </w:tcPr>
          <w:p w14:paraId="60BF9905"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bCs/>
                <w:sz w:val="20"/>
                <w:szCs w:val="20"/>
              </w:rPr>
              <w:t>-</w:t>
            </w:r>
          </w:p>
        </w:tc>
        <w:tc>
          <w:tcPr>
            <w:tcW w:w="1080" w:type="dxa"/>
            <w:tcMar>
              <w:left w:w="20" w:type="dxa"/>
              <w:right w:w="20" w:type="dxa"/>
            </w:tcMar>
            <w:vAlign w:val="center"/>
          </w:tcPr>
          <w:p w14:paraId="315E42AA"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bCs/>
                <w:sz w:val="20"/>
                <w:szCs w:val="20"/>
              </w:rPr>
              <w:t>-</w:t>
            </w:r>
          </w:p>
        </w:tc>
        <w:tc>
          <w:tcPr>
            <w:tcW w:w="1080" w:type="dxa"/>
            <w:tcMar>
              <w:left w:w="20" w:type="dxa"/>
              <w:right w:w="20" w:type="dxa"/>
            </w:tcMar>
            <w:vAlign w:val="center"/>
          </w:tcPr>
          <w:p w14:paraId="0830322D"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bCs/>
                <w:sz w:val="20"/>
                <w:szCs w:val="20"/>
              </w:rPr>
              <w:t>-</w:t>
            </w:r>
          </w:p>
        </w:tc>
        <w:tc>
          <w:tcPr>
            <w:tcW w:w="2400" w:type="dxa"/>
            <w:tcMar>
              <w:left w:w="20" w:type="dxa"/>
              <w:right w:w="20" w:type="dxa"/>
            </w:tcMar>
            <w:vAlign w:val="center"/>
          </w:tcPr>
          <w:p w14:paraId="3C01A796"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bCs/>
                <w:sz w:val="20"/>
                <w:szCs w:val="20"/>
              </w:rPr>
              <w:t>0.15 (0.01, 2.60); 0.19</w:t>
            </w:r>
          </w:p>
        </w:tc>
        <w:tc>
          <w:tcPr>
            <w:tcW w:w="1560" w:type="dxa"/>
            <w:tcMar>
              <w:left w:w="20" w:type="dxa"/>
              <w:right w:w="20" w:type="dxa"/>
            </w:tcMar>
            <w:vAlign w:val="center"/>
          </w:tcPr>
          <w:p w14:paraId="26870B06" w14:textId="77777777" w:rsidR="00835463" w:rsidRPr="007E4B31" w:rsidRDefault="00835463" w:rsidP="008C6D80">
            <w:pPr>
              <w:keepNext/>
              <w:keepLines/>
              <w:jc w:val="center"/>
              <w:rPr>
                <w:rFonts w:ascii="Arial Narrow" w:hAnsi="Arial Narrow"/>
                <w:sz w:val="20"/>
                <w:szCs w:val="20"/>
              </w:rPr>
            </w:pPr>
            <w:r w:rsidRPr="007E4B31">
              <w:rPr>
                <w:rFonts w:ascii="Arial Narrow" w:hAnsi="Arial Narrow"/>
                <w:bCs/>
                <w:sz w:val="20"/>
                <w:szCs w:val="20"/>
              </w:rPr>
              <w:t>-15.85 (-42.28, 5.02)</w:t>
            </w:r>
          </w:p>
        </w:tc>
      </w:tr>
    </w:tbl>
    <w:p w14:paraId="4007886D" w14:textId="452AF356" w:rsidR="002B2AF8" w:rsidRPr="007E4B31" w:rsidRDefault="002B2AF8" w:rsidP="008C6D80">
      <w:pPr>
        <w:pStyle w:val="FooterTableFigure"/>
        <w:keepNext/>
        <w:keepLines/>
        <w:rPr>
          <w:bCs/>
          <w:sz w:val="20"/>
        </w:rPr>
      </w:pPr>
      <w:r w:rsidRPr="007E4B31">
        <w:rPr>
          <w:bCs/>
        </w:rPr>
        <w:t>Source: Tables 2.32-47, pp.115-22; Figures 2.28-43, pp.136-41; Tables 2.63-66, pp.149-51 of the submission</w:t>
      </w:r>
      <w:r w:rsidR="00415281" w:rsidRPr="007E4B31">
        <w:rPr>
          <w:bCs/>
        </w:rPr>
        <w:t>, Attachment 5 to the submission</w:t>
      </w:r>
      <w:r w:rsidRPr="007E4B31">
        <w:rPr>
          <w:bCs/>
        </w:rPr>
        <w:t xml:space="preserve"> </w:t>
      </w:r>
    </w:p>
    <w:p w14:paraId="7C099C4E" w14:textId="77777777" w:rsidR="002B2AF8" w:rsidRPr="007E4B31" w:rsidRDefault="002B2AF8" w:rsidP="008C6D80">
      <w:pPr>
        <w:pStyle w:val="FooterTableFigure"/>
        <w:keepNext/>
        <w:keepLines/>
        <w:rPr>
          <w:rFonts w:eastAsia="Calibri"/>
          <w:bCs/>
        </w:rPr>
      </w:pPr>
      <w:r w:rsidRPr="007E4B31">
        <w:rPr>
          <w:rFonts w:eastAsia="Calibri"/>
          <w:bCs/>
        </w:rPr>
        <w:t>AE = adverse events; CI = confidence interval; FE = fixed effects; ITC = indirect treatment comparison; n = number of participants reporting data; N = total participants in group; = NE = not estimable; RD = risk difference; RE = random effects; RR = relative risk</w:t>
      </w:r>
    </w:p>
    <w:p w14:paraId="17BE4CF5" w14:textId="77777777" w:rsidR="002B2AF8" w:rsidRPr="007E4B31" w:rsidRDefault="002B2AF8" w:rsidP="008C6D80">
      <w:pPr>
        <w:pStyle w:val="FooterTableFigure"/>
        <w:keepNext/>
        <w:keepLines/>
        <w:rPr>
          <w:rFonts w:eastAsia="Calibri"/>
          <w:bCs/>
        </w:rPr>
      </w:pPr>
      <w:r w:rsidRPr="007E4B31">
        <w:rPr>
          <w:rFonts w:eastAsia="Calibri"/>
          <w:bCs/>
          <w:vertAlign w:val="superscript"/>
        </w:rPr>
        <w:t xml:space="preserve">a </w:t>
      </w:r>
      <w:r w:rsidRPr="007E4B31">
        <w:rPr>
          <w:rFonts w:eastAsia="Calibri"/>
          <w:bCs/>
        </w:rPr>
        <w:t>Column read as: “Trial ID (n=number of patients in the intervention arm [i.e., somapacitan or somatrogon]; number of patients in the comparator arm [i.e., somatropin])”</w:t>
      </w:r>
    </w:p>
    <w:p w14:paraId="7A9B06C7" w14:textId="77777777" w:rsidR="002B2AF8" w:rsidRPr="007E4B31" w:rsidRDefault="002B2AF8" w:rsidP="008C6D80">
      <w:pPr>
        <w:pStyle w:val="FooterTableFigure"/>
        <w:keepNext/>
        <w:keepLines/>
        <w:rPr>
          <w:rFonts w:eastAsia="Calibri"/>
          <w:bCs/>
        </w:rPr>
      </w:pPr>
      <w:r w:rsidRPr="007E4B31">
        <w:rPr>
          <w:rFonts w:eastAsia="Calibri"/>
          <w:bCs/>
          <w:vertAlign w:val="superscript"/>
        </w:rPr>
        <w:t>b</w:t>
      </w:r>
      <w:r w:rsidRPr="007E4B31">
        <w:rPr>
          <w:rFonts w:eastAsia="Calibri"/>
          <w:bCs/>
        </w:rPr>
        <w:t xml:space="preserve"> Risk difference calculated post hoc on StatsDirect during the evaluation </w:t>
      </w:r>
    </w:p>
    <w:p w14:paraId="285FEDD7" w14:textId="77777777" w:rsidR="002B2AF8" w:rsidRPr="007E4B31" w:rsidRDefault="002B2AF8" w:rsidP="008C6D80">
      <w:pPr>
        <w:pStyle w:val="FooterTableFigure"/>
        <w:keepNext/>
        <w:keepLines/>
        <w:rPr>
          <w:rFonts w:eastAsia="Calibri"/>
          <w:bCs/>
        </w:rPr>
      </w:pPr>
      <w:r w:rsidRPr="007E4B31">
        <w:rPr>
          <w:rFonts w:eastAsia="Calibri"/>
          <w:bCs/>
          <w:vertAlign w:val="superscript"/>
        </w:rPr>
        <w:t xml:space="preserve">c </w:t>
      </w:r>
      <w:r w:rsidRPr="007E4B31">
        <w:rPr>
          <w:rFonts w:eastAsia="Calibri"/>
          <w:bCs/>
        </w:rPr>
        <w:t>calculated post hoc on RevMan 5.4.1</w:t>
      </w:r>
    </w:p>
    <w:p w14:paraId="03341A2A" w14:textId="77777777" w:rsidR="002B2AF8" w:rsidRPr="007E4B31" w:rsidRDefault="002B2AF8" w:rsidP="008C6D80">
      <w:pPr>
        <w:pStyle w:val="FooterTableFigure"/>
        <w:keepNext/>
        <w:keepLines/>
        <w:rPr>
          <w:rFonts w:eastAsia="Calibri"/>
          <w:bCs/>
        </w:rPr>
      </w:pPr>
      <w:r w:rsidRPr="007E4B31">
        <w:rPr>
          <w:rFonts w:eastAsia="Calibri"/>
          <w:bCs/>
          <w:vertAlign w:val="superscript"/>
        </w:rPr>
        <w:t>d</w:t>
      </w:r>
      <w:r w:rsidRPr="007E4B31">
        <w:rPr>
          <w:rFonts w:eastAsia="Calibri"/>
          <w:bCs/>
        </w:rPr>
        <w:t xml:space="preserve"> Heterogeneity not assessed as meta-analysis was only include one study or one study did not report any events</w:t>
      </w:r>
    </w:p>
    <w:p w14:paraId="00DC748F" w14:textId="77777777" w:rsidR="002B2AF8" w:rsidRPr="007E4B31" w:rsidRDefault="002B2AF8" w:rsidP="008C6D80">
      <w:pPr>
        <w:pStyle w:val="FooterTableFigure"/>
        <w:keepNext/>
        <w:keepLines/>
        <w:rPr>
          <w:rFonts w:eastAsia="Calibri"/>
          <w:bCs/>
        </w:rPr>
      </w:pPr>
      <w:r w:rsidRPr="007E4B31">
        <w:rPr>
          <w:rFonts w:eastAsia="Calibri"/>
          <w:bCs/>
          <w:vertAlign w:val="superscript"/>
        </w:rPr>
        <w:t xml:space="preserve">e </w:t>
      </w:r>
      <w:proofErr w:type="gramStart"/>
      <w:r w:rsidRPr="007E4B31">
        <w:rPr>
          <w:rFonts w:eastAsia="Calibri"/>
          <w:bCs/>
        </w:rPr>
        <w:t>For</w:t>
      </w:r>
      <w:proofErr w:type="gramEnd"/>
      <w:r w:rsidRPr="007E4B31">
        <w:rPr>
          <w:rFonts w:eastAsia="Calibri"/>
          <w:bCs/>
        </w:rPr>
        <w:t xml:space="preserve"> any/all-cause AEs, serious AEs, and severe AEs, REAL-3+REAL-4 vs Opko II + Opko III were compared. For treatment related AEs REAL-3+REAL-4 vs Opko II </w:t>
      </w:r>
      <w:proofErr w:type="gramStart"/>
      <w:r w:rsidRPr="007E4B31">
        <w:rPr>
          <w:rFonts w:eastAsia="Calibri"/>
          <w:bCs/>
        </w:rPr>
        <w:t>were compared</w:t>
      </w:r>
      <w:proofErr w:type="gramEnd"/>
      <w:r w:rsidRPr="007E4B31">
        <w:rPr>
          <w:rFonts w:eastAsia="Calibri"/>
          <w:bCs/>
        </w:rPr>
        <w:t xml:space="preserve"> (Opko III did not reported treatment related AEs).</w:t>
      </w:r>
    </w:p>
    <w:p w14:paraId="1A770046" w14:textId="2FE0DD17" w:rsidR="00BD414D" w:rsidRPr="007E4B31" w:rsidRDefault="00BD414D" w:rsidP="001B22F2">
      <w:pPr>
        <w:pStyle w:val="3-BodyText"/>
      </w:pPr>
      <w:bookmarkStart w:id="28" w:name="_Ref133848030"/>
      <w:r w:rsidRPr="007E4B31">
        <w:t xml:space="preserve">The submission reported a significant difference in the relative risk (RR) of injection site pain frequency between somatrogon and somatropin in Opko III (RR=1.56, 95% CI: 1.06, 2.31, p=0.025) and Opko JPN (RR=5.33, 95% CI: 1.81, 15.74, p=0.002) with fewer events in patients treated with somatropin. </w:t>
      </w:r>
      <w:r w:rsidR="00D474ED" w:rsidRPr="007E4B31">
        <w:t xml:space="preserve">Comparatively, </w:t>
      </w:r>
      <w:r w:rsidR="003B1A86">
        <w:t>the i</w:t>
      </w:r>
      <w:r w:rsidRPr="007E4B31">
        <w:t xml:space="preserve">ncidence of injection site AE and injection site pain were low among patients treated with somapacitan or somatropin for both REAL-3 and REAL-4 with no statistically significant difference observed between treatments. </w:t>
      </w:r>
      <w:r w:rsidR="0048514A" w:rsidRPr="007E4B31">
        <w:t xml:space="preserve">No ITC results for injection site pain </w:t>
      </w:r>
      <w:proofErr w:type="gramStart"/>
      <w:r w:rsidR="0048514A" w:rsidRPr="007E4B31">
        <w:t>w</w:t>
      </w:r>
      <w:r w:rsidR="00CD4431" w:rsidRPr="007E4B31">
        <w:t>ere</w:t>
      </w:r>
      <w:r w:rsidR="0048514A" w:rsidRPr="007E4B31">
        <w:t xml:space="preserve"> provided</w:t>
      </w:r>
      <w:proofErr w:type="gramEnd"/>
      <w:r w:rsidR="0048514A" w:rsidRPr="007E4B31">
        <w:t xml:space="preserve">. An ITC conducted during the evaluation comparing REAL-4 with Opko-III reported no statistically significant difference for injection site pain at 52 weeks (RR = 0.66, 95% CI 0.061, 7.201, p=7.335) between somapacitan and somatrogon, though this was based on only three patients reporting any injection site pain (2/132 (1.5%) </w:t>
      </w:r>
      <w:r w:rsidR="0048514A" w:rsidRPr="007E4B31">
        <w:lastRenderedPageBreak/>
        <w:t xml:space="preserve">in </w:t>
      </w:r>
      <w:r w:rsidR="003B1A86">
        <w:t xml:space="preserve">the </w:t>
      </w:r>
      <w:r w:rsidR="0048514A" w:rsidRPr="007E4B31">
        <w:t xml:space="preserve">somapacitan </w:t>
      </w:r>
      <w:r w:rsidR="003B1A86">
        <w:t xml:space="preserve">arm </w:t>
      </w:r>
      <w:r w:rsidR="0048514A" w:rsidRPr="007E4B31">
        <w:t xml:space="preserve">and 1/68 (1.5%) in </w:t>
      </w:r>
      <w:r w:rsidR="003B1A86">
        <w:t xml:space="preserve">the </w:t>
      </w:r>
      <w:r w:rsidR="0048514A" w:rsidRPr="007E4B31">
        <w:t xml:space="preserve">somatropin arm) in REAL-4, compared to 72 patients (43/109 (39.4%) </w:t>
      </w:r>
      <w:r w:rsidR="003B1A86">
        <w:t>treated with</w:t>
      </w:r>
      <w:r w:rsidR="0048514A" w:rsidRPr="007E4B31">
        <w:t xml:space="preserve"> somatrogon and 29/115 (25.2%) </w:t>
      </w:r>
      <w:r w:rsidR="003B1A86">
        <w:t xml:space="preserve">treated with </w:t>
      </w:r>
      <w:r w:rsidR="0048514A" w:rsidRPr="007E4B31">
        <w:t>somatropin) in Opko III. The discrepancy in injection site pain reported in the somatropin arm between trials suggests that injection site pain may have been reported differently between trials and the results may not be comparable</w:t>
      </w:r>
      <w:proofErr w:type="gramStart"/>
      <w:r w:rsidR="0048514A" w:rsidRPr="007E4B31">
        <w:t>.</w:t>
      </w:r>
      <w:r w:rsidR="0048514A" w:rsidRPr="007E4B31">
        <w:rPr>
          <w:iCs/>
        </w:rPr>
        <w:t xml:space="preserve">  </w:t>
      </w:r>
      <w:proofErr w:type="gramEnd"/>
    </w:p>
    <w:p w14:paraId="2E2E7F8B" w14:textId="07EEA3D9" w:rsidR="00760654" w:rsidRPr="007E4B31" w:rsidRDefault="00220C55" w:rsidP="001B22F2">
      <w:pPr>
        <w:pStyle w:val="3-BodyText"/>
      </w:pPr>
      <w:r w:rsidRPr="007E4B31">
        <w:t xml:space="preserve">Overall, AEs </w:t>
      </w:r>
      <w:proofErr w:type="gramStart"/>
      <w:r w:rsidRPr="007E4B31">
        <w:t>were balanced</w:t>
      </w:r>
      <w:proofErr w:type="gramEnd"/>
      <w:r w:rsidRPr="007E4B31">
        <w:t xml:space="preserve"> between treatment arms across all trials</w:t>
      </w:r>
      <w:r w:rsidR="00ED423A">
        <w:t>. D</w:t>
      </w:r>
      <w:r w:rsidR="00BD414D" w:rsidRPr="007E4B31">
        <w:t xml:space="preserve">ifferences </w:t>
      </w:r>
      <w:r w:rsidR="00760654" w:rsidRPr="007E4B31">
        <w:t>observed across AEs did not lead to discontinuation</w:t>
      </w:r>
      <w:r w:rsidR="00ED423A">
        <w:t xml:space="preserve"> in the trials</w:t>
      </w:r>
      <w:r w:rsidR="00760654" w:rsidRPr="007E4B31">
        <w:t xml:space="preserve">. For example, in REAL-4, 27/132 (21%) patients in the somapacitan arm and 11/68 (16%) patients in the somatropin arm experienced treatment related AEs, but </w:t>
      </w:r>
      <w:r w:rsidR="00ED423A">
        <w:t xml:space="preserve">no patients </w:t>
      </w:r>
      <w:r w:rsidR="00760654" w:rsidRPr="007E4B31">
        <w:t>discontinu</w:t>
      </w:r>
      <w:r w:rsidR="00ED423A">
        <w:t>ed treatment</w:t>
      </w:r>
      <w:r w:rsidR="00760654" w:rsidRPr="007E4B31">
        <w:t xml:space="preserve"> in this trial. Similarly, in Opko III, 43/109 (39%) patients in the somatrogon arm and 29/115 (25%) patients in the somatropin arm reported injection site pain but only 1/109 (1%) </w:t>
      </w:r>
      <w:r w:rsidR="00ED423A">
        <w:t xml:space="preserve">of patients </w:t>
      </w:r>
      <w:r w:rsidR="00760654" w:rsidRPr="007E4B31">
        <w:t xml:space="preserve">discontinued in the somatrogon arm. </w:t>
      </w:r>
    </w:p>
    <w:p w14:paraId="0413CC99" w14:textId="58BA1116" w:rsidR="00C604B7" w:rsidRPr="007E4B31" w:rsidRDefault="00C604B7" w:rsidP="001B22F2">
      <w:pPr>
        <w:pStyle w:val="3-BodyText"/>
      </w:pPr>
      <w:r w:rsidRPr="007E4B31">
        <w:t xml:space="preserve">The development safety update report </w:t>
      </w:r>
      <w:proofErr w:type="gramStart"/>
      <w:r w:rsidRPr="007E4B31">
        <w:t>was included</w:t>
      </w:r>
      <w:proofErr w:type="gramEnd"/>
      <w:r w:rsidRPr="007E4B31">
        <w:t xml:space="preserve"> by the submission for the period 1 September 2021 to 31 August 2022 (no.11). To summarise, 580 subjects </w:t>
      </w:r>
      <w:proofErr w:type="gramStart"/>
      <w:r w:rsidRPr="007E4B31">
        <w:t>were exposed</w:t>
      </w:r>
      <w:proofErr w:type="gramEnd"/>
      <w:r w:rsidRPr="007E4B31">
        <w:t xml:space="preserve"> to somapacitan</w:t>
      </w:r>
      <w:r w:rsidR="00E23ED5" w:rsidRPr="007E4B31">
        <w:t>,</w:t>
      </w:r>
      <w:r w:rsidRPr="007E4B31">
        <w:t xml:space="preserve"> and </w:t>
      </w:r>
      <w:bookmarkEnd w:id="28"/>
      <w:r w:rsidR="00760654" w:rsidRPr="007E4B31">
        <w:t>hypothyroidism was identified as an important risk</w:t>
      </w:r>
      <w:r w:rsidR="002873C7" w:rsidRPr="007E4B31">
        <w:t>.</w:t>
      </w:r>
      <w:r w:rsidR="00760654" w:rsidRPr="007E4B31">
        <w:t xml:space="preserve"> </w:t>
      </w:r>
      <w:r w:rsidR="002873C7" w:rsidRPr="007E4B31">
        <w:t>I</w:t>
      </w:r>
      <w:r w:rsidR="00760654" w:rsidRPr="007E4B31">
        <w:t>n REAL-4</w:t>
      </w:r>
      <w:r w:rsidR="002873C7" w:rsidRPr="007E4B31">
        <w:t>,</w:t>
      </w:r>
      <w:r w:rsidR="00760654" w:rsidRPr="007E4B31">
        <w:t xml:space="preserve"> hypothyroidism </w:t>
      </w:r>
      <w:proofErr w:type="gramStart"/>
      <w:r w:rsidR="00760654" w:rsidRPr="007E4B31">
        <w:t>was reported</w:t>
      </w:r>
      <w:proofErr w:type="gramEnd"/>
      <w:r w:rsidR="00760654" w:rsidRPr="007E4B31">
        <w:t xml:space="preserve"> more frequently in the somapacitan arm (6/132 [4.5%]) compared to somatropin arm (1/68 [1.5%]), and in REAL-3 </w:t>
      </w:r>
      <w:r w:rsidR="00213BA3">
        <w:t xml:space="preserve">hypothyroidism </w:t>
      </w:r>
      <w:r w:rsidR="00760654" w:rsidRPr="007E4B31">
        <w:t>only occurred in one patient in the 0.04 mg/kg/week somapacitan arm.</w:t>
      </w:r>
    </w:p>
    <w:p w14:paraId="7048FAFA" w14:textId="53A8B5BF" w:rsidR="008A3C59" w:rsidRPr="007E4B31" w:rsidRDefault="00213BA3" w:rsidP="008A3C59">
      <w:pPr>
        <w:pStyle w:val="3-BodyText"/>
      </w:pPr>
      <w:r>
        <w:rPr>
          <w:iCs/>
        </w:rPr>
        <w:t>The evaluation considered that a</w:t>
      </w:r>
      <w:r w:rsidR="008A3C59" w:rsidRPr="007E4B31">
        <w:rPr>
          <w:iCs/>
        </w:rPr>
        <w:t xml:space="preserve"> non-inferior safety claim compared to somatrogon and somatropin was reasonable. While a non-inferiority margin pertaining to safety </w:t>
      </w:r>
      <w:proofErr w:type="gramStart"/>
      <w:r w:rsidR="008A3C59" w:rsidRPr="007E4B31">
        <w:rPr>
          <w:iCs/>
        </w:rPr>
        <w:t>was not presented</w:t>
      </w:r>
      <w:proofErr w:type="gramEnd"/>
      <w:r w:rsidR="008A3C59" w:rsidRPr="007E4B31">
        <w:rPr>
          <w:iCs/>
        </w:rPr>
        <w:t xml:space="preserve">, overall AEs were balanced between patients treated with somapacitan and patients treated with somatropin in REAL-3 and REAL-4. The point estimates for AEs in the ITC favoured somapacitan being associated with less treatment-related AEs and serious AEs compared to somatrogon, but the differences were not statistically significantly different. This </w:t>
      </w:r>
      <w:proofErr w:type="gramStart"/>
      <w:r w:rsidR="008A3C59" w:rsidRPr="007E4B31">
        <w:rPr>
          <w:iCs/>
        </w:rPr>
        <w:t>was similarly concluded</w:t>
      </w:r>
      <w:proofErr w:type="gramEnd"/>
      <w:r w:rsidR="008A3C59" w:rsidRPr="007E4B31">
        <w:rPr>
          <w:iCs/>
        </w:rPr>
        <w:t xml:space="preserve"> in the PBAC’s previous consideration of somapacitan in adults (paragraph 7.4, somapacitan, PSD, March 2022 PBAC meeting).</w:t>
      </w:r>
    </w:p>
    <w:p w14:paraId="4E69DD84" w14:textId="77777777" w:rsidR="00C604B7" w:rsidRPr="007E4B31" w:rsidRDefault="00C604B7" w:rsidP="00355B31">
      <w:pPr>
        <w:pStyle w:val="4-SubsectionHeading"/>
        <w:rPr>
          <w:rFonts w:eastAsia="Calibri"/>
        </w:rPr>
      </w:pPr>
      <w:bookmarkStart w:id="29" w:name="_Toc22897643"/>
      <w:bookmarkStart w:id="30" w:name="_Toc134493585"/>
      <w:r w:rsidRPr="007E4B31">
        <w:t>Benefits/harms</w:t>
      </w:r>
      <w:bookmarkEnd w:id="29"/>
      <w:bookmarkEnd w:id="30"/>
    </w:p>
    <w:p w14:paraId="4E63F26F" w14:textId="0A5151C2" w:rsidR="00C604B7" w:rsidRPr="007E4B31" w:rsidRDefault="00C604B7" w:rsidP="001B22F2">
      <w:pPr>
        <w:pStyle w:val="3-BodyText"/>
      </w:pPr>
      <w:r w:rsidRPr="007E4B31">
        <w:rPr>
          <w:snapToGrid/>
        </w:rPr>
        <w:t xml:space="preserve">A benefits and harms table </w:t>
      </w:r>
      <w:proofErr w:type="gramStart"/>
      <w:r w:rsidR="00FF71B1" w:rsidRPr="007E4B31">
        <w:rPr>
          <w:snapToGrid/>
        </w:rPr>
        <w:t>wa</w:t>
      </w:r>
      <w:r w:rsidRPr="007E4B31">
        <w:rPr>
          <w:snapToGrid/>
        </w:rPr>
        <w:t>s</w:t>
      </w:r>
      <w:proofErr w:type="gramEnd"/>
      <w:r w:rsidRPr="007E4B31">
        <w:rPr>
          <w:snapToGrid/>
        </w:rPr>
        <w:t xml:space="preserve"> not presented as the submission made a claim of non-inferiority. </w:t>
      </w:r>
    </w:p>
    <w:p w14:paraId="47485E52" w14:textId="77777777" w:rsidR="00C604B7" w:rsidRPr="007E4B31" w:rsidRDefault="00C604B7" w:rsidP="00355B31">
      <w:pPr>
        <w:pStyle w:val="4-SubsectionHeading"/>
      </w:pPr>
      <w:bookmarkStart w:id="31" w:name="_Toc22897644"/>
      <w:bookmarkStart w:id="32" w:name="_Toc134493586"/>
      <w:r w:rsidRPr="007E4B31">
        <w:t xml:space="preserve">Clinical </w:t>
      </w:r>
      <w:r w:rsidRPr="00355B31">
        <w:t>claim</w:t>
      </w:r>
      <w:bookmarkEnd w:id="31"/>
      <w:bookmarkEnd w:id="32"/>
    </w:p>
    <w:p w14:paraId="415227EE" w14:textId="0433E816" w:rsidR="0079745A" w:rsidRPr="007E4B31" w:rsidRDefault="00C604B7" w:rsidP="0079745A">
      <w:pPr>
        <w:pStyle w:val="3-BodyText"/>
      </w:pPr>
      <w:bookmarkStart w:id="33" w:name="_Ref133832314"/>
      <w:r w:rsidRPr="007E4B31">
        <w:t xml:space="preserve">The submission described somapacitan as non-inferior in terms of effectiveness compared to somatropin and somatrogon. </w:t>
      </w:r>
      <w:r w:rsidRPr="007E4B31">
        <w:rPr>
          <w:iCs/>
        </w:rPr>
        <w:t>Th</w:t>
      </w:r>
      <w:r w:rsidR="00CD4431" w:rsidRPr="007E4B31">
        <w:rPr>
          <w:iCs/>
        </w:rPr>
        <w:t>e evaluation considered th</w:t>
      </w:r>
      <w:r w:rsidRPr="007E4B31">
        <w:rPr>
          <w:iCs/>
        </w:rPr>
        <w:t xml:space="preserve">is claim </w:t>
      </w:r>
      <w:proofErr w:type="gramStart"/>
      <w:r w:rsidRPr="007E4B31">
        <w:rPr>
          <w:iCs/>
        </w:rPr>
        <w:t>was adequately supported</w:t>
      </w:r>
      <w:proofErr w:type="gramEnd"/>
      <w:r w:rsidRPr="007E4B31">
        <w:rPr>
          <w:iCs/>
        </w:rPr>
        <w:t xml:space="preserve"> for the comparison with somatropin</w:t>
      </w:r>
      <w:r w:rsidR="00DF5ED0" w:rsidRPr="007E4B31">
        <w:rPr>
          <w:iCs/>
        </w:rPr>
        <w:t xml:space="preserve"> based on direct evidence from REAL-3 and REAL-4</w:t>
      </w:r>
      <w:r w:rsidR="00C33659" w:rsidRPr="007E4B31">
        <w:rPr>
          <w:iCs/>
        </w:rPr>
        <w:t>.</w:t>
      </w:r>
    </w:p>
    <w:p w14:paraId="2506A901" w14:textId="7F1D3FA0" w:rsidR="0079745A" w:rsidRPr="007E4B31" w:rsidRDefault="00CD4431" w:rsidP="00AF4BDA">
      <w:pPr>
        <w:pStyle w:val="3-BodyText"/>
        <w:rPr>
          <w:iCs/>
        </w:rPr>
      </w:pPr>
      <w:r w:rsidRPr="007E4B31">
        <w:rPr>
          <w:iCs/>
        </w:rPr>
        <w:t>The evaluation considered a</w:t>
      </w:r>
      <w:r w:rsidR="00C33659" w:rsidRPr="007E4B31">
        <w:rPr>
          <w:iCs/>
        </w:rPr>
        <w:t xml:space="preserve"> claim of non-inferior eff</w:t>
      </w:r>
      <w:r w:rsidRPr="007E4B31">
        <w:rPr>
          <w:iCs/>
        </w:rPr>
        <w:t>ectiveness for somapacitan</w:t>
      </w:r>
      <w:r w:rsidR="00C33659" w:rsidRPr="007E4B31">
        <w:rPr>
          <w:iCs/>
        </w:rPr>
        <w:t xml:space="preserve"> </w:t>
      </w:r>
      <w:r w:rsidR="00683AA5" w:rsidRPr="007E4B31">
        <w:rPr>
          <w:iCs/>
        </w:rPr>
        <w:t xml:space="preserve">compared to somatrogon </w:t>
      </w:r>
      <w:r w:rsidRPr="007E4B31">
        <w:rPr>
          <w:iCs/>
        </w:rPr>
        <w:t xml:space="preserve">to </w:t>
      </w:r>
      <w:proofErr w:type="gramStart"/>
      <w:r w:rsidRPr="007E4B31">
        <w:rPr>
          <w:iCs/>
        </w:rPr>
        <w:t xml:space="preserve">be </w:t>
      </w:r>
      <w:r w:rsidR="00683AA5" w:rsidRPr="007E4B31">
        <w:rPr>
          <w:iCs/>
        </w:rPr>
        <w:t>less clearly supported</w:t>
      </w:r>
      <w:proofErr w:type="gramEnd"/>
      <w:r w:rsidR="00683AA5" w:rsidRPr="007E4B31">
        <w:rPr>
          <w:iCs/>
        </w:rPr>
        <w:t xml:space="preserve">. Based on the ITC between somapacitan and somatrogon (with somatropin as the common comparator), non-inferiority between somapacitan and somatrogon could be concluded when results </w:t>
      </w:r>
      <w:r w:rsidR="00683AA5" w:rsidRPr="007E4B31">
        <w:rPr>
          <w:iCs/>
        </w:rPr>
        <w:lastRenderedPageBreak/>
        <w:t xml:space="preserve">from </w:t>
      </w:r>
      <w:r w:rsidR="00D4601B" w:rsidRPr="007E4B31">
        <w:rPr>
          <w:iCs/>
        </w:rPr>
        <w:t xml:space="preserve">the </w:t>
      </w:r>
      <w:r w:rsidR="00683AA5" w:rsidRPr="007E4B31">
        <w:rPr>
          <w:iCs/>
        </w:rPr>
        <w:t xml:space="preserve">FE model (for the meta-analysis of REAL-3 and REAL-4) were considered (mean difference -0.26, 95% CI </w:t>
      </w:r>
      <w:r w:rsidR="00E82816">
        <w:rPr>
          <w:iCs/>
        </w:rPr>
        <w:t>-</w:t>
      </w:r>
      <w:r w:rsidR="00683AA5" w:rsidRPr="007E4B31">
        <w:rPr>
          <w:iCs/>
        </w:rPr>
        <w:t>1.11, 0.63), however non-inferiority could not be inferred based on the results from RE model (mean difference 0.34, 95% CI -2.01, 2.69)</w:t>
      </w:r>
      <w:r w:rsidR="00CE4797" w:rsidRPr="007E4B31">
        <w:rPr>
          <w:iCs/>
        </w:rPr>
        <w:t xml:space="preserve"> as the lower 95% CI was </w:t>
      </w:r>
      <w:r w:rsidR="00075808">
        <w:rPr>
          <w:iCs/>
        </w:rPr>
        <w:t>less</w:t>
      </w:r>
      <w:r w:rsidR="00075808" w:rsidRPr="007E4B31">
        <w:rPr>
          <w:iCs/>
        </w:rPr>
        <w:t xml:space="preserve"> </w:t>
      </w:r>
      <w:r w:rsidR="00CE4797" w:rsidRPr="007E4B31">
        <w:rPr>
          <w:iCs/>
        </w:rPr>
        <w:t xml:space="preserve">than the non-inferiority margin of </w:t>
      </w:r>
      <w:r w:rsidR="00FF4862" w:rsidRPr="007E4B31">
        <w:rPr>
          <w:iCs/>
        </w:rPr>
        <w:noBreakHyphen/>
      </w:r>
      <w:r w:rsidR="00CE4797" w:rsidRPr="007E4B31">
        <w:rPr>
          <w:iCs/>
        </w:rPr>
        <w:t>1.8</w:t>
      </w:r>
      <w:r w:rsidR="00D4601B" w:rsidRPr="007E4B31">
        <w:rPr>
          <w:iCs/>
        </w:rPr>
        <w:t xml:space="preserve"> </w:t>
      </w:r>
      <w:r w:rsidR="00CE4797" w:rsidRPr="007E4B31">
        <w:rPr>
          <w:iCs/>
        </w:rPr>
        <w:t>cm</w:t>
      </w:r>
      <w:r w:rsidR="00FF4862" w:rsidRPr="007E4B31">
        <w:rPr>
          <w:iCs/>
        </w:rPr>
        <w:t>/year</w:t>
      </w:r>
      <w:r w:rsidR="00683AA5" w:rsidRPr="007E4B31">
        <w:rPr>
          <w:iCs/>
        </w:rPr>
        <w:t>.</w:t>
      </w:r>
      <w:r w:rsidR="00790B21" w:rsidRPr="007E4B31">
        <w:rPr>
          <w:iCs/>
        </w:rPr>
        <w:t xml:space="preserve"> </w:t>
      </w:r>
      <w:r w:rsidR="00AB2340" w:rsidRPr="007E4B31">
        <w:rPr>
          <w:iCs/>
        </w:rPr>
        <w:t xml:space="preserve">While the limitations of the RE model </w:t>
      </w:r>
      <w:proofErr w:type="gramStart"/>
      <w:r w:rsidR="00AB2340" w:rsidRPr="007E4B31">
        <w:rPr>
          <w:iCs/>
        </w:rPr>
        <w:t>are acknowledged</w:t>
      </w:r>
      <w:proofErr w:type="gramEnd"/>
      <w:r w:rsidR="00AB2340" w:rsidRPr="007E4B31">
        <w:rPr>
          <w:iCs/>
        </w:rPr>
        <w:t xml:space="preserve">, by relying on the FE model the heterogeneity observed between REAL-3 and REAL-4 is ignored which can potentially lead to an overly precise summary estimate (i.e., a narrower CI) which would bias the results in favour of a non-inferiority conclusion. </w:t>
      </w:r>
      <w:r w:rsidR="00790B21" w:rsidRPr="007E4B31">
        <w:rPr>
          <w:iCs/>
        </w:rPr>
        <w:t xml:space="preserve">Further, there was a substantial degree of variation in the annualised HV reported in the common comparator </w:t>
      </w:r>
      <w:r w:rsidR="00075808">
        <w:rPr>
          <w:iCs/>
        </w:rPr>
        <w:t xml:space="preserve">arm </w:t>
      </w:r>
      <w:r w:rsidR="00790B21" w:rsidRPr="007E4B31">
        <w:rPr>
          <w:iCs/>
        </w:rPr>
        <w:t>between each trial</w:t>
      </w:r>
      <w:r w:rsidR="00AB2340" w:rsidRPr="007E4B31">
        <w:rPr>
          <w:iCs/>
        </w:rPr>
        <w:t xml:space="preserve"> which </w:t>
      </w:r>
      <w:r w:rsidR="00790B21" w:rsidRPr="007E4B31">
        <w:rPr>
          <w:iCs/>
        </w:rPr>
        <w:t>increased the uncertainty of the results of the ITC.</w:t>
      </w:r>
      <w:bookmarkEnd w:id="33"/>
    </w:p>
    <w:p w14:paraId="58C49FD2" w14:textId="1B6B20E7" w:rsidR="003668E6" w:rsidRPr="007E4B31" w:rsidRDefault="00FF7C73" w:rsidP="00C33659">
      <w:pPr>
        <w:pStyle w:val="3-BodyText"/>
        <w:rPr>
          <w:iCs/>
        </w:rPr>
      </w:pPr>
      <w:r w:rsidRPr="007E4B31">
        <w:rPr>
          <w:iCs/>
        </w:rPr>
        <w:t>Nonetheless, o</w:t>
      </w:r>
      <w:r w:rsidR="003668E6" w:rsidRPr="007E4B31">
        <w:rPr>
          <w:iCs/>
        </w:rPr>
        <w:t xml:space="preserve">n balance, </w:t>
      </w:r>
      <w:r w:rsidR="0024319F" w:rsidRPr="007E4B31">
        <w:t>the ESC considered</w:t>
      </w:r>
      <w:r w:rsidR="003668E6" w:rsidRPr="007E4B31">
        <w:rPr>
          <w:iCs/>
        </w:rPr>
        <w:t xml:space="preserve"> </w:t>
      </w:r>
      <w:r w:rsidR="00CD4431" w:rsidRPr="007E4B31">
        <w:t xml:space="preserve">it was reasonable to conclude </w:t>
      </w:r>
      <w:r w:rsidR="00FF7EBE" w:rsidRPr="007E4B31">
        <w:t>th</w:t>
      </w:r>
      <w:r w:rsidR="003668E6" w:rsidRPr="007E4B31">
        <w:t xml:space="preserve">at somapacitan </w:t>
      </w:r>
      <w:r w:rsidR="00CD4431" w:rsidRPr="007E4B31">
        <w:t xml:space="preserve">would be </w:t>
      </w:r>
      <w:r w:rsidR="003668E6" w:rsidRPr="007E4B31">
        <w:t>non-inferior in efficacy to somatrogon,</w:t>
      </w:r>
      <w:r w:rsidR="003668E6" w:rsidRPr="007E4B31">
        <w:rPr>
          <w:iCs/>
        </w:rPr>
        <w:t xml:space="preserve"> given that the PBAC has previously accepted that somatrogon was non-inferior to somatropin, and somapacitan was also non-inferior to somatropin based on the direct trial results from REAL-3 and REAL-4. </w:t>
      </w:r>
    </w:p>
    <w:p w14:paraId="37C8E194" w14:textId="32277BC1" w:rsidR="000C5FA5" w:rsidRPr="007E4B31" w:rsidRDefault="000C5FA5" w:rsidP="000C5FA5">
      <w:pPr>
        <w:pStyle w:val="3-BodyText"/>
        <w:rPr>
          <w:rFonts w:eastAsia="Calibri"/>
        </w:rPr>
      </w:pPr>
      <w:r w:rsidRPr="007E4B31">
        <w:rPr>
          <w:rFonts w:eastAsia="Calibri"/>
        </w:rPr>
        <w:t>The PBAC considered that the claim of non-inferior comparative effectiveness</w:t>
      </w:r>
      <w:r w:rsidR="00EA0E08" w:rsidRPr="007E4B31">
        <w:rPr>
          <w:rFonts w:eastAsia="Calibri"/>
        </w:rPr>
        <w:t xml:space="preserve"> to somatropin and somatrogon</w:t>
      </w:r>
      <w:r w:rsidRPr="007E4B31">
        <w:rPr>
          <w:rFonts w:eastAsia="Calibri"/>
        </w:rPr>
        <w:t xml:space="preserve"> was reasonable.</w:t>
      </w:r>
    </w:p>
    <w:p w14:paraId="3082B6D2" w14:textId="14E05E99" w:rsidR="000C5FA5" w:rsidRPr="007E4B31" w:rsidRDefault="000C5FA5" w:rsidP="000C5FA5">
      <w:pPr>
        <w:pStyle w:val="3-BodyText"/>
        <w:rPr>
          <w:rFonts w:eastAsia="Calibri"/>
        </w:rPr>
      </w:pPr>
      <w:r w:rsidRPr="007E4B31">
        <w:rPr>
          <w:rFonts w:eastAsia="Calibri"/>
        </w:rPr>
        <w:t>The PBAC considered that the claim of non-inferior comparative safety</w:t>
      </w:r>
      <w:r w:rsidR="00D532A1" w:rsidRPr="007E4B31">
        <w:rPr>
          <w:rFonts w:eastAsia="Calibri"/>
        </w:rPr>
        <w:t xml:space="preserve"> to somatropin and somatrogon</w:t>
      </w:r>
      <w:r w:rsidRPr="007E4B31">
        <w:rPr>
          <w:rFonts w:eastAsia="Calibri"/>
        </w:rPr>
        <w:t xml:space="preserve"> was reasonable.</w:t>
      </w:r>
    </w:p>
    <w:p w14:paraId="637AA61F" w14:textId="77777777" w:rsidR="00C604B7" w:rsidRPr="007E4B31" w:rsidRDefault="00C604B7" w:rsidP="00355B31">
      <w:pPr>
        <w:pStyle w:val="4-SubsectionHeading"/>
      </w:pPr>
      <w:bookmarkStart w:id="34" w:name="_Toc22897645"/>
      <w:bookmarkStart w:id="35" w:name="_Toc134493587"/>
      <w:r w:rsidRPr="007E4B31">
        <w:t xml:space="preserve">Economic </w:t>
      </w:r>
      <w:r w:rsidRPr="00355B31">
        <w:t>analysis</w:t>
      </w:r>
      <w:bookmarkEnd w:id="34"/>
      <w:bookmarkEnd w:id="35"/>
      <w:r w:rsidRPr="007E4B31">
        <w:t xml:space="preserve"> </w:t>
      </w:r>
    </w:p>
    <w:p w14:paraId="7343E4A0" w14:textId="0DC9F8EE" w:rsidR="00C604B7" w:rsidRPr="007E4B31" w:rsidRDefault="00C604B7" w:rsidP="001B22F2">
      <w:pPr>
        <w:pStyle w:val="3-BodyText"/>
      </w:pPr>
      <w:r w:rsidRPr="007E4B31">
        <w:t>The submission presented a CMA comparing somapacitan once-weekly with somatrogon once-weekly (base case) and somatropin once daily (sensitivity analysis)</w:t>
      </w:r>
      <w:r w:rsidR="00D4601B" w:rsidRPr="007E4B31">
        <w:t>. T</w:t>
      </w:r>
      <w:r w:rsidRPr="007E4B31">
        <w:t xml:space="preserve">he key components and assumptions of the CMA </w:t>
      </w:r>
      <w:proofErr w:type="gramStart"/>
      <w:r w:rsidRPr="007E4B31">
        <w:t>are presented</w:t>
      </w:r>
      <w:proofErr w:type="gramEnd"/>
      <w:r w:rsidRPr="007E4B31">
        <w:t xml:space="preserve"> in </w:t>
      </w:r>
      <w:r w:rsidRPr="007E4B31">
        <w:fldChar w:fldCharType="begin" w:fldLock="1"/>
      </w:r>
      <w:r w:rsidRPr="007E4B31">
        <w:instrText xml:space="preserve"> REF _Ref133904070 \h </w:instrText>
      </w:r>
      <w:r w:rsidR="00370FF4" w:rsidRPr="007E4B31">
        <w:instrText xml:space="preserve"> \* MERGEFORMAT </w:instrText>
      </w:r>
      <w:r w:rsidRPr="007E4B31">
        <w:fldChar w:fldCharType="separate"/>
      </w:r>
      <w:r w:rsidR="00D3534F" w:rsidRPr="007E4B31">
        <w:t xml:space="preserve">Table </w:t>
      </w:r>
      <w:r w:rsidR="00D3534F">
        <w:rPr>
          <w:noProof/>
        </w:rPr>
        <w:t>6</w:t>
      </w:r>
      <w:r w:rsidRPr="007E4B31">
        <w:fldChar w:fldCharType="end"/>
      </w:r>
      <w:r w:rsidRPr="007E4B31">
        <w:t>.</w:t>
      </w:r>
    </w:p>
    <w:p w14:paraId="0EA6C783" w14:textId="0CB0D2C7" w:rsidR="00C604B7" w:rsidRPr="007E4B31" w:rsidRDefault="00C604B7" w:rsidP="001B22F2">
      <w:pPr>
        <w:pStyle w:val="Caption"/>
        <w:jc w:val="left"/>
        <w:rPr>
          <w:rStyle w:val="CommentReference"/>
          <w:b/>
          <w:szCs w:val="18"/>
        </w:rPr>
      </w:pPr>
      <w:bookmarkStart w:id="36" w:name="_Ref133904070"/>
      <w:r w:rsidRPr="007E4B31">
        <w:lastRenderedPageBreak/>
        <w:t xml:space="preserve">Table </w:t>
      </w:r>
      <w:r w:rsidR="00402BC2">
        <w:fldChar w:fldCharType="begin" w:fldLock="1"/>
      </w:r>
      <w:r w:rsidR="00402BC2">
        <w:instrText xml:space="preserve"> SEQ Table \* ARABIC </w:instrText>
      </w:r>
      <w:r w:rsidR="00402BC2">
        <w:fldChar w:fldCharType="separate"/>
      </w:r>
      <w:r w:rsidR="00D3534F">
        <w:rPr>
          <w:noProof/>
        </w:rPr>
        <w:t>6</w:t>
      </w:r>
      <w:r w:rsidR="00402BC2">
        <w:rPr>
          <w:noProof/>
        </w:rPr>
        <w:fldChar w:fldCharType="end"/>
      </w:r>
      <w:bookmarkEnd w:id="36"/>
      <w:r w:rsidRPr="007E4B31">
        <w:rPr>
          <w:rStyle w:val="CommentReference"/>
          <w:b/>
          <w:szCs w:val="24"/>
        </w:rPr>
        <w:t>: Key components and assumptions of the cost-minimisation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04"/>
      </w:tblGrid>
      <w:tr w:rsidR="00C604B7" w:rsidRPr="007E4B31" w14:paraId="43BC60CA" w14:textId="77777777" w:rsidTr="00D15FD9">
        <w:tc>
          <w:tcPr>
            <w:tcW w:w="1413" w:type="dxa"/>
            <w:vAlign w:val="center"/>
          </w:tcPr>
          <w:p w14:paraId="2F40A9F5" w14:textId="77777777" w:rsidR="00C604B7" w:rsidRPr="007E4B31" w:rsidRDefault="00C604B7" w:rsidP="001B22F2">
            <w:pPr>
              <w:pStyle w:val="In-tableHeading"/>
              <w:rPr>
                <w:lang w:val="en-AU"/>
              </w:rPr>
            </w:pPr>
            <w:r w:rsidRPr="007E4B31">
              <w:rPr>
                <w:lang w:val="en-AU"/>
              </w:rPr>
              <w:t>Component</w:t>
            </w:r>
          </w:p>
        </w:tc>
        <w:tc>
          <w:tcPr>
            <w:tcW w:w="7604" w:type="dxa"/>
            <w:vAlign w:val="center"/>
          </w:tcPr>
          <w:p w14:paraId="5EC4ECC6" w14:textId="77777777" w:rsidR="00C604B7" w:rsidRPr="007E4B31" w:rsidRDefault="00C604B7" w:rsidP="001B22F2">
            <w:pPr>
              <w:pStyle w:val="In-tableHeading"/>
              <w:rPr>
                <w:lang w:val="en-AU"/>
              </w:rPr>
            </w:pPr>
            <w:r w:rsidRPr="007E4B31">
              <w:rPr>
                <w:lang w:val="en-AU"/>
              </w:rPr>
              <w:t>Claim or assumption</w:t>
            </w:r>
          </w:p>
        </w:tc>
      </w:tr>
      <w:tr w:rsidR="00C604B7" w:rsidRPr="007E4B31" w14:paraId="03052066" w14:textId="77777777" w:rsidTr="00D15FD9">
        <w:tc>
          <w:tcPr>
            <w:tcW w:w="1413" w:type="dxa"/>
            <w:vAlign w:val="center"/>
          </w:tcPr>
          <w:p w14:paraId="2CD9FEB3" w14:textId="77777777" w:rsidR="00C604B7" w:rsidRPr="007E4B31" w:rsidRDefault="00C604B7" w:rsidP="001B22F2">
            <w:pPr>
              <w:pStyle w:val="TableText0"/>
            </w:pPr>
            <w:r w:rsidRPr="007E4B31">
              <w:t xml:space="preserve">Therapeutic claim: effectiveness </w:t>
            </w:r>
          </w:p>
        </w:tc>
        <w:tc>
          <w:tcPr>
            <w:tcW w:w="7604" w:type="dxa"/>
          </w:tcPr>
          <w:p w14:paraId="420CE049" w14:textId="24F85D61" w:rsidR="00C604B7" w:rsidRPr="007E4B31" w:rsidRDefault="00C604B7" w:rsidP="001B22F2">
            <w:pPr>
              <w:pStyle w:val="TableText0"/>
            </w:pPr>
            <w:r w:rsidRPr="007E4B31">
              <w:t xml:space="preserve">Based on the evidence presented in </w:t>
            </w:r>
            <w:r w:rsidR="00D4601B" w:rsidRPr="007E4B31">
              <w:t>the submission</w:t>
            </w:r>
            <w:r w:rsidRPr="007E4B31">
              <w:t xml:space="preserve">, somapacitan OW </w:t>
            </w:r>
            <w:proofErr w:type="gramStart"/>
            <w:r w:rsidRPr="007E4B31">
              <w:t>is demonstrated</w:t>
            </w:r>
            <w:proofErr w:type="gramEnd"/>
            <w:r w:rsidRPr="007E4B31">
              <w:t xml:space="preserve"> to be non-inferior to somatrogon OW and somatropin OD with respect to changes in annualised height velocity at 52 weeks for the treatment of pGHD.</w:t>
            </w:r>
          </w:p>
        </w:tc>
      </w:tr>
      <w:tr w:rsidR="00C604B7" w:rsidRPr="007E4B31" w14:paraId="718D5B81" w14:textId="77777777" w:rsidTr="00D15FD9">
        <w:tc>
          <w:tcPr>
            <w:tcW w:w="1413" w:type="dxa"/>
            <w:vAlign w:val="center"/>
          </w:tcPr>
          <w:p w14:paraId="76B88E4B" w14:textId="77777777" w:rsidR="00C604B7" w:rsidRPr="007E4B31" w:rsidRDefault="00C604B7" w:rsidP="001B22F2">
            <w:pPr>
              <w:pStyle w:val="TableText0"/>
            </w:pPr>
            <w:r w:rsidRPr="007E4B31">
              <w:t xml:space="preserve">Therapeutic claim: safety </w:t>
            </w:r>
          </w:p>
        </w:tc>
        <w:tc>
          <w:tcPr>
            <w:tcW w:w="7604" w:type="dxa"/>
          </w:tcPr>
          <w:p w14:paraId="2137B7A8" w14:textId="693D4559" w:rsidR="00C604B7" w:rsidRPr="007E4B31" w:rsidRDefault="00C604B7" w:rsidP="001B22F2">
            <w:pPr>
              <w:pStyle w:val="TableText0"/>
            </w:pPr>
            <w:r w:rsidRPr="007E4B31">
              <w:t xml:space="preserve">Based on the evidence presented in </w:t>
            </w:r>
            <w:r w:rsidR="00D4601B" w:rsidRPr="007E4B31">
              <w:t xml:space="preserve">the </w:t>
            </w:r>
            <w:r w:rsidR="00C01433" w:rsidRPr="007E4B31">
              <w:t>submission</w:t>
            </w:r>
            <w:r w:rsidRPr="007E4B31">
              <w:t xml:space="preserve">, somapacitan OW </w:t>
            </w:r>
            <w:proofErr w:type="gramStart"/>
            <w:r w:rsidRPr="007E4B31">
              <w:t>is demonstrated</w:t>
            </w:r>
            <w:proofErr w:type="gramEnd"/>
            <w:r w:rsidRPr="007E4B31">
              <w:t xml:space="preserve"> to be non-inferior to somatrogon OW and somatropin OD with respect to all AEs at 52 weeks for the treatment of pGHD.</w:t>
            </w:r>
          </w:p>
        </w:tc>
      </w:tr>
      <w:tr w:rsidR="00C604B7" w:rsidRPr="007E4B31" w14:paraId="4CC65238" w14:textId="77777777" w:rsidTr="00D15FD9">
        <w:tc>
          <w:tcPr>
            <w:tcW w:w="1413" w:type="dxa"/>
            <w:vAlign w:val="center"/>
          </w:tcPr>
          <w:p w14:paraId="56FC5BE6" w14:textId="77777777" w:rsidR="00C604B7" w:rsidRPr="007E4B31" w:rsidRDefault="00C604B7" w:rsidP="001B22F2">
            <w:pPr>
              <w:pStyle w:val="TableText0"/>
            </w:pPr>
            <w:r w:rsidRPr="007E4B31">
              <w:t>Evidence base</w:t>
            </w:r>
          </w:p>
        </w:tc>
        <w:tc>
          <w:tcPr>
            <w:tcW w:w="7604" w:type="dxa"/>
            <w:vAlign w:val="center"/>
          </w:tcPr>
          <w:p w14:paraId="2A5E6018" w14:textId="77777777" w:rsidR="00C604B7" w:rsidRPr="007E4B31" w:rsidRDefault="00C604B7" w:rsidP="001B22F2">
            <w:pPr>
              <w:pStyle w:val="TableText0"/>
              <w:rPr>
                <w:b/>
                <w:bCs w:val="0"/>
              </w:rPr>
            </w:pPr>
            <w:r w:rsidRPr="007E4B31">
              <w:rPr>
                <w:b/>
                <w:bCs w:val="0"/>
              </w:rPr>
              <w:t>Base case analysis:</w:t>
            </w:r>
          </w:p>
          <w:p w14:paraId="019954E2" w14:textId="62C37253" w:rsidR="00C604B7" w:rsidRPr="007E4B31" w:rsidRDefault="00C604B7" w:rsidP="001B22F2">
            <w:pPr>
              <w:pStyle w:val="TableText0"/>
            </w:pPr>
            <w:r w:rsidRPr="007E4B31">
              <w:t>Somapacitan v</w:t>
            </w:r>
            <w:r w:rsidR="00A8309C">
              <w:t>ersu</w:t>
            </w:r>
            <w:r w:rsidRPr="007E4B31">
              <w:t>s somatrogon based on Bucher ITC of REAL-3 and REAL-4 vs Opko II and Opko III</w:t>
            </w:r>
          </w:p>
          <w:p w14:paraId="725A259C" w14:textId="77777777" w:rsidR="00C604B7" w:rsidRPr="007E4B31" w:rsidRDefault="00C604B7" w:rsidP="001B22F2">
            <w:pPr>
              <w:pStyle w:val="TableText0"/>
              <w:rPr>
                <w:b/>
                <w:bCs w:val="0"/>
              </w:rPr>
            </w:pPr>
            <w:r w:rsidRPr="007E4B31">
              <w:rPr>
                <w:b/>
                <w:bCs w:val="0"/>
              </w:rPr>
              <w:t>Sensitivity analysis:</w:t>
            </w:r>
          </w:p>
          <w:p w14:paraId="0761C4C4" w14:textId="2BBE3139" w:rsidR="00C604B7" w:rsidRPr="007E4B31" w:rsidRDefault="00C604B7" w:rsidP="001B22F2">
            <w:pPr>
              <w:pStyle w:val="TableText0"/>
            </w:pPr>
            <w:r w:rsidRPr="007E4B31">
              <w:t>Somapacitan v</w:t>
            </w:r>
            <w:r w:rsidR="00A8309C">
              <w:t>ersu</w:t>
            </w:r>
            <w:r w:rsidRPr="007E4B31">
              <w:t>s somatropin based on direct head-to-head comparison in REAL-3 and REAL-4</w:t>
            </w:r>
          </w:p>
        </w:tc>
      </w:tr>
      <w:tr w:rsidR="00C604B7" w:rsidRPr="007E4B31" w14:paraId="1DC75EFF" w14:textId="77777777" w:rsidTr="00D15FD9">
        <w:tc>
          <w:tcPr>
            <w:tcW w:w="1413" w:type="dxa"/>
            <w:vAlign w:val="center"/>
          </w:tcPr>
          <w:p w14:paraId="6F4CFEF7" w14:textId="77777777" w:rsidR="00C604B7" w:rsidRPr="007E4B31" w:rsidRDefault="00C604B7" w:rsidP="001B22F2">
            <w:pPr>
              <w:pStyle w:val="TableText0"/>
            </w:pPr>
            <w:r w:rsidRPr="007E4B31">
              <w:t>Equi-effective doses</w:t>
            </w:r>
          </w:p>
        </w:tc>
        <w:tc>
          <w:tcPr>
            <w:tcW w:w="7604" w:type="dxa"/>
            <w:vAlign w:val="center"/>
          </w:tcPr>
          <w:p w14:paraId="77DE34A6" w14:textId="77777777" w:rsidR="00C604B7" w:rsidRPr="007E4B31" w:rsidRDefault="00C604B7" w:rsidP="001B22F2">
            <w:pPr>
              <w:pStyle w:val="TableText0"/>
              <w:rPr>
                <w:b/>
                <w:bCs w:val="0"/>
              </w:rPr>
            </w:pPr>
            <w:r w:rsidRPr="007E4B31">
              <w:rPr>
                <w:b/>
                <w:bCs w:val="0"/>
              </w:rPr>
              <w:t>Base-case analysis:</w:t>
            </w:r>
          </w:p>
          <w:p w14:paraId="2296CC4D" w14:textId="3820F0F6" w:rsidR="00C604B7" w:rsidRPr="007E4B31" w:rsidRDefault="00C604B7" w:rsidP="001B22F2">
            <w:pPr>
              <w:pStyle w:val="TableText0"/>
            </w:pPr>
            <w:r w:rsidRPr="007E4B31">
              <w:t>0.655 mg somatrogon = 0.157</w:t>
            </w:r>
            <w:r w:rsidR="0095548F" w:rsidRPr="007E4B31">
              <w:rPr>
                <w:vertAlign w:val="superscript"/>
              </w:rPr>
              <w:t xml:space="preserve"> a</w:t>
            </w:r>
            <w:r w:rsidRPr="007E4B31">
              <w:t xml:space="preserve"> mg somapacitan </w:t>
            </w:r>
          </w:p>
          <w:p w14:paraId="0E287387" w14:textId="77777777" w:rsidR="00C604B7" w:rsidRPr="007E4B31" w:rsidRDefault="00C604B7" w:rsidP="001B22F2">
            <w:pPr>
              <w:pStyle w:val="TableText0"/>
            </w:pPr>
            <w:r w:rsidRPr="007E4B31">
              <w:t>(1 mg somatrogon = 0.240 mg somapacitan)</w:t>
            </w:r>
          </w:p>
          <w:p w14:paraId="40E4B572" w14:textId="77777777" w:rsidR="00C604B7" w:rsidRPr="007E4B31" w:rsidRDefault="00C604B7" w:rsidP="001B22F2">
            <w:pPr>
              <w:pStyle w:val="TableText0"/>
              <w:rPr>
                <w:b/>
                <w:bCs w:val="0"/>
              </w:rPr>
            </w:pPr>
            <w:r w:rsidRPr="007E4B31">
              <w:rPr>
                <w:b/>
                <w:bCs w:val="0"/>
              </w:rPr>
              <w:t>Sensitivity analysis:</w:t>
            </w:r>
          </w:p>
          <w:p w14:paraId="2111A11F" w14:textId="77777777" w:rsidR="00C604B7" w:rsidRPr="007E4B31" w:rsidRDefault="00C604B7" w:rsidP="001B22F2">
            <w:pPr>
              <w:pStyle w:val="TableText0"/>
            </w:pPr>
            <w:r w:rsidRPr="007E4B31">
              <w:t xml:space="preserve">0.239 mg somatropin = 0.159 mg somapacitan  </w:t>
            </w:r>
          </w:p>
          <w:p w14:paraId="3C5ED969" w14:textId="77777777" w:rsidR="00C604B7" w:rsidRPr="007E4B31" w:rsidRDefault="00C604B7" w:rsidP="001B22F2">
            <w:pPr>
              <w:pStyle w:val="TableText0"/>
            </w:pPr>
            <w:r w:rsidRPr="007E4B31">
              <w:t>(1 mg somatropin = 0.665 mg somapacitan)</w:t>
            </w:r>
          </w:p>
        </w:tc>
      </w:tr>
      <w:tr w:rsidR="00C604B7" w:rsidRPr="007E4B31" w14:paraId="287765A9" w14:textId="77777777" w:rsidTr="00D15FD9">
        <w:tc>
          <w:tcPr>
            <w:tcW w:w="1413" w:type="dxa"/>
            <w:vAlign w:val="center"/>
          </w:tcPr>
          <w:p w14:paraId="04942BEA" w14:textId="77777777" w:rsidR="00C604B7" w:rsidRPr="007E4B31" w:rsidRDefault="00C604B7" w:rsidP="001B22F2">
            <w:pPr>
              <w:pStyle w:val="TableText0"/>
            </w:pPr>
            <w:r w:rsidRPr="007E4B31">
              <w:t>Direct medicine costs</w:t>
            </w:r>
          </w:p>
        </w:tc>
        <w:tc>
          <w:tcPr>
            <w:tcW w:w="7604" w:type="dxa"/>
            <w:vAlign w:val="center"/>
          </w:tcPr>
          <w:p w14:paraId="43656A3A" w14:textId="77777777" w:rsidR="00C604B7" w:rsidRPr="007E4B31" w:rsidRDefault="00C604B7" w:rsidP="001B22F2">
            <w:pPr>
              <w:pStyle w:val="TableText0"/>
            </w:pPr>
            <w:r w:rsidRPr="007E4B31">
              <w:t>Weekly drug costs (effective AEMP):</w:t>
            </w:r>
          </w:p>
          <w:p w14:paraId="24A91215" w14:textId="77777777" w:rsidR="00C604B7" w:rsidRPr="007E4B31" w:rsidRDefault="00C604B7" w:rsidP="001B22F2">
            <w:pPr>
              <w:pStyle w:val="TableText0"/>
              <w:rPr>
                <w:b/>
                <w:bCs w:val="0"/>
              </w:rPr>
            </w:pPr>
            <w:r w:rsidRPr="007E4B31">
              <w:rPr>
                <w:b/>
                <w:bCs w:val="0"/>
              </w:rPr>
              <w:t>Base-case analysis</w:t>
            </w:r>
          </w:p>
          <w:p w14:paraId="05276F66" w14:textId="77777777" w:rsidR="00C604B7" w:rsidRPr="009B65C7" w:rsidRDefault="00C604B7" w:rsidP="001B22F2">
            <w:pPr>
              <w:pStyle w:val="TableText0"/>
            </w:pPr>
            <w:r w:rsidRPr="009B65C7">
              <w:t>Somapacitan = $295.16</w:t>
            </w:r>
          </w:p>
          <w:p w14:paraId="54E93F45" w14:textId="77777777" w:rsidR="00C604B7" w:rsidRPr="009B65C7" w:rsidRDefault="00C604B7" w:rsidP="001B22F2">
            <w:pPr>
              <w:pStyle w:val="TableText0"/>
            </w:pPr>
            <w:r w:rsidRPr="009B65C7">
              <w:t>Somatrogon = $295.16</w:t>
            </w:r>
          </w:p>
          <w:p w14:paraId="132D2225" w14:textId="77777777" w:rsidR="00C604B7" w:rsidRPr="009B65C7" w:rsidRDefault="00C604B7" w:rsidP="001B22F2">
            <w:pPr>
              <w:pStyle w:val="TableText0"/>
              <w:rPr>
                <w:b/>
                <w:bCs w:val="0"/>
              </w:rPr>
            </w:pPr>
            <w:r w:rsidRPr="009B65C7">
              <w:rPr>
                <w:b/>
                <w:bCs w:val="0"/>
              </w:rPr>
              <w:t>Sensitivity analysis</w:t>
            </w:r>
          </w:p>
          <w:p w14:paraId="4583A462" w14:textId="77777777" w:rsidR="00C604B7" w:rsidRPr="009B65C7" w:rsidRDefault="00C604B7" w:rsidP="001B22F2">
            <w:pPr>
              <w:pStyle w:val="TableText0"/>
            </w:pPr>
            <w:r w:rsidRPr="009B65C7">
              <w:t>Somapacitan = $298.13</w:t>
            </w:r>
          </w:p>
          <w:p w14:paraId="66460D41" w14:textId="77777777" w:rsidR="00C604B7" w:rsidRPr="007E4B31" w:rsidRDefault="00C604B7" w:rsidP="001B22F2">
            <w:pPr>
              <w:pStyle w:val="TableText0"/>
            </w:pPr>
            <w:r w:rsidRPr="009B65C7">
              <w:t>Somatropin = $298.13</w:t>
            </w:r>
          </w:p>
        </w:tc>
      </w:tr>
      <w:tr w:rsidR="00C604B7" w:rsidRPr="007E4B31" w14:paraId="3C551740" w14:textId="77777777" w:rsidTr="00D15FD9">
        <w:tc>
          <w:tcPr>
            <w:tcW w:w="1413" w:type="dxa"/>
            <w:vAlign w:val="center"/>
          </w:tcPr>
          <w:p w14:paraId="0783BF38" w14:textId="77777777" w:rsidR="00C604B7" w:rsidRPr="007E4B31" w:rsidRDefault="00C604B7" w:rsidP="001B22F2">
            <w:pPr>
              <w:pStyle w:val="TableText0"/>
            </w:pPr>
            <w:r w:rsidRPr="007E4B31">
              <w:t>Other costs or cost offsets</w:t>
            </w:r>
          </w:p>
        </w:tc>
        <w:tc>
          <w:tcPr>
            <w:tcW w:w="7604" w:type="dxa"/>
            <w:vAlign w:val="center"/>
          </w:tcPr>
          <w:p w14:paraId="644B6B02" w14:textId="75251BE1" w:rsidR="00C604B7" w:rsidRPr="007E4B31" w:rsidRDefault="00C604B7" w:rsidP="001B22F2">
            <w:pPr>
              <w:pStyle w:val="TableText0"/>
            </w:pPr>
            <w:r w:rsidRPr="007E4B31">
              <w:t>N</w:t>
            </w:r>
            <w:r w:rsidR="00A8309C">
              <w:t>ot applicable</w:t>
            </w:r>
          </w:p>
        </w:tc>
      </w:tr>
    </w:tbl>
    <w:p w14:paraId="2769BED4" w14:textId="77777777" w:rsidR="00C604B7" w:rsidRPr="007E4B31" w:rsidRDefault="00C604B7" w:rsidP="001B22F2">
      <w:pPr>
        <w:pStyle w:val="FooterTableFigure"/>
      </w:pPr>
      <w:r w:rsidRPr="007E4B31">
        <w:t>Source: Table 3.1, p.164 of the submission</w:t>
      </w:r>
    </w:p>
    <w:p w14:paraId="1ECA96EC" w14:textId="77777777" w:rsidR="00C604B7" w:rsidRPr="007E4B31" w:rsidRDefault="00C604B7" w:rsidP="001B22F2">
      <w:pPr>
        <w:pStyle w:val="FooterTableFigure"/>
      </w:pPr>
      <w:r w:rsidRPr="007E4B31">
        <w:t>AEMP = approved ex-manufacturer price; AE = adverse event; CSR = clinical study report; ITC = indirect treatment comparison; OD = once-daily; OW = once-weekly; pGHD = paediatric growth hormone deficiency; PSD = public summary document</w:t>
      </w:r>
    </w:p>
    <w:p w14:paraId="5D0C8F49" w14:textId="77777777" w:rsidR="00C604B7" w:rsidRPr="007E4B31" w:rsidRDefault="00C604B7" w:rsidP="001B22F2">
      <w:pPr>
        <w:pStyle w:val="FooterTableFigure"/>
      </w:pPr>
      <w:proofErr w:type="gramStart"/>
      <w:r w:rsidRPr="007E4B31">
        <w:rPr>
          <w:vertAlign w:val="superscript"/>
        </w:rPr>
        <w:t>a</w:t>
      </w:r>
      <w:proofErr w:type="gramEnd"/>
      <w:r w:rsidRPr="007E4B31">
        <w:rPr>
          <w:vertAlign w:val="superscript"/>
        </w:rPr>
        <w:t xml:space="preserve"> </w:t>
      </w:r>
      <w:r w:rsidRPr="007E4B31">
        <w:t>Adjusted to account for differences between somatropin doses across REAL-4 and Opko III</w:t>
      </w:r>
    </w:p>
    <w:p w14:paraId="45E1BC29" w14:textId="18CF9B64" w:rsidR="00C604B7" w:rsidRPr="007E4B31" w:rsidRDefault="00C604B7" w:rsidP="001B22F2">
      <w:pPr>
        <w:pStyle w:val="3-BodyText"/>
      </w:pPr>
      <w:r w:rsidRPr="007E4B31">
        <w:t>The equi-effective doses were informed by the mean doses reported at 52</w:t>
      </w:r>
      <w:r w:rsidR="009B62E1">
        <w:t xml:space="preserve"> </w:t>
      </w:r>
      <w:r w:rsidRPr="007E4B31">
        <w:t xml:space="preserve">weeks in REAL-4 (0.159 mg/kg/week for somapacitan </w:t>
      </w:r>
      <w:r w:rsidR="00075808">
        <w:t xml:space="preserve">and </w:t>
      </w:r>
      <w:r w:rsidRPr="007E4B31">
        <w:t>0.239 mg/kg/week for somatropin) and Opko III (0.655 mg/kg/week for somatrogon and 0.237 mg/kg/week for somatropin), which were used to inform the clinical claim of non-inferiority. The submission obtained the mean doses for Opko III from the somatrogon March 2022 PSD (Table 7, somatrogon, PSD, March 2022 PBAC meeting).</w:t>
      </w:r>
    </w:p>
    <w:p w14:paraId="7A0CB673" w14:textId="455ED8AE" w:rsidR="000C71F8" w:rsidRPr="007E4B31" w:rsidRDefault="00C604B7" w:rsidP="001160D5">
      <w:pPr>
        <w:pStyle w:val="3-BodyText"/>
      </w:pPr>
      <w:r w:rsidRPr="007E4B31">
        <w:t xml:space="preserve">Given the 1% lower mean somatropin dose </w:t>
      </w:r>
      <w:r w:rsidR="00190D1C" w:rsidRPr="007E4B31">
        <w:t xml:space="preserve">used </w:t>
      </w:r>
      <w:r w:rsidRPr="007E4B31">
        <w:t>in REAL-4 compared to Opko III</w:t>
      </w:r>
      <w:r w:rsidR="00333E90">
        <w:t xml:space="preserve"> (0.237 mg/kg/week vs 0.239 mg/kg/week)</w:t>
      </w:r>
      <w:r w:rsidRPr="007E4B31">
        <w:t xml:space="preserve">, for the comparison with somatrogon the submission performed a 1% reduction to the mean somapacitan dose in REAL-4 (i.e., </w:t>
      </w:r>
      <w:r w:rsidR="00D4601B" w:rsidRPr="007E4B31">
        <w:t xml:space="preserve">an </w:t>
      </w:r>
      <w:r w:rsidRPr="007E4B31">
        <w:t>adjust</w:t>
      </w:r>
      <w:r w:rsidR="00D4601B" w:rsidRPr="007E4B31">
        <w:t>ment of the dose</w:t>
      </w:r>
      <w:r w:rsidRPr="007E4B31">
        <w:t xml:space="preserve"> from 0.159 to 0.157 mg/kg/week</w:t>
      </w:r>
      <w:r w:rsidR="000C71F8" w:rsidRPr="007E4B31">
        <w:t>; see</w:t>
      </w:r>
      <w:r w:rsidR="001160D5" w:rsidRPr="007E4B31">
        <w:t xml:space="preserve"> </w:t>
      </w:r>
      <w:r w:rsidR="001160D5" w:rsidRPr="007E4B31">
        <w:fldChar w:fldCharType="begin" w:fldLock="1"/>
      </w:r>
      <w:r w:rsidR="001160D5" w:rsidRPr="007E4B31">
        <w:instrText xml:space="preserve"> REF _Ref134185975 \h </w:instrText>
      </w:r>
      <w:r w:rsidR="00370FF4" w:rsidRPr="007E4B31">
        <w:instrText xml:space="preserve"> \* MERGEFORMAT </w:instrText>
      </w:r>
      <w:r w:rsidR="001160D5" w:rsidRPr="007E4B31">
        <w:fldChar w:fldCharType="separate"/>
      </w:r>
      <w:r w:rsidR="00D3534F" w:rsidRPr="007E4B31">
        <w:t xml:space="preserve">Table </w:t>
      </w:r>
      <w:r w:rsidR="00D3534F">
        <w:rPr>
          <w:noProof/>
        </w:rPr>
        <w:t>7</w:t>
      </w:r>
      <w:r w:rsidR="001160D5" w:rsidRPr="007E4B31">
        <w:fldChar w:fldCharType="end"/>
      </w:r>
      <w:r w:rsidRPr="007E4B31">
        <w:t xml:space="preserve">). </w:t>
      </w:r>
      <w:r w:rsidR="009B62E1">
        <w:t xml:space="preserve">The pre-PBAC response stated that a mean dose reduction of 1% for the somapacitan dose was appropriate for the purposes of the CMA, as its inclusion allowed for the calculation of an identical pack price for somapacitan in the CMA. </w:t>
      </w:r>
    </w:p>
    <w:p w14:paraId="0169F7FB" w14:textId="2706A9C1" w:rsidR="000C71F8" w:rsidRPr="007E4B31" w:rsidRDefault="000C71F8" w:rsidP="00CA1601">
      <w:pPr>
        <w:pStyle w:val="Caption"/>
        <w:rPr>
          <w:b w:val="0"/>
          <w:bCs w:val="0"/>
          <w:szCs w:val="20"/>
        </w:rPr>
      </w:pPr>
      <w:bookmarkStart w:id="37" w:name="_Ref134185975"/>
      <w:r w:rsidRPr="007E4B31">
        <w:lastRenderedPageBreak/>
        <w:t xml:space="preserve">Table </w:t>
      </w:r>
      <w:r w:rsidR="00402BC2">
        <w:fldChar w:fldCharType="begin" w:fldLock="1"/>
      </w:r>
      <w:r w:rsidR="00402BC2">
        <w:instrText xml:space="preserve"> SEQ Table \* ARABIC </w:instrText>
      </w:r>
      <w:r w:rsidR="00402BC2">
        <w:fldChar w:fldCharType="separate"/>
      </w:r>
      <w:r w:rsidR="00D3534F">
        <w:rPr>
          <w:noProof/>
        </w:rPr>
        <w:t>7</w:t>
      </w:r>
      <w:r w:rsidR="00402BC2">
        <w:rPr>
          <w:noProof/>
        </w:rPr>
        <w:fldChar w:fldCharType="end"/>
      </w:r>
      <w:bookmarkEnd w:id="37"/>
      <w:r w:rsidRPr="007E4B31">
        <w:t xml:space="preserve">: </w:t>
      </w:r>
      <w:r w:rsidRPr="007E4B31">
        <w:rPr>
          <w:szCs w:val="20"/>
        </w:rPr>
        <w:t>Derivation of equi-effective dose based on mean doses in REAL-4 and Opko II</w:t>
      </w:r>
    </w:p>
    <w:tbl>
      <w:tblPr>
        <w:tblStyle w:val="TableGrid"/>
        <w:tblW w:w="5000" w:type="pct"/>
        <w:tblLook w:val="04A0" w:firstRow="1" w:lastRow="0" w:firstColumn="1" w:lastColumn="0" w:noHBand="0" w:noVBand="1"/>
      </w:tblPr>
      <w:tblGrid>
        <w:gridCol w:w="2605"/>
        <w:gridCol w:w="2138"/>
        <w:gridCol w:w="2137"/>
        <w:gridCol w:w="2137"/>
      </w:tblGrid>
      <w:tr w:rsidR="000C71F8" w:rsidRPr="007E4B31" w14:paraId="3F7FE758" w14:textId="77777777" w:rsidTr="00486C68">
        <w:tc>
          <w:tcPr>
            <w:tcW w:w="1444" w:type="pct"/>
          </w:tcPr>
          <w:p w14:paraId="595B1001" w14:textId="77777777" w:rsidR="000C71F8" w:rsidRPr="007E4B31" w:rsidRDefault="000C71F8" w:rsidP="00CA1601">
            <w:pPr>
              <w:keepNext/>
              <w:keepLines/>
              <w:rPr>
                <w:rFonts w:ascii="Arial Narrow" w:hAnsi="Arial Narrow"/>
                <w:sz w:val="20"/>
                <w:szCs w:val="20"/>
              </w:rPr>
            </w:pPr>
          </w:p>
        </w:tc>
        <w:tc>
          <w:tcPr>
            <w:tcW w:w="1185" w:type="pct"/>
            <w:vAlign w:val="center"/>
          </w:tcPr>
          <w:p w14:paraId="1581DC92" w14:textId="77777777" w:rsidR="000C71F8" w:rsidRPr="007E4B31" w:rsidRDefault="000C71F8" w:rsidP="00CA1601">
            <w:pPr>
              <w:keepNext/>
              <w:keepLines/>
              <w:jc w:val="center"/>
              <w:rPr>
                <w:rFonts w:ascii="Arial Narrow" w:hAnsi="Arial Narrow"/>
                <w:b/>
                <w:bCs/>
                <w:sz w:val="20"/>
                <w:szCs w:val="20"/>
              </w:rPr>
            </w:pPr>
            <w:r w:rsidRPr="007E4B31">
              <w:rPr>
                <w:rFonts w:ascii="Arial Narrow" w:hAnsi="Arial Narrow"/>
                <w:b/>
                <w:bCs/>
                <w:sz w:val="20"/>
                <w:szCs w:val="20"/>
              </w:rPr>
              <w:t>Somapacitan</w:t>
            </w:r>
          </w:p>
        </w:tc>
        <w:tc>
          <w:tcPr>
            <w:tcW w:w="1185" w:type="pct"/>
            <w:vAlign w:val="center"/>
          </w:tcPr>
          <w:p w14:paraId="31F782B0" w14:textId="77777777" w:rsidR="000C71F8" w:rsidRPr="007E4B31" w:rsidRDefault="000C71F8" w:rsidP="00CA1601">
            <w:pPr>
              <w:keepNext/>
              <w:keepLines/>
              <w:jc w:val="center"/>
              <w:rPr>
                <w:rFonts w:ascii="Arial Narrow" w:hAnsi="Arial Narrow"/>
                <w:b/>
                <w:bCs/>
                <w:sz w:val="20"/>
                <w:szCs w:val="20"/>
              </w:rPr>
            </w:pPr>
            <w:r w:rsidRPr="007E4B31">
              <w:rPr>
                <w:rFonts w:ascii="Arial Narrow" w:hAnsi="Arial Narrow"/>
                <w:b/>
                <w:bCs/>
                <w:sz w:val="20"/>
                <w:szCs w:val="20"/>
              </w:rPr>
              <w:t>Somatropin</w:t>
            </w:r>
          </w:p>
        </w:tc>
        <w:tc>
          <w:tcPr>
            <w:tcW w:w="1185" w:type="pct"/>
            <w:vAlign w:val="center"/>
          </w:tcPr>
          <w:p w14:paraId="7F5D75DF" w14:textId="77777777" w:rsidR="000C71F8" w:rsidRPr="007E4B31" w:rsidRDefault="000C71F8" w:rsidP="00CA1601">
            <w:pPr>
              <w:keepNext/>
              <w:keepLines/>
              <w:jc w:val="center"/>
              <w:rPr>
                <w:rFonts w:ascii="Arial Narrow" w:hAnsi="Arial Narrow"/>
                <w:b/>
                <w:bCs/>
                <w:sz w:val="20"/>
                <w:szCs w:val="20"/>
              </w:rPr>
            </w:pPr>
            <w:r w:rsidRPr="007E4B31">
              <w:rPr>
                <w:rFonts w:ascii="Arial Narrow" w:hAnsi="Arial Narrow"/>
                <w:b/>
                <w:bCs/>
                <w:sz w:val="20"/>
                <w:szCs w:val="20"/>
              </w:rPr>
              <w:t>Somatrogon</w:t>
            </w:r>
          </w:p>
        </w:tc>
      </w:tr>
      <w:tr w:rsidR="000C71F8" w:rsidRPr="007E4B31" w14:paraId="47F1999D" w14:textId="77777777" w:rsidTr="00486C68">
        <w:tc>
          <w:tcPr>
            <w:tcW w:w="1444" w:type="pct"/>
          </w:tcPr>
          <w:p w14:paraId="28DAF436" w14:textId="22271A45" w:rsidR="000C71F8" w:rsidRPr="007E4B31" w:rsidRDefault="000C71F8" w:rsidP="00CA1601">
            <w:pPr>
              <w:keepNext/>
              <w:keepLines/>
              <w:rPr>
                <w:rFonts w:ascii="Arial Narrow" w:hAnsi="Arial Narrow"/>
                <w:sz w:val="20"/>
                <w:szCs w:val="20"/>
              </w:rPr>
            </w:pPr>
            <w:r w:rsidRPr="007E4B31">
              <w:rPr>
                <w:rFonts w:ascii="Arial Narrow" w:hAnsi="Arial Narrow"/>
                <w:sz w:val="20"/>
                <w:szCs w:val="20"/>
              </w:rPr>
              <w:t>REAL-4</w:t>
            </w:r>
            <w:r w:rsidR="0080249F">
              <w:rPr>
                <w:rFonts w:ascii="Arial Narrow" w:hAnsi="Arial Narrow"/>
                <w:sz w:val="20"/>
                <w:szCs w:val="20"/>
              </w:rPr>
              <w:t xml:space="preserve"> (equi-effective doses in base case)</w:t>
            </w:r>
          </w:p>
        </w:tc>
        <w:tc>
          <w:tcPr>
            <w:tcW w:w="1185" w:type="pct"/>
            <w:vAlign w:val="center"/>
          </w:tcPr>
          <w:p w14:paraId="72D77BE7" w14:textId="77777777" w:rsidR="000C71F8" w:rsidRPr="007E4B31" w:rsidRDefault="000C71F8" w:rsidP="00CA1601">
            <w:pPr>
              <w:keepNext/>
              <w:keepLines/>
              <w:jc w:val="center"/>
              <w:rPr>
                <w:rFonts w:ascii="Arial Narrow" w:hAnsi="Arial Narrow"/>
                <w:sz w:val="20"/>
                <w:szCs w:val="20"/>
              </w:rPr>
            </w:pPr>
            <w:r w:rsidRPr="007E4B31">
              <w:rPr>
                <w:rFonts w:ascii="Arial Narrow" w:hAnsi="Arial Narrow"/>
                <w:sz w:val="20"/>
                <w:szCs w:val="20"/>
              </w:rPr>
              <w:t>0.159 mg/kg/week</w:t>
            </w:r>
          </w:p>
        </w:tc>
        <w:tc>
          <w:tcPr>
            <w:tcW w:w="1185" w:type="pct"/>
            <w:vAlign w:val="center"/>
          </w:tcPr>
          <w:p w14:paraId="4FB94746" w14:textId="35B5B596" w:rsidR="000C71F8" w:rsidRPr="007E4B31" w:rsidRDefault="000C71F8" w:rsidP="00CA1601">
            <w:pPr>
              <w:keepNext/>
              <w:keepLines/>
              <w:jc w:val="center"/>
              <w:rPr>
                <w:rFonts w:ascii="Arial Narrow" w:hAnsi="Arial Narrow"/>
                <w:sz w:val="20"/>
                <w:szCs w:val="20"/>
              </w:rPr>
            </w:pPr>
            <w:r w:rsidRPr="007E4B31">
              <w:rPr>
                <w:rFonts w:ascii="Arial Narrow" w:hAnsi="Arial Narrow"/>
                <w:sz w:val="20"/>
                <w:szCs w:val="20"/>
              </w:rPr>
              <w:t>0.23</w:t>
            </w:r>
            <w:r w:rsidR="00A94A9D">
              <w:rPr>
                <w:rFonts w:ascii="Arial Narrow" w:hAnsi="Arial Narrow"/>
                <w:sz w:val="20"/>
                <w:szCs w:val="20"/>
              </w:rPr>
              <w:t>9</w:t>
            </w:r>
            <w:r w:rsidRPr="007E4B31">
              <w:rPr>
                <w:rFonts w:ascii="Arial Narrow" w:hAnsi="Arial Narrow"/>
                <w:sz w:val="20"/>
                <w:szCs w:val="20"/>
              </w:rPr>
              <w:t xml:space="preserve"> mg/kg/week</w:t>
            </w:r>
          </w:p>
        </w:tc>
        <w:tc>
          <w:tcPr>
            <w:tcW w:w="1185" w:type="pct"/>
            <w:vAlign w:val="center"/>
          </w:tcPr>
          <w:p w14:paraId="11F03A19" w14:textId="133C734D" w:rsidR="000C71F8" w:rsidRPr="00202804" w:rsidRDefault="000C71F8" w:rsidP="00CA1601">
            <w:pPr>
              <w:keepNext/>
              <w:keepLines/>
              <w:jc w:val="center"/>
              <w:rPr>
                <w:rFonts w:ascii="Arial Narrow" w:hAnsi="Arial Narrow"/>
                <w:sz w:val="20"/>
                <w:szCs w:val="20"/>
              </w:rPr>
            </w:pPr>
            <w:r w:rsidRPr="00202804">
              <w:rPr>
                <w:rFonts w:ascii="Arial Narrow" w:hAnsi="Arial Narrow"/>
                <w:sz w:val="20"/>
                <w:szCs w:val="20"/>
              </w:rPr>
              <w:t>-</w:t>
            </w:r>
          </w:p>
        </w:tc>
      </w:tr>
      <w:tr w:rsidR="000C71F8" w:rsidRPr="007E4B31" w14:paraId="35BE221B" w14:textId="77777777" w:rsidTr="00486C68">
        <w:tc>
          <w:tcPr>
            <w:tcW w:w="1444" w:type="pct"/>
          </w:tcPr>
          <w:p w14:paraId="1A9EEF48" w14:textId="77777777" w:rsidR="000C71F8" w:rsidRPr="007E4B31" w:rsidRDefault="000C71F8" w:rsidP="00CA1601">
            <w:pPr>
              <w:keepNext/>
              <w:keepLines/>
              <w:rPr>
                <w:rFonts w:ascii="Arial Narrow" w:hAnsi="Arial Narrow"/>
                <w:sz w:val="20"/>
                <w:szCs w:val="20"/>
                <w:vertAlign w:val="superscript"/>
              </w:rPr>
            </w:pPr>
            <w:r w:rsidRPr="007E4B31">
              <w:rPr>
                <w:rFonts w:ascii="Arial Narrow" w:hAnsi="Arial Narrow"/>
                <w:sz w:val="20"/>
                <w:szCs w:val="20"/>
              </w:rPr>
              <w:t xml:space="preserve">Opko III </w:t>
            </w:r>
            <w:r w:rsidRPr="007E4B31">
              <w:rPr>
                <w:rFonts w:ascii="Arial Narrow" w:hAnsi="Arial Narrow"/>
                <w:sz w:val="20"/>
                <w:szCs w:val="20"/>
                <w:vertAlign w:val="superscript"/>
              </w:rPr>
              <w:t>a</w:t>
            </w:r>
          </w:p>
        </w:tc>
        <w:tc>
          <w:tcPr>
            <w:tcW w:w="1185" w:type="pct"/>
            <w:vAlign w:val="center"/>
          </w:tcPr>
          <w:p w14:paraId="5E4E6F6D" w14:textId="77777777" w:rsidR="000C71F8" w:rsidRPr="007E4B31" w:rsidRDefault="000C71F8" w:rsidP="00CA1601">
            <w:pPr>
              <w:keepNext/>
              <w:keepLines/>
              <w:jc w:val="center"/>
              <w:rPr>
                <w:rFonts w:ascii="Arial Narrow" w:hAnsi="Arial Narrow"/>
                <w:sz w:val="20"/>
                <w:szCs w:val="20"/>
              </w:rPr>
            </w:pPr>
            <w:r w:rsidRPr="007E4B31">
              <w:rPr>
                <w:rFonts w:ascii="Arial Narrow" w:hAnsi="Arial Narrow"/>
                <w:sz w:val="20"/>
                <w:szCs w:val="20"/>
              </w:rPr>
              <w:t>-</w:t>
            </w:r>
          </w:p>
        </w:tc>
        <w:tc>
          <w:tcPr>
            <w:tcW w:w="1185" w:type="pct"/>
            <w:vAlign w:val="center"/>
          </w:tcPr>
          <w:p w14:paraId="02159360" w14:textId="17040E84" w:rsidR="000C71F8" w:rsidRPr="007E4B31" w:rsidRDefault="000C71F8" w:rsidP="00CA1601">
            <w:pPr>
              <w:keepNext/>
              <w:keepLines/>
              <w:jc w:val="center"/>
              <w:rPr>
                <w:rFonts w:ascii="Arial Narrow" w:hAnsi="Arial Narrow"/>
                <w:sz w:val="20"/>
                <w:szCs w:val="20"/>
              </w:rPr>
            </w:pPr>
            <w:r w:rsidRPr="007E4B31">
              <w:rPr>
                <w:rFonts w:ascii="Arial Narrow" w:hAnsi="Arial Narrow"/>
                <w:sz w:val="20"/>
                <w:szCs w:val="20"/>
              </w:rPr>
              <w:t>0.23</w:t>
            </w:r>
            <w:r w:rsidR="00A94A9D">
              <w:rPr>
                <w:rFonts w:ascii="Arial Narrow" w:hAnsi="Arial Narrow"/>
                <w:sz w:val="20"/>
                <w:szCs w:val="20"/>
              </w:rPr>
              <w:t>7</w:t>
            </w:r>
            <w:r w:rsidRPr="007E4B31">
              <w:rPr>
                <w:rFonts w:ascii="Arial Narrow" w:hAnsi="Arial Narrow"/>
                <w:sz w:val="20"/>
                <w:szCs w:val="20"/>
              </w:rPr>
              <w:t xml:space="preserve"> mg/kg/week</w:t>
            </w:r>
          </w:p>
        </w:tc>
        <w:tc>
          <w:tcPr>
            <w:tcW w:w="1185" w:type="pct"/>
            <w:vAlign w:val="center"/>
          </w:tcPr>
          <w:p w14:paraId="10C37723" w14:textId="1AA17F98" w:rsidR="000C71F8" w:rsidRPr="00202804" w:rsidRDefault="000C71F8" w:rsidP="00CA1601">
            <w:pPr>
              <w:keepNext/>
              <w:keepLines/>
              <w:jc w:val="center"/>
              <w:rPr>
                <w:rFonts w:ascii="Arial Narrow" w:hAnsi="Arial Narrow"/>
                <w:sz w:val="20"/>
                <w:szCs w:val="20"/>
              </w:rPr>
            </w:pPr>
            <w:r w:rsidRPr="00202804">
              <w:rPr>
                <w:rFonts w:ascii="Arial Narrow" w:hAnsi="Arial Narrow"/>
                <w:sz w:val="20"/>
                <w:szCs w:val="20"/>
              </w:rPr>
              <w:t>0.655 mg/kg/week</w:t>
            </w:r>
          </w:p>
        </w:tc>
      </w:tr>
      <w:tr w:rsidR="000C71F8" w:rsidRPr="007E4B31" w14:paraId="07AD5F80" w14:textId="77777777" w:rsidTr="00486C68">
        <w:tc>
          <w:tcPr>
            <w:tcW w:w="1444" w:type="pct"/>
          </w:tcPr>
          <w:p w14:paraId="5A2F2C9D" w14:textId="77777777" w:rsidR="000C71F8" w:rsidRPr="007E4B31" w:rsidRDefault="000C71F8" w:rsidP="00CA1601">
            <w:pPr>
              <w:keepNext/>
              <w:keepLines/>
              <w:rPr>
                <w:rFonts w:ascii="Arial Narrow" w:hAnsi="Arial Narrow"/>
                <w:sz w:val="20"/>
                <w:szCs w:val="20"/>
                <w:vertAlign w:val="superscript"/>
              </w:rPr>
            </w:pPr>
            <w:r w:rsidRPr="007E4B31">
              <w:rPr>
                <w:rFonts w:ascii="Arial Narrow" w:hAnsi="Arial Narrow"/>
                <w:sz w:val="20"/>
                <w:szCs w:val="20"/>
              </w:rPr>
              <w:t xml:space="preserve">Equi-effective dose in base case </w:t>
            </w:r>
          </w:p>
        </w:tc>
        <w:tc>
          <w:tcPr>
            <w:tcW w:w="1185" w:type="pct"/>
            <w:vAlign w:val="center"/>
          </w:tcPr>
          <w:p w14:paraId="5ECF75D3" w14:textId="77777777" w:rsidR="000C71F8" w:rsidRPr="007E4B31" w:rsidRDefault="000C71F8" w:rsidP="00CA1601">
            <w:pPr>
              <w:keepNext/>
              <w:keepLines/>
              <w:jc w:val="center"/>
              <w:rPr>
                <w:rFonts w:ascii="Arial Narrow" w:hAnsi="Arial Narrow"/>
                <w:sz w:val="20"/>
                <w:szCs w:val="20"/>
                <w:vertAlign w:val="superscript"/>
              </w:rPr>
            </w:pPr>
            <w:r w:rsidRPr="007E4B31">
              <w:rPr>
                <w:rFonts w:ascii="Arial Narrow" w:hAnsi="Arial Narrow"/>
                <w:sz w:val="20"/>
                <w:szCs w:val="20"/>
              </w:rPr>
              <w:t xml:space="preserve">0.157 mg/kg/week </w:t>
            </w:r>
            <w:r w:rsidRPr="007E4B31">
              <w:rPr>
                <w:rFonts w:ascii="Arial Narrow" w:hAnsi="Arial Narrow"/>
                <w:sz w:val="20"/>
                <w:szCs w:val="20"/>
                <w:vertAlign w:val="superscript"/>
              </w:rPr>
              <w:t>b</w:t>
            </w:r>
          </w:p>
        </w:tc>
        <w:tc>
          <w:tcPr>
            <w:tcW w:w="1185" w:type="pct"/>
            <w:vAlign w:val="center"/>
          </w:tcPr>
          <w:p w14:paraId="57E803FB" w14:textId="4EA54FDF" w:rsidR="000C71F8" w:rsidRPr="007E4B31" w:rsidRDefault="000C71F8" w:rsidP="00CA1601">
            <w:pPr>
              <w:keepNext/>
              <w:keepLines/>
              <w:jc w:val="center"/>
              <w:rPr>
                <w:rFonts w:ascii="Arial Narrow" w:hAnsi="Arial Narrow"/>
                <w:sz w:val="20"/>
                <w:szCs w:val="20"/>
              </w:rPr>
            </w:pPr>
          </w:p>
        </w:tc>
        <w:tc>
          <w:tcPr>
            <w:tcW w:w="1185" w:type="pct"/>
            <w:vAlign w:val="center"/>
          </w:tcPr>
          <w:p w14:paraId="7AED9656" w14:textId="11AD9B53" w:rsidR="000C71F8" w:rsidRPr="007E4B31" w:rsidRDefault="000C71F8" w:rsidP="00CA1601">
            <w:pPr>
              <w:keepNext/>
              <w:keepLines/>
              <w:jc w:val="center"/>
              <w:rPr>
                <w:rFonts w:ascii="Arial Narrow" w:hAnsi="Arial Narrow"/>
                <w:sz w:val="20"/>
                <w:szCs w:val="20"/>
              </w:rPr>
            </w:pPr>
            <w:r w:rsidRPr="007E4B31">
              <w:rPr>
                <w:rFonts w:ascii="Arial Narrow" w:hAnsi="Arial Narrow"/>
                <w:sz w:val="20"/>
                <w:szCs w:val="20"/>
              </w:rPr>
              <w:t>0.655 mg/kg/week</w:t>
            </w:r>
          </w:p>
        </w:tc>
      </w:tr>
    </w:tbl>
    <w:p w14:paraId="78F819BB" w14:textId="77777777" w:rsidR="000C71F8" w:rsidRPr="007E4B31" w:rsidRDefault="000C71F8" w:rsidP="00CA1601">
      <w:pPr>
        <w:keepNext/>
        <w:keepLines/>
        <w:rPr>
          <w:rFonts w:ascii="Arial Narrow" w:hAnsi="Arial Narrow"/>
          <w:sz w:val="18"/>
          <w:szCs w:val="18"/>
        </w:rPr>
      </w:pPr>
      <w:r w:rsidRPr="007E4B31">
        <w:rPr>
          <w:rFonts w:ascii="Arial Narrow" w:hAnsi="Arial Narrow"/>
          <w:sz w:val="18"/>
          <w:szCs w:val="18"/>
        </w:rPr>
        <w:t>Source: constructed during evaluation using information from p164-165 of the submission</w:t>
      </w:r>
    </w:p>
    <w:p w14:paraId="21356787" w14:textId="77777777" w:rsidR="000C71F8" w:rsidRPr="007E4B31" w:rsidRDefault="000C71F8" w:rsidP="00CA1601">
      <w:pPr>
        <w:keepNext/>
        <w:keepLines/>
        <w:rPr>
          <w:rFonts w:ascii="Arial Narrow" w:hAnsi="Arial Narrow"/>
          <w:sz w:val="18"/>
          <w:szCs w:val="18"/>
        </w:rPr>
      </w:pPr>
      <w:r w:rsidRPr="007E4B31">
        <w:rPr>
          <w:rFonts w:ascii="Arial Narrow" w:hAnsi="Arial Narrow"/>
          <w:sz w:val="18"/>
          <w:szCs w:val="18"/>
          <w:vertAlign w:val="superscript"/>
        </w:rPr>
        <w:t>a</w:t>
      </w:r>
      <w:r w:rsidRPr="007E4B31">
        <w:rPr>
          <w:rFonts w:ascii="Arial Narrow" w:hAnsi="Arial Narrow"/>
          <w:sz w:val="18"/>
          <w:szCs w:val="18"/>
        </w:rPr>
        <w:t xml:space="preserve"> Table 6, somatrogon, public summary document, March 2022 PBAC meeting</w:t>
      </w:r>
    </w:p>
    <w:p w14:paraId="059E393D" w14:textId="15B6C842" w:rsidR="001160D5" w:rsidRPr="007E4B31" w:rsidRDefault="000C71F8" w:rsidP="00CA1601">
      <w:pPr>
        <w:keepNext/>
        <w:keepLines/>
        <w:spacing w:after="240"/>
        <w:rPr>
          <w:rFonts w:ascii="Arial Narrow" w:hAnsi="Arial Narrow"/>
          <w:sz w:val="18"/>
          <w:szCs w:val="18"/>
        </w:rPr>
      </w:pPr>
      <w:r w:rsidRPr="007E4B31">
        <w:rPr>
          <w:rFonts w:ascii="Arial Narrow" w:hAnsi="Arial Narrow"/>
          <w:sz w:val="18"/>
          <w:szCs w:val="18"/>
          <w:vertAlign w:val="superscript"/>
        </w:rPr>
        <w:t>b</w:t>
      </w:r>
      <w:r w:rsidRPr="007E4B31">
        <w:rPr>
          <w:rFonts w:ascii="Arial Narrow" w:hAnsi="Arial Narrow"/>
          <w:sz w:val="18"/>
          <w:szCs w:val="18"/>
        </w:rPr>
        <w:t xml:space="preserve"> Mean somapacitan dose in REAL-4 </w:t>
      </w:r>
      <w:r w:rsidRPr="007E4B31">
        <w:rPr>
          <w:rFonts w:ascii="Arial Narrow" w:hAnsi="Arial Narrow" w:cs="Calibri"/>
          <w:sz w:val="18"/>
          <w:szCs w:val="18"/>
        </w:rPr>
        <w:t>×</w:t>
      </w:r>
      <w:r w:rsidRPr="007E4B31">
        <w:rPr>
          <w:rFonts w:ascii="Arial Narrow" w:hAnsi="Arial Narrow"/>
          <w:sz w:val="18"/>
          <w:szCs w:val="18"/>
        </w:rPr>
        <w:t xml:space="preserve"> (mean somatropin dose in REAL-4 </w:t>
      </w:r>
      <w:r w:rsidRPr="007E4B31">
        <w:rPr>
          <w:rFonts w:ascii="Arial Narrow" w:hAnsi="Arial Narrow" w:cs="Calibri"/>
          <w:sz w:val="18"/>
          <w:szCs w:val="18"/>
        </w:rPr>
        <w:t>÷</w:t>
      </w:r>
      <w:r w:rsidRPr="007E4B31">
        <w:rPr>
          <w:rFonts w:ascii="Arial Narrow" w:hAnsi="Arial Narrow"/>
          <w:sz w:val="18"/>
          <w:szCs w:val="18"/>
        </w:rPr>
        <w:t xml:space="preserve"> mean somatropin dose in Opko </w:t>
      </w:r>
      <w:r w:rsidR="001F068C">
        <w:rPr>
          <w:rFonts w:ascii="Arial Narrow" w:hAnsi="Arial Narrow"/>
          <w:sz w:val="18"/>
          <w:szCs w:val="18"/>
        </w:rPr>
        <w:t>I</w:t>
      </w:r>
      <w:r w:rsidRPr="007E4B31">
        <w:rPr>
          <w:rFonts w:ascii="Arial Narrow" w:hAnsi="Arial Narrow"/>
          <w:sz w:val="18"/>
          <w:szCs w:val="18"/>
        </w:rPr>
        <w:t>I)</w:t>
      </w:r>
    </w:p>
    <w:p w14:paraId="4ED20E90" w14:textId="6ECC3382" w:rsidR="00C604B7" w:rsidRPr="007E4B31" w:rsidRDefault="00C604B7" w:rsidP="000C71F8">
      <w:pPr>
        <w:pStyle w:val="3-BodyText"/>
      </w:pPr>
      <w:r w:rsidRPr="007E4B31">
        <w:t xml:space="preserve">The </w:t>
      </w:r>
      <w:r w:rsidR="00984A97" w:rsidRPr="007E4B31">
        <w:t xml:space="preserve">submission considered the </w:t>
      </w:r>
      <w:r w:rsidRPr="007E4B31">
        <w:t xml:space="preserve">weekly dose relativity </w:t>
      </w:r>
      <w:r w:rsidR="00984A97" w:rsidRPr="007E4B31">
        <w:t>to be</w:t>
      </w:r>
      <w:r w:rsidRPr="007E4B31">
        <w:t>:</w:t>
      </w:r>
    </w:p>
    <w:p w14:paraId="6B8593F6" w14:textId="77777777" w:rsidR="00C604B7" w:rsidRPr="007E4B31" w:rsidRDefault="00C604B7" w:rsidP="00F527AB">
      <w:pPr>
        <w:pStyle w:val="ListParagraph"/>
        <w:numPr>
          <w:ilvl w:val="0"/>
          <w:numId w:val="13"/>
        </w:numPr>
        <w:ind w:left="1137"/>
      </w:pPr>
      <w:r w:rsidRPr="007E4B31">
        <w:t xml:space="preserve">1 mg somatrogon = 0.240 mg somapacitan </w:t>
      </w:r>
    </w:p>
    <w:p w14:paraId="7E8A228C" w14:textId="5D54FD14" w:rsidR="00C604B7" w:rsidRPr="007E4B31" w:rsidRDefault="00C604B7" w:rsidP="00F527AB">
      <w:pPr>
        <w:pStyle w:val="ListParagraph"/>
        <w:numPr>
          <w:ilvl w:val="0"/>
          <w:numId w:val="13"/>
        </w:numPr>
        <w:ind w:left="1137"/>
      </w:pPr>
      <w:r w:rsidRPr="007E4B31">
        <w:t>1 mg somatropin = 0.6</w:t>
      </w:r>
      <w:r w:rsidR="00F84DFB">
        <w:t>6</w:t>
      </w:r>
      <w:r w:rsidRPr="007E4B31">
        <w:t>5 mg somapacitan</w:t>
      </w:r>
    </w:p>
    <w:p w14:paraId="1FE46F0C" w14:textId="75E7BC0C" w:rsidR="00EB4571" w:rsidRPr="007E4B31" w:rsidRDefault="005145D2" w:rsidP="00D532A1">
      <w:pPr>
        <w:pStyle w:val="3-BodyText"/>
      </w:pPr>
      <w:r w:rsidRPr="007E4B31">
        <w:rPr>
          <w:iCs/>
        </w:rPr>
        <w:t>E</w:t>
      </w:r>
      <w:r w:rsidR="00913F1E" w:rsidRPr="007E4B31">
        <w:rPr>
          <w:iCs/>
        </w:rPr>
        <w:t>ven though the non-inferiority margin was met in the ITC using the FE model (or when excluding results from REAL-3), the point estimate of the treatment effect in the ITC trended in favour of somatrogon (</w:t>
      </w:r>
      <w:r w:rsidR="00E43AF2" w:rsidRPr="007E4B31">
        <w:rPr>
          <w:iCs/>
        </w:rPr>
        <w:t xml:space="preserve">see </w:t>
      </w:r>
      <w:r w:rsidR="00913F1E" w:rsidRPr="007E4B31">
        <w:rPr>
          <w:iCs/>
        </w:rPr>
        <w:fldChar w:fldCharType="begin" w:fldLock="1"/>
      </w:r>
      <w:r w:rsidR="00913F1E" w:rsidRPr="007E4B31">
        <w:rPr>
          <w:iCs/>
        </w:rPr>
        <w:instrText xml:space="preserve"> REF _Ref133581385 \h </w:instrText>
      </w:r>
      <w:r w:rsidRPr="007E4B31">
        <w:rPr>
          <w:iCs/>
        </w:rPr>
        <w:instrText xml:space="preserve"> \* MERGEFORMAT </w:instrText>
      </w:r>
      <w:r w:rsidR="00913F1E" w:rsidRPr="007E4B31">
        <w:rPr>
          <w:iCs/>
        </w:rPr>
      </w:r>
      <w:r w:rsidR="00913F1E" w:rsidRPr="007E4B31">
        <w:rPr>
          <w:iCs/>
        </w:rPr>
        <w:fldChar w:fldCharType="separate"/>
      </w:r>
      <w:r w:rsidR="00D3534F" w:rsidRPr="00D3534F">
        <w:rPr>
          <w:iCs/>
        </w:rPr>
        <w:t xml:space="preserve">Table </w:t>
      </w:r>
      <w:r w:rsidR="00D3534F" w:rsidRPr="00D3534F">
        <w:rPr>
          <w:iCs/>
          <w:noProof/>
        </w:rPr>
        <w:t>4</w:t>
      </w:r>
      <w:r w:rsidR="00913F1E" w:rsidRPr="007E4B31">
        <w:rPr>
          <w:iCs/>
        </w:rPr>
        <w:fldChar w:fldCharType="end"/>
      </w:r>
      <w:r w:rsidR="00913F1E" w:rsidRPr="007E4B31">
        <w:rPr>
          <w:iCs/>
        </w:rPr>
        <w:t xml:space="preserve">). Given that the dose of somapacitan can be adjusted based on response, it is possible that a dose higher than the equi-effective dose will be used in clinical practice to achieve a clinical outcome </w:t>
      </w:r>
      <w:proofErr w:type="gramStart"/>
      <w:r w:rsidR="0042600C">
        <w:rPr>
          <w:iCs/>
        </w:rPr>
        <w:t>similar to</w:t>
      </w:r>
      <w:proofErr w:type="gramEnd"/>
      <w:r w:rsidR="0042600C">
        <w:rPr>
          <w:iCs/>
        </w:rPr>
        <w:t xml:space="preserve"> </w:t>
      </w:r>
      <w:r w:rsidR="00913F1E" w:rsidRPr="007E4B31">
        <w:rPr>
          <w:iCs/>
        </w:rPr>
        <w:t xml:space="preserve">somatrogon. </w:t>
      </w:r>
      <w:r w:rsidR="00C604B7" w:rsidRPr="007E4B31">
        <w:rPr>
          <w:iCs/>
        </w:rPr>
        <w:t xml:space="preserve">The maximum doses observed in REAL-3 and REAL-4 (i.e., between 0.17 and 0.275 mg/kg/week) may suggest the upper dose limit for somapacitan. An increase in the somapacitan dose would decrease the cost per mg and therefore reduce the approved ex-manufacturer prices (AEMP). </w:t>
      </w:r>
      <w:r w:rsidR="00CB593B" w:rsidRPr="007E4B31">
        <w:t xml:space="preserve">The </w:t>
      </w:r>
      <w:proofErr w:type="gramStart"/>
      <w:r w:rsidR="00CB593B" w:rsidRPr="007E4B31">
        <w:t>PSCR  argued</w:t>
      </w:r>
      <w:proofErr w:type="gramEnd"/>
      <w:r w:rsidR="00CB593B" w:rsidRPr="007E4B31">
        <w:t xml:space="preserve"> that although point estimates may favour somatrogon, somapacitan and somatrogon </w:t>
      </w:r>
      <w:r w:rsidR="00B85A03" w:rsidRPr="007E4B31">
        <w:t>were</w:t>
      </w:r>
      <w:r w:rsidR="00CB593B" w:rsidRPr="007E4B31">
        <w:t xml:space="preserve"> considered non-inferior to each other in terms of efficacy and safety based on Opko III and REAL-4</w:t>
      </w:r>
      <w:r w:rsidR="00B85A03" w:rsidRPr="007E4B31">
        <w:t>. The PSCR further stated that in REAL-3, no patients exceeded the recommended dose of 0.16 mg/kg/week through 52 weeks</w:t>
      </w:r>
      <w:r w:rsidR="009345A0" w:rsidRPr="007E4B31">
        <w:t>,</w:t>
      </w:r>
      <w:r w:rsidR="00B85A03" w:rsidRPr="007E4B31">
        <w:t xml:space="preserve"> whilst in REAL-4, only a small proportion</w:t>
      </w:r>
      <w:r w:rsidR="009345A0" w:rsidRPr="007E4B31">
        <w:t xml:space="preserve"> 3/132</w:t>
      </w:r>
      <w:r w:rsidR="00B85A03" w:rsidRPr="007E4B31">
        <w:t xml:space="preserve"> (2.3%) of patients exceeded this recommended dose, which was possibly related to user errors or minor rounding errors when calculating the dose level, and that </w:t>
      </w:r>
      <w:r w:rsidR="00FB45A8" w:rsidRPr="007E4B31">
        <w:t xml:space="preserve">the </w:t>
      </w:r>
      <w:r w:rsidR="00B85A03" w:rsidRPr="007E4B31">
        <w:t xml:space="preserve">mean dose observed in the trials would </w:t>
      </w:r>
      <w:r w:rsidR="00C40525" w:rsidRPr="007E4B31">
        <w:t xml:space="preserve">likely </w:t>
      </w:r>
      <w:r w:rsidR="00B85A03" w:rsidRPr="007E4B31">
        <w:t>be reflective of clinical practice.</w:t>
      </w:r>
      <w:r w:rsidR="0024319F" w:rsidRPr="007E4B31">
        <w:t xml:space="preserve"> The ESC agreed</w:t>
      </w:r>
      <w:r w:rsidR="00EB4571" w:rsidRPr="007E4B31">
        <w:t xml:space="preserve"> with the PSCR </w:t>
      </w:r>
      <w:r w:rsidR="0024319F" w:rsidRPr="007E4B31">
        <w:t xml:space="preserve">that </w:t>
      </w:r>
      <w:r w:rsidR="00C40525" w:rsidRPr="007E4B31">
        <w:t xml:space="preserve">the </w:t>
      </w:r>
      <w:r w:rsidR="0024319F" w:rsidRPr="007E4B31">
        <w:t>average dose of 0.16</w:t>
      </w:r>
      <w:r w:rsidR="00C40525" w:rsidRPr="007E4B31">
        <w:t xml:space="preserve"> </w:t>
      </w:r>
      <w:r w:rsidR="0024319F" w:rsidRPr="007E4B31">
        <w:t>mg/kg/week was reasonable.</w:t>
      </w:r>
    </w:p>
    <w:p w14:paraId="45BBB028" w14:textId="3035FDD6" w:rsidR="00C604B7" w:rsidRPr="007E4B31" w:rsidRDefault="0033031F" w:rsidP="007A11D0">
      <w:pPr>
        <w:pStyle w:val="3-BodyText"/>
      </w:pPr>
      <w:r w:rsidRPr="007E4B31">
        <w:t>The submission did not include a</w:t>
      </w:r>
      <w:r w:rsidR="00C604B7" w:rsidRPr="007E4B31">
        <w:t>dditional costs or cost-offsets in the CMA</w:t>
      </w:r>
      <w:r w:rsidRPr="007E4B31">
        <w:t xml:space="preserve"> stating </w:t>
      </w:r>
      <w:r w:rsidR="00C604B7" w:rsidRPr="007E4B31">
        <w:t xml:space="preserve">that there were no notable differences associated with the administration between somapacitan and somatrogon/somatropin and somapacitan demonstrated non-inferior safety compared to somatrogon/somatropin. </w:t>
      </w:r>
      <w:r w:rsidRPr="007E4B31">
        <w:rPr>
          <w:iCs/>
        </w:rPr>
        <w:t xml:space="preserve">This approach </w:t>
      </w:r>
      <w:proofErr w:type="gramStart"/>
      <w:r w:rsidRPr="007E4B31">
        <w:rPr>
          <w:iCs/>
        </w:rPr>
        <w:t>was noted</w:t>
      </w:r>
      <w:proofErr w:type="gramEnd"/>
      <w:r w:rsidRPr="007E4B31">
        <w:rPr>
          <w:iCs/>
        </w:rPr>
        <w:t xml:space="preserve"> to be reasonable in the PBAC’s consideration of somatrogon in paediatric GHD (paragraph 6.31, somatrogon, PSD, March 2022, PBAC meeting) and somapacitan in adult GHD (paragraph 6.26, somapacitan PSD, March 2022, PBAC meeting).</w:t>
      </w:r>
    </w:p>
    <w:p w14:paraId="5F872837" w14:textId="11C2FA1E" w:rsidR="00C604B7" w:rsidRPr="007E4B31" w:rsidRDefault="00C604B7" w:rsidP="001B22F2">
      <w:pPr>
        <w:pStyle w:val="3-BodyText"/>
      </w:pPr>
      <w:r w:rsidRPr="007E4B31">
        <w:t xml:space="preserve">The results of the CMA </w:t>
      </w:r>
      <w:r w:rsidR="00E815C1" w:rsidRPr="007E4B31">
        <w:t xml:space="preserve">as presented in the submission </w:t>
      </w:r>
      <w:proofErr w:type="gramStart"/>
      <w:r w:rsidRPr="007E4B31">
        <w:t>are presented</w:t>
      </w:r>
      <w:proofErr w:type="gramEnd"/>
      <w:r w:rsidRPr="007E4B31">
        <w:t xml:space="preserve"> in </w:t>
      </w:r>
      <w:r w:rsidRPr="007E4B31">
        <w:fldChar w:fldCharType="begin" w:fldLock="1"/>
      </w:r>
      <w:r w:rsidRPr="007E4B31">
        <w:instrText xml:space="preserve"> REF _Ref133904090 \h </w:instrText>
      </w:r>
      <w:r w:rsidR="00370FF4" w:rsidRPr="007E4B31">
        <w:instrText xml:space="preserve"> \* MERGEFORMAT </w:instrText>
      </w:r>
      <w:r w:rsidRPr="007E4B31">
        <w:fldChar w:fldCharType="separate"/>
      </w:r>
      <w:r w:rsidR="00D3534F" w:rsidRPr="007E4B31">
        <w:t xml:space="preserve">Table </w:t>
      </w:r>
      <w:r w:rsidR="00D3534F">
        <w:rPr>
          <w:noProof/>
        </w:rPr>
        <w:t>8</w:t>
      </w:r>
      <w:r w:rsidRPr="007E4B31">
        <w:fldChar w:fldCharType="end"/>
      </w:r>
      <w:r w:rsidRPr="007E4B31">
        <w:t xml:space="preserve">. </w:t>
      </w:r>
    </w:p>
    <w:p w14:paraId="5F1EAEA7" w14:textId="4C8A1D8D" w:rsidR="00C604B7" w:rsidRPr="007E4B31" w:rsidRDefault="00C604B7" w:rsidP="001B22F2">
      <w:pPr>
        <w:pStyle w:val="Caption"/>
        <w:rPr>
          <w:rStyle w:val="CommentReference"/>
          <w:b/>
          <w:szCs w:val="24"/>
        </w:rPr>
      </w:pPr>
      <w:bookmarkStart w:id="38" w:name="_Ref133904090"/>
      <w:r w:rsidRPr="007E4B31">
        <w:lastRenderedPageBreak/>
        <w:t xml:space="preserve">Table </w:t>
      </w:r>
      <w:r w:rsidR="00402BC2">
        <w:fldChar w:fldCharType="begin" w:fldLock="1"/>
      </w:r>
      <w:r w:rsidR="00402BC2">
        <w:instrText xml:space="preserve"> SEQ Table \* ARABIC </w:instrText>
      </w:r>
      <w:r w:rsidR="00402BC2">
        <w:fldChar w:fldCharType="separate"/>
      </w:r>
      <w:r w:rsidR="00D3534F">
        <w:rPr>
          <w:noProof/>
        </w:rPr>
        <w:t>8</w:t>
      </w:r>
      <w:r w:rsidR="00402BC2">
        <w:rPr>
          <w:noProof/>
        </w:rPr>
        <w:fldChar w:fldCharType="end"/>
      </w:r>
      <w:bookmarkEnd w:id="38"/>
      <w:r w:rsidRPr="007E4B31">
        <w:t xml:space="preserve">: </w:t>
      </w:r>
      <w:r w:rsidRPr="007E4B31">
        <w:rPr>
          <w:rStyle w:val="CommentReference"/>
          <w:b/>
          <w:szCs w:val="24"/>
        </w:rPr>
        <w:t>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6"/>
        <w:gridCol w:w="3007"/>
      </w:tblGrid>
      <w:tr w:rsidR="00C604B7" w:rsidRPr="007E4B31" w14:paraId="4E48DA34" w14:textId="77777777" w:rsidTr="00CE08B0">
        <w:tc>
          <w:tcPr>
            <w:tcW w:w="3022" w:type="dxa"/>
          </w:tcPr>
          <w:p w14:paraId="371F335B" w14:textId="77777777" w:rsidR="00C604B7" w:rsidRPr="007E4B31" w:rsidRDefault="00C604B7" w:rsidP="001B22F2">
            <w:pPr>
              <w:pStyle w:val="In-tableHeading"/>
              <w:rPr>
                <w:lang w:val="en-AU"/>
              </w:rPr>
            </w:pPr>
            <w:r w:rsidRPr="007E4B31">
              <w:rPr>
                <w:lang w:val="en-AU"/>
              </w:rPr>
              <w:t>Base case</w:t>
            </w:r>
          </w:p>
        </w:tc>
        <w:tc>
          <w:tcPr>
            <w:tcW w:w="3022" w:type="dxa"/>
          </w:tcPr>
          <w:p w14:paraId="4301F91C" w14:textId="77777777" w:rsidR="00C604B7" w:rsidRPr="007E4B31" w:rsidRDefault="00C604B7" w:rsidP="001B22F2">
            <w:pPr>
              <w:pStyle w:val="In-tableHeading"/>
              <w:jc w:val="center"/>
              <w:rPr>
                <w:lang w:val="en-AU"/>
              </w:rPr>
            </w:pPr>
            <w:r w:rsidRPr="007E4B31">
              <w:rPr>
                <w:lang w:val="en-AU"/>
              </w:rPr>
              <w:t>Somapacitan OW</w:t>
            </w:r>
          </w:p>
        </w:tc>
        <w:tc>
          <w:tcPr>
            <w:tcW w:w="3023" w:type="dxa"/>
          </w:tcPr>
          <w:p w14:paraId="3DBE72DA" w14:textId="77777777" w:rsidR="00C604B7" w:rsidRPr="007E4B31" w:rsidRDefault="00C604B7" w:rsidP="001B22F2">
            <w:pPr>
              <w:pStyle w:val="In-tableHeading"/>
              <w:jc w:val="center"/>
              <w:rPr>
                <w:lang w:val="en-AU"/>
              </w:rPr>
            </w:pPr>
            <w:r w:rsidRPr="007E4B31">
              <w:rPr>
                <w:lang w:val="en-AU"/>
              </w:rPr>
              <w:t>Somatrogon OW</w:t>
            </w:r>
          </w:p>
        </w:tc>
      </w:tr>
      <w:tr w:rsidR="00C604B7" w:rsidRPr="00230E97" w14:paraId="6D023376" w14:textId="77777777" w:rsidTr="00CE08B0">
        <w:tc>
          <w:tcPr>
            <w:tcW w:w="3022" w:type="dxa"/>
          </w:tcPr>
          <w:p w14:paraId="5BE7E1E5" w14:textId="77777777" w:rsidR="00C604B7" w:rsidRPr="00230E97" w:rsidRDefault="00C604B7" w:rsidP="001B22F2">
            <w:pPr>
              <w:pStyle w:val="In-tableHeading"/>
              <w:rPr>
                <w:b w:val="0"/>
                <w:bCs/>
                <w:lang w:val="en-AU"/>
              </w:rPr>
            </w:pPr>
            <w:r w:rsidRPr="00230E97">
              <w:rPr>
                <w:b w:val="0"/>
                <w:bCs/>
                <w:lang w:val="en-AU"/>
              </w:rPr>
              <w:t>Dose per kg per week</w:t>
            </w:r>
          </w:p>
        </w:tc>
        <w:tc>
          <w:tcPr>
            <w:tcW w:w="3022" w:type="dxa"/>
          </w:tcPr>
          <w:p w14:paraId="69D1E255" w14:textId="77777777" w:rsidR="00C604B7" w:rsidRPr="00230E97" w:rsidRDefault="00C604B7" w:rsidP="001B22F2">
            <w:pPr>
              <w:pStyle w:val="In-tableHeading"/>
              <w:jc w:val="center"/>
              <w:rPr>
                <w:b w:val="0"/>
                <w:bCs/>
                <w:lang w:val="en-AU"/>
              </w:rPr>
            </w:pPr>
            <w:r w:rsidRPr="00230E97">
              <w:rPr>
                <w:b w:val="0"/>
                <w:bCs/>
                <w:lang w:val="en-AU"/>
              </w:rPr>
              <w:t>0.157 mg</w:t>
            </w:r>
          </w:p>
        </w:tc>
        <w:tc>
          <w:tcPr>
            <w:tcW w:w="3023" w:type="dxa"/>
          </w:tcPr>
          <w:p w14:paraId="33E4D668" w14:textId="77777777" w:rsidR="00C604B7" w:rsidRPr="00230E97" w:rsidRDefault="00C604B7" w:rsidP="001B22F2">
            <w:pPr>
              <w:pStyle w:val="In-tableHeading"/>
              <w:jc w:val="center"/>
              <w:rPr>
                <w:b w:val="0"/>
                <w:bCs/>
                <w:lang w:val="en-AU"/>
              </w:rPr>
            </w:pPr>
            <w:r w:rsidRPr="00230E97">
              <w:rPr>
                <w:b w:val="0"/>
                <w:bCs/>
                <w:lang w:val="en-AU"/>
              </w:rPr>
              <w:t>0.655 mg</w:t>
            </w:r>
          </w:p>
        </w:tc>
      </w:tr>
      <w:tr w:rsidR="00C604B7" w:rsidRPr="00230E97" w14:paraId="6FD82549" w14:textId="77777777" w:rsidTr="00CE08B0">
        <w:tc>
          <w:tcPr>
            <w:tcW w:w="3022" w:type="dxa"/>
          </w:tcPr>
          <w:p w14:paraId="087D345A" w14:textId="77777777" w:rsidR="00C604B7" w:rsidRPr="00230E97" w:rsidRDefault="00C604B7" w:rsidP="001B22F2">
            <w:pPr>
              <w:pStyle w:val="In-tableHeading"/>
              <w:rPr>
                <w:b w:val="0"/>
                <w:bCs/>
                <w:vertAlign w:val="superscript"/>
                <w:lang w:val="en-AU"/>
              </w:rPr>
            </w:pPr>
            <w:r w:rsidRPr="00230E97">
              <w:rPr>
                <w:b w:val="0"/>
                <w:bCs/>
                <w:lang w:val="en-AU"/>
              </w:rPr>
              <w:t xml:space="preserve">Dose per week </w:t>
            </w:r>
            <w:r w:rsidRPr="00230E97">
              <w:rPr>
                <w:b w:val="0"/>
                <w:bCs/>
                <w:vertAlign w:val="superscript"/>
                <w:lang w:val="en-AU"/>
              </w:rPr>
              <w:t>a</w:t>
            </w:r>
          </w:p>
        </w:tc>
        <w:tc>
          <w:tcPr>
            <w:tcW w:w="3022" w:type="dxa"/>
          </w:tcPr>
          <w:p w14:paraId="464E052F" w14:textId="77777777" w:rsidR="00C604B7" w:rsidRPr="009B65C7" w:rsidRDefault="00C604B7" w:rsidP="001B22F2">
            <w:pPr>
              <w:pStyle w:val="In-tableHeading"/>
              <w:jc w:val="center"/>
              <w:rPr>
                <w:b w:val="0"/>
                <w:bCs/>
                <w:lang w:val="en-AU"/>
              </w:rPr>
            </w:pPr>
            <w:r w:rsidRPr="009B65C7">
              <w:rPr>
                <w:b w:val="0"/>
                <w:bCs/>
                <w:lang w:val="en-AU"/>
              </w:rPr>
              <w:t>4.72 mg</w:t>
            </w:r>
          </w:p>
        </w:tc>
        <w:tc>
          <w:tcPr>
            <w:tcW w:w="3023" w:type="dxa"/>
          </w:tcPr>
          <w:p w14:paraId="3A29C786" w14:textId="77777777" w:rsidR="00C604B7" w:rsidRPr="009B65C7" w:rsidRDefault="00C604B7" w:rsidP="001B22F2">
            <w:pPr>
              <w:pStyle w:val="In-tableHeading"/>
              <w:jc w:val="center"/>
              <w:rPr>
                <w:b w:val="0"/>
                <w:bCs/>
                <w:lang w:val="en-AU"/>
              </w:rPr>
            </w:pPr>
            <w:r w:rsidRPr="009B65C7">
              <w:rPr>
                <w:b w:val="0"/>
                <w:bCs/>
                <w:lang w:val="en-AU"/>
              </w:rPr>
              <w:t>19.65 mg</w:t>
            </w:r>
          </w:p>
        </w:tc>
      </w:tr>
      <w:tr w:rsidR="00C604B7" w:rsidRPr="00230E97" w14:paraId="5C7CA1CD" w14:textId="77777777" w:rsidTr="00CE08B0">
        <w:tc>
          <w:tcPr>
            <w:tcW w:w="3022" w:type="dxa"/>
          </w:tcPr>
          <w:p w14:paraId="521B57E8" w14:textId="77777777" w:rsidR="00C604B7" w:rsidRPr="00230E97" w:rsidRDefault="00C604B7" w:rsidP="001B22F2">
            <w:pPr>
              <w:pStyle w:val="TableText0"/>
              <w:rPr>
                <w:vertAlign w:val="superscript"/>
              </w:rPr>
            </w:pPr>
            <w:r w:rsidRPr="00230E97">
              <w:t xml:space="preserve">Total medicine cost per week </w:t>
            </w:r>
            <w:r w:rsidRPr="00230E97">
              <w:rPr>
                <w:vertAlign w:val="superscript"/>
              </w:rPr>
              <w:t>a</w:t>
            </w:r>
          </w:p>
        </w:tc>
        <w:tc>
          <w:tcPr>
            <w:tcW w:w="3022" w:type="dxa"/>
          </w:tcPr>
          <w:p w14:paraId="7E0838D1" w14:textId="77777777" w:rsidR="00C604B7" w:rsidRPr="009B65C7" w:rsidRDefault="00C604B7" w:rsidP="001B22F2">
            <w:pPr>
              <w:pStyle w:val="TableText0"/>
              <w:jc w:val="center"/>
              <w:rPr>
                <w:vertAlign w:val="superscript"/>
              </w:rPr>
            </w:pPr>
            <w:r w:rsidRPr="009B65C7">
              <w:t xml:space="preserve">$295.16 </w:t>
            </w:r>
            <w:r w:rsidRPr="009B65C7">
              <w:rPr>
                <w:vertAlign w:val="superscript"/>
              </w:rPr>
              <w:t>b</w:t>
            </w:r>
          </w:p>
        </w:tc>
        <w:tc>
          <w:tcPr>
            <w:tcW w:w="3023" w:type="dxa"/>
          </w:tcPr>
          <w:p w14:paraId="1C78AC74" w14:textId="77777777" w:rsidR="00C604B7" w:rsidRPr="009B65C7" w:rsidRDefault="00C604B7" w:rsidP="001B22F2">
            <w:pPr>
              <w:pStyle w:val="TableText0"/>
              <w:jc w:val="center"/>
            </w:pPr>
            <w:r w:rsidRPr="009B65C7">
              <w:t>$295.16</w:t>
            </w:r>
          </w:p>
        </w:tc>
      </w:tr>
      <w:tr w:rsidR="00C604B7" w:rsidRPr="00230E97" w14:paraId="2B137A65" w14:textId="77777777" w:rsidTr="00CE08B0">
        <w:tc>
          <w:tcPr>
            <w:tcW w:w="3022" w:type="dxa"/>
          </w:tcPr>
          <w:p w14:paraId="34581023" w14:textId="77777777" w:rsidR="00C604B7" w:rsidRPr="00230E97" w:rsidRDefault="00C604B7" w:rsidP="001B22F2">
            <w:pPr>
              <w:pStyle w:val="TableText0"/>
            </w:pPr>
            <w:r w:rsidRPr="00230E97">
              <w:t>Cost per dose (AEMP)</w:t>
            </w:r>
          </w:p>
        </w:tc>
        <w:tc>
          <w:tcPr>
            <w:tcW w:w="3022" w:type="dxa"/>
          </w:tcPr>
          <w:p w14:paraId="316FE050" w14:textId="77777777" w:rsidR="00C604B7" w:rsidRPr="009B65C7" w:rsidRDefault="00C604B7" w:rsidP="001B22F2">
            <w:pPr>
              <w:pStyle w:val="TableText0"/>
              <w:jc w:val="center"/>
            </w:pPr>
            <w:r w:rsidRPr="009B65C7">
              <w:t>$62.50 per mg</w:t>
            </w:r>
          </w:p>
        </w:tc>
        <w:tc>
          <w:tcPr>
            <w:tcW w:w="3023" w:type="dxa"/>
          </w:tcPr>
          <w:p w14:paraId="2BFD2F7C" w14:textId="77777777" w:rsidR="00C604B7" w:rsidRPr="009B65C7" w:rsidRDefault="00C604B7" w:rsidP="001B22F2">
            <w:pPr>
              <w:pStyle w:val="TableText0"/>
              <w:jc w:val="center"/>
            </w:pPr>
            <w:r w:rsidRPr="009B65C7">
              <w:t>$15.02 per mg</w:t>
            </w:r>
          </w:p>
        </w:tc>
      </w:tr>
      <w:tr w:rsidR="00C604B7" w:rsidRPr="00230E97" w14:paraId="038F8D20" w14:textId="77777777" w:rsidTr="00CE08B0">
        <w:tc>
          <w:tcPr>
            <w:tcW w:w="3022" w:type="dxa"/>
          </w:tcPr>
          <w:p w14:paraId="254B4012" w14:textId="77777777" w:rsidR="00C604B7" w:rsidRPr="00230E97" w:rsidRDefault="00C604B7" w:rsidP="001B22F2">
            <w:pPr>
              <w:pStyle w:val="TableText0"/>
            </w:pPr>
            <w:r w:rsidRPr="00230E97">
              <w:t>Difference in cost per week</w:t>
            </w:r>
          </w:p>
        </w:tc>
        <w:tc>
          <w:tcPr>
            <w:tcW w:w="3022" w:type="dxa"/>
          </w:tcPr>
          <w:p w14:paraId="52E5C20A" w14:textId="77777777" w:rsidR="00C604B7" w:rsidRPr="009B65C7" w:rsidRDefault="00C604B7" w:rsidP="001B22F2">
            <w:pPr>
              <w:pStyle w:val="TableText0"/>
              <w:jc w:val="center"/>
            </w:pPr>
            <w:r w:rsidRPr="009B65C7">
              <w:t>$0</w:t>
            </w:r>
          </w:p>
        </w:tc>
        <w:tc>
          <w:tcPr>
            <w:tcW w:w="3023" w:type="dxa"/>
          </w:tcPr>
          <w:p w14:paraId="5351C8C2" w14:textId="77777777" w:rsidR="00C604B7" w:rsidRPr="009B65C7" w:rsidRDefault="00C604B7" w:rsidP="001B22F2">
            <w:pPr>
              <w:pStyle w:val="TableText0"/>
              <w:jc w:val="center"/>
            </w:pPr>
            <w:r w:rsidRPr="009B65C7">
              <w:t>$0</w:t>
            </w:r>
          </w:p>
        </w:tc>
      </w:tr>
      <w:tr w:rsidR="00C604B7" w:rsidRPr="00230E97" w14:paraId="1B883868" w14:textId="77777777" w:rsidTr="00CE08B0">
        <w:tc>
          <w:tcPr>
            <w:tcW w:w="3022" w:type="dxa"/>
          </w:tcPr>
          <w:p w14:paraId="3525C584" w14:textId="77777777" w:rsidR="00C604B7" w:rsidRPr="00230E97" w:rsidRDefault="00C604B7" w:rsidP="001B22F2">
            <w:pPr>
              <w:pStyle w:val="In-tableHeading"/>
              <w:rPr>
                <w:lang w:val="en-AU"/>
              </w:rPr>
            </w:pPr>
            <w:r w:rsidRPr="00230E97">
              <w:rPr>
                <w:lang w:val="en-AU"/>
              </w:rPr>
              <w:t>Sensitivity analysis</w:t>
            </w:r>
          </w:p>
        </w:tc>
        <w:tc>
          <w:tcPr>
            <w:tcW w:w="3022" w:type="dxa"/>
          </w:tcPr>
          <w:p w14:paraId="051717F9" w14:textId="77777777" w:rsidR="00C604B7" w:rsidRPr="009B65C7" w:rsidRDefault="00C604B7" w:rsidP="001B22F2">
            <w:pPr>
              <w:pStyle w:val="In-tableHeading"/>
              <w:jc w:val="center"/>
              <w:rPr>
                <w:lang w:val="en-AU"/>
              </w:rPr>
            </w:pPr>
            <w:r w:rsidRPr="009B65C7">
              <w:rPr>
                <w:lang w:val="en-AU"/>
              </w:rPr>
              <w:t>Somapacitan OW</w:t>
            </w:r>
          </w:p>
        </w:tc>
        <w:tc>
          <w:tcPr>
            <w:tcW w:w="3023" w:type="dxa"/>
          </w:tcPr>
          <w:p w14:paraId="61FF55B7" w14:textId="77777777" w:rsidR="00C604B7" w:rsidRPr="009B65C7" w:rsidRDefault="00C604B7" w:rsidP="001B22F2">
            <w:pPr>
              <w:pStyle w:val="In-tableHeading"/>
              <w:jc w:val="center"/>
              <w:rPr>
                <w:lang w:val="en-AU"/>
              </w:rPr>
            </w:pPr>
            <w:r w:rsidRPr="009B65C7">
              <w:rPr>
                <w:lang w:val="en-AU"/>
              </w:rPr>
              <w:t>Somatropin OD</w:t>
            </w:r>
          </w:p>
        </w:tc>
      </w:tr>
      <w:tr w:rsidR="00C604B7" w:rsidRPr="00230E97" w14:paraId="0CCE36C7" w14:textId="77777777" w:rsidTr="00CE08B0">
        <w:tc>
          <w:tcPr>
            <w:tcW w:w="3022" w:type="dxa"/>
          </w:tcPr>
          <w:p w14:paraId="53E8A8F9" w14:textId="77777777" w:rsidR="00C604B7" w:rsidRPr="00230E97" w:rsidRDefault="00C604B7" w:rsidP="001B22F2">
            <w:pPr>
              <w:pStyle w:val="In-tableHeading"/>
              <w:rPr>
                <w:lang w:val="en-AU"/>
              </w:rPr>
            </w:pPr>
            <w:r w:rsidRPr="00230E97">
              <w:rPr>
                <w:b w:val="0"/>
                <w:bCs/>
                <w:lang w:val="en-AU"/>
              </w:rPr>
              <w:t>Dose per kg per week</w:t>
            </w:r>
          </w:p>
        </w:tc>
        <w:tc>
          <w:tcPr>
            <w:tcW w:w="3022" w:type="dxa"/>
          </w:tcPr>
          <w:p w14:paraId="1FA74555" w14:textId="77777777" w:rsidR="00C604B7" w:rsidRPr="009B65C7" w:rsidRDefault="00C604B7" w:rsidP="001B22F2">
            <w:pPr>
              <w:pStyle w:val="In-tableHeading"/>
              <w:jc w:val="center"/>
              <w:rPr>
                <w:b w:val="0"/>
                <w:bCs/>
                <w:lang w:val="en-AU"/>
              </w:rPr>
            </w:pPr>
            <w:r w:rsidRPr="009B65C7">
              <w:rPr>
                <w:b w:val="0"/>
                <w:bCs/>
                <w:lang w:val="en-AU"/>
              </w:rPr>
              <w:t>0.159 mg</w:t>
            </w:r>
          </w:p>
        </w:tc>
        <w:tc>
          <w:tcPr>
            <w:tcW w:w="3023" w:type="dxa"/>
          </w:tcPr>
          <w:p w14:paraId="6F1B7E6E" w14:textId="77777777" w:rsidR="00C604B7" w:rsidRPr="009B65C7" w:rsidRDefault="00C604B7" w:rsidP="001B22F2">
            <w:pPr>
              <w:pStyle w:val="In-tableHeading"/>
              <w:jc w:val="center"/>
              <w:rPr>
                <w:b w:val="0"/>
                <w:bCs/>
                <w:lang w:val="en-AU"/>
              </w:rPr>
            </w:pPr>
            <w:r w:rsidRPr="009B65C7">
              <w:rPr>
                <w:b w:val="0"/>
                <w:bCs/>
                <w:lang w:val="en-AU"/>
              </w:rPr>
              <w:t>0.239 mg</w:t>
            </w:r>
          </w:p>
        </w:tc>
      </w:tr>
      <w:tr w:rsidR="00C604B7" w:rsidRPr="00230E97" w14:paraId="6F63A91A" w14:textId="77777777" w:rsidTr="00CE08B0">
        <w:tc>
          <w:tcPr>
            <w:tcW w:w="3022" w:type="dxa"/>
          </w:tcPr>
          <w:p w14:paraId="5E182AA9" w14:textId="77777777" w:rsidR="00C604B7" w:rsidRPr="00230E97" w:rsidRDefault="00C604B7" w:rsidP="001B22F2">
            <w:pPr>
              <w:pStyle w:val="In-tableHeading"/>
              <w:rPr>
                <w:b w:val="0"/>
                <w:bCs/>
                <w:vertAlign w:val="superscript"/>
                <w:lang w:val="en-AU"/>
              </w:rPr>
            </w:pPr>
            <w:r w:rsidRPr="00230E97">
              <w:rPr>
                <w:b w:val="0"/>
                <w:bCs/>
                <w:lang w:val="en-AU"/>
              </w:rPr>
              <w:t xml:space="preserve">Dose per week </w:t>
            </w:r>
            <w:r w:rsidRPr="00230E97">
              <w:rPr>
                <w:b w:val="0"/>
                <w:bCs/>
                <w:vertAlign w:val="superscript"/>
                <w:lang w:val="en-AU"/>
              </w:rPr>
              <w:t>a</w:t>
            </w:r>
          </w:p>
        </w:tc>
        <w:tc>
          <w:tcPr>
            <w:tcW w:w="3022" w:type="dxa"/>
          </w:tcPr>
          <w:p w14:paraId="60298257" w14:textId="77777777" w:rsidR="00C604B7" w:rsidRPr="009B65C7" w:rsidRDefault="00C604B7" w:rsidP="001B22F2">
            <w:pPr>
              <w:pStyle w:val="In-tableHeading"/>
              <w:jc w:val="center"/>
              <w:rPr>
                <w:b w:val="0"/>
                <w:bCs/>
                <w:lang w:val="en-AU"/>
              </w:rPr>
            </w:pPr>
            <w:r w:rsidRPr="009B65C7">
              <w:rPr>
                <w:b w:val="0"/>
                <w:bCs/>
                <w:lang w:val="en-AU"/>
              </w:rPr>
              <w:t>4.77 mg</w:t>
            </w:r>
          </w:p>
        </w:tc>
        <w:tc>
          <w:tcPr>
            <w:tcW w:w="3023" w:type="dxa"/>
          </w:tcPr>
          <w:p w14:paraId="337A217E" w14:textId="77777777" w:rsidR="00C604B7" w:rsidRPr="009B65C7" w:rsidRDefault="00C604B7" w:rsidP="001B22F2">
            <w:pPr>
              <w:pStyle w:val="In-tableHeading"/>
              <w:jc w:val="center"/>
              <w:rPr>
                <w:b w:val="0"/>
                <w:bCs/>
                <w:lang w:val="en-AU"/>
              </w:rPr>
            </w:pPr>
            <w:r w:rsidRPr="009B65C7">
              <w:rPr>
                <w:b w:val="0"/>
                <w:bCs/>
                <w:lang w:val="en-AU"/>
              </w:rPr>
              <w:t>7.17 mg</w:t>
            </w:r>
          </w:p>
        </w:tc>
      </w:tr>
      <w:tr w:rsidR="00C604B7" w:rsidRPr="00230E97" w14:paraId="5C5D7661" w14:textId="77777777" w:rsidTr="00CE08B0">
        <w:tc>
          <w:tcPr>
            <w:tcW w:w="3022" w:type="dxa"/>
          </w:tcPr>
          <w:p w14:paraId="5D5B2B7A" w14:textId="77777777" w:rsidR="00C604B7" w:rsidRPr="00230E97" w:rsidRDefault="00C604B7" w:rsidP="001B22F2">
            <w:pPr>
              <w:pStyle w:val="TableText0"/>
              <w:rPr>
                <w:vertAlign w:val="superscript"/>
              </w:rPr>
            </w:pPr>
            <w:r w:rsidRPr="00230E97">
              <w:t xml:space="preserve">Total medicine cost per week </w:t>
            </w:r>
            <w:r w:rsidRPr="00230E97">
              <w:rPr>
                <w:vertAlign w:val="superscript"/>
              </w:rPr>
              <w:t>a</w:t>
            </w:r>
          </w:p>
        </w:tc>
        <w:tc>
          <w:tcPr>
            <w:tcW w:w="3022" w:type="dxa"/>
          </w:tcPr>
          <w:p w14:paraId="0D9FC9DB" w14:textId="77777777" w:rsidR="00C604B7" w:rsidRPr="009B65C7" w:rsidRDefault="00C604B7" w:rsidP="009B65C7">
            <w:pPr>
              <w:pStyle w:val="TableText0"/>
              <w:jc w:val="center"/>
              <w:rPr>
                <w:vertAlign w:val="superscript"/>
              </w:rPr>
            </w:pPr>
            <w:r w:rsidRPr="009B65C7">
              <w:t xml:space="preserve">$298.13 </w:t>
            </w:r>
            <w:r w:rsidRPr="009B65C7">
              <w:rPr>
                <w:vertAlign w:val="superscript"/>
              </w:rPr>
              <w:t>b</w:t>
            </w:r>
          </w:p>
        </w:tc>
        <w:tc>
          <w:tcPr>
            <w:tcW w:w="3023" w:type="dxa"/>
          </w:tcPr>
          <w:p w14:paraId="460F8491" w14:textId="4C5ED94E" w:rsidR="00C604B7" w:rsidRPr="009B65C7" w:rsidRDefault="00C604B7" w:rsidP="001B22F2">
            <w:pPr>
              <w:pStyle w:val="TableText0"/>
              <w:jc w:val="center"/>
            </w:pPr>
            <w:r w:rsidRPr="009B65C7">
              <w:t>$298.13</w:t>
            </w:r>
            <w:r w:rsidR="00A5287E" w:rsidRPr="009B65C7">
              <w:t xml:space="preserve"> </w:t>
            </w:r>
            <w:r w:rsidR="00A5287E" w:rsidRPr="009B65C7">
              <w:rPr>
                <w:vertAlign w:val="superscript"/>
              </w:rPr>
              <w:t>c</w:t>
            </w:r>
          </w:p>
        </w:tc>
      </w:tr>
      <w:tr w:rsidR="00C604B7" w:rsidRPr="00230E97" w14:paraId="1912472B" w14:textId="77777777" w:rsidTr="00CE08B0">
        <w:tc>
          <w:tcPr>
            <w:tcW w:w="3022" w:type="dxa"/>
          </w:tcPr>
          <w:p w14:paraId="089360ED" w14:textId="77777777" w:rsidR="00C604B7" w:rsidRPr="00230E97" w:rsidRDefault="00C604B7" w:rsidP="001B22F2">
            <w:pPr>
              <w:pStyle w:val="TableText0"/>
            </w:pPr>
            <w:r w:rsidRPr="00230E97">
              <w:t>Cost per dose (AEMP)</w:t>
            </w:r>
          </w:p>
        </w:tc>
        <w:tc>
          <w:tcPr>
            <w:tcW w:w="3022" w:type="dxa"/>
          </w:tcPr>
          <w:p w14:paraId="18FA16FA" w14:textId="77777777" w:rsidR="00C604B7" w:rsidRPr="009B65C7" w:rsidRDefault="00C604B7" w:rsidP="009B65C7">
            <w:pPr>
              <w:pStyle w:val="TableText0"/>
              <w:jc w:val="center"/>
            </w:pPr>
            <w:r w:rsidRPr="009B65C7">
              <w:t>$62.50 per mg</w:t>
            </w:r>
          </w:p>
        </w:tc>
        <w:tc>
          <w:tcPr>
            <w:tcW w:w="3023" w:type="dxa"/>
          </w:tcPr>
          <w:p w14:paraId="4D50351C" w14:textId="7C57C54F" w:rsidR="00C604B7" w:rsidRPr="009B65C7" w:rsidRDefault="00C604B7" w:rsidP="001B22F2">
            <w:pPr>
              <w:pStyle w:val="TableText0"/>
              <w:jc w:val="center"/>
            </w:pPr>
            <w:r w:rsidRPr="009B65C7">
              <w:t>$41.58 per mg</w:t>
            </w:r>
            <w:r w:rsidR="00A5287E" w:rsidRPr="009B65C7">
              <w:t xml:space="preserve"> </w:t>
            </w:r>
            <w:r w:rsidR="00A5287E" w:rsidRPr="009B65C7">
              <w:rPr>
                <w:vertAlign w:val="superscript"/>
              </w:rPr>
              <w:t>c</w:t>
            </w:r>
          </w:p>
        </w:tc>
      </w:tr>
      <w:tr w:rsidR="00C604B7" w:rsidRPr="00230E97" w14:paraId="5A22A44F" w14:textId="77777777" w:rsidTr="00CE08B0">
        <w:tc>
          <w:tcPr>
            <w:tcW w:w="3022" w:type="dxa"/>
          </w:tcPr>
          <w:p w14:paraId="6D4107D9" w14:textId="77777777" w:rsidR="00C604B7" w:rsidRPr="00230E97" w:rsidRDefault="00C604B7" w:rsidP="001B22F2">
            <w:pPr>
              <w:pStyle w:val="TableText0"/>
            </w:pPr>
            <w:r w:rsidRPr="00230E97">
              <w:t>Difference in cost per week</w:t>
            </w:r>
          </w:p>
        </w:tc>
        <w:tc>
          <w:tcPr>
            <w:tcW w:w="3022" w:type="dxa"/>
          </w:tcPr>
          <w:p w14:paraId="72D6F7C1" w14:textId="77777777" w:rsidR="00C604B7" w:rsidRPr="009B65C7" w:rsidRDefault="00C604B7" w:rsidP="001B22F2">
            <w:pPr>
              <w:pStyle w:val="TableText0"/>
              <w:jc w:val="center"/>
            </w:pPr>
            <w:r w:rsidRPr="009B65C7">
              <w:t>$0</w:t>
            </w:r>
          </w:p>
        </w:tc>
        <w:tc>
          <w:tcPr>
            <w:tcW w:w="3023" w:type="dxa"/>
          </w:tcPr>
          <w:p w14:paraId="3BEBA4EB" w14:textId="77777777" w:rsidR="00C604B7" w:rsidRPr="009B65C7" w:rsidRDefault="00C604B7" w:rsidP="001B22F2">
            <w:pPr>
              <w:pStyle w:val="TableText0"/>
              <w:jc w:val="center"/>
            </w:pPr>
            <w:r w:rsidRPr="009B65C7">
              <w:t>$0</w:t>
            </w:r>
          </w:p>
        </w:tc>
      </w:tr>
    </w:tbl>
    <w:p w14:paraId="7E065BD6" w14:textId="77777777" w:rsidR="00C604B7" w:rsidRPr="007E4B31" w:rsidRDefault="00C604B7" w:rsidP="001B22F2">
      <w:pPr>
        <w:pStyle w:val="FooterTableFigure"/>
      </w:pPr>
      <w:r w:rsidRPr="00230E97">
        <w:t>Source: Table 3.3, p.167 of the submission</w:t>
      </w:r>
    </w:p>
    <w:p w14:paraId="54FE2B95" w14:textId="77777777" w:rsidR="00C604B7" w:rsidRPr="007E4B31" w:rsidRDefault="00C604B7" w:rsidP="001B22F2">
      <w:pPr>
        <w:pStyle w:val="FooterTableFigure"/>
      </w:pPr>
      <w:r w:rsidRPr="007E4B31">
        <w:t xml:space="preserve">SA = sensitivity analysis; OD = once daily; OW = once weekly </w:t>
      </w:r>
    </w:p>
    <w:p w14:paraId="35DAE34C" w14:textId="3994620C" w:rsidR="00C604B7" w:rsidRPr="007E4B31" w:rsidRDefault="00C604B7" w:rsidP="001B22F2">
      <w:pPr>
        <w:pStyle w:val="FooterTableFigure"/>
      </w:pPr>
      <w:r w:rsidRPr="007E4B31">
        <w:rPr>
          <w:vertAlign w:val="superscript"/>
        </w:rPr>
        <w:t>a</w:t>
      </w:r>
      <w:r w:rsidRPr="007E4B31">
        <w:t xml:space="preserve"> Assumed a uniform average weight of 30</w:t>
      </w:r>
      <w:r w:rsidR="00DA4E5F" w:rsidRPr="007E4B31">
        <w:t xml:space="preserve"> </w:t>
      </w:r>
      <w:r w:rsidRPr="007E4B31">
        <w:t xml:space="preserve">kg that stays consistent over time. </w:t>
      </w:r>
    </w:p>
    <w:p w14:paraId="294EB13A" w14:textId="4E39589E" w:rsidR="00C604B7" w:rsidRDefault="00C604B7" w:rsidP="001B22F2">
      <w:pPr>
        <w:pStyle w:val="FooterTableFigure"/>
      </w:pPr>
      <w:r w:rsidRPr="007E4B31">
        <w:rPr>
          <w:vertAlign w:val="superscript"/>
        </w:rPr>
        <w:t xml:space="preserve">b </w:t>
      </w:r>
      <w:r w:rsidRPr="007E4B31">
        <w:t xml:space="preserve">Assumed equal to somatrogon and somatropin in the base case and sensitivity analysis, respectively. </w:t>
      </w:r>
    </w:p>
    <w:p w14:paraId="0909750D" w14:textId="51A71495" w:rsidR="00A5287E" w:rsidRPr="007E4B31" w:rsidRDefault="00A5287E" w:rsidP="001B22F2">
      <w:pPr>
        <w:pStyle w:val="FooterTableFigure"/>
      </w:pPr>
      <w:r w:rsidRPr="00A5287E">
        <w:rPr>
          <w:vertAlign w:val="superscript"/>
        </w:rPr>
        <w:t>C</w:t>
      </w:r>
      <w:r>
        <w:t xml:space="preserve"> Does not incorporate price reductions as of 1 April 2023.</w:t>
      </w:r>
    </w:p>
    <w:p w14:paraId="518573DA" w14:textId="77777777" w:rsidR="004F19E3" w:rsidRPr="007E4B31" w:rsidRDefault="004F19E3" w:rsidP="001B22F2">
      <w:pPr>
        <w:pStyle w:val="FooterTableFigure"/>
      </w:pPr>
    </w:p>
    <w:p w14:paraId="4AF1D703" w14:textId="5A50BE72" w:rsidR="00C604B7" w:rsidRPr="007E4B31" w:rsidRDefault="00C604B7" w:rsidP="001B22F2">
      <w:pPr>
        <w:pStyle w:val="3-BodyText"/>
        <w:rPr>
          <w:b/>
          <w:bCs/>
        </w:rPr>
      </w:pPr>
      <w:bookmarkStart w:id="39" w:name="_Ref133835824"/>
      <w:r w:rsidRPr="007E4B31">
        <w:t xml:space="preserve">To calculate the dose (mg) per week, the submission used the equi-effective doses and applied an average patient weight of 30 kg. The submission noted that regardless of the assumed patient weight the resulting cost per mg was </w:t>
      </w:r>
      <w:r w:rsidR="001473BD" w:rsidRPr="007E4B31">
        <w:t>the same</w:t>
      </w:r>
      <w:r w:rsidRPr="007E4B31">
        <w:rPr>
          <w:iCs/>
        </w:rPr>
        <w:t xml:space="preserve"> as only the total cost changed with patient weight.</w:t>
      </w:r>
      <w:bookmarkEnd w:id="39"/>
      <w:r w:rsidR="00632282" w:rsidRPr="007E4B31">
        <w:rPr>
          <w:iCs/>
        </w:rPr>
        <w:t xml:space="preserve"> </w:t>
      </w:r>
      <w:r w:rsidR="00632282" w:rsidRPr="007E4B31">
        <w:t>The ESC considered this was reasonable.</w:t>
      </w:r>
    </w:p>
    <w:p w14:paraId="3AD258DE" w14:textId="0AE2E82B" w:rsidR="00C604B7" w:rsidRPr="007E4B31" w:rsidRDefault="00C604B7" w:rsidP="001B22F2">
      <w:pPr>
        <w:pStyle w:val="3-BodyText"/>
        <w:rPr>
          <w:b/>
          <w:bCs/>
        </w:rPr>
      </w:pPr>
      <w:r w:rsidRPr="007E4B31">
        <w:t xml:space="preserve">The cost per mg (AEMP) for somatrogon and somatropin </w:t>
      </w:r>
      <w:proofErr w:type="gramStart"/>
      <w:r w:rsidRPr="007E4B31">
        <w:t>were obtained</w:t>
      </w:r>
      <w:proofErr w:type="gramEnd"/>
      <w:r w:rsidRPr="007E4B31">
        <w:t xml:space="preserve"> from published PBS </w:t>
      </w:r>
      <w:r w:rsidR="00336EED">
        <w:t>prices</w:t>
      </w:r>
      <w:r w:rsidRPr="007E4B31">
        <w:t>. The submission did not include the cost of the 5 mg presentation of somatropin in its calculation, noting that it was based on adult GHD</w:t>
      </w:r>
      <w:r w:rsidR="00DA4E5F" w:rsidRPr="007E4B31">
        <w:t>,</w:t>
      </w:r>
      <w:r w:rsidRPr="007E4B31">
        <w:t xml:space="preserve"> which is at a lower cost per mg than the 10 mg and 15 mg presentations ($</w:t>
      </w:r>
      <w:r w:rsidRPr="00230E97">
        <w:t>40.29 per mg vs $41.58</w:t>
      </w:r>
      <w:r w:rsidR="009B173E">
        <w:t> </w:t>
      </w:r>
      <w:r w:rsidRPr="007E4B31">
        <w:t>per mg, respectively)</w:t>
      </w:r>
      <w:r w:rsidRPr="007E4B31">
        <w:rPr>
          <w:iCs/>
        </w:rPr>
        <w:t xml:space="preserve">. Given that the restriction criteria for the 5 mg presentation did not preclude paediatric patients, </w:t>
      </w:r>
      <w:r w:rsidR="0042600C">
        <w:rPr>
          <w:iCs/>
        </w:rPr>
        <w:t xml:space="preserve">the evaluation considered that </w:t>
      </w:r>
      <w:r w:rsidRPr="007E4B31">
        <w:rPr>
          <w:iCs/>
        </w:rPr>
        <w:t xml:space="preserve">exclusion from the CMA calculation may not </w:t>
      </w:r>
      <w:r w:rsidR="00D97226">
        <w:rPr>
          <w:iCs/>
        </w:rPr>
        <w:t xml:space="preserve">be </w:t>
      </w:r>
      <w:r w:rsidRPr="007E4B31">
        <w:rPr>
          <w:iCs/>
        </w:rPr>
        <w:t>reasonable. Inclusion of the 5 mg somatropin presentation slightly decreased the somapacitan AEMP to $61.85 per mg</w:t>
      </w:r>
      <w:r w:rsidR="0076186A" w:rsidRPr="007E4B31">
        <w:rPr>
          <w:iCs/>
        </w:rPr>
        <w:t xml:space="preserve"> (compared with $62.50, </w:t>
      </w:r>
      <w:r w:rsidR="0076186A" w:rsidRPr="007E4B31">
        <w:rPr>
          <w:iCs/>
        </w:rPr>
        <w:fldChar w:fldCharType="begin" w:fldLock="1"/>
      </w:r>
      <w:r w:rsidR="0076186A" w:rsidRPr="007E4B31">
        <w:rPr>
          <w:iCs/>
        </w:rPr>
        <w:instrText xml:space="preserve"> REF _Ref133904090 \h </w:instrText>
      </w:r>
      <w:r w:rsidR="007E4B31">
        <w:rPr>
          <w:iCs/>
        </w:rPr>
        <w:instrText xml:space="preserve"> \* MERGEFORMAT </w:instrText>
      </w:r>
      <w:r w:rsidR="0076186A" w:rsidRPr="007E4B31">
        <w:rPr>
          <w:iCs/>
        </w:rPr>
      </w:r>
      <w:r w:rsidR="0076186A" w:rsidRPr="007E4B31">
        <w:rPr>
          <w:iCs/>
        </w:rPr>
        <w:fldChar w:fldCharType="separate"/>
      </w:r>
      <w:r w:rsidR="00D3534F" w:rsidRPr="007E4B31">
        <w:t xml:space="preserve">Table </w:t>
      </w:r>
      <w:r w:rsidR="00D3534F">
        <w:rPr>
          <w:noProof/>
        </w:rPr>
        <w:t>8</w:t>
      </w:r>
      <w:r w:rsidR="0076186A" w:rsidRPr="007E4B31">
        <w:rPr>
          <w:iCs/>
        </w:rPr>
        <w:fldChar w:fldCharType="end"/>
      </w:r>
      <w:r w:rsidR="0076186A" w:rsidRPr="007E4B31">
        <w:rPr>
          <w:iCs/>
        </w:rPr>
        <w:t>).</w:t>
      </w:r>
      <w:r w:rsidR="002632F7" w:rsidRPr="007E4B31">
        <w:rPr>
          <w:iCs/>
        </w:rPr>
        <w:t xml:space="preserve"> </w:t>
      </w:r>
      <w:r w:rsidR="002632F7" w:rsidRPr="007E4B31">
        <w:t xml:space="preserve">The </w:t>
      </w:r>
      <w:proofErr w:type="gramStart"/>
      <w:r w:rsidR="002632F7" w:rsidRPr="007E4B31">
        <w:t>PSCR  stated</w:t>
      </w:r>
      <w:proofErr w:type="gramEnd"/>
      <w:r w:rsidR="002632F7" w:rsidRPr="007E4B31">
        <w:t xml:space="preserve"> that </w:t>
      </w:r>
      <w:r w:rsidR="001716DB" w:rsidRPr="007E4B31">
        <w:t xml:space="preserve">the </w:t>
      </w:r>
      <w:r w:rsidR="00F5667F" w:rsidRPr="007E4B31">
        <w:t>5</w:t>
      </w:r>
      <w:r w:rsidR="001716DB" w:rsidRPr="007E4B31">
        <w:t xml:space="preserve"> </w:t>
      </w:r>
      <w:r w:rsidR="00F5667F" w:rsidRPr="007E4B31">
        <w:t>mg presentation</w:t>
      </w:r>
      <w:r w:rsidR="009345A0" w:rsidRPr="007E4B31">
        <w:t xml:space="preserve"> of somatropin</w:t>
      </w:r>
      <w:r w:rsidR="002632F7" w:rsidRPr="007E4B31">
        <w:t xml:space="preserve"> was</w:t>
      </w:r>
      <w:r w:rsidR="00F5667F" w:rsidRPr="007E4B31">
        <w:t xml:space="preserve"> </w:t>
      </w:r>
      <w:r w:rsidR="002632F7" w:rsidRPr="007E4B31">
        <w:t xml:space="preserve">omitted from the CMA </w:t>
      </w:r>
      <w:r w:rsidR="00F5667F" w:rsidRPr="007E4B31">
        <w:t>due to the inconsistent cost per milligram</w:t>
      </w:r>
      <w:r w:rsidR="002632F7" w:rsidRPr="007E4B31">
        <w:t xml:space="preserve"> of </w:t>
      </w:r>
      <w:r w:rsidR="001716DB" w:rsidRPr="007E4B31">
        <w:t xml:space="preserve">the </w:t>
      </w:r>
      <w:r w:rsidR="002632F7" w:rsidRPr="007E4B31">
        <w:t>5</w:t>
      </w:r>
      <w:r w:rsidR="001716DB" w:rsidRPr="007E4B31">
        <w:t xml:space="preserve"> </w:t>
      </w:r>
      <w:r w:rsidR="002632F7" w:rsidRPr="007E4B31">
        <w:t>mg presentation</w:t>
      </w:r>
      <w:r w:rsidR="00F5667F" w:rsidRPr="007E4B31">
        <w:t xml:space="preserve"> compared to the 10 mg and 15 mg presentations, i.e., $40.29</w:t>
      </w:r>
      <w:r w:rsidR="002632F7" w:rsidRPr="007E4B31">
        <w:t xml:space="preserve"> for the 5</w:t>
      </w:r>
      <w:r w:rsidR="001716DB" w:rsidRPr="007E4B31">
        <w:t xml:space="preserve"> </w:t>
      </w:r>
      <w:r w:rsidR="002632F7" w:rsidRPr="007E4B31">
        <w:t xml:space="preserve">mg and </w:t>
      </w:r>
      <w:r w:rsidR="00F5667F" w:rsidRPr="007E4B31">
        <w:t>$41.58</w:t>
      </w:r>
      <w:r w:rsidR="002632F7" w:rsidRPr="007E4B31">
        <w:t xml:space="preserve"> for the 10</w:t>
      </w:r>
      <w:r w:rsidR="001716DB" w:rsidRPr="007E4B31">
        <w:t xml:space="preserve"> </w:t>
      </w:r>
      <w:r w:rsidR="002632F7" w:rsidRPr="007E4B31">
        <w:t>mg and the 15</w:t>
      </w:r>
      <w:r w:rsidR="001716DB" w:rsidRPr="007E4B31">
        <w:t xml:space="preserve"> </w:t>
      </w:r>
      <w:r w:rsidR="002632F7" w:rsidRPr="007E4B31">
        <w:t>mg</w:t>
      </w:r>
      <w:r w:rsidR="001716DB" w:rsidRPr="007E4B31">
        <w:t xml:space="preserve"> presentations</w:t>
      </w:r>
      <w:r w:rsidR="002632F7" w:rsidRPr="007E4B31">
        <w:t xml:space="preserve">. This </w:t>
      </w:r>
      <w:r w:rsidR="00492755" w:rsidRPr="007E4B31">
        <w:t>assumed</w:t>
      </w:r>
      <w:r w:rsidR="002632F7" w:rsidRPr="007E4B31">
        <w:t xml:space="preserve"> that</w:t>
      </w:r>
      <w:r w:rsidR="00F5667F" w:rsidRPr="007E4B31">
        <w:t xml:space="preserve"> the cost per milligram for somatropin would be the same regardless of the presentation</w:t>
      </w:r>
      <w:r w:rsidR="0024319F" w:rsidRPr="007E4B31">
        <w:t>. However</w:t>
      </w:r>
      <w:r w:rsidR="00F5667F" w:rsidRPr="007E4B31">
        <w:t xml:space="preserve">, </w:t>
      </w:r>
      <w:r w:rsidR="0024319F" w:rsidRPr="007E4B31">
        <w:t>the ESC considered that</w:t>
      </w:r>
      <w:r w:rsidR="009345A0" w:rsidRPr="007E4B31">
        <w:t xml:space="preserve"> this may not be truly reflective of clinical practice as </w:t>
      </w:r>
      <w:r w:rsidR="001716DB" w:rsidRPr="007E4B31">
        <w:t xml:space="preserve">the </w:t>
      </w:r>
      <w:r w:rsidR="009345A0" w:rsidRPr="007E4B31">
        <w:t>5</w:t>
      </w:r>
      <w:r w:rsidR="001716DB" w:rsidRPr="007E4B31">
        <w:t xml:space="preserve"> </w:t>
      </w:r>
      <w:r w:rsidR="009345A0" w:rsidRPr="007E4B31">
        <w:t xml:space="preserve">mg pen can be </w:t>
      </w:r>
      <w:proofErr w:type="gramStart"/>
      <w:r w:rsidR="009345A0" w:rsidRPr="007E4B31">
        <w:t>utilised</w:t>
      </w:r>
      <w:proofErr w:type="gramEnd"/>
      <w:r w:rsidR="009345A0" w:rsidRPr="007E4B31">
        <w:t xml:space="preserve"> in paediatric patients</w:t>
      </w:r>
      <w:r w:rsidR="0024319F" w:rsidRPr="007E4B31">
        <w:t xml:space="preserve">, and </w:t>
      </w:r>
      <w:r w:rsidR="007250D3" w:rsidRPr="007E4B31">
        <w:t xml:space="preserve">the </w:t>
      </w:r>
      <w:r w:rsidR="0024319F" w:rsidRPr="007E4B31">
        <w:t>5</w:t>
      </w:r>
      <w:r w:rsidR="006C6F2F" w:rsidRPr="007E4B31">
        <w:t xml:space="preserve"> </w:t>
      </w:r>
      <w:r w:rsidR="0024319F" w:rsidRPr="007E4B31">
        <w:t xml:space="preserve">mg </w:t>
      </w:r>
      <w:r w:rsidR="006C6F2F" w:rsidRPr="007E4B31">
        <w:t>pen</w:t>
      </w:r>
      <w:r w:rsidR="0024319F" w:rsidRPr="007E4B31">
        <w:t xml:space="preserve"> should be included in the analysis.</w:t>
      </w:r>
      <w:r w:rsidR="0042600C">
        <w:t xml:space="preserve"> In the pre-PBAC response the sponsor agreed to include the 5 mg presentation of somatropin in the CMA.</w:t>
      </w:r>
    </w:p>
    <w:p w14:paraId="770BB8B7" w14:textId="1947FF20" w:rsidR="00C604B7" w:rsidRPr="007E4B31" w:rsidRDefault="00C604B7" w:rsidP="00355B31">
      <w:pPr>
        <w:pStyle w:val="4-SubsectionHeading"/>
      </w:pPr>
      <w:bookmarkStart w:id="40" w:name="_Toc22897646"/>
      <w:bookmarkStart w:id="41" w:name="_Toc134493588"/>
      <w:r w:rsidRPr="007E4B31">
        <w:t>Drug cost/patient/year</w:t>
      </w:r>
      <w:bookmarkEnd w:id="40"/>
      <w:bookmarkEnd w:id="41"/>
    </w:p>
    <w:p w14:paraId="17BA3A7F" w14:textId="565FC5BE" w:rsidR="00C604B7" w:rsidRPr="007E4B31" w:rsidRDefault="00C604B7" w:rsidP="001B22F2">
      <w:pPr>
        <w:pStyle w:val="3-BodyText"/>
        <w:rPr>
          <w:snapToGrid/>
        </w:rPr>
      </w:pPr>
      <w:bookmarkStart w:id="42" w:name="_Hlk107307804"/>
      <w:r w:rsidRPr="007E4B31">
        <w:rPr>
          <w:snapToGrid/>
        </w:rPr>
        <w:t xml:space="preserve">The estimated cost per patient per year in </w:t>
      </w:r>
      <w:r w:rsidR="006C275C" w:rsidRPr="007E4B31">
        <w:rPr>
          <w:snapToGrid/>
        </w:rPr>
        <w:t xml:space="preserve">the </w:t>
      </w:r>
      <w:r w:rsidRPr="007E4B31">
        <w:rPr>
          <w:snapToGrid/>
        </w:rPr>
        <w:t>p</w:t>
      </w:r>
      <w:r w:rsidR="006C275C" w:rsidRPr="007E4B31">
        <w:rPr>
          <w:snapToGrid/>
        </w:rPr>
        <w:t>a</w:t>
      </w:r>
      <w:r w:rsidRPr="007E4B31">
        <w:rPr>
          <w:snapToGrid/>
        </w:rPr>
        <w:t>ediatric population is dependent on the patient weight. The cost per week, assuming a patient weight of 30</w:t>
      </w:r>
      <w:r w:rsidR="00336EED">
        <w:rPr>
          <w:snapToGrid/>
        </w:rPr>
        <w:t> </w:t>
      </w:r>
      <w:r w:rsidRPr="007E4B31">
        <w:rPr>
          <w:snapToGrid/>
        </w:rPr>
        <w:t xml:space="preserve">kg was </w:t>
      </w:r>
      <w:r w:rsidRPr="007E4B31">
        <w:rPr>
          <w:snapToGrid/>
        </w:rPr>
        <w:lastRenderedPageBreak/>
        <w:t xml:space="preserve">presented in the submission </w:t>
      </w:r>
      <w:r w:rsidRPr="007E4B31">
        <w:rPr>
          <w:iCs/>
          <w:snapToGrid/>
        </w:rPr>
        <w:t>and additional analyses were performed during the evaluation using different patient weights</w:t>
      </w:r>
      <w:r w:rsidRPr="007E4B31">
        <w:rPr>
          <w:snapToGrid/>
        </w:rPr>
        <w:t xml:space="preserve"> (</w:t>
      </w:r>
      <w:r w:rsidRPr="007E4B31">
        <w:rPr>
          <w:snapToGrid/>
        </w:rPr>
        <w:fldChar w:fldCharType="begin" w:fldLock="1"/>
      </w:r>
      <w:r w:rsidRPr="007E4B31">
        <w:rPr>
          <w:snapToGrid/>
        </w:rPr>
        <w:instrText xml:space="preserve"> REF _Ref133904111 \h </w:instrText>
      </w:r>
      <w:r w:rsidR="00370FF4" w:rsidRPr="007E4B31">
        <w:rPr>
          <w:snapToGrid/>
        </w:rPr>
        <w:instrText xml:space="preserve"> \* MERGEFORMAT </w:instrText>
      </w:r>
      <w:r w:rsidRPr="007E4B31">
        <w:rPr>
          <w:snapToGrid/>
        </w:rPr>
      </w:r>
      <w:r w:rsidRPr="007E4B31">
        <w:rPr>
          <w:snapToGrid/>
        </w:rPr>
        <w:fldChar w:fldCharType="separate"/>
      </w:r>
      <w:r w:rsidR="00D3534F" w:rsidRPr="007E4B31">
        <w:t xml:space="preserve">Table </w:t>
      </w:r>
      <w:r w:rsidR="00D3534F">
        <w:rPr>
          <w:noProof/>
        </w:rPr>
        <w:t>9</w:t>
      </w:r>
      <w:r w:rsidRPr="007E4B31">
        <w:rPr>
          <w:snapToGrid/>
        </w:rPr>
        <w:fldChar w:fldCharType="end"/>
      </w:r>
      <w:r w:rsidRPr="007E4B31">
        <w:rPr>
          <w:snapToGrid/>
        </w:rPr>
        <w:t xml:space="preserve">). </w:t>
      </w:r>
    </w:p>
    <w:p w14:paraId="5E62D0E8" w14:textId="566494DB" w:rsidR="00C604B7" w:rsidRPr="007E4B31" w:rsidRDefault="00C604B7" w:rsidP="001B22F2">
      <w:pPr>
        <w:pStyle w:val="Caption"/>
      </w:pPr>
      <w:bookmarkStart w:id="43" w:name="_Ref133904111"/>
      <w:r w:rsidRPr="007E4B31">
        <w:t xml:space="preserve">Table </w:t>
      </w:r>
      <w:r w:rsidR="00402BC2">
        <w:fldChar w:fldCharType="begin" w:fldLock="1"/>
      </w:r>
      <w:r w:rsidR="00402BC2">
        <w:instrText xml:space="preserve"> SEQ Table \* ARABIC </w:instrText>
      </w:r>
      <w:r w:rsidR="00402BC2">
        <w:fldChar w:fldCharType="separate"/>
      </w:r>
      <w:r w:rsidR="00D3534F">
        <w:rPr>
          <w:noProof/>
        </w:rPr>
        <w:t>9</w:t>
      </w:r>
      <w:r w:rsidR="00402BC2">
        <w:rPr>
          <w:noProof/>
        </w:rPr>
        <w:fldChar w:fldCharType="end"/>
      </w:r>
      <w:bookmarkEnd w:id="43"/>
      <w:r w:rsidRPr="007E4B31">
        <w:t xml:space="preserve">: Somapacitan and somatrogon patient weight, cost per mg, and cost per </w:t>
      </w:r>
      <w:proofErr w:type="gramStart"/>
      <w:r w:rsidRPr="007E4B31">
        <w:t>week</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478"/>
        <w:gridCol w:w="2477"/>
      </w:tblGrid>
      <w:tr w:rsidR="00C604B7" w:rsidRPr="007E4B31" w14:paraId="4D7D5B1C" w14:textId="77777777" w:rsidTr="00CE08B0">
        <w:tc>
          <w:tcPr>
            <w:tcW w:w="4106" w:type="dxa"/>
            <w:tcBorders>
              <w:bottom w:val="single" w:sz="4" w:space="0" w:color="auto"/>
            </w:tcBorders>
          </w:tcPr>
          <w:p w14:paraId="0FF54C05" w14:textId="77777777" w:rsidR="00C604B7" w:rsidRPr="007E4B31" w:rsidRDefault="00C604B7" w:rsidP="001B22F2">
            <w:pPr>
              <w:pStyle w:val="In-tableHeading"/>
              <w:rPr>
                <w:lang w:val="en-AU"/>
              </w:rPr>
            </w:pPr>
            <w:r w:rsidRPr="007E4B31">
              <w:rPr>
                <w:lang w:val="en-AU"/>
              </w:rPr>
              <w:t>Base case (somapacitan vs somatrogon)</w:t>
            </w:r>
          </w:p>
        </w:tc>
        <w:tc>
          <w:tcPr>
            <w:tcW w:w="2497" w:type="dxa"/>
            <w:tcBorders>
              <w:bottom w:val="single" w:sz="4" w:space="0" w:color="auto"/>
            </w:tcBorders>
          </w:tcPr>
          <w:p w14:paraId="50721955" w14:textId="77777777" w:rsidR="00C604B7" w:rsidRPr="007E4B31" w:rsidRDefault="00C604B7" w:rsidP="001B22F2">
            <w:pPr>
              <w:pStyle w:val="In-tableHeading"/>
              <w:jc w:val="center"/>
              <w:rPr>
                <w:lang w:val="en-AU"/>
              </w:rPr>
            </w:pPr>
            <w:r w:rsidRPr="007E4B31">
              <w:rPr>
                <w:lang w:val="en-AU"/>
              </w:rPr>
              <w:t>Somapacitan</w:t>
            </w:r>
          </w:p>
        </w:tc>
        <w:tc>
          <w:tcPr>
            <w:tcW w:w="2497" w:type="dxa"/>
            <w:tcBorders>
              <w:bottom w:val="single" w:sz="4" w:space="0" w:color="auto"/>
            </w:tcBorders>
          </w:tcPr>
          <w:p w14:paraId="4442B097" w14:textId="77777777" w:rsidR="00C604B7" w:rsidRPr="007E4B31" w:rsidRDefault="00C604B7" w:rsidP="001B22F2">
            <w:pPr>
              <w:pStyle w:val="In-tableHeading"/>
              <w:jc w:val="center"/>
              <w:rPr>
                <w:lang w:val="en-AU"/>
              </w:rPr>
            </w:pPr>
            <w:r w:rsidRPr="007E4B31">
              <w:rPr>
                <w:lang w:val="en-AU"/>
              </w:rPr>
              <w:t>Somatrogon</w:t>
            </w:r>
          </w:p>
        </w:tc>
      </w:tr>
      <w:tr w:rsidR="00C604B7" w:rsidRPr="007E4B31" w14:paraId="56370B44" w14:textId="77777777" w:rsidTr="00CE08B0">
        <w:tc>
          <w:tcPr>
            <w:tcW w:w="4106" w:type="dxa"/>
            <w:tcBorders>
              <w:top w:val="single" w:sz="4" w:space="0" w:color="auto"/>
              <w:left w:val="single" w:sz="4" w:space="0" w:color="auto"/>
              <w:bottom w:val="single" w:sz="4" w:space="0" w:color="auto"/>
              <w:right w:val="nil"/>
            </w:tcBorders>
          </w:tcPr>
          <w:p w14:paraId="5D1D1B3C" w14:textId="77777777" w:rsidR="00C604B7" w:rsidRPr="007E4B31" w:rsidRDefault="00C604B7" w:rsidP="001B22F2">
            <w:pPr>
              <w:pStyle w:val="In-tableHeading"/>
              <w:rPr>
                <w:lang w:val="en-AU"/>
              </w:rPr>
            </w:pPr>
            <w:r w:rsidRPr="007E4B31">
              <w:rPr>
                <w:lang w:val="en-AU"/>
              </w:rPr>
              <w:t>(0) Patient weight = 30 kg (base case)</w:t>
            </w:r>
          </w:p>
        </w:tc>
        <w:tc>
          <w:tcPr>
            <w:tcW w:w="2497" w:type="dxa"/>
            <w:tcBorders>
              <w:top w:val="single" w:sz="4" w:space="0" w:color="auto"/>
              <w:left w:val="nil"/>
              <w:bottom w:val="single" w:sz="4" w:space="0" w:color="auto"/>
              <w:right w:val="nil"/>
            </w:tcBorders>
          </w:tcPr>
          <w:p w14:paraId="40AAB360" w14:textId="77777777" w:rsidR="00C604B7" w:rsidRPr="007E4B31" w:rsidRDefault="00C604B7" w:rsidP="001B22F2">
            <w:pPr>
              <w:pStyle w:val="In-tableHeading"/>
              <w:jc w:val="center"/>
              <w:rPr>
                <w:lang w:val="en-AU"/>
              </w:rPr>
            </w:pPr>
          </w:p>
        </w:tc>
        <w:tc>
          <w:tcPr>
            <w:tcW w:w="2497" w:type="dxa"/>
            <w:tcBorders>
              <w:top w:val="single" w:sz="4" w:space="0" w:color="auto"/>
              <w:left w:val="nil"/>
              <w:bottom w:val="single" w:sz="4" w:space="0" w:color="auto"/>
              <w:right w:val="single" w:sz="4" w:space="0" w:color="auto"/>
            </w:tcBorders>
          </w:tcPr>
          <w:p w14:paraId="6FB036E6" w14:textId="77777777" w:rsidR="00C604B7" w:rsidRPr="007E4B31" w:rsidRDefault="00C604B7" w:rsidP="001B22F2">
            <w:pPr>
              <w:pStyle w:val="In-tableHeading"/>
              <w:jc w:val="center"/>
              <w:rPr>
                <w:lang w:val="en-AU"/>
              </w:rPr>
            </w:pPr>
          </w:p>
        </w:tc>
      </w:tr>
      <w:tr w:rsidR="00C604B7" w:rsidRPr="007E4B31" w14:paraId="59A4A89F" w14:textId="77777777" w:rsidTr="00CE08B0">
        <w:tc>
          <w:tcPr>
            <w:tcW w:w="4106" w:type="dxa"/>
            <w:tcBorders>
              <w:top w:val="single" w:sz="4" w:space="0" w:color="auto"/>
              <w:bottom w:val="single" w:sz="4" w:space="0" w:color="auto"/>
            </w:tcBorders>
          </w:tcPr>
          <w:p w14:paraId="18B81755" w14:textId="77777777" w:rsidR="00C604B7" w:rsidRPr="007E4B31" w:rsidRDefault="00C604B7" w:rsidP="001B22F2">
            <w:pPr>
              <w:pStyle w:val="In-tableHeading"/>
              <w:ind w:left="57"/>
              <w:rPr>
                <w:lang w:val="en-AU"/>
              </w:rPr>
            </w:pPr>
            <w:r w:rsidRPr="007E4B31">
              <w:rPr>
                <w:b w:val="0"/>
                <w:bCs/>
                <w:lang w:val="en-AU"/>
              </w:rPr>
              <w:t xml:space="preserve">Dose per week </w:t>
            </w:r>
            <w:r w:rsidRPr="007E4B31">
              <w:rPr>
                <w:b w:val="0"/>
                <w:bCs/>
                <w:vertAlign w:val="superscript"/>
                <w:lang w:val="en-AU"/>
              </w:rPr>
              <w:t>a</w:t>
            </w:r>
          </w:p>
        </w:tc>
        <w:tc>
          <w:tcPr>
            <w:tcW w:w="2497" w:type="dxa"/>
            <w:tcBorders>
              <w:top w:val="single" w:sz="4" w:space="0" w:color="auto"/>
              <w:bottom w:val="single" w:sz="4" w:space="0" w:color="auto"/>
            </w:tcBorders>
          </w:tcPr>
          <w:p w14:paraId="6963D35F" w14:textId="77777777" w:rsidR="00C604B7" w:rsidRPr="007E4B31" w:rsidRDefault="00C604B7" w:rsidP="001B22F2">
            <w:pPr>
              <w:pStyle w:val="In-tableHeading"/>
              <w:jc w:val="center"/>
              <w:rPr>
                <w:b w:val="0"/>
                <w:bCs/>
                <w:lang w:val="en-AU"/>
              </w:rPr>
            </w:pPr>
            <w:r w:rsidRPr="007E4B31">
              <w:rPr>
                <w:b w:val="0"/>
                <w:bCs/>
                <w:lang w:val="en-AU"/>
              </w:rPr>
              <w:t>4.72 mg</w:t>
            </w:r>
          </w:p>
        </w:tc>
        <w:tc>
          <w:tcPr>
            <w:tcW w:w="2497" w:type="dxa"/>
            <w:tcBorders>
              <w:top w:val="single" w:sz="4" w:space="0" w:color="auto"/>
              <w:bottom w:val="single" w:sz="4" w:space="0" w:color="auto"/>
            </w:tcBorders>
          </w:tcPr>
          <w:p w14:paraId="35B0C5E5" w14:textId="77777777" w:rsidR="00C604B7" w:rsidRPr="007E4B31" w:rsidRDefault="00C604B7" w:rsidP="001B22F2">
            <w:pPr>
              <w:pStyle w:val="In-tableHeading"/>
              <w:jc w:val="center"/>
              <w:rPr>
                <w:b w:val="0"/>
                <w:bCs/>
                <w:lang w:val="en-AU"/>
              </w:rPr>
            </w:pPr>
            <w:r w:rsidRPr="007E4B31">
              <w:rPr>
                <w:b w:val="0"/>
                <w:bCs/>
                <w:lang w:val="en-AU"/>
              </w:rPr>
              <w:t>19.65 mg</w:t>
            </w:r>
          </w:p>
        </w:tc>
      </w:tr>
      <w:tr w:rsidR="00C604B7" w:rsidRPr="007E4B31" w14:paraId="27BF24A9" w14:textId="77777777" w:rsidTr="00CE08B0">
        <w:tc>
          <w:tcPr>
            <w:tcW w:w="4106" w:type="dxa"/>
            <w:tcBorders>
              <w:bottom w:val="single" w:sz="4" w:space="0" w:color="auto"/>
            </w:tcBorders>
          </w:tcPr>
          <w:p w14:paraId="1CE5D213" w14:textId="77777777" w:rsidR="00C604B7" w:rsidRPr="007E4B31" w:rsidRDefault="00C604B7" w:rsidP="001B22F2">
            <w:pPr>
              <w:pStyle w:val="In-tableHeading"/>
              <w:ind w:left="57"/>
              <w:rPr>
                <w:b w:val="0"/>
                <w:bCs/>
                <w:lang w:val="en-AU"/>
              </w:rPr>
            </w:pPr>
            <w:r w:rsidRPr="007E4B31">
              <w:rPr>
                <w:b w:val="0"/>
                <w:bCs/>
                <w:lang w:val="en-AU"/>
              </w:rPr>
              <w:t>Total medicine cost per week</w:t>
            </w:r>
          </w:p>
        </w:tc>
        <w:tc>
          <w:tcPr>
            <w:tcW w:w="2497" w:type="dxa"/>
            <w:tcBorders>
              <w:bottom w:val="single" w:sz="4" w:space="0" w:color="auto"/>
            </w:tcBorders>
          </w:tcPr>
          <w:p w14:paraId="37B8F579" w14:textId="77777777" w:rsidR="00C604B7" w:rsidRPr="009B65C7" w:rsidRDefault="00C604B7" w:rsidP="001B22F2">
            <w:pPr>
              <w:pStyle w:val="In-tableHeading"/>
              <w:jc w:val="center"/>
              <w:rPr>
                <w:b w:val="0"/>
                <w:bCs/>
                <w:lang w:val="en-AU"/>
              </w:rPr>
            </w:pPr>
            <w:r w:rsidRPr="009B65C7">
              <w:rPr>
                <w:b w:val="0"/>
                <w:bCs/>
                <w:lang w:val="en-AU"/>
              </w:rPr>
              <w:t xml:space="preserve">$295.16 </w:t>
            </w:r>
            <w:r w:rsidRPr="009B65C7">
              <w:rPr>
                <w:vertAlign w:val="superscript"/>
                <w:lang w:val="en-AU"/>
              </w:rPr>
              <w:t>b</w:t>
            </w:r>
          </w:p>
        </w:tc>
        <w:tc>
          <w:tcPr>
            <w:tcW w:w="2497" w:type="dxa"/>
            <w:tcBorders>
              <w:bottom w:val="single" w:sz="4" w:space="0" w:color="auto"/>
            </w:tcBorders>
          </w:tcPr>
          <w:p w14:paraId="4DAE033D" w14:textId="77777777" w:rsidR="00C604B7" w:rsidRPr="009B65C7" w:rsidRDefault="00C604B7" w:rsidP="001B22F2">
            <w:pPr>
              <w:pStyle w:val="In-tableHeading"/>
              <w:jc w:val="center"/>
              <w:rPr>
                <w:b w:val="0"/>
                <w:bCs/>
                <w:lang w:val="en-AU"/>
              </w:rPr>
            </w:pPr>
            <w:r w:rsidRPr="009B65C7">
              <w:rPr>
                <w:b w:val="0"/>
                <w:bCs/>
                <w:lang w:val="en-AU"/>
              </w:rPr>
              <w:t>$295.16</w:t>
            </w:r>
          </w:p>
        </w:tc>
      </w:tr>
      <w:tr w:rsidR="00C604B7" w:rsidRPr="007E4B31" w14:paraId="7E1D078E" w14:textId="77777777" w:rsidTr="00CE08B0">
        <w:tc>
          <w:tcPr>
            <w:tcW w:w="4106" w:type="dxa"/>
            <w:tcBorders>
              <w:bottom w:val="single" w:sz="4" w:space="0" w:color="auto"/>
            </w:tcBorders>
          </w:tcPr>
          <w:p w14:paraId="6AEE37A4" w14:textId="77777777" w:rsidR="00C604B7" w:rsidRPr="007E4B31" w:rsidRDefault="00C604B7" w:rsidP="001B22F2">
            <w:pPr>
              <w:pStyle w:val="In-tableHeading"/>
              <w:ind w:left="57"/>
              <w:rPr>
                <w:b w:val="0"/>
                <w:bCs/>
                <w:lang w:val="en-AU"/>
              </w:rPr>
            </w:pPr>
            <w:r w:rsidRPr="007E4B31">
              <w:rPr>
                <w:b w:val="0"/>
                <w:bCs/>
                <w:lang w:val="en-AU"/>
              </w:rPr>
              <w:t>Cost per dose (AEMP)</w:t>
            </w:r>
          </w:p>
        </w:tc>
        <w:tc>
          <w:tcPr>
            <w:tcW w:w="2497" w:type="dxa"/>
            <w:tcBorders>
              <w:bottom w:val="single" w:sz="4" w:space="0" w:color="auto"/>
            </w:tcBorders>
          </w:tcPr>
          <w:p w14:paraId="4FD97D06" w14:textId="77777777" w:rsidR="00C604B7" w:rsidRPr="009B65C7" w:rsidRDefault="00C604B7" w:rsidP="001B22F2">
            <w:pPr>
              <w:pStyle w:val="In-tableHeading"/>
              <w:jc w:val="center"/>
              <w:rPr>
                <w:b w:val="0"/>
                <w:bCs/>
                <w:lang w:val="en-AU"/>
              </w:rPr>
            </w:pPr>
            <w:r w:rsidRPr="009B65C7">
              <w:rPr>
                <w:b w:val="0"/>
                <w:bCs/>
                <w:lang w:val="en-AU"/>
              </w:rPr>
              <w:t>$62.50 per mg</w:t>
            </w:r>
          </w:p>
        </w:tc>
        <w:tc>
          <w:tcPr>
            <w:tcW w:w="2497" w:type="dxa"/>
            <w:tcBorders>
              <w:bottom w:val="single" w:sz="4" w:space="0" w:color="auto"/>
            </w:tcBorders>
          </w:tcPr>
          <w:p w14:paraId="659E1F20" w14:textId="77777777" w:rsidR="00C604B7" w:rsidRPr="009B65C7" w:rsidRDefault="00C604B7" w:rsidP="001B22F2">
            <w:pPr>
              <w:pStyle w:val="In-tableHeading"/>
              <w:jc w:val="center"/>
              <w:rPr>
                <w:b w:val="0"/>
                <w:bCs/>
                <w:lang w:val="en-AU"/>
              </w:rPr>
            </w:pPr>
            <w:r w:rsidRPr="009B65C7">
              <w:rPr>
                <w:b w:val="0"/>
                <w:bCs/>
                <w:lang w:val="en-AU"/>
              </w:rPr>
              <w:t>$15.02 per mg</w:t>
            </w:r>
          </w:p>
        </w:tc>
      </w:tr>
      <w:tr w:rsidR="00C604B7" w:rsidRPr="007E4B31" w14:paraId="56D984DF" w14:textId="77777777" w:rsidTr="00CE08B0">
        <w:tc>
          <w:tcPr>
            <w:tcW w:w="4106" w:type="dxa"/>
            <w:tcBorders>
              <w:bottom w:val="single" w:sz="4" w:space="0" w:color="auto"/>
            </w:tcBorders>
          </w:tcPr>
          <w:p w14:paraId="3AB7D93C" w14:textId="77777777" w:rsidR="00C604B7" w:rsidRPr="007E4B31" w:rsidRDefault="00C604B7" w:rsidP="001B22F2">
            <w:pPr>
              <w:pStyle w:val="In-tableHeading"/>
              <w:ind w:left="57"/>
              <w:rPr>
                <w:b w:val="0"/>
                <w:bCs/>
                <w:lang w:val="en-AU"/>
              </w:rPr>
            </w:pPr>
            <w:r w:rsidRPr="007E4B31">
              <w:rPr>
                <w:b w:val="0"/>
                <w:bCs/>
                <w:lang w:val="en-AU"/>
              </w:rPr>
              <w:t>Difference in cost per week cf. base case</w:t>
            </w:r>
          </w:p>
        </w:tc>
        <w:tc>
          <w:tcPr>
            <w:tcW w:w="2497" w:type="dxa"/>
            <w:tcBorders>
              <w:bottom w:val="single" w:sz="4" w:space="0" w:color="auto"/>
            </w:tcBorders>
          </w:tcPr>
          <w:p w14:paraId="3A159602" w14:textId="77777777" w:rsidR="00C604B7" w:rsidRPr="009B65C7" w:rsidRDefault="00C604B7" w:rsidP="001B22F2">
            <w:pPr>
              <w:pStyle w:val="In-tableHeading"/>
              <w:jc w:val="center"/>
              <w:rPr>
                <w:b w:val="0"/>
                <w:bCs/>
                <w:lang w:val="en-AU"/>
              </w:rPr>
            </w:pPr>
            <w:r w:rsidRPr="009B65C7">
              <w:rPr>
                <w:b w:val="0"/>
                <w:bCs/>
                <w:lang w:val="en-AU"/>
              </w:rPr>
              <w:t>$0.00</w:t>
            </w:r>
          </w:p>
        </w:tc>
        <w:tc>
          <w:tcPr>
            <w:tcW w:w="2497" w:type="dxa"/>
            <w:tcBorders>
              <w:bottom w:val="single" w:sz="4" w:space="0" w:color="auto"/>
            </w:tcBorders>
          </w:tcPr>
          <w:p w14:paraId="6928A1F1" w14:textId="77777777" w:rsidR="00C604B7" w:rsidRPr="009B65C7" w:rsidRDefault="00C604B7" w:rsidP="001B22F2">
            <w:pPr>
              <w:pStyle w:val="In-tableHeading"/>
              <w:jc w:val="center"/>
              <w:rPr>
                <w:b w:val="0"/>
                <w:bCs/>
                <w:lang w:val="en-AU"/>
              </w:rPr>
            </w:pPr>
            <w:r w:rsidRPr="009B65C7">
              <w:rPr>
                <w:b w:val="0"/>
                <w:bCs/>
                <w:lang w:val="en-AU"/>
              </w:rPr>
              <w:t>$0.00</w:t>
            </w:r>
          </w:p>
        </w:tc>
      </w:tr>
      <w:tr w:rsidR="00C604B7" w:rsidRPr="007E4B31" w14:paraId="566C8563" w14:textId="77777777" w:rsidTr="00CE08B0">
        <w:tc>
          <w:tcPr>
            <w:tcW w:w="4106" w:type="dxa"/>
            <w:tcBorders>
              <w:top w:val="single" w:sz="4" w:space="0" w:color="auto"/>
              <w:left w:val="single" w:sz="4" w:space="0" w:color="auto"/>
              <w:bottom w:val="single" w:sz="4" w:space="0" w:color="auto"/>
              <w:right w:val="nil"/>
            </w:tcBorders>
          </w:tcPr>
          <w:p w14:paraId="71CB558C" w14:textId="77777777" w:rsidR="00C604B7" w:rsidRPr="007E4B31" w:rsidRDefault="00C604B7" w:rsidP="001B22F2">
            <w:pPr>
              <w:pStyle w:val="TableText0"/>
              <w:rPr>
                <w:b/>
                <w:bCs w:val="0"/>
              </w:rPr>
            </w:pPr>
            <w:r w:rsidRPr="007E4B31">
              <w:rPr>
                <w:b/>
                <w:bCs w:val="0"/>
              </w:rPr>
              <w:t>(1) Patient weight = 20 kg</w:t>
            </w:r>
          </w:p>
        </w:tc>
        <w:tc>
          <w:tcPr>
            <w:tcW w:w="2497" w:type="dxa"/>
            <w:tcBorders>
              <w:top w:val="single" w:sz="4" w:space="0" w:color="auto"/>
              <w:left w:val="nil"/>
              <w:bottom w:val="single" w:sz="4" w:space="0" w:color="auto"/>
              <w:right w:val="nil"/>
            </w:tcBorders>
          </w:tcPr>
          <w:p w14:paraId="209DC356" w14:textId="77777777" w:rsidR="00C604B7" w:rsidRPr="009B65C7" w:rsidRDefault="00C604B7" w:rsidP="001B22F2">
            <w:pPr>
              <w:pStyle w:val="TableText0"/>
              <w:jc w:val="center"/>
            </w:pPr>
          </w:p>
        </w:tc>
        <w:tc>
          <w:tcPr>
            <w:tcW w:w="2497" w:type="dxa"/>
            <w:tcBorders>
              <w:top w:val="single" w:sz="4" w:space="0" w:color="auto"/>
              <w:left w:val="nil"/>
              <w:bottom w:val="single" w:sz="4" w:space="0" w:color="auto"/>
              <w:right w:val="single" w:sz="4" w:space="0" w:color="auto"/>
            </w:tcBorders>
          </w:tcPr>
          <w:p w14:paraId="5F5B8E3C" w14:textId="77777777" w:rsidR="00C604B7" w:rsidRPr="009B65C7" w:rsidRDefault="00C604B7" w:rsidP="001B22F2">
            <w:pPr>
              <w:pStyle w:val="TableText0"/>
              <w:jc w:val="center"/>
            </w:pPr>
          </w:p>
        </w:tc>
      </w:tr>
      <w:tr w:rsidR="00C604B7" w:rsidRPr="007E4B31" w14:paraId="520115BE" w14:textId="77777777" w:rsidTr="00CE08B0">
        <w:tc>
          <w:tcPr>
            <w:tcW w:w="4106" w:type="dxa"/>
          </w:tcPr>
          <w:p w14:paraId="1C460EE5" w14:textId="77777777" w:rsidR="00C604B7" w:rsidRPr="007E4B31" w:rsidRDefault="00C604B7" w:rsidP="001B22F2">
            <w:pPr>
              <w:pStyle w:val="TableText0"/>
              <w:ind w:left="57"/>
            </w:pPr>
            <w:r w:rsidRPr="007E4B31">
              <w:t xml:space="preserve">Dose per week </w:t>
            </w:r>
            <w:r w:rsidRPr="007E4B31">
              <w:rPr>
                <w:vertAlign w:val="superscript"/>
              </w:rPr>
              <w:t>a</w:t>
            </w:r>
          </w:p>
        </w:tc>
        <w:tc>
          <w:tcPr>
            <w:tcW w:w="2497" w:type="dxa"/>
          </w:tcPr>
          <w:p w14:paraId="46B61832" w14:textId="77777777" w:rsidR="00C604B7" w:rsidRPr="009B65C7" w:rsidRDefault="00C604B7" w:rsidP="001B22F2">
            <w:pPr>
              <w:pStyle w:val="TableText0"/>
              <w:jc w:val="center"/>
            </w:pPr>
            <w:r w:rsidRPr="009B65C7">
              <w:t>3.15 mg</w:t>
            </w:r>
          </w:p>
        </w:tc>
        <w:tc>
          <w:tcPr>
            <w:tcW w:w="2497" w:type="dxa"/>
          </w:tcPr>
          <w:p w14:paraId="52CB080F" w14:textId="77777777" w:rsidR="00C604B7" w:rsidRPr="009B65C7" w:rsidRDefault="00C604B7" w:rsidP="001B22F2">
            <w:pPr>
              <w:pStyle w:val="TableText0"/>
              <w:jc w:val="center"/>
            </w:pPr>
            <w:r w:rsidRPr="009B65C7">
              <w:t>13.10</w:t>
            </w:r>
            <w:r w:rsidRPr="009B65C7">
              <w:rPr>
                <w:b/>
                <w:bCs w:val="0"/>
              </w:rPr>
              <w:t xml:space="preserve"> </w:t>
            </w:r>
            <w:r w:rsidRPr="009B65C7">
              <w:t>mg</w:t>
            </w:r>
          </w:p>
        </w:tc>
      </w:tr>
      <w:tr w:rsidR="00C604B7" w:rsidRPr="007E4B31" w14:paraId="4A70CDEC" w14:textId="77777777" w:rsidTr="00CE08B0">
        <w:tc>
          <w:tcPr>
            <w:tcW w:w="4106" w:type="dxa"/>
          </w:tcPr>
          <w:p w14:paraId="0EAC0241" w14:textId="77777777" w:rsidR="00C604B7" w:rsidRPr="007E4B31" w:rsidRDefault="00C604B7" w:rsidP="001B22F2">
            <w:pPr>
              <w:pStyle w:val="TableText0"/>
              <w:ind w:left="57"/>
            </w:pPr>
            <w:r w:rsidRPr="007E4B31">
              <w:t>Total medicine cost per week</w:t>
            </w:r>
          </w:p>
        </w:tc>
        <w:tc>
          <w:tcPr>
            <w:tcW w:w="2497" w:type="dxa"/>
          </w:tcPr>
          <w:p w14:paraId="77DF1E20" w14:textId="77777777" w:rsidR="00C604B7" w:rsidRPr="009B65C7" w:rsidRDefault="00C604B7" w:rsidP="001B22F2">
            <w:pPr>
              <w:pStyle w:val="TableText0"/>
              <w:jc w:val="center"/>
            </w:pPr>
            <w:r w:rsidRPr="009B65C7">
              <w:t>$196.77</w:t>
            </w:r>
            <w:r w:rsidRPr="009B65C7">
              <w:rPr>
                <w:vertAlign w:val="superscript"/>
              </w:rPr>
              <w:t xml:space="preserve"> b</w:t>
            </w:r>
          </w:p>
        </w:tc>
        <w:tc>
          <w:tcPr>
            <w:tcW w:w="2497" w:type="dxa"/>
          </w:tcPr>
          <w:p w14:paraId="45939967" w14:textId="77777777" w:rsidR="00C604B7" w:rsidRPr="009B65C7" w:rsidRDefault="00C604B7" w:rsidP="001B22F2">
            <w:pPr>
              <w:pStyle w:val="TableText0"/>
              <w:jc w:val="center"/>
            </w:pPr>
            <w:r w:rsidRPr="009B65C7">
              <w:t>$196.77</w:t>
            </w:r>
          </w:p>
        </w:tc>
      </w:tr>
      <w:tr w:rsidR="00C604B7" w:rsidRPr="007E4B31" w14:paraId="442EEA24" w14:textId="77777777" w:rsidTr="00CE08B0">
        <w:tc>
          <w:tcPr>
            <w:tcW w:w="4106" w:type="dxa"/>
          </w:tcPr>
          <w:p w14:paraId="6498B7D7" w14:textId="77777777" w:rsidR="00C604B7" w:rsidRPr="007E4B31" w:rsidRDefault="00C604B7" w:rsidP="001B22F2">
            <w:pPr>
              <w:pStyle w:val="TableText0"/>
              <w:ind w:left="57"/>
            </w:pPr>
            <w:r w:rsidRPr="007E4B31">
              <w:t>Cost per dose (AEMP)</w:t>
            </w:r>
          </w:p>
        </w:tc>
        <w:tc>
          <w:tcPr>
            <w:tcW w:w="2497" w:type="dxa"/>
          </w:tcPr>
          <w:p w14:paraId="51D19C87" w14:textId="77777777" w:rsidR="00C604B7" w:rsidRPr="009B65C7" w:rsidRDefault="00C604B7" w:rsidP="001B22F2">
            <w:pPr>
              <w:pStyle w:val="TableText0"/>
              <w:jc w:val="center"/>
            </w:pPr>
            <w:r w:rsidRPr="009B65C7">
              <w:t>$62.50 per mg</w:t>
            </w:r>
          </w:p>
        </w:tc>
        <w:tc>
          <w:tcPr>
            <w:tcW w:w="2497" w:type="dxa"/>
          </w:tcPr>
          <w:p w14:paraId="716ED6AF" w14:textId="77777777" w:rsidR="00C604B7" w:rsidRPr="009B65C7" w:rsidRDefault="00C604B7" w:rsidP="001B22F2">
            <w:pPr>
              <w:pStyle w:val="TableText0"/>
              <w:jc w:val="center"/>
            </w:pPr>
            <w:r w:rsidRPr="009B65C7">
              <w:t>$15.02 per mg</w:t>
            </w:r>
          </w:p>
        </w:tc>
      </w:tr>
      <w:tr w:rsidR="00C604B7" w:rsidRPr="007E4B31" w14:paraId="01B0DC36" w14:textId="77777777" w:rsidTr="00CE08B0">
        <w:tc>
          <w:tcPr>
            <w:tcW w:w="4106" w:type="dxa"/>
            <w:tcBorders>
              <w:bottom w:val="single" w:sz="4" w:space="0" w:color="auto"/>
            </w:tcBorders>
          </w:tcPr>
          <w:p w14:paraId="56D93693" w14:textId="77777777" w:rsidR="00C604B7" w:rsidRPr="007E4B31" w:rsidRDefault="00C604B7" w:rsidP="001B22F2">
            <w:pPr>
              <w:pStyle w:val="TableText0"/>
              <w:ind w:left="57"/>
            </w:pPr>
            <w:r w:rsidRPr="007E4B31">
              <w:t>Difference in cost per week cf. base case</w:t>
            </w:r>
          </w:p>
        </w:tc>
        <w:tc>
          <w:tcPr>
            <w:tcW w:w="2497" w:type="dxa"/>
            <w:tcBorders>
              <w:bottom w:val="single" w:sz="4" w:space="0" w:color="auto"/>
            </w:tcBorders>
          </w:tcPr>
          <w:p w14:paraId="660F9AE3" w14:textId="77777777" w:rsidR="00C604B7" w:rsidRPr="009B65C7" w:rsidRDefault="00C604B7" w:rsidP="001B22F2">
            <w:pPr>
              <w:pStyle w:val="TableText0"/>
              <w:jc w:val="center"/>
            </w:pPr>
            <w:r w:rsidRPr="009B65C7">
              <w:t>-$98.39</w:t>
            </w:r>
          </w:p>
        </w:tc>
        <w:tc>
          <w:tcPr>
            <w:tcW w:w="2497" w:type="dxa"/>
            <w:tcBorders>
              <w:bottom w:val="single" w:sz="4" w:space="0" w:color="auto"/>
            </w:tcBorders>
          </w:tcPr>
          <w:p w14:paraId="7FB5EF78" w14:textId="77777777" w:rsidR="00C604B7" w:rsidRPr="009B65C7" w:rsidRDefault="00C604B7" w:rsidP="001B22F2">
            <w:pPr>
              <w:pStyle w:val="TableText0"/>
              <w:jc w:val="center"/>
            </w:pPr>
            <w:r w:rsidRPr="009B65C7">
              <w:t>-$98.39</w:t>
            </w:r>
          </w:p>
        </w:tc>
      </w:tr>
      <w:tr w:rsidR="00C604B7" w:rsidRPr="007E4B31" w14:paraId="30E5C6DF" w14:textId="77777777" w:rsidTr="00CE08B0">
        <w:tc>
          <w:tcPr>
            <w:tcW w:w="4106" w:type="dxa"/>
            <w:tcBorders>
              <w:top w:val="single" w:sz="4" w:space="0" w:color="auto"/>
              <w:left w:val="single" w:sz="4" w:space="0" w:color="auto"/>
              <w:bottom w:val="single" w:sz="4" w:space="0" w:color="auto"/>
              <w:right w:val="nil"/>
            </w:tcBorders>
          </w:tcPr>
          <w:p w14:paraId="78FCC2C7" w14:textId="77777777" w:rsidR="00C604B7" w:rsidRPr="007E4B31" w:rsidRDefault="00C604B7" w:rsidP="001B22F2">
            <w:pPr>
              <w:pStyle w:val="TableText0"/>
            </w:pPr>
            <w:r w:rsidRPr="007E4B31">
              <w:rPr>
                <w:b/>
                <w:bCs w:val="0"/>
              </w:rPr>
              <w:t>(2) Patient weight = 40 kg</w:t>
            </w:r>
          </w:p>
        </w:tc>
        <w:tc>
          <w:tcPr>
            <w:tcW w:w="2497" w:type="dxa"/>
            <w:tcBorders>
              <w:top w:val="single" w:sz="4" w:space="0" w:color="auto"/>
              <w:left w:val="nil"/>
              <w:bottom w:val="single" w:sz="4" w:space="0" w:color="auto"/>
              <w:right w:val="nil"/>
            </w:tcBorders>
          </w:tcPr>
          <w:p w14:paraId="13C95139" w14:textId="77777777" w:rsidR="00C604B7" w:rsidRPr="009B65C7" w:rsidRDefault="00C604B7" w:rsidP="001B22F2">
            <w:pPr>
              <w:pStyle w:val="TableText0"/>
              <w:jc w:val="center"/>
            </w:pPr>
          </w:p>
        </w:tc>
        <w:tc>
          <w:tcPr>
            <w:tcW w:w="2497" w:type="dxa"/>
            <w:tcBorders>
              <w:top w:val="single" w:sz="4" w:space="0" w:color="auto"/>
              <w:left w:val="nil"/>
              <w:bottom w:val="single" w:sz="4" w:space="0" w:color="auto"/>
              <w:right w:val="single" w:sz="4" w:space="0" w:color="auto"/>
            </w:tcBorders>
          </w:tcPr>
          <w:p w14:paraId="2D3DA4BE" w14:textId="77777777" w:rsidR="00C604B7" w:rsidRPr="009B65C7" w:rsidRDefault="00C604B7" w:rsidP="001B22F2">
            <w:pPr>
              <w:pStyle w:val="TableText0"/>
              <w:jc w:val="center"/>
            </w:pPr>
          </w:p>
        </w:tc>
      </w:tr>
      <w:tr w:rsidR="00C604B7" w:rsidRPr="007E4B31" w14:paraId="7FC7394D" w14:textId="77777777" w:rsidTr="00CE08B0">
        <w:tc>
          <w:tcPr>
            <w:tcW w:w="4106" w:type="dxa"/>
          </w:tcPr>
          <w:p w14:paraId="7A0B152D" w14:textId="77777777" w:rsidR="00C604B7" w:rsidRPr="007E4B31" w:rsidRDefault="00C604B7" w:rsidP="001B22F2">
            <w:pPr>
              <w:pStyle w:val="TableText0"/>
              <w:ind w:left="57"/>
            </w:pPr>
            <w:r w:rsidRPr="007E4B31">
              <w:t xml:space="preserve">Dose per week </w:t>
            </w:r>
            <w:r w:rsidRPr="007E4B31">
              <w:rPr>
                <w:vertAlign w:val="superscript"/>
              </w:rPr>
              <w:t>a</w:t>
            </w:r>
          </w:p>
        </w:tc>
        <w:tc>
          <w:tcPr>
            <w:tcW w:w="2497" w:type="dxa"/>
          </w:tcPr>
          <w:p w14:paraId="16385A15" w14:textId="77777777" w:rsidR="00C604B7" w:rsidRPr="009B65C7" w:rsidRDefault="00C604B7" w:rsidP="001B22F2">
            <w:pPr>
              <w:pStyle w:val="TableText0"/>
              <w:jc w:val="center"/>
            </w:pPr>
            <w:r w:rsidRPr="009B65C7">
              <w:t>6.30 mg</w:t>
            </w:r>
          </w:p>
        </w:tc>
        <w:tc>
          <w:tcPr>
            <w:tcW w:w="2497" w:type="dxa"/>
          </w:tcPr>
          <w:p w14:paraId="0AE49F7D" w14:textId="77777777" w:rsidR="00C604B7" w:rsidRPr="009B65C7" w:rsidRDefault="00C604B7" w:rsidP="001B22F2">
            <w:pPr>
              <w:pStyle w:val="TableText0"/>
              <w:jc w:val="center"/>
            </w:pPr>
            <w:r w:rsidRPr="009B65C7">
              <w:t xml:space="preserve">26.20 mg </w:t>
            </w:r>
          </w:p>
        </w:tc>
      </w:tr>
      <w:tr w:rsidR="00C604B7" w:rsidRPr="007E4B31" w14:paraId="0B601172" w14:textId="77777777" w:rsidTr="00CE08B0">
        <w:tc>
          <w:tcPr>
            <w:tcW w:w="4106" w:type="dxa"/>
          </w:tcPr>
          <w:p w14:paraId="18EE3656" w14:textId="77777777" w:rsidR="00C604B7" w:rsidRPr="007E4B31" w:rsidRDefault="00C604B7" w:rsidP="001B22F2">
            <w:pPr>
              <w:pStyle w:val="TableText0"/>
              <w:ind w:left="57"/>
            </w:pPr>
            <w:r w:rsidRPr="007E4B31">
              <w:t>Total medicine cost per week</w:t>
            </w:r>
          </w:p>
        </w:tc>
        <w:tc>
          <w:tcPr>
            <w:tcW w:w="2497" w:type="dxa"/>
          </w:tcPr>
          <w:p w14:paraId="05A7425C" w14:textId="77777777" w:rsidR="00C604B7" w:rsidRPr="009B65C7" w:rsidRDefault="00C604B7" w:rsidP="001B22F2">
            <w:pPr>
              <w:pStyle w:val="TableText0"/>
              <w:jc w:val="center"/>
            </w:pPr>
            <w:r w:rsidRPr="009B65C7">
              <w:t>$393.55</w:t>
            </w:r>
            <w:r w:rsidRPr="009B65C7">
              <w:rPr>
                <w:vertAlign w:val="superscript"/>
              </w:rPr>
              <w:t xml:space="preserve"> b</w:t>
            </w:r>
          </w:p>
        </w:tc>
        <w:tc>
          <w:tcPr>
            <w:tcW w:w="2497" w:type="dxa"/>
          </w:tcPr>
          <w:p w14:paraId="7CA970FA" w14:textId="77777777" w:rsidR="00C604B7" w:rsidRPr="009B65C7" w:rsidRDefault="00C604B7" w:rsidP="001B22F2">
            <w:pPr>
              <w:pStyle w:val="TableText0"/>
              <w:jc w:val="center"/>
            </w:pPr>
            <w:r w:rsidRPr="009B65C7">
              <w:t>$393.55</w:t>
            </w:r>
          </w:p>
        </w:tc>
      </w:tr>
      <w:tr w:rsidR="00C604B7" w:rsidRPr="007E4B31" w14:paraId="1BA75A59" w14:textId="77777777" w:rsidTr="00CE08B0">
        <w:tc>
          <w:tcPr>
            <w:tcW w:w="4106" w:type="dxa"/>
          </w:tcPr>
          <w:p w14:paraId="7F8A082B" w14:textId="77777777" w:rsidR="00C604B7" w:rsidRPr="007E4B31" w:rsidRDefault="00C604B7" w:rsidP="001B22F2">
            <w:pPr>
              <w:pStyle w:val="TableText0"/>
              <w:ind w:left="57"/>
            </w:pPr>
            <w:r w:rsidRPr="007E4B31">
              <w:t>Cost per dose (AEMP)</w:t>
            </w:r>
          </w:p>
        </w:tc>
        <w:tc>
          <w:tcPr>
            <w:tcW w:w="2497" w:type="dxa"/>
          </w:tcPr>
          <w:p w14:paraId="6D685DF1" w14:textId="77777777" w:rsidR="00C604B7" w:rsidRPr="009B65C7" w:rsidRDefault="00C604B7" w:rsidP="001B22F2">
            <w:pPr>
              <w:pStyle w:val="TableText0"/>
              <w:jc w:val="center"/>
            </w:pPr>
            <w:r w:rsidRPr="009B65C7">
              <w:t>$62.50 per mg</w:t>
            </w:r>
          </w:p>
        </w:tc>
        <w:tc>
          <w:tcPr>
            <w:tcW w:w="2497" w:type="dxa"/>
          </w:tcPr>
          <w:p w14:paraId="57E8DE5C" w14:textId="77777777" w:rsidR="00C604B7" w:rsidRPr="009B65C7" w:rsidRDefault="00C604B7" w:rsidP="001B22F2">
            <w:pPr>
              <w:pStyle w:val="TableText0"/>
              <w:jc w:val="center"/>
            </w:pPr>
            <w:r w:rsidRPr="009B65C7">
              <w:t>$15.02 per mg</w:t>
            </w:r>
          </w:p>
        </w:tc>
      </w:tr>
      <w:tr w:rsidR="00C604B7" w:rsidRPr="007E4B31" w14:paraId="7B83C365" w14:textId="77777777" w:rsidTr="00CE08B0">
        <w:tc>
          <w:tcPr>
            <w:tcW w:w="4106" w:type="dxa"/>
            <w:tcBorders>
              <w:bottom w:val="single" w:sz="4" w:space="0" w:color="auto"/>
            </w:tcBorders>
          </w:tcPr>
          <w:p w14:paraId="7E41C386" w14:textId="77777777" w:rsidR="00C604B7" w:rsidRPr="007E4B31" w:rsidRDefault="00C604B7" w:rsidP="001B22F2">
            <w:pPr>
              <w:pStyle w:val="TableText0"/>
              <w:ind w:left="57"/>
            </w:pPr>
            <w:r w:rsidRPr="007E4B31">
              <w:t>Difference in cost per week cf. base case</w:t>
            </w:r>
          </w:p>
        </w:tc>
        <w:tc>
          <w:tcPr>
            <w:tcW w:w="2497" w:type="dxa"/>
            <w:tcBorders>
              <w:bottom w:val="single" w:sz="4" w:space="0" w:color="auto"/>
            </w:tcBorders>
          </w:tcPr>
          <w:p w14:paraId="3BF6D88D" w14:textId="77777777" w:rsidR="00C604B7" w:rsidRPr="007E4B31" w:rsidRDefault="00C604B7" w:rsidP="001B22F2">
            <w:pPr>
              <w:pStyle w:val="TableText0"/>
              <w:jc w:val="center"/>
            </w:pPr>
            <w:r w:rsidRPr="007E4B31">
              <w:t>$98.39</w:t>
            </w:r>
          </w:p>
        </w:tc>
        <w:tc>
          <w:tcPr>
            <w:tcW w:w="2497" w:type="dxa"/>
            <w:tcBorders>
              <w:bottom w:val="single" w:sz="4" w:space="0" w:color="auto"/>
            </w:tcBorders>
          </w:tcPr>
          <w:p w14:paraId="07DE7038" w14:textId="77777777" w:rsidR="00C604B7" w:rsidRPr="007E4B31" w:rsidRDefault="00C604B7" w:rsidP="001B22F2">
            <w:pPr>
              <w:pStyle w:val="TableText0"/>
              <w:jc w:val="center"/>
            </w:pPr>
            <w:r w:rsidRPr="007E4B31">
              <w:t>$98.39</w:t>
            </w:r>
          </w:p>
        </w:tc>
      </w:tr>
    </w:tbl>
    <w:p w14:paraId="08EBFC98" w14:textId="77777777" w:rsidR="00C604B7" w:rsidRPr="007E4B31" w:rsidRDefault="00C604B7" w:rsidP="001B22F2">
      <w:pPr>
        <w:pStyle w:val="TableFooter"/>
      </w:pPr>
      <w:r w:rsidRPr="007E4B31">
        <w:t xml:space="preserve">AEMP = approved ex-manufacturer price </w:t>
      </w:r>
    </w:p>
    <w:p w14:paraId="60461348" w14:textId="0DECA475" w:rsidR="00C604B7" w:rsidRPr="007E4B31" w:rsidRDefault="00C604B7" w:rsidP="001B22F2">
      <w:pPr>
        <w:pStyle w:val="TableFooter"/>
      </w:pPr>
      <w:r w:rsidRPr="007E4B31">
        <w:rPr>
          <w:vertAlign w:val="superscript"/>
        </w:rPr>
        <w:t>a</w:t>
      </w:r>
      <w:r w:rsidRPr="007E4B31">
        <w:t xml:space="preserve"> Equi-effective doses: somapacitan = 0.157 mg/kg/week; somatrogon = 0.655 mg/kg/week. Assumed a uniform average weight of 30</w:t>
      </w:r>
      <w:r w:rsidR="008A6099" w:rsidRPr="007E4B31">
        <w:t xml:space="preserve"> </w:t>
      </w:r>
      <w:r w:rsidRPr="007E4B31">
        <w:t xml:space="preserve">kg (or specified weight in the sensitivity analysis i.e., 20 or 40 kg) that stays consistent over time. </w:t>
      </w:r>
    </w:p>
    <w:p w14:paraId="76C4B643" w14:textId="029E8DE4" w:rsidR="00C604B7" w:rsidRPr="007E4B31" w:rsidRDefault="00C604B7" w:rsidP="001B22F2">
      <w:pPr>
        <w:pStyle w:val="TableFooter"/>
      </w:pPr>
      <w:r w:rsidRPr="007E4B31">
        <w:rPr>
          <w:vertAlign w:val="superscript"/>
        </w:rPr>
        <w:t xml:space="preserve">b </w:t>
      </w:r>
      <w:r w:rsidRPr="007E4B31">
        <w:t xml:space="preserve">Assumed equal to somatrogon. </w:t>
      </w:r>
    </w:p>
    <w:p w14:paraId="73910F37" w14:textId="77777777" w:rsidR="00C604B7" w:rsidRPr="007E4B31" w:rsidRDefault="00C604B7" w:rsidP="001B22F2">
      <w:pPr>
        <w:pStyle w:val="TableFooter"/>
      </w:pPr>
    </w:p>
    <w:p w14:paraId="1F0199F5" w14:textId="15F52B98" w:rsidR="00C604B7" w:rsidRPr="007E4B31" w:rsidRDefault="00C604B7" w:rsidP="001B22F2">
      <w:pPr>
        <w:pStyle w:val="3-BodyText"/>
        <w:rPr>
          <w:iCs/>
          <w:snapToGrid/>
        </w:rPr>
      </w:pPr>
      <w:r w:rsidRPr="007E4B31">
        <w:rPr>
          <w:iCs/>
          <w:snapToGrid/>
        </w:rPr>
        <w:t>Converting these weekly cost estimates into cost per year (i.e., multipl</w:t>
      </w:r>
      <w:r w:rsidR="0042600C">
        <w:rPr>
          <w:iCs/>
          <w:snapToGrid/>
        </w:rPr>
        <w:t>ying</w:t>
      </w:r>
      <w:r w:rsidRPr="007E4B31">
        <w:rPr>
          <w:iCs/>
          <w:snapToGrid/>
        </w:rPr>
        <w:t xml:space="preserve"> the cost per week by 52) resulted in yearly costs of $15,348 for a 30 kg child, $10,232 for a 20</w:t>
      </w:r>
      <w:r w:rsidR="009B173E">
        <w:rPr>
          <w:iCs/>
          <w:snapToGrid/>
        </w:rPr>
        <w:t> </w:t>
      </w:r>
      <w:r w:rsidRPr="007E4B31">
        <w:rPr>
          <w:iCs/>
          <w:snapToGrid/>
        </w:rPr>
        <w:t>kg child, and $20,464 for a 40 kg child. Only the base case (v</w:t>
      </w:r>
      <w:r w:rsidR="009B62E1">
        <w:rPr>
          <w:iCs/>
          <w:snapToGrid/>
        </w:rPr>
        <w:t>ersu</w:t>
      </w:r>
      <w:r w:rsidRPr="007E4B31">
        <w:rPr>
          <w:iCs/>
          <w:snapToGrid/>
        </w:rPr>
        <w:t xml:space="preserve">s somatrogon) </w:t>
      </w:r>
      <w:proofErr w:type="gramStart"/>
      <w:r w:rsidR="00E815C1" w:rsidRPr="007E4B31">
        <w:rPr>
          <w:iCs/>
          <w:snapToGrid/>
        </w:rPr>
        <w:t>wa</w:t>
      </w:r>
      <w:r w:rsidRPr="007E4B31">
        <w:rPr>
          <w:iCs/>
          <w:snapToGrid/>
        </w:rPr>
        <w:t>s presented</w:t>
      </w:r>
      <w:proofErr w:type="gramEnd"/>
      <w:r w:rsidRPr="007E4B31">
        <w:rPr>
          <w:iCs/>
          <w:snapToGrid/>
        </w:rPr>
        <w:t>. The sensitivity analysis (v</w:t>
      </w:r>
      <w:r w:rsidR="009B62E1">
        <w:rPr>
          <w:iCs/>
          <w:snapToGrid/>
        </w:rPr>
        <w:t>ersu</w:t>
      </w:r>
      <w:r w:rsidRPr="007E4B31">
        <w:rPr>
          <w:iCs/>
          <w:snapToGrid/>
        </w:rPr>
        <w:t>s somatropin) resulted in a slightly higher cost compared to the base case for each respective weight.</w:t>
      </w:r>
    </w:p>
    <w:p w14:paraId="1B7C11EA" w14:textId="77777777" w:rsidR="00C604B7" w:rsidRPr="007E4B31" w:rsidRDefault="00C604B7" w:rsidP="00355B31">
      <w:pPr>
        <w:pStyle w:val="4-SubsectionHeading"/>
      </w:pPr>
      <w:bookmarkStart w:id="44" w:name="_Toc22897647"/>
      <w:bookmarkStart w:id="45" w:name="_Toc134493589"/>
      <w:bookmarkEnd w:id="42"/>
      <w:r w:rsidRPr="007E4B31">
        <w:t xml:space="preserve">Estimated PBS usage &amp; financial </w:t>
      </w:r>
      <w:proofErr w:type="gramStart"/>
      <w:r w:rsidRPr="007E4B31">
        <w:t>implications</w:t>
      </w:r>
      <w:bookmarkEnd w:id="44"/>
      <w:bookmarkEnd w:id="45"/>
      <w:proofErr w:type="gramEnd"/>
    </w:p>
    <w:p w14:paraId="01C8038C" w14:textId="7A2E5808" w:rsidR="00C604B7" w:rsidRPr="007E4B31" w:rsidRDefault="00C604B7" w:rsidP="001B22F2">
      <w:pPr>
        <w:pStyle w:val="3-BodyText"/>
      </w:pPr>
      <w:r w:rsidRPr="007E4B31">
        <w:t xml:space="preserve">This submission </w:t>
      </w:r>
      <w:proofErr w:type="gramStart"/>
      <w:r w:rsidR="00BF2E9A" w:rsidRPr="007E4B31">
        <w:t>was not</w:t>
      </w:r>
      <w:r w:rsidRPr="007E4B31">
        <w:t xml:space="preserve"> considered</w:t>
      </w:r>
      <w:proofErr w:type="gramEnd"/>
      <w:r w:rsidRPr="007E4B31">
        <w:t xml:space="preserve"> by DUSC. </w:t>
      </w:r>
    </w:p>
    <w:p w14:paraId="713CB48C" w14:textId="3B858BEC" w:rsidR="00C604B7" w:rsidRPr="007E4B31" w:rsidRDefault="00C604B7" w:rsidP="001B22F2">
      <w:pPr>
        <w:pStyle w:val="3-BodyText"/>
      </w:pPr>
      <w:r w:rsidRPr="007E4B31">
        <w:t>The submission used a market</w:t>
      </w:r>
      <w:r w:rsidR="007073CE">
        <w:t xml:space="preserve"> </w:t>
      </w:r>
      <w:r w:rsidRPr="007E4B31">
        <w:t xml:space="preserve">share approach to estimate the usage and </w:t>
      </w:r>
      <w:proofErr w:type="gramStart"/>
      <w:r w:rsidRPr="007E4B31">
        <w:t>financial impact</w:t>
      </w:r>
      <w:proofErr w:type="gramEnd"/>
      <w:r w:rsidRPr="007E4B31">
        <w:t xml:space="preserve"> of PBS listing somapacitan once</w:t>
      </w:r>
      <w:r w:rsidR="00073551">
        <w:t xml:space="preserve"> </w:t>
      </w:r>
      <w:r w:rsidRPr="007E4B31">
        <w:t xml:space="preserve">weekly as an alternative to somatrogon in paediatric patients for the treatment of SSABGHD and SSSG. </w:t>
      </w:r>
    </w:p>
    <w:p w14:paraId="40E762E3" w14:textId="7238BD5A" w:rsidR="00C604B7" w:rsidRPr="007E4B31" w:rsidRDefault="00C604B7" w:rsidP="001B22F2">
      <w:pPr>
        <w:pStyle w:val="3-BodyText"/>
      </w:pPr>
      <w:r w:rsidRPr="007E4B31">
        <w:t xml:space="preserve">The data sources used in the submission were the 10% PBS sample data, PBS utilisation statistics, REAL-4, and the Centre for Disease Control (CDC) growth charts. The market share approach assumed that 20% of the estimated patients in 2023 (Year 1) will receive once weekly GH therapy, </w:t>
      </w:r>
      <w:r w:rsidR="008E785F">
        <w:t xml:space="preserve">and that use would </w:t>
      </w:r>
      <w:proofErr w:type="gramStart"/>
      <w:r w:rsidR="008E785F">
        <w:t>be</w:t>
      </w:r>
      <w:r w:rsidRPr="007E4B31">
        <w:t xml:space="preserve"> equally distributed</w:t>
      </w:r>
      <w:proofErr w:type="gramEnd"/>
      <w:r w:rsidRPr="007E4B31">
        <w:t xml:space="preserve"> between somapacitan and somatrogon (10% each)</w:t>
      </w:r>
      <w:r w:rsidR="00C92ABC" w:rsidRPr="007E4B31">
        <w:t xml:space="preserve"> increasing annually thereafter to </w:t>
      </w:r>
      <w:r w:rsidRPr="007E4B31">
        <w:t xml:space="preserve">65% (i.e., 32.5% each) </w:t>
      </w:r>
      <w:r w:rsidR="008E785F">
        <w:t xml:space="preserve">in </w:t>
      </w:r>
      <w:r w:rsidRPr="007E4B31">
        <w:t xml:space="preserve">2028 (Year 6). The market share of somatropin </w:t>
      </w:r>
      <w:proofErr w:type="gramStart"/>
      <w:r w:rsidRPr="007E4B31">
        <w:t>was not expected</w:t>
      </w:r>
      <w:proofErr w:type="gramEnd"/>
      <w:r w:rsidRPr="007E4B31">
        <w:t xml:space="preserve"> to change given somapacitan was expected to replace somatrogon as an alternative once-weekly GH treatment, thus was not included in the financial estimates, </w:t>
      </w:r>
      <w:r w:rsidRPr="007E4B31">
        <w:rPr>
          <w:iCs/>
        </w:rPr>
        <w:t>which was reasonable</w:t>
      </w:r>
      <w:r w:rsidRPr="007E4B31">
        <w:t xml:space="preserve">. </w:t>
      </w:r>
    </w:p>
    <w:p w14:paraId="07C96AF8" w14:textId="2C608762" w:rsidR="00C604B7" w:rsidRPr="007E4B31" w:rsidRDefault="00C604B7" w:rsidP="001B22F2">
      <w:pPr>
        <w:pStyle w:val="3-BodyText"/>
      </w:pPr>
      <w:r w:rsidRPr="007E4B31">
        <w:lastRenderedPageBreak/>
        <w:t xml:space="preserve">The approach taken to estimating the market share for somapacitan was reasonable, </w:t>
      </w:r>
      <w:r w:rsidR="001726E3" w:rsidRPr="007E4B31">
        <w:t xml:space="preserve">and key </w:t>
      </w:r>
      <w:r w:rsidRPr="007E4B31">
        <w:t xml:space="preserve">inputs </w:t>
      </w:r>
      <w:proofErr w:type="gramStart"/>
      <w:r w:rsidRPr="007E4B31">
        <w:t xml:space="preserve">are </w:t>
      </w:r>
      <w:r w:rsidR="001726E3" w:rsidRPr="007E4B31">
        <w:t>presented</w:t>
      </w:r>
      <w:proofErr w:type="gramEnd"/>
      <w:r w:rsidR="001726E3" w:rsidRPr="007E4B31">
        <w:t xml:space="preserve"> </w:t>
      </w:r>
      <w:r w:rsidRPr="007E4B31">
        <w:t xml:space="preserve">in </w:t>
      </w:r>
      <w:r w:rsidRPr="007E4B31">
        <w:fldChar w:fldCharType="begin" w:fldLock="1"/>
      </w:r>
      <w:r w:rsidRPr="007E4B31">
        <w:instrText xml:space="preserve"> REF _Ref133904169 \h </w:instrText>
      </w:r>
      <w:r w:rsidR="00370FF4" w:rsidRPr="007E4B31">
        <w:instrText xml:space="preserve"> \* MERGEFORMAT </w:instrText>
      </w:r>
      <w:r w:rsidRPr="007E4B31">
        <w:fldChar w:fldCharType="separate"/>
      </w:r>
      <w:r w:rsidR="00D3534F" w:rsidRPr="007E4B31">
        <w:t xml:space="preserve">Table </w:t>
      </w:r>
      <w:r w:rsidR="00D3534F">
        <w:rPr>
          <w:noProof/>
        </w:rPr>
        <w:t>10</w:t>
      </w:r>
      <w:r w:rsidRPr="007E4B31">
        <w:fldChar w:fldCharType="end"/>
      </w:r>
      <w:r w:rsidRPr="007E4B31">
        <w:t xml:space="preserve">. </w:t>
      </w:r>
    </w:p>
    <w:p w14:paraId="55197107" w14:textId="52878EF3" w:rsidR="00C604B7" w:rsidRPr="007E4B31" w:rsidRDefault="00C604B7" w:rsidP="00C01433">
      <w:pPr>
        <w:pStyle w:val="Caption"/>
      </w:pPr>
      <w:bookmarkStart w:id="46" w:name="_Ref133904169"/>
      <w:r w:rsidRPr="007E4B31">
        <w:t xml:space="preserve">Table </w:t>
      </w:r>
      <w:r w:rsidR="00402BC2">
        <w:fldChar w:fldCharType="begin" w:fldLock="1"/>
      </w:r>
      <w:r w:rsidR="00402BC2">
        <w:instrText xml:space="preserve"> SEQ Table \* ARABIC </w:instrText>
      </w:r>
      <w:r w:rsidR="00402BC2">
        <w:fldChar w:fldCharType="separate"/>
      </w:r>
      <w:r w:rsidR="00D3534F">
        <w:rPr>
          <w:noProof/>
        </w:rPr>
        <w:t>10</w:t>
      </w:r>
      <w:r w:rsidR="00402BC2">
        <w:rPr>
          <w:noProof/>
        </w:rPr>
        <w:fldChar w:fldCharType="end"/>
      </w:r>
      <w:bookmarkEnd w:id="46"/>
      <w:r w:rsidRPr="007E4B31">
        <w:t xml:space="preserve">: Key inputs for financial estimates </w:t>
      </w:r>
    </w:p>
    <w:tbl>
      <w:tblPr>
        <w:tblStyle w:val="HTATableshaded"/>
        <w:tblW w:w="5000" w:type="pct"/>
        <w:tblLayout w:type="fixed"/>
        <w:tblLook w:val="04A0" w:firstRow="1" w:lastRow="0" w:firstColumn="1" w:lastColumn="0" w:noHBand="0" w:noVBand="1"/>
      </w:tblPr>
      <w:tblGrid>
        <w:gridCol w:w="1075"/>
        <w:gridCol w:w="5724"/>
        <w:gridCol w:w="2218"/>
      </w:tblGrid>
      <w:tr w:rsidR="00236B7A" w:rsidRPr="007E4B31" w14:paraId="1AAF9E8E" w14:textId="77777777" w:rsidTr="00C01433">
        <w:trPr>
          <w:cnfStyle w:val="100000000000" w:firstRow="1" w:lastRow="0" w:firstColumn="0" w:lastColumn="0" w:oddVBand="0" w:evenVBand="0" w:oddHBand="0" w:evenHBand="0" w:firstRowFirstColumn="0" w:firstRowLastColumn="0" w:lastRowFirstColumn="0" w:lastRowLastColumn="0"/>
          <w:tblHeader/>
        </w:trPr>
        <w:tc>
          <w:tcPr>
            <w:tcW w:w="1075" w:type="dxa"/>
            <w:tcMar>
              <w:left w:w="40" w:type="dxa"/>
              <w:right w:w="40" w:type="dxa"/>
            </w:tcMar>
            <w:vAlign w:val="center"/>
          </w:tcPr>
          <w:p w14:paraId="0751C63F" w14:textId="77777777" w:rsidR="00236B7A" w:rsidRPr="007E4B31" w:rsidRDefault="00236B7A" w:rsidP="00C01433">
            <w:pPr>
              <w:keepNext/>
              <w:keepLines/>
              <w:rPr>
                <w:rFonts w:ascii="Arial Narrow" w:hAnsi="Arial Narrow"/>
                <w:b/>
                <w:bCs/>
                <w:sz w:val="20"/>
                <w:szCs w:val="20"/>
              </w:rPr>
            </w:pPr>
            <w:r w:rsidRPr="007E4B31">
              <w:rPr>
                <w:rFonts w:ascii="Arial Narrow" w:hAnsi="Arial Narrow"/>
                <w:b/>
                <w:bCs/>
                <w:sz w:val="20"/>
                <w:szCs w:val="20"/>
              </w:rPr>
              <w:t>Data</w:t>
            </w:r>
          </w:p>
        </w:tc>
        <w:tc>
          <w:tcPr>
            <w:tcW w:w="5724" w:type="dxa"/>
            <w:tcMar>
              <w:left w:w="40" w:type="dxa"/>
              <w:right w:w="40" w:type="dxa"/>
            </w:tcMar>
            <w:vAlign w:val="center"/>
          </w:tcPr>
          <w:p w14:paraId="672F16B5" w14:textId="77777777" w:rsidR="00236B7A" w:rsidRPr="007E4B31" w:rsidRDefault="00236B7A" w:rsidP="00C01433">
            <w:pPr>
              <w:keepNext/>
              <w:keepLines/>
              <w:jc w:val="center"/>
              <w:rPr>
                <w:rFonts w:ascii="Arial Narrow" w:hAnsi="Arial Narrow"/>
                <w:b/>
                <w:bCs/>
                <w:sz w:val="20"/>
                <w:szCs w:val="20"/>
              </w:rPr>
            </w:pPr>
            <w:r w:rsidRPr="007E4B31">
              <w:rPr>
                <w:rFonts w:ascii="Arial Narrow" w:hAnsi="Arial Narrow"/>
                <w:b/>
                <w:bCs/>
                <w:sz w:val="20"/>
                <w:szCs w:val="20"/>
              </w:rPr>
              <w:t>Value applied and source</w:t>
            </w:r>
          </w:p>
        </w:tc>
        <w:tc>
          <w:tcPr>
            <w:tcW w:w="2218" w:type="dxa"/>
            <w:tcMar>
              <w:left w:w="40" w:type="dxa"/>
              <w:right w:w="40" w:type="dxa"/>
            </w:tcMar>
            <w:vAlign w:val="center"/>
          </w:tcPr>
          <w:p w14:paraId="148703F6" w14:textId="77777777" w:rsidR="00236B7A" w:rsidRPr="007E4B31" w:rsidRDefault="00236B7A" w:rsidP="00C01433">
            <w:pPr>
              <w:keepNext/>
              <w:keepLines/>
              <w:jc w:val="center"/>
              <w:rPr>
                <w:rFonts w:ascii="Arial Narrow" w:hAnsi="Arial Narrow"/>
                <w:b/>
                <w:bCs/>
                <w:sz w:val="20"/>
                <w:szCs w:val="20"/>
              </w:rPr>
            </w:pPr>
            <w:r w:rsidRPr="007E4B31">
              <w:rPr>
                <w:rFonts w:ascii="Arial Narrow" w:hAnsi="Arial Narrow"/>
                <w:b/>
                <w:bCs/>
                <w:sz w:val="20"/>
                <w:szCs w:val="20"/>
              </w:rPr>
              <w:t>Comment</w:t>
            </w:r>
          </w:p>
        </w:tc>
      </w:tr>
      <w:tr w:rsidR="00236B7A" w:rsidRPr="007E4B31" w14:paraId="547C1E8A" w14:textId="77777777" w:rsidTr="00C01433">
        <w:tc>
          <w:tcPr>
            <w:tcW w:w="1075" w:type="dxa"/>
            <w:tcMar>
              <w:left w:w="40" w:type="dxa"/>
              <w:right w:w="40" w:type="dxa"/>
            </w:tcMar>
            <w:vAlign w:val="center"/>
          </w:tcPr>
          <w:p w14:paraId="5E626B2D"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Cs/>
                <w:sz w:val="20"/>
                <w:szCs w:val="20"/>
              </w:rPr>
              <w:t>Eligible population</w:t>
            </w:r>
          </w:p>
        </w:tc>
        <w:tc>
          <w:tcPr>
            <w:tcW w:w="5724" w:type="dxa"/>
            <w:tcMar>
              <w:left w:w="40" w:type="dxa"/>
              <w:right w:w="40" w:type="dxa"/>
            </w:tcMar>
            <w:vAlign w:val="center"/>
          </w:tcPr>
          <w:p w14:paraId="00B68308" w14:textId="7EA7F436" w:rsidR="00236B7A" w:rsidRPr="007E4B31" w:rsidRDefault="00236B7A" w:rsidP="00C01433">
            <w:pPr>
              <w:keepNext/>
              <w:jc w:val="left"/>
              <w:rPr>
                <w:rFonts w:ascii="Arial Narrow" w:hAnsi="Arial Narrow"/>
                <w:b/>
                <w:bCs/>
                <w:sz w:val="20"/>
                <w:szCs w:val="20"/>
              </w:rPr>
            </w:pPr>
            <w:r w:rsidRPr="007E4B31">
              <w:rPr>
                <w:rFonts w:ascii="Arial Narrow" w:hAnsi="Arial Narrow"/>
                <w:bCs/>
                <w:sz w:val="20"/>
                <w:szCs w:val="20"/>
              </w:rPr>
              <w:t xml:space="preserve">The PBS 10% sample data for the number of SSABGHD and SSSG patients on GH therapy between January 2016 to September 2022 inclusive </w:t>
            </w:r>
            <w:proofErr w:type="gramStart"/>
            <w:r w:rsidRPr="007E4B31">
              <w:rPr>
                <w:rFonts w:ascii="Arial Narrow" w:hAnsi="Arial Narrow"/>
                <w:bCs/>
                <w:sz w:val="20"/>
                <w:szCs w:val="20"/>
              </w:rPr>
              <w:t>was linearly extrapolated</w:t>
            </w:r>
            <w:proofErr w:type="gramEnd"/>
            <w:r w:rsidRPr="007E4B31">
              <w:rPr>
                <w:rFonts w:ascii="Arial Narrow" w:hAnsi="Arial Narrow"/>
                <w:bCs/>
                <w:sz w:val="20"/>
                <w:szCs w:val="20"/>
              </w:rPr>
              <w:t xml:space="preserve"> to Year 1 (2023) to Year 6 (2028). </w:t>
            </w:r>
          </w:p>
          <w:p w14:paraId="74CD69AC" w14:textId="77777777" w:rsidR="00236B7A" w:rsidRPr="007E4B31" w:rsidRDefault="00236B7A" w:rsidP="00C01433">
            <w:pPr>
              <w:keepNext/>
              <w:jc w:val="left"/>
              <w:rPr>
                <w:rFonts w:ascii="Arial Narrow" w:hAnsi="Arial Narrow"/>
                <w:b/>
                <w:bCs/>
                <w:sz w:val="20"/>
                <w:szCs w:val="20"/>
              </w:rPr>
            </w:pPr>
          </w:p>
          <w:tbl>
            <w:tblPr>
              <w:tblStyle w:val="TableGrid"/>
              <w:tblW w:w="5631" w:type="dxa"/>
              <w:tblLayout w:type="fixed"/>
              <w:tblLook w:val="04A0" w:firstRow="1" w:lastRow="0" w:firstColumn="1" w:lastColumn="0" w:noHBand="0" w:noVBand="1"/>
            </w:tblPr>
            <w:tblGrid>
              <w:gridCol w:w="783"/>
              <w:gridCol w:w="627"/>
              <w:gridCol w:w="700"/>
              <w:gridCol w:w="701"/>
              <w:gridCol w:w="701"/>
              <w:gridCol w:w="701"/>
              <w:gridCol w:w="700"/>
              <w:gridCol w:w="701"/>
              <w:gridCol w:w="17"/>
            </w:tblGrid>
            <w:tr w:rsidR="00236B7A" w:rsidRPr="007E4B31" w14:paraId="36426524" w14:textId="77777777" w:rsidTr="00236B7A">
              <w:trPr>
                <w:trHeight w:val="273"/>
              </w:trPr>
              <w:tc>
                <w:tcPr>
                  <w:tcW w:w="783" w:type="dxa"/>
                  <w:vMerge w:val="restart"/>
                </w:tcPr>
                <w:p w14:paraId="075BEC4B"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
                      <w:sz w:val="20"/>
                      <w:szCs w:val="20"/>
                    </w:rPr>
                    <w:t>Age (years)</w:t>
                  </w:r>
                </w:p>
              </w:tc>
              <w:tc>
                <w:tcPr>
                  <w:tcW w:w="4848" w:type="dxa"/>
                  <w:gridSpan w:val="8"/>
                </w:tcPr>
                <w:p w14:paraId="6C849B30"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
                      <w:sz w:val="20"/>
                      <w:szCs w:val="20"/>
                    </w:rPr>
                    <w:t>Year</w:t>
                  </w:r>
                </w:p>
              </w:tc>
            </w:tr>
            <w:tr w:rsidR="00236B7A" w:rsidRPr="007E4B31" w14:paraId="4A36B27B" w14:textId="77777777" w:rsidTr="00236B7A">
              <w:trPr>
                <w:gridAfter w:val="1"/>
                <w:wAfter w:w="17" w:type="dxa"/>
                <w:trHeight w:val="171"/>
              </w:trPr>
              <w:tc>
                <w:tcPr>
                  <w:tcW w:w="783" w:type="dxa"/>
                  <w:vMerge/>
                </w:tcPr>
                <w:p w14:paraId="2C2EF4B7" w14:textId="77777777" w:rsidR="00236B7A" w:rsidRPr="007E4B31" w:rsidRDefault="00236B7A" w:rsidP="00C01433">
                  <w:pPr>
                    <w:keepNext/>
                    <w:jc w:val="left"/>
                    <w:rPr>
                      <w:rFonts w:ascii="Arial Narrow" w:hAnsi="Arial Narrow"/>
                      <w:b/>
                      <w:bCs/>
                      <w:sz w:val="20"/>
                      <w:szCs w:val="20"/>
                    </w:rPr>
                  </w:pPr>
                </w:p>
              </w:tc>
              <w:tc>
                <w:tcPr>
                  <w:tcW w:w="627" w:type="dxa"/>
                </w:tcPr>
                <w:p w14:paraId="206ED3C5"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
                      <w:sz w:val="20"/>
                      <w:szCs w:val="20"/>
                    </w:rPr>
                    <w:t>2016</w:t>
                  </w:r>
                </w:p>
              </w:tc>
              <w:tc>
                <w:tcPr>
                  <w:tcW w:w="700" w:type="dxa"/>
                </w:tcPr>
                <w:p w14:paraId="56BEE463"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
                      <w:sz w:val="20"/>
                      <w:szCs w:val="20"/>
                    </w:rPr>
                    <w:t>2017</w:t>
                  </w:r>
                </w:p>
              </w:tc>
              <w:tc>
                <w:tcPr>
                  <w:tcW w:w="701" w:type="dxa"/>
                </w:tcPr>
                <w:p w14:paraId="744C902A"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
                      <w:sz w:val="20"/>
                      <w:szCs w:val="20"/>
                    </w:rPr>
                    <w:t>2018</w:t>
                  </w:r>
                </w:p>
              </w:tc>
              <w:tc>
                <w:tcPr>
                  <w:tcW w:w="701" w:type="dxa"/>
                </w:tcPr>
                <w:p w14:paraId="3843922B"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
                      <w:sz w:val="20"/>
                      <w:szCs w:val="20"/>
                    </w:rPr>
                    <w:t>2019</w:t>
                  </w:r>
                </w:p>
              </w:tc>
              <w:tc>
                <w:tcPr>
                  <w:tcW w:w="701" w:type="dxa"/>
                </w:tcPr>
                <w:p w14:paraId="134B5FA7"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
                      <w:sz w:val="20"/>
                      <w:szCs w:val="20"/>
                    </w:rPr>
                    <w:t>2020</w:t>
                  </w:r>
                </w:p>
              </w:tc>
              <w:tc>
                <w:tcPr>
                  <w:tcW w:w="700" w:type="dxa"/>
                </w:tcPr>
                <w:p w14:paraId="4DA14FF3"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
                      <w:sz w:val="20"/>
                      <w:szCs w:val="20"/>
                    </w:rPr>
                    <w:t>2021</w:t>
                  </w:r>
                </w:p>
              </w:tc>
              <w:tc>
                <w:tcPr>
                  <w:tcW w:w="701" w:type="dxa"/>
                </w:tcPr>
                <w:p w14:paraId="408505A7"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
                      <w:sz w:val="20"/>
                      <w:szCs w:val="20"/>
                    </w:rPr>
                    <w:t>2022</w:t>
                  </w:r>
                </w:p>
              </w:tc>
            </w:tr>
            <w:tr w:rsidR="00236B7A" w:rsidRPr="007E4B31" w14:paraId="6A7A7333" w14:textId="77777777" w:rsidTr="00236B7A">
              <w:trPr>
                <w:gridAfter w:val="1"/>
                <w:wAfter w:w="17" w:type="dxa"/>
                <w:trHeight w:val="256"/>
              </w:trPr>
              <w:tc>
                <w:tcPr>
                  <w:tcW w:w="783" w:type="dxa"/>
                </w:tcPr>
                <w:p w14:paraId="2F69F838"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&lt; 5</w:t>
                  </w:r>
                </w:p>
              </w:tc>
              <w:tc>
                <w:tcPr>
                  <w:tcW w:w="627" w:type="dxa"/>
                </w:tcPr>
                <w:p w14:paraId="0F644687"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48</w:t>
                  </w:r>
                </w:p>
              </w:tc>
              <w:tc>
                <w:tcPr>
                  <w:tcW w:w="700" w:type="dxa"/>
                </w:tcPr>
                <w:p w14:paraId="14F255C7"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88</w:t>
                  </w:r>
                </w:p>
              </w:tc>
              <w:tc>
                <w:tcPr>
                  <w:tcW w:w="701" w:type="dxa"/>
                </w:tcPr>
                <w:p w14:paraId="2FD177A1"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100</w:t>
                  </w:r>
                </w:p>
              </w:tc>
              <w:tc>
                <w:tcPr>
                  <w:tcW w:w="701" w:type="dxa"/>
                </w:tcPr>
                <w:p w14:paraId="11E72825"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96</w:t>
                  </w:r>
                </w:p>
              </w:tc>
              <w:tc>
                <w:tcPr>
                  <w:tcW w:w="701" w:type="dxa"/>
                </w:tcPr>
                <w:p w14:paraId="6BFBBFF2"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96</w:t>
                  </w:r>
                </w:p>
              </w:tc>
              <w:tc>
                <w:tcPr>
                  <w:tcW w:w="700" w:type="dxa"/>
                </w:tcPr>
                <w:p w14:paraId="33FFA312"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78</w:t>
                  </w:r>
                </w:p>
              </w:tc>
              <w:tc>
                <w:tcPr>
                  <w:tcW w:w="701" w:type="dxa"/>
                </w:tcPr>
                <w:p w14:paraId="711FC2A0"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67</w:t>
                  </w:r>
                </w:p>
              </w:tc>
            </w:tr>
            <w:tr w:rsidR="00236B7A" w:rsidRPr="007E4B31" w14:paraId="2FDF86DF" w14:textId="77777777" w:rsidTr="00236B7A">
              <w:trPr>
                <w:gridAfter w:val="1"/>
                <w:wAfter w:w="17" w:type="dxa"/>
                <w:trHeight w:val="273"/>
              </w:trPr>
              <w:tc>
                <w:tcPr>
                  <w:tcW w:w="783" w:type="dxa"/>
                </w:tcPr>
                <w:p w14:paraId="76A26E20"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5-9</w:t>
                  </w:r>
                </w:p>
              </w:tc>
              <w:tc>
                <w:tcPr>
                  <w:tcW w:w="627" w:type="dxa"/>
                </w:tcPr>
                <w:p w14:paraId="5067B277"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418</w:t>
                  </w:r>
                </w:p>
              </w:tc>
              <w:tc>
                <w:tcPr>
                  <w:tcW w:w="700" w:type="dxa"/>
                </w:tcPr>
                <w:p w14:paraId="35366E5A"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376</w:t>
                  </w:r>
                </w:p>
              </w:tc>
              <w:tc>
                <w:tcPr>
                  <w:tcW w:w="701" w:type="dxa"/>
                </w:tcPr>
                <w:p w14:paraId="0434347D"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372</w:t>
                  </w:r>
                </w:p>
              </w:tc>
              <w:tc>
                <w:tcPr>
                  <w:tcW w:w="701" w:type="dxa"/>
                </w:tcPr>
                <w:p w14:paraId="61CE3EF4"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353</w:t>
                  </w:r>
                </w:p>
              </w:tc>
              <w:tc>
                <w:tcPr>
                  <w:tcW w:w="701" w:type="dxa"/>
                </w:tcPr>
                <w:p w14:paraId="4052028A"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381</w:t>
                  </w:r>
                </w:p>
              </w:tc>
              <w:tc>
                <w:tcPr>
                  <w:tcW w:w="700" w:type="dxa"/>
                </w:tcPr>
                <w:p w14:paraId="25383131"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412</w:t>
                  </w:r>
                </w:p>
              </w:tc>
              <w:tc>
                <w:tcPr>
                  <w:tcW w:w="701" w:type="dxa"/>
                </w:tcPr>
                <w:p w14:paraId="77C3DC18"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462</w:t>
                  </w:r>
                </w:p>
              </w:tc>
            </w:tr>
            <w:tr w:rsidR="00236B7A" w:rsidRPr="007E4B31" w14:paraId="2BAEB2DE" w14:textId="77777777" w:rsidTr="00236B7A">
              <w:trPr>
                <w:gridAfter w:val="1"/>
                <w:wAfter w:w="17" w:type="dxa"/>
                <w:trHeight w:val="273"/>
              </w:trPr>
              <w:tc>
                <w:tcPr>
                  <w:tcW w:w="783" w:type="dxa"/>
                </w:tcPr>
                <w:p w14:paraId="2D45E01F"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10-14</w:t>
                  </w:r>
                </w:p>
              </w:tc>
              <w:tc>
                <w:tcPr>
                  <w:tcW w:w="627" w:type="dxa"/>
                </w:tcPr>
                <w:p w14:paraId="6CB3C732"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586</w:t>
                  </w:r>
                </w:p>
              </w:tc>
              <w:tc>
                <w:tcPr>
                  <w:tcW w:w="700" w:type="dxa"/>
                </w:tcPr>
                <w:p w14:paraId="47EDC35F"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791</w:t>
                  </w:r>
                </w:p>
              </w:tc>
              <w:tc>
                <w:tcPr>
                  <w:tcW w:w="701" w:type="dxa"/>
                </w:tcPr>
                <w:p w14:paraId="076CF73F"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811</w:t>
                  </w:r>
                </w:p>
              </w:tc>
              <w:tc>
                <w:tcPr>
                  <w:tcW w:w="701" w:type="dxa"/>
                </w:tcPr>
                <w:p w14:paraId="7A55D64B"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856</w:t>
                  </w:r>
                </w:p>
              </w:tc>
              <w:tc>
                <w:tcPr>
                  <w:tcW w:w="701" w:type="dxa"/>
                </w:tcPr>
                <w:p w14:paraId="4A0AF41B"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978</w:t>
                  </w:r>
                </w:p>
              </w:tc>
              <w:tc>
                <w:tcPr>
                  <w:tcW w:w="700" w:type="dxa"/>
                </w:tcPr>
                <w:p w14:paraId="21438933"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898</w:t>
                  </w:r>
                </w:p>
              </w:tc>
              <w:tc>
                <w:tcPr>
                  <w:tcW w:w="701" w:type="dxa"/>
                </w:tcPr>
                <w:p w14:paraId="36F337C1"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807</w:t>
                  </w:r>
                </w:p>
              </w:tc>
            </w:tr>
            <w:tr w:rsidR="00236B7A" w:rsidRPr="007E4B31" w14:paraId="45154270" w14:textId="77777777" w:rsidTr="00236B7A">
              <w:trPr>
                <w:gridAfter w:val="1"/>
                <w:wAfter w:w="17" w:type="dxa"/>
                <w:trHeight w:val="256"/>
              </w:trPr>
              <w:tc>
                <w:tcPr>
                  <w:tcW w:w="783" w:type="dxa"/>
                </w:tcPr>
                <w:p w14:paraId="6810BAA0"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Total</w:t>
                  </w:r>
                </w:p>
              </w:tc>
              <w:tc>
                <w:tcPr>
                  <w:tcW w:w="627" w:type="dxa"/>
                </w:tcPr>
                <w:p w14:paraId="64D46D01"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1,053</w:t>
                  </w:r>
                </w:p>
              </w:tc>
              <w:tc>
                <w:tcPr>
                  <w:tcW w:w="700" w:type="dxa"/>
                </w:tcPr>
                <w:p w14:paraId="4466BA3F"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1,255</w:t>
                  </w:r>
                </w:p>
              </w:tc>
              <w:tc>
                <w:tcPr>
                  <w:tcW w:w="701" w:type="dxa"/>
                </w:tcPr>
                <w:p w14:paraId="3403D888"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1,283</w:t>
                  </w:r>
                </w:p>
              </w:tc>
              <w:tc>
                <w:tcPr>
                  <w:tcW w:w="701" w:type="dxa"/>
                </w:tcPr>
                <w:p w14:paraId="1296A47D"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1,304</w:t>
                  </w:r>
                </w:p>
              </w:tc>
              <w:tc>
                <w:tcPr>
                  <w:tcW w:w="701" w:type="dxa"/>
                </w:tcPr>
                <w:p w14:paraId="38310309"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1,454</w:t>
                  </w:r>
                </w:p>
              </w:tc>
              <w:tc>
                <w:tcPr>
                  <w:tcW w:w="700" w:type="dxa"/>
                </w:tcPr>
                <w:p w14:paraId="4B4E4FE1"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1,387</w:t>
                  </w:r>
                </w:p>
              </w:tc>
              <w:tc>
                <w:tcPr>
                  <w:tcW w:w="701" w:type="dxa"/>
                </w:tcPr>
                <w:p w14:paraId="165B3BE3" w14:textId="77777777" w:rsidR="00236B7A" w:rsidRPr="007E4B31" w:rsidRDefault="00236B7A" w:rsidP="00C01433">
                  <w:pPr>
                    <w:keepNext/>
                    <w:jc w:val="left"/>
                    <w:rPr>
                      <w:rFonts w:ascii="Arial Narrow" w:hAnsi="Arial Narrow"/>
                      <w:sz w:val="20"/>
                      <w:szCs w:val="20"/>
                    </w:rPr>
                  </w:pPr>
                  <w:r w:rsidRPr="007E4B31">
                    <w:rPr>
                      <w:rFonts w:ascii="Arial Narrow" w:hAnsi="Arial Narrow"/>
                      <w:sz w:val="20"/>
                      <w:szCs w:val="20"/>
                    </w:rPr>
                    <w:t>1,334</w:t>
                  </w:r>
                </w:p>
              </w:tc>
            </w:tr>
          </w:tbl>
          <w:p w14:paraId="5BA2ADC2" w14:textId="77777777" w:rsidR="00236B7A" w:rsidRPr="007E4B31" w:rsidRDefault="00236B7A" w:rsidP="00C01433">
            <w:pPr>
              <w:keepNext/>
              <w:jc w:val="left"/>
              <w:rPr>
                <w:rFonts w:ascii="Arial Narrow" w:hAnsi="Arial Narrow"/>
                <w:b/>
                <w:bCs/>
                <w:sz w:val="20"/>
                <w:szCs w:val="20"/>
              </w:rPr>
            </w:pPr>
          </w:p>
          <w:p w14:paraId="0AF0DAF9" w14:textId="77777777" w:rsidR="00236B7A" w:rsidRPr="007E4B31" w:rsidRDefault="00236B7A" w:rsidP="00C01433">
            <w:pPr>
              <w:keepNext/>
              <w:jc w:val="left"/>
              <w:rPr>
                <w:rFonts w:ascii="Arial Narrow" w:hAnsi="Arial Narrow"/>
                <w:b/>
                <w:bCs/>
                <w:sz w:val="20"/>
                <w:szCs w:val="20"/>
              </w:rPr>
            </w:pPr>
            <w:r w:rsidRPr="007E4B31">
              <w:rPr>
                <w:rFonts w:ascii="Arial Narrow" w:hAnsi="Arial Narrow"/>
                <w:bCs/>
                <w:sz w:val="20"/>
                <w:szCs w:val="20"/>
              </w:rPr>
              <w:t xml:space="preserve">Source: PBS 10% sample data for the number of GH therapy for each month between January 2016 to September 2022 inclusive for the treatment of SSABGHD and SSSG (stratified by age group) </w:t>
            </w:r>
          </w:p>
        </w:tc>
        <w:tc>
          <w:tcPr>
            <w:tcW w:w="2218" w:type="dxa"/>
            <w:tcMar>
              <w:left w:w="40" w:type="dxa"/>
              <w:right w:w="40" w:type="dxa"/>
            </w:tcMar>
            <w:vAlign w:val="center"/>
          </w:tcPr>
          <w:p w14:paraId="4DF1E8C8" w14:textId="476FE80E" w:rsidR="00236B7A" w:rsidRPr="007E4B31" w:rsidRDefault="00236B7A" w:rsidP="00C01433">
            <w:pPr>
              <w:keepNext/>
              <w:jc w:val="left"/>
              <w:rPr>
                <w:rFonts w:ascii="Arial Narrow" w:hAnsi="Arial Narrow"/>
                <w:b/>
                <w:bCs/>
                <w:sz w:val="20"/>
                <w:szCs w:val="20"/>
              </w:rPr>
            </w:pPr>
            <w:r w:rsidRPr="007E4B31">
              <w:rPr>
                <w:rFonts w:ascii="Arial Narrow" w:hAnsi="Arial Narrow"/>
                <w:bCs/>
                <w:iCs/>
                <w:sz w:val="20"/>
                <w:szCs w:val="20"/>
              </w:rPr>
              <w:t xml:space="preserve">There was insufficient justification for linearly extrapolating patients. This issue </w:t>
            </w:r>
            <w:proofErr w:type="gramStart"/>
            <w:r w:rsidRPr="007E4B31">
              <w:rPr>
                <w:rFonts w:ascii="Arial Narrow" w:hAnsi="Arial Narrow"/>
                <w:bCs/>
                <w:iCs/>
                <w:sz w:val="20"/>
                <w:szCs w:val="20"/>
              </w:rPr>
              <w:t>was also noted</w:t>
            </w:r>
            <w:proofErr w:type="gramEnd"/>
            <w:r w:rsidRPr="007E4B31">
              <w:rPr>
                <w:rFonts w:ascii="Arial Narrow" w:hAnsi="Arial Narrow"/>
                <w:bCs/>
                <w:iCs/>
                <w:sz w:val="20"/>
                <w:szCs w:val="20"/>
              </w:rPr>
              <w:t xml:space="preserve"> for somatrogon in March 2022</w:t>
            </w:r>
            <w:r w:rsidR="007250D3" w:rsidRPr="007E4B31">
              <w:rPr>
                <w:rFonts w:ascii="Arial Narrow" w:hAnsi="Arial Narrow"/>
                <w:bCs/>
                <w:iCs/>
                <w:sz w:val="20"/>
                <w:szCs w:val="20"/>
              </w:rPr>
              <w:t>.</w:t>
            </w:r>
            <w:r w:rsidRPr="007E4B31">
              <w:rPr>
                <w:rFonts w:ascii="Arial Narrow" w:hAnsi="Arial Narrow"/>
                <w:bCs/>
                <w:iCs/>
                <w:sz w:val="20"/>
                <w:szCs w:val="20"/>
              </w:rPr>
              <w:t xml:space="preserve"> </w:t>
            </w:r>
            <w:r w:rsidR="00936A26" w:rsidRPr="007E4B31">
              <w:rPr>
                <w:rFonts w:ascii="Arial Narrow" w:hAnsi="Arial Narrow"/>
                <w:bCs/>
                <w:iCs/>
                <w:sz w:val="20"/>
                <w:szCs w:val="20"/>
              </w:rPr>
              <w:t xml:space="preserve">The PBS 10% sample could not be validated but was </w:t>
            </w:r>
            <w:proofErr w:type="gramStart"/>
            <w:r w:rsidR="00936A26" w:rsidRPr="007E4B31">
              <w:rPr>
                <w:rFonts w:ascii="Arial Narrow" w:hAnsi="Arial Narrow"/>
                <w:bCs/>
                <w:iCs/>
                <w:sz w:val="20"/>
                <w:szCs w:val="20"/>
              </w:rPr>
              <w:t>likely comparable</w:t>
            </w:r>
            <w:proofErr w:type="gramEnd"/>
            <w:r w:rsidR="00936A26" w:rsidRPr="007E4B31">
              <w:rPr>
                <w:rFonts w:ascii="Arial Narrow" w:hAnsi="Arial Narrow"/>
                <w:bCs/>
                <w:iCs/>
                <w:sz w:val="20"/>
                <w:szCs w:val="20"/>
              </w:rPr>
              <w:t xml:space="preserve"> to the full PBS dataset thus was unlikely to significantly impact overall estimates </w:t>
            </w:r>
            <w:r w:rsidRPr="007E4B31">
              <w:rPr>
                <w:rFonts w:ascii="Arial Narrow" w:hAnsi="Arial Narrow"/>
                <w:bCs/>
                <w:iCs/>
                <w:sz w:val="20"/>
                <w:szCs w:val="20"/>
              </w:rPr>
              <w:t>(Table 9, somatrogon, PSD, March 2022 PBAC meeting).</w:t>
            </w:r>
          </w:p>
        </w:tc>
      </w:tr>
      <w:tr w:rsidR="00236B7A" w:rsidRPr="007E4B31" w14:paraId="420F45FD" w14:textId="77777777" w:rsidTr="00C01433">
        <w:tc>
          <w:tcPr>
            <w:tcW w:w="1075" w:type="dxa"/>
            <w:tcMar>
              <w:left w:w="40" w:type="dxa"/>
              <w:right w:w="40" w:type="dxa"/>
            </w:tcMar>
            <w:vAlign w:val="center"/>
          </w:tcPr>
          <w:p w14:paraId="38AC84D3" w14:textId="77777777" w:rsidR="00236B7A" w:rsidRPr="007E4B31" w:rsidRDefault="00236B7A" w:rsidP="00C01433">
            <w:pPr>
              <w:keepNext/>
              <w:jc w:val="left"/>
              <w:rPr>
                <w:rFonts w:ascii="Arial Narrow" w:hAnsi="Arial Narrow"/>
                <w:bCs/>
                <w:sz w:val="20"/>
                <w:szCs w:val="20"/>
              </w:rPr>
            </w:pPr>
            <w:r w:rsidRPr="007E4B31">
              <w:rPr>
                <w:rFonts w:ascii="Arial Narrow" w:hAnsi="Arial Narrow"/>
                <w:bCs/>
                <w:sz w:val="20"/>
                <w:szCs w:val="20"/>
              </w:rPr>
              <w:t>Uptake rate</w:t>
            </w:r>
          </w:p>
        </w:tc>
        <w:tc>
          <w:tcPr>
            <w:tcW w:w="5724" w:type="dxa"/>
            <w:tcMar>
              <w:left w:w="40" w:type="dxa"/>
              <w:right w:w="40" w:type="dxa"/>
            </w:tcMar>
            <w:vAlign w:val="center"/>
          </w:tcPr>
          <w:p w14:paraId="4D7073AF" w14:textId="77777777" w:rsidR="00236B7A" w:rsidRPr="007E4B31" w:rsidRDefault="00236B7A" w:rsidP="00C01433">
            <w:pPr>
              <w:keepNext/>
              <w:jc w:val="left"/>
              <w:rPr>
                <w:rFonts w:ascii="Arial Narrow" w:hAnsi="Arial Narrow"/>
                <w:bCs/>
                <w:sz w:val="20"/>
                <w:szCs w:val="20"/>
              </w:rPr>
            </w:pPr>
            <w:r w:rsidRPr="007E4B31">
              <w:rPr>
                <w:rFonts w:ascii="Arial Narrow" w:hAnsi="Arial Narrow"/>
                <w:bCs/>
                <w:sz w:val="20"/>
                <w:szCs w:val="20"/>
              </w:rPr>
              <w:t xml:space="preserve">The estimated GH therapy market share for the treatment of SSABGHD and SSSG with PBS listing of somapacitan was based on crude estimates in lieu of more accurate evidence. The market share between somapacitan and somatrogon </w:t>
            </w:r>
            <w:proofErr w:type="gramStart"/>
            <w:r w:rsidRPr="007E4B31">
              <w:rPr>
                <w:rFonts w:ascii="Arial Narrow" w:hAnsi="Arial Narrow"/>
                <w:bCs/>
                <w:sz w:val="20"/>
                <w:szCs w:val="20"/>
              </w:rPr>
              <w:t>was assumed</w:t>
            </w:r>
            <w:proofErr w:type="gramEnd"/>
            <w:r w:rsidRPr="007E4B31">
              <w:rPr>
                <w:rFonts w:ascii="Arial Narrow" w:hAnsi="Arial Narrow"/>
                <w:bCs/>
                <w:sz w:val="20"/>
                <w:szCs w:val="20"/>
              </w:rPr>
              <w:t xml:space="preserve"> equal. </w:t>
            </w:r>
          </w:p>
          <w:p w14:paraId="6E12E307" w14:textId="77777777" w:rsidR="00236B7A" w:rsidRPr="007E4B31" w:rsidRDefault="00236B7A" w:rsidP="00C01433">
            <w:pPr>
              <w:keepNext/>
              <w:jc w:val="left"/>
              <w:rPr>
                <w:rFonts w:ascii="Arial Narrow" w:hAnsi="Arial Narrow"/>
                <w:bCs/>
                <w:sz w:val="20"/>
                <w:szCs w:val="20"/>
              </w:rPr>
            </w:pPr>
          </w:p>
          <w:tbl>
            <w:tblPr>
              <w:tblStyle w:val="HTATableshaded"/>
              <w:tblW w:w="5522" w:type="dxa"/>
              <w:tblLayout w:type="fixed"/>
              <w:tblLook w:val="04A0" w:firstRow="1" w:lastRow="0" w:firstColumn="1" w:lastColumn="0" w:noHBand="0" w:noVBand="1"/>
            </w:tblPr>
            <w:tblGrid>
              <w:gridCol w:w="1193"/>
              <w:gridCol w:w="719"/>
              <w:gridCol w:w="719"/>
              <w:gridCol w:w="718"/>
              <w:gridCol w:w="718"/>
              <w:gridCol w:w="718"/>
              <w:gridCol w:w="737"/>
            </w:tblGrid>
            <w:tr w:rsidR="00236B7A" w:rsidRPr="007E4B31" w14:paraId="20BCF6A0" w14:textId="77777777" w:rsidTr="00236B7A">
              <w:trPr>
                <w:cnfStyle w:val="100000000000" w:firstRow="1" w:lastRow="0" w:firstColumn="0" w:lastColumn="0" w:oddVBand="0" w:evenVBand="0" w:oddHBand="0" w:evenHBand="0" w:firstRowFirstColumn="0" w:firstRowLastColumn="0" w:lastRowFirstColumn="0" w:lastRowLastColumn="0"/>
                <w:trHeight w:val="56"/>
              </w:trPr>
              <w:tc>
                <w:tcPr>
                  <w:tcW w:w="1080" w:type="pct"/>
                </w:tcPr>
                <w:p w14:paraId="659C774E" w14:textId="77777777" w:rsidR="00236B7A" w:rsidRPr="007E4B31" w:rsidRDefault="00236B7A" w:rsidP="00C01433">
                  <w:pPr>
                    <w:keepNext/>
                    <w:spacing w:before="0" w:after="0"/>
                    <w:jc w:val="left"/>
                    <w:rPr>
                      <w:rFonts w:ascii="Arial Narrow" w:eastAsia="SimSun" w:hAnsi="Arial Narrow"/>
                      <w:bCs/>
                      <w:sz w:val="20"/>
                      <w:szCs w:val="20"/>
                    </w:rPr>
                  </w:pPr>
                  <w:r w:rsidRPr="007E4B31">
                    <w:rPr>
                      <w:rFonts w:ascii="Arial Narrow" w:eastAsia="SimSun" w:hAnsi="Arial Narrow"/>
                      <w:bCs/>
                      <w:sz w:val="20"/>
                      <w:szCs w:val="20"/>
                    </w:rPr>
                    <w:t>Market share/Year</w:t>
                  </w:r>
                </w:p>
              </w:tc>
              <w:tc>
                <w:tcPr>
                  <w:tcW w:w="651" w:type="pct"/>
                </w:tcPr>
                <w:p w14:paraId="3E99DD9A"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Year 1</w:t>
                  </w:r>
                </w:p>
                <w:p w14:paraId="2FD736DC"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(2023)</w:t>
                  </w:r>
                </w:p>
              </w:tc>
              <w:tc>
                <w:tcPr>
                  <w:tcW w:w="651" w:type="pct"/>
                </w:tcPr>
                <w:p w14:paraId="6E606E8F"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Year 2</w:t>
                  </w:r>
                </w:p>
                <w:p w14:paraId="047E5F96"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(2024)</w:t>
                  </w:r>
                </w:p>
              </w:tc>
              <w:tc>
                <w:tcPr>
                  <w:tcW w:w="650" w:type="pct"/>
                </w:tcPr>
                <w:p w14:paraId="7F25A5E0"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Year 3</w:t>
                  </w:r>
                </w:p>
                <w:p w14:paraId="62597EE7"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(2025)</w:t>
                  </w:r>
                </w:p>
              </w:tc>
              <w:tc>
                <w:tcPr>
                  <w:tcW w:w="650" w:type="pct"/>
                </w:tcPr>
                <w:p w14:paraId="1E665FED"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Year 4</w:t>
                  </w:r>
                </w:p>
                <w:p w14:paraId="587AD22D"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(2026)</w:t>
                  </w:r>
                </w:p>
              </w:tc>
              <w:tc>
                <w:tcPr>
                  <w:tcW w:w="650" w:type="pct"/>
                </w:tcPr>
                <w:p w14:paraId="7ADDE255"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Year 5</w:t>
                  </w:r>
                </w:p>
                <w:p w14:paraId="2D40DCDA"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(2027)</w:t>
                  </w:r>
                </w:p>
              </w:tc>
              <w:tc>
                <w:tcPr>
                  <w:tcW w:w="667" w:type="pct"/>
                </w:tcPr>
                <w:p w14:paraId="2C656858"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Year 6</w:t>
                  </w:r>
                </w:p>
                <w:p w14:paraId="4960C6F1" w14:textId="77777777" w:rsidR="00236B7A" w:rsidRPr="007E4B31" w:rsidRDefault="00236B7A" w:rsidP="00C01433">
                  <w:pPr>
                    <w:keepNext/>
                    <w:spacing w:before="0" w:after="0"/>
                    <w:jc w:val="left"/>
                    <w:rPr>
                      <w:rFonts w:ascii="Arial Narrow" w:hAnsi="Arial Narrow"/>
                      <w:bCs/>
                      <w:sz w:val="20"/>
                      <w:szCs w:val="20"/>
                    </w:rPr>
                  </w:pPr>
                  <w:r w:rsidRPr="007E4B31">
                    <w:rPr>
                      <w:rFonts w:ascii="Arial Narrow" w:hAnsi="Arial Narrow"/>
                      <w:bCs/>
                      <w:sz w:val="20"/>
                      <w:szCs w:val="20"/>
                    </w:rPr>
                    <w:t>(2028)</w:t>
                  </w:r>
                </w:p>
              </w:tc>
            </w:tr>
            <w:tr w:rsidR="00236B7A" w:rsidRPr="007E4B31" w14:paraId="259DDDD1" w14:textId="77777777" w:rsidTr="00236B7A">
              <w:trPr>
                <w:trHeight w:val="56"/>
              </w:trPr>
              <w:tc>
                <w:tcPr>
                  <w:tcW w:w="1080" w:type="pct"/>
                </w:tcPr>
                <w:p w14:paraId="0C4E2142"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 xml:space="preserve">Somapacitan </w:t>
                  </w:r>
                </w:p>
              </w:tc>
              <w:tc>
                <w:tcPr>
                  <w:tcW w:w="651" w:type="pct"/>
                </w:tcPr>
                <w:p w14:paraId="2C5E9F3E"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10.0%</w:t>
                  </w:r>
                </w:p>
              </w:tc>
              <w:tc>
                <w:tcPr>
                  <w:tcW w:w="651" w:type="pct"/>
                </w:tcPr>
                <w:p w14:paraId="450FE531"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20.0%</w:t>
                  </w:r>
                </w:p>
              </w:tc>
              <w:tc>
                <w:tcPr>
                  <w:tcW w:w="650" w:type="pct"/>
                </w:tcPr>
                <w:p w14:paraId="0DD85036"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25.0%</w:t>
                  </w:r>
                </w:p>
              </w:tc>
              <w:tc>
                <w:tcPr>
                  <w:tcW w:w="650" w:type="pct"/>
                </w:tcPr>
                <w:p w14:paraId="3E89DF11"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27.5%</w:t>
                  </w:r>
                </w:p>
              </w:tc>
              <w:tc>
                <w:tcPr>
                  <w:tcW w:w="650" w:type="pct"/>
                </w:tcPr>
                <w:p w14:paraId="4A3F5289"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30.0%</w:t>
                  </w:r>
                </w:p>
              </w:tc>
              <w:tc>
                <w:tcPr>
                  <w:tcW w:w="667" w:type="pct"/>
                </w:tcPr>
                <w:p w14:paraId="7A4E36EB"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32.5%</w:t>
                  </w:r>
                </w:p>
              </w:tc>
            </w:tr>
            <w:tr w:rsidR="00236B7A" w:rsidRPr="007E4B31" w14:paraId="75C533B5" w14:textId="77777777" w:rsidTr="00236B7A">
              <w:trPr>
                <w:trHeight w:val="56"/>
              </w:trPr>
              <w:tc>
                <w:tcPr>
                  <w:tcW w:w="1080" w:type="pct"/>
                </w:tcPr>
                <w:p w14:paraId="34536BED"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 xml:space="preserve">Somatrogon </w:t>
                  </w:r>
                </w:p>
              </w:tc>
              <w:tc>
                <w:tcPr>
                  <w:tcW w:w="651" w:type="pct"/>
                </w:tcPr>
                <w:p w14:paraId="7F602422"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10.0%</w:t>
                  </w:r>
                </w:p>
              </w:tc>
              <w:tc>
                <w:tcPr>
                  <w:tcW w:w="651" w:type="pct"/>
                </w:tcPr>
                <w:p w14:paraId="26571FAB"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20.0%</w:t>
                  </w:r>
                </w:p>
              </w:tc>
              <w:tc>
                <w:tcPr>
                  <w:tcW w:w="650" w:type="pct"/>
                </w:tcPr>
                <w:p w14:paraId="7766AB93"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25.0%</w:t>
                  </w:r>
                </w:p>
              </w:tc>
              <w:tc>
                <w:tcPr>
                  <w:tcW w:w="650" w:type="pct"/>
                </w:tcPr>
                <w:p w14:paraId="38D1190B"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27.5%</w:t>
                  </w:r>
                </w:p>
              </w:tc>
              <w:tc>
                <w:tcPr>
                  <w:tcW w:w="650" w:type="pct"/>
                </w:tcPr>
                <w:p w14:paraId="48BA918A"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30.0%</w:t>
                  </w:r>
                </w:p>
              </w:tc>
              <w:tc>
                <w:tcPr>
                  <w:tcW w:w="667" w:type="pct"/>
                </w:tcPr>
                <w:p w14:paraId="386E2D1B"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32.5%</w:t>
                  </w:r>
                </w:p>
              </w:tc>
            </w:tr>
            <w:tr w:rsidR="00236B7A" w:rsidRPr="007E4B31" w14:paraId="68AE2C56" w14:textId="77777777" w:rsidTr="00236B7A">
              <w:trPr>
                <w:trHeight w:val="56"/>
              </w:trPr>
              <w:tc>
                <w:tcPr>
                  <w:tcW w:w="1080" w:type="pct"/>
                </w:tcPr>
                <w:p w14:paraId="295D8ADC"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 xml:space="preserve">Somatropin </w:t>
                  </w:r>
                </w:p>
              </w:tc>
              <w:tc>
                <w:tcPr>
                  <w:tcW w:w="651" w:type="pct"/>
                </w:tcPr>
                <w:p w14:paraId="04A4E72D"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80%</w:t>
                  </w:r>
                </w:p>
              </w:tc>
              <w:tc>
                <w:tcPr>
                  <w:tcW w:w="651" w:type="pct"/>
                </w:tcPr>
                <w:p w14:paraId="4545673D"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60%</w:t>
                  </w:r>
                </w:p>
              </w:tc>
              <w:tc>
                <w:tcPr>
                  <w:tcW w:w="650" w:type="pct"/>
                </w:tcPr>
                <w:p w14:paraId="12966A5A"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50%</w:t>
                  </w:r>
                </w:p>
              </w:tc>
              <w:tc>
                <w:tcPr>
                  <w:tcW w:w="650" w:type="pct"/>
                </w:tcPr>
                <w:p w14:paraId="2F7AB458"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45%</w:t>
                  </w:r>
                </w:p>
              </w:tc>
              <w:tc>
                <w:tcPr>
                  <w:tcW w:w="650" w:type="pct"/>
                </w:tcPr>
                <w:p w14:paraId="11656FE9"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40%</w:t>
                  </w:r>
                </w:p>
              </w:tc>
              <w:tc>
                <w:tcPr>
                  <w:tcW w:w="667" w:type="pct"/>
                </w:tcPr>
                <w:p w14:paraId="7B82EC3F" w14:textId="77777777" w:rsidR="00236B7A" w:rsidRPr="007E4B31" w:rsidRDefault="00236B7A" w:rsidP="00C01433">
                  <w:pPr>
                    <w:keepNext/>
                    <w:spacing w:before="0" w:after="0"/>
                    <w:jc w:val="left"/>
                    <w:rPr>
                      <w:rFonts w:ascii="Arial Narrow" w:hAnsi="Arial Narrow"/>
                      <w:sz w:val="20"/>
                      <w:szCs w:val="20"/>
                    </w:rPr>
                  </w:pPr>
                  <w:r w:rsidRPr="007E4B31">
                    <w:rPr>
                      <w:rFonts w:ascii="Arial Narrow" w:hAnsi="Arial Narrow"/>
                      <w:sz w:val="20"/>
                      <w:szCs w:val="20"/>
                    </w:rPr>
                    <w:t>35%</w:t>
                  </w:r>
                </w:p>
              </w:tc>
            </w:tr>
          </w:tbl>
          <w:p w14:paraId="7CE7DE64" w14:textId="77777777" w:rsidR="00236B7A" w:rsidRPr="007E4B31" w:rsidRDefault="00236B7A" w:rsidP="00C01433">
            <w:pPr>
              <w:keepNext/>
              <w:jc w:val="left"/>
              <w:rPr>
                <w:rFonts w:ascii="Arial Narrow" w:hAnsi="Arial Narrow"/>
                <w:bCs/>
                <w:sz w:val="20"/>
                <w:szCs w:val="20"/>
              </w:rPr>
            </w:pPr>
          </w:p>
          <w:p w14:paraId="664BABE5" w14:textId="77777777" w:rsidR="00236B7A" w:rsidRPr="007E4B31" w:rsidRDefault="00236B7A" w:rsidP="00C01433">
            <w:pPr>
              <w:keepNext/>
              <w:jc w:val="left"/>
              <w:rPr>
                <w:rFonts w:ascii="Arial Narrow" w:hAnsi="Arial Narrow"/>
                <w:bCs/>
                <w:sz w:val="20"/>
                <w:szCs w:val="20"/>
              </w:rPr>
            </w:pPr>
            <w:r w:rsidRPr="007E4B31">
              <w:rPr>
                <w:rFonts w:ascii="Arial Narrow" w:hAnsi="Arial Narrow"/>
                <w:bCs/>
                <w:sz w:val="20"/>
                <w:szCs w:val="20"/>
              </w:rPr>
              <w:t>Source: Table 9, somatrogon, PSD, March 2022, PBAC meeting</w:t>
            </w:r>
          </w:p>
        </w:tc>
        <w:tc>
          <w:tcPr>
            <w:tcW w:w="2218" w:type="dxa"/>
            <w:tcMar>
              <w:left w:w="40" w:type="dxa"/>
              <w:right w:w="40" w:type="dxa"/>
            </w:tcMar>
            <w:vAlign w:val="center"/>
          </w:tcPr>
          <w:p w14:paraId="000E5CEB" w14:textId="5C94FE5F" w:rsidR="00236B7A" w:rsidRPr="007E4B31" w:rsidRDefault="00236B7A" w:rsidP="00C01433">
            <w:pPr>
              <w:keepNext/>
              <w:jc w:val="left"/>
              <w:rPr>
                <w:rFonts w:ascii="Arial Narrow" w:hAnsi="Arial Narrow"/>
                <w:bCs/>
                <w:iCs/>
                <w:sz w:val="20"/>
                <w:szCs w:val="20"/>
              </w:rPr>
            </w:pPr>
            <w:r w:rsidRPr="007E4B31">
              <w:rPr>
                <w:rFonts w:ascii="Arial Narrow" w:hAnsi="Arial Narrow"/>
                <w:bCs/>
                <w:iCs/>
                <w:sz w:val="20"/>
                <w:szCs w:val="20"/>
              </w:rPr>
              <w:t xml:space="preserve">Uncertain. The submission did not provide appropriate justification for the assumed uptake rates. This issue </w:t>
            </w:r>
            <w:proofErr w:type="gramStart"/>
            <w:r w:rsidRPr="007E4B31">
              <w:rPr>
                <w:rFonts w:ascii="Arial Narrow" w:hAnsi="Arial Narrow"/>
                <w:bCs/>
                <w:iCs/>
                <w:sz w:val="20"/>
                <w:szCs w:val="20"/>
              </w:rPr>
              <w:t>was also noted</w:t>
            </w:r>
            <w:proofErr w:type="gramEnd"/>
            <w:r w:rsidRPr="007E4B31">
              <w:rPr>
                <w:rFonts w:ascii="Arial Narrow" w:hAnsi="Arial Narrow"/>
                <w:bCs/>
                <w:iCs/>
                <w:sz w:val="20"/>
                <w:szCs w:val="20"/>
              </w:rPr>
              <w:t xml:space="preserve"> for somatrogon in March 2022 (Table 9, somatrogon, PSD, March 2022 PBAC meeting). Somapacitan </w:t>
            </w:r>
            <w:proofErr w:type="gramStart"/>
            <w:r w:rsidRPr="007E4B31">
              <w:rPr>
                <w:rFonts w:ascii="Arial Narrow" w:hAnsi="Arial Narrow"/>
                <w:bCs/>
                <w:iCs/>
                <w:sz w:val="20"/>
                <w:szCs w:val="20"/>
              </w:rPr>
              <w:t>was estimated</w:t>
            </w:r>
            <w:proofErr w:type="gramEnd"/>
            <w:r w:rsidRPr="007E4B31">
              <w:rPr>
                <w:rFonts w:ascii="Arial Narrow" w:hAnsi="Arial Narrow"/>
                <w:bCs/>
                <w:iCs/>
                <w:sz w:val="20"/>
                <w:szCs w:val="20"/>
              </w:rPr>
              <w:t xml:space="preserve"> to increase overall patient co-payments compared to somatrogon, thus equal uptake rates may not be reasonable. </w:t>
            </w:r>
          </w:p>
        </w:tc>
      </w:tr>
      <w:tr w:rsidR="00236B7A" w:rsidRPr="007E4B31" w14:paraId="0C278E5C" w14:textId="77777777" w:rsidTr="00C01433">
        <w:tc>
          <w:tcPr>
            <w:tcW w:w="1075" w:type="dxa"/>
            <w:tcMar>
              <w:left w:w="40" w:type="dxa"/>
              <w:right w:w="40" w:type="dxa"/>
            </w:tcMar>
            <w:vAlign w:val="center"/>
          </w:tcPr>
          <w:p w14:paraId="5EFCD19A" w14:textId="77777777" w:rsidR="00236B7A" w:rsidRPr="007E4B31" w:rsidRDefault="00236B7A" w:rsidP="00A40607">
            <w:pPr>
              <w:jc w:val="left"/>
              <w:rPr>
                <w:rFonts w:ascii="Arial Narrow" w:hAnsi="Arial Narrow"/>
                <w:b/>
                <w:bCs/>
                <w:sz w:val="20"/>
                <w:szCs w:val="20"/>
              </w:rPr>
            </w:pPr>
            <w:r w:rsidRPr="007E4B31">
              <w:rPr>
                <w:rFonts w:ascii="Arial Narrow" w:hAnsi="Arial Narrow"/>
                <w:bCs/>
                <w:sz w:val="20"/>
                <w:szCs w:val="20"/>
              </w:rPr>
              <w:t xml:space="preserve">Average yearly dosing </w:t>
            </w:r>
          </w:p>
        </w:tc>
        <w:tc>
          <w:tcPr>
            <w:tcW w:w="5724" w:type="dxa"/>
            <w:tcMar>
              <w:left w:w="40" w:type="dxa"/>
              <w:right w:w="40" w:type="dxa"/>
            </w:tcMar>
            <w:vAlign w:val="center"/>
          </w:tcPr>
          <w:p w14:paraId="2401EE7E" w14:textId="77777777" w:rsidR="00236B7A" w:rsidRPr="007E4B31" w:rsidRDefault="00236B7A" w:rsidP="00A40607">
            <w:pPr>
              <w:jc w:val="left"/>
              <w:rPr>
                <w:rFonts w:ascii="Arial Narrow" w:hAnsi="Arial Narrow"/>
                <w:b/>
                <w:bCs/>
                <w:sz w:val="20"/>
                <w:szCs w:val="20"/>
              </w:rPr>
            </w:pPr>
            <w:r w:rsidRPr="007E4B31">
              <w:rPr>
                <w:rFonts w:ascii="Arial Narrow" w:hAnsi="Arial Narrow"/>
                <w:bCs/>
                <w:sz w:val="20"/>
                <w:szCs w:val="20"/>
              </w:rPr>
              <w:t xml:space="preserve">The submission applied the mean yearly dose of 8.186 mg/kg (mean weekly dose at 52-weeks of 0.15742 mg/kg from REAL-4 multiplied by 52 weeks) to the assumed average weight of each age group. The average weight of patients &lt;5 years was based on the CDC growth charts and for the 5-9- and 10-14-years age groups the average weights </w:t>
            </w:r>
            <w:proofErr w:type="gramStart"/>
            <w:r w:rsidRPr="007E4B31">
              <w:rPr>
                <w:rFonts w:ascii="Arial Narrow" w:hAnsi="Arial Narrow"/>
                <w:bCs/>
                <w:sz w:val="20"/>
                <w:szCs w:val="20"/>
              </w:rPr>
              <w:t>were obtained</w:t>
            </w:r>
            <w:proofErr w:type="gramEnd"/>
            <w:r w:rsidRPr="007E4B31">
              <w:rPr>
                <w:rFonts w:ascii="Arial Narrow" w:hAnsi="Arial Narrow"/>
                <w:bCs/>
                <w:sz w:val="20"/>
                <w:szCs w:val="20"/>
              </w:rPr>
              <w:t xml:space="preserve"> from the somatrogon March 2022 PSD. It </w:t>
            </w:r>
            <w:proofErr w:type="gramStart"/>
            <w:r w:rsidRPr="007E4B31">
              <w:rPr>
                <w:rFonts w:ascii="Arial Narrow" w:hAnsi="Arial Narrow"/>
                <w:bCs/>
                <w:sz w:val="20"/>
                <w:szCs w:val="20"/>
              </w:rPr>
              <w:t>was assumed</w:t>
            </w:r>
            <w:proofErr w:type="gramEnd"/>
            <w:r w:rsidRPr="007E4B31">
              <w:rPr>
                <w:rFonts w:ascii="Arial Narrow" w:hAnsi="Arial Narrow"/>
                <w:bCs/>
                <w:sz w:val="20"/>
                <w:szCs w:val="20"/>
              </w:rPr>
              <w:t xml:space="preserve"> that patients receive a full year of treatment. </w:t>
            </w:r>
          </w:p>
          <w:p w14:paraId="792720AD" w14:textId="77777777" w:rsidR="00236B7A" w:rsidRPr="007E4B31" w:rsidRDefault="00236B7A" w:rsidP="00A40607">
            <w:pPr>
              <w:jc w:val="left"/>
              <w:rPr>
                <w:rFonts w:ascii="Arial Narrow" w:hAnsi="Arial Narrow"/>
                <w:b/>
                <w:bCs/>
                <w:sz w:val="20"/>
                <w:szCs w:val="20"/>
              </w:rPr>
            </w:pPr>
          </w:p>
          <w:tbl>
            <w:tblPr>
              <w:tblStyle w:val="HTATableshaded"/>
              <w:tblW w:w="5522" w:type="dxa"/>
              <w:tblLayout w:type="fixed"/>
              <w:tblLook w:val="04A0" w:firstRow="1" w:lastRow="0" w:firstColumn="1" w:lastColumn="0" w:noHBand="0" w:noVBand="1"/>
            </w:tblPr>
            <w:tblGrid>
              <w:gridCol w:w="845"/>
              <w:gridCol w:w="1661"/>
              <w:gridCol w:w="1485"/>
              <w:gridCol w:w="1531"/>
            </w:tblGrid>
            <w:tr w:rsidR="00236B7A" w:rsidRPr="007E4B31" w14:paraId="68C98863" w14:textId="77777777" w:rsidTr="00236B7A">
              <w:trPr>
                <w:cnfStyle w:val="100000000000" w:firstRow="1" w:lastRow="0" w:firstColumn="0" w:lastColumn="0" w:oddVBand="0" w:evenVBand="0" w:oddHBand="0" w:evenHBand="0" w:firstRowFirstColumn="0" w:firstRowLastColumn="0" w:lastRowFirstColumn="0" w:lastRowLastColumn="0"/>
              </w:trPr>
              <w:tc>
                <w:tcPr>
                  <w:tcW w:w="765" w:type="pct"/>
                </w:tcPr>
                <w:p w14:paraId="6D1D82EF" w14:textId="77777777" w:rsidR="00236B7A" w:rsidRPr="007E4B31" w:rsidRDefault="00236B7A" w:rsidP="00A40607">
                  <w:pPr>
                    <w:spacing w:before="0" w:after="0"/>
                    <w:jc w:val="left"/>
                    <w:rPr>
                      <w:rFonts w:ascii="Arial Narrow" w:hAnsi="Arial Narrow"/>
                      <w:b/>
                      <w:bCs/>
                      <w:sz w:val="20"/>
                      <w:szCs w:val="20"/>
                    </w:rPr>
                  </w:pPr>
                  <w:r w:rsidRPr="007E4B31">
                    <w:rPr>
                      <w:rFonts w:ascii="Arial Narrow" w:hAnsi="Arial Narrow"/>
                      <w:b/>
                      <w:bCs/>
                      <w:sz w:val="20"/>
                      <w:szCs w:val="20"/>
                    </w:rPr>
                    <w:t>Age (years)</w:t>
                  </w:r>
                </w:p>
              </w:tc>
              <w:tc>
                <w:tcPr>
                  <w:tcW w:w="1504" w:type="pct"/>
                  <w:vAlign w:val="center"/>
                </w:tcPr>
                <w:p w14:paraId="2034EEDB" w14:textId="77777777" w:rsidR="00236B7A" w:rsidRPr="007E4B31" w:rsidRDefault="00236B7A" w:rsidP="00A40607">
                  <w:pPr>
                    <w:spacing w:before="0" w:after="0"/>
                    <w:jc w:val="center"/>
                    <w:rPr>
                      <w:rFonts w:ascii="Arial Narrow" w:hAnsi="Arial Narrow"/>
                      <w:b/>
                      <w:bCs/>
                      <w:sz w:val="20"/>
                      <w:szCs w:val="20"/>
                    </w:rPr>
                  </w:pPr>
                  <w:r w:rsidRPr="007E4B31">
                    <w:rPr>
                      <w:rFonts w:ascii="Arial Narrow" w:hAnsi="Arial Narrow"/>
                      <w:b/>
                      <w:bCs/>
                      <w:sz w:val="20"/>
                      <w:szCs w:val="20"/>
                    </w:rPr>
                    <w:t>Assumed average weight (kg)</w:t>
                  </w:r>
                </w:p>
              </w:tc>
              <w:tc>
                <w:tcPr>
                  <w:tcW w:w="1345" w:type="pct"/>
                  <w:vAlign w:val="center"/>
                </w:tcPr>
                <w:p w14:paraId="29BC0DEB" w14:textId="77777777" w:rsidR="00236B7A" w:rsidRPr="007E4B31" w:rsidRDefault="00236B7A" w:rsidP="00A40607">
                  <w:pPr>
                    <w:spacing w:before="0" w:after="0"/>
                    <w:jc w:val="center"/>
                    <w:rPr>
                      <w:rFonts w:ascii="Arial Narrow" w:hAnsi="Arial Narrow"/>
                      <w:b/>
                      <w:bCs/>
                      <w:sz w:val="20"/>
                      <w:szCs w:val="20"/>
                    </w:rPr>
                  </w:pPr>
                  <w:r w:rsidRPr="007E4B31">
                    <w:rPr>
                      <w:rFonts w:ascii="Arial Narrow" w:hAnsi="Arial Narrow"/>
                      <w:b/>
                      <w:bCs/>
                      <w:sz w:val="20"/>
                      <w:szCs w:val="20"/>
                    </w:rPr>
                    <w:t>Average yearly dose (mg/kg)</w:t>
                  </w:r>
                </w:p>
              </w:tc>
              <w:tc>
                <w:tcPr>
                  <w:tcW w:w="1386" w:type="pct"/>
                  <w:vAlign w:val="center"/>
                </w:tcPr>
                <w:p w14:paraId="2E6EB95A" w14:textId="77777777" w:rsidR="00236B7A" w:rsidRPr="007E4B31" w:rsidRDefault="00236B7A" w:rsidP="00A40607">
                  <w:pPr>
                    <w:spacing w:before="0" w:after="0"/>
                    <w:jc w:val="center"/>
                    <w:rPr>
                      <w:rFonts w:ascii="Arial Narrow" w:hAnsi="Arial Narrow"/>
                      <w:b/>
                      <w:bCs/>
                      <w:sz w:val="20"/>
                      <w:szCs w:val="20"/>
                    </w:rPr>
                  </w:pPr>
                  <w:r w:rsidRPr="007E4B31">
                    <w:rPr>
                      <w:rFonts w:ascii="Arial Narrow" w:hAnsi="Arial Narrow"/>
                      <w:b/>
                      <w:bCs/>
                      <w:sz w:val="20"/>
                      <w:szCs w:val="20"/>
                    </w:rPr>
                    <w:t>Average yearly dose (mg)</w:t>
                  </w:r>
                </w:p>
              </w:tc>
            </w:tr>
            <w:tr w:rsidR="00236B7A" w:rsidRPr="007E4B31" w14:paraId="21C1C4C5" w14:textId="77777777" w:rsidTr="00236B7A">
              <w:tc>
                <w:tcPr>
                  <w:tcW w:w="765" w:type="pct"/>
                </w:tcPr>
                <w:p w14:paraId="16821DE0" w14:textId="77777777" w:rsidR="00236B7A" w:rsidRPr="007E4B31" w:rsidRDefault="00236B7A" w:rsidP="00A40607">
                  <w:pPr>
                    <w:spacing w:before="0" w:after="0"/>
                    <w:jc w:val="left"/>
                    <w:rPr>
                      <w:rFonts w:ascii="Arial Narrow" w:hAnsi="Arial Narrow"/>
                      <w:sz w:val="20"/>
                      <w:szCs w:val="20"/>
                    </w:rPr>
                  </w:pPr>
                  <w:r w:rsidRPr="007E4B31">
                    <w:rPr>
                      <w:rFonts w:ascii="Arial Narrow" w:hAnsi="Arial Narrow"/>
                      <w:sz w:val="20"/>
                      <w:szCs w:val="20"/>
                    </w:rPr>
                    <w:t xml:space="preserve">&lt;5  </w:t>
                  </w:r>
                </w:p>
              </w:tc>
              <w:tc>
                <w:tcPr>
                  <w:tcW w:w="1504" w:type="pct"/>
                  <w:vAlign w:val="center"/>
                </w:tcPr>
                <w:p w14:paraId="18C0E109" w14:textId="77777777" w:rsidR="00236B7A" w:rsidRPr="007E4B31" w:rsidRDefault="00236B7A" w:rsidP="00A40607">
                  <w:pPr>
                    <w:spacing w:before="0" w:after="0"/>
                    <w:jc w:val="center"/>
                    <w:rPr>
                      <w:rFonts w:ascii="Arial Narrow" w:hAnsi="Arial Narrow"/>
                      <w:sz w:val="20"/>
                      <w:szCs w:val="20"/>
                    </w:rPr>
                  </w:pPr>
                  <w:r w:rsidRPr="007E4B31">
                    <w:rPr>
                      <w:rFonts w:ascii="Arial Narrow" w:hAnsi="Arial Narrow"/>
                      <w:sz w:val="20"/>
                      <w:szCs w:val="20"/>
                    </w:rPr>
                    <w:t>12.2</w:t>
                  </w:r>
                </w:p>
              </w:tc>
              <w:tc>
                <w:tcPr>
                  <w:tcW w:w="1345" w:type="pct"/>
                  <w:vMerge w:val="restart"/>
                  <w:vAlign w:val="center"/>
                </w:tcPr>
                <w:p w14:paraId="3A85D4C3" w14:textId="77777777" w:rsidR="00236B7A" w:rsidRPr="007E4B31" w:rsidRDefault="00236B7A" w:rsidP="00A40607">
                  <w:pPr>
                    <w:spacing w:before="0" w:after="0"/>
                    <w:jc w:val="center"/>
                    <w:rPr>
                      <w:rFonts w:ascii="Arial Narrow" w:hAnsi="Arial Narrow"/>
                      <w:sz w:val="20"/>
                      <w:szCs w:val="20"/>
                    </w:rPr>
                  </w:pPr>
                  <w:r w:rsidRPr="007E4B31">
                    <w:rPr>
                      <w:rFonts w:ascii="Arial Narrow" w:hAnsi="Arial Narrow"/>
                      <w:sz w:val="20"/>
                      <w:szCs w:val="20"/>
                    </w:rPr>
                    <w:t>8.186</w:t>
                  </w:r>
                </w:p>
              </w:tc>
              <w:tc>
                <w:tcPr>
                  <w:tcW w:w="1386" w:type="pct"/>
                  <w:vAlign w:val="center"/>
                </w:tcPr>
                <w:p w14:paraId="3B40030C" w14:textId="77777777" w:rsidR="00236B7A" w:rsidRPr="007E4B31" w:rsidRDefault="00236B7A" w:rsidP="00A40607">
                  <w:pPr>
                    <w:spacing w:before="0" w:after="0"/>
                    <w:jc w:val="center"/>
                    <w:rPr>
                      <w:rFonts w:ascii="Arial Narrow" w:hAnsi="Arial Narrow"/>
                      <w:sz w:val="20"/>
                      <w:szCs w:val="20"/>
                    </w:rPr>
                  </w:pPr>
                  <w:r w:rsidRPr="007E4B31">
                    <w:rPr>
                      <w:rFonts w:ascii="Arial Narrow" w:hAnsi="Arial Narrow"/>
                      <w:sz w:val="20"/>
                      <w:szCs w:val="20"/>
                    </w:rPr>
                    <w:t>100.1</w:t>
                  </w:r>
                </w:p>
              </w:tc>
            </w:tr>
            <w:tr w:rsidR="00236B7A" w:rsidRPr="007E4B31" w14:paraId="00ABF6C6" w14:textId="77777777" w:rsidTr="00236B7A">
              <w:tc>
                <w:tcPr>
                  <w:tcW w:w="765" w:type="pct"/>
                </w:tcPr>
                <w:p w14:paraId="21A67224" w14:textId="77777777" w:rsidR="00236B7A" w:rsidRPr="007E4B31" w:rsidRDefault="00236B7A" w:rsidP="00A40607">
                  <w:pPr>
                    <w:spacing w:before="0" w:after="0"/>
                    <w:jc w:val="left"/>
                    <w:rPr>
                      <w:rFonts w:ascii="Arial Narrow" w:hAnsi="Arial Narrow"/>
                      <w:sz w:val="20"/>
                      <w:szCs w:val="20"/>
                    </w:rPr>
                  </w:pPr>
                  <w:r w:rsidRPr="007E4B31">
                    <w:rPr>
                      <w:rFonts w:ascii="Arial Narrow" w:hAnsi="Arial Narrow"/>
                      <w:sz w:val="20"/>
                      <w:szCs w:val="20"/>
                    </w:rPr>
                    <w:t xml:space="preserve">5-9 </w:t>
                  </w:r>
                </w:p>
              </w:tc>
              <w:tc>
                <w:tcPr>
                  <w:tcW w:w="1504" w:type="pct"/>
                  <w:vAlign w:val="center"/>
                </w:tcPr>
                <w:p w14:paraId="097587E1" w14:textId="77777777" w:rsidR="00236B7A" w:rsidRPr="007E4B31" w:rsidRDefault="00236B7A" w:rsidP="00A40607">
                  <w:pPr>
                    <w:spacing w:before="0" w:after="0"/>
                    <w:jc w:val="center"/>
                    <w:rPr>
                      <w:rFonts w:ascii="Arial Narrow" w:hAnsi="Arial Narrow"/>
                      <w:sz w:val="20"/>
                      <w:szCs w:val="20"/>
                    </w:rPr>
                  </w:pPr>
                  <w:r w:rsidRPr="007E4B31">
                    <w:rPr>
                      <w:rFonts w:ascii="Arial Narrow" w:hAnsi="Arial Narrow"/>
                      <w:sz w:val="20"/>
                      <w:szCs w:val="20"/>
                    </w:rPr>
                    <w:t>24</w:t>
                  </w:r>
                </w:p>
              </w:tc>
              <w:tc>
                <w:tcPr>
                  <w:tcW w:w="1345" w:type="pct"/>
                  <w:vMerge/>
                  <w:vAlign w:val="center"/>
                </w:tcPr>
                <w:p w14:paraId="7CEA6A12" w14:textId="77777777" w:rsidR="00236B7A" w:rsidRPr="007E4B31" w:rsidRDefault="00236B7A" w:rsidP="00A40607">
                  <w:pPr>
                    <w:spacing w:before="0" w:after="0"/>
                    <w:jc w:val="center"/>
                    <w:rPr>
                      <w:rFonts w:ascii="Arial Narrow" w:hAnsi="Arial Narrow"/>
                      <w:sz w:val="20"/>
                      <w:szCs w:val="20"/>
                    </w:rPr>
                  </w:pPr>
                </w:p>
              </w:tc>
              <w:tc>
                <w:tcPr>
                  <w:tcW w:w="1386" w:type="pct"/>
                  <w:vAlign w:val="center"/>
                </w:tcPr>
                <w:p w14:paraId="47F4429A" w14:textId="77777777" w:rsidR="00236B7A" w:rsidRPr="007E4B31" w:rsidRDefault="00236B7A" w:rsidP="00A40607">
                  <w:pPr>
                    <w:spacing w:before="0" w:after="0"/>
                    <w:jc w:val="center"/>
                    <w:rPr>
                      <w:rFonts w:ascii="Arial Narrow" w:hAnsi="Arial Narrow"/>
                      <w:sz w:val="20"/>
                      <w:szCs w:val="20"/>
                    </w:rPr>
                  </w:pPr>
                  <w:r w:rsidRPr="007E4B31">
                    <w:rPr>
                      <w:rFonts w:ascii="Arial Narrow" w:hAnsi="Arial Narrow"/>
                      <w:sz w:val="20"/>
                      <w:szCs w:val="20"/>
                    </w:rPr>
                    <w:t>196.5</w:t>
                  </w:r>
                </w:p>
              </w:tc>
            </w:tr>
            <w:tr w:rsidR="00236B7A" w:rsidRPr="007E4B31" w14:paraId="4650B4A5" w14:textId="77777777" w:rsidTr="00236B7A">
              <w:tc>
                <w:tcPr>
                  <w:tcW w:w="765" w:type="pct"/>
                </w:tcPr>
                <w:p w14:paraId="6026C1D3" w14:textId="77777777" w:rsidR="00236B7A" w:rsidRPr="007E4B31" w:rsidRDefault="00236B7A" w:rsidP="00A40607">
                  <w:pPr>
                    <w:spacing w:before="0" w:after="0"/>
                    <w:jc w:val="left"/>
                    <w:rPr>
                      <w:rFonts w:ascii="Arial Narrow" w:hAnsi="Arial Narrow"/>
                      <w:sz w:val="20"/>
                      <w:szCs w:val="20"/>
                    </w:rPr>
                  </w:pPr>
                  <w:r w:rsidRPr="007E4B31">
                    <w:rPr>
                      <w:rFonts w:ascii="Arial Narrow" w:hAnsi="Arial Narrow"/>
                      <w:sz w:val="20"/>
                      <w:szCs w:val="20"/>
                    </w:rPr>
                    <w:t xml:space="preserve">10-14 </w:t>
                  </w:r>
                </w:p>
              </w:tc>
              <w:tc>
                <w:tcPr>
                  <w:tcW w:w="1504" w:type="pct"/>
                  <w:vAlign w:val="center"/>
                </w:tcPr>
                <w:p w14:paraId="49E6A8D3" w14:textId="77777777" w:rsidR="00236B7A" w:rsidRPr="007E4B31" w:rsidRDefault="00236B7A" w:rsidP="00A40607">
                  <w:pPr>
                    <w:spacing w:before="0" w:after="0"/>
                    <w:jc w:val="center"/>
                    <w:rPr>
                      <w:rFonts w:ascii="Arial Narrow" w:hAnsi="Arial Narrow"/>
                      <w:sz w:val="20"/>
                      <w:szCs w:val="20"/>
                    </w:rPr>
                  </w:pPr>
                  <w:r w:rsidRPr="007E4B31">
                    <w:rPr>
                      <w:rFonts w:ascii="Arial Narrow" w:hAnsi="Arial Narrow"/>
                      <w:sz w:val="20"/>
                      <w:szCs w:val="20"/>
                    </w:rPr>
                    <w:t>44.5</w:t>
                  </w:r>
                </w:p>
              </w:tc>
              <w:tc>
                <w:tcPr>
                  <w:tcW w:w="1345" w:type="pct"/>
                  <w:vMerge/>
                  <w:vAlign w:val="center"/>
                </w:tcPr>
                <w:p w14:paraId="30E77E8B" w14:textId="77777777" w:rsidR="00236B7A" w:rsidRPr="007E4B31" w:rsidRDefault="00236B7A" w:rsidP="00A40607">
                  <w:pPr>
                    <w:spacing w:before="0" w:after="0"/>
                    <w:jc w:val="center"/>
                    <w:rPr>
                      <w:rFonts w:ascii="Arial Narrow" w:hAnsi="Arial Narrow"/>
                      <w:sz w:val="20"/>
                      <w:szCs w:val="20"/>
                    </w:rPr>
                  </w:pPr>
                </w:p>
              </w:tc>
              <w:tc>
                <w:tcPr>
                  <w:tcW w:w="1386" w:type="pct"/>
                  <w:vAlign w:val="center"/>
                </w:tcPr>
                <w:p w14:paraId="3BEE76CF" w14:textId="77777777" w:rsidR="00236B7A" w:rsidRPr="007E4B31" w:rsidRDefault="00236B7A" w:rsidP="00A40607">
                  <w:pPr>
                    <w:spacing w:before="0" w:after="0"/>
                    <w:jc w:val="center"/>
                    <w:rPr>
                      <w:rFonts w:ascii="Arial Narrow" w:hAnsi="Arial Narrow"/>
                      <w:sz w:val="20"/>
                      <w:szCs w:val="20"/>
                    </w:rPr>
                  </w:pPr>
                  <w:r w:rsidRPr="007E4B31">
                    <w:rPr>
                      <w:rFonts w:ascii="Arial Narrow" w:hAnsi="Arial Narrow"/>
                      <w:sz w:val="20"/>
                      <w:szCs w:val="20"/>
                    </w:rPr>
                    <w:t>364.3</w:t>
                  </w:r>
                </w:p>
              </w:tc>
            </w:tr>
          </w:tbl>
          <w:p w14:paraId="212F08CB" w14:textId="77777777" w:rsidR="00236B7A" w:rsidRPr="007E4B31" w:rsidRDefault="00236B7A" w:rsidP="00A40607">
            <w:pPr>
              <w:jc w:val="left"/>
              <w:rPr>
                <w:rFonts w:ascii="Arial Narrow" w:hAnsi="Arial Narrow"/>
                <w:b/>
                <w:bCs/>
                <w:sz w:val="20"/>
                <w:szCs w:val="20"/>
              </w:rPr>
            </w:pPr>
          </w:p>
          <w:p w14:paraId="247107F9" w14:textId="77777777" w:rsidR="00236B7A" w:rsidRPr="007E4B31" w:rsidRDefault="00236B7A" w:rsidP="00A40607">
            <w:pPr>
              <w:jc w:val="left"/>
              <w:rPr>
                <w:rFonts w:ascii="Arial Narrow" w:hAnsi="Arial Narrow"/>
                <w:b/>
                <w:bCs/>
                <w:sz w:val="20"/>
                <w:szCs w:val="20"/>
              </w:rPr>
            </w:pPr>
            <w:r w:rsidRPr="007E4B31">
              <w:rPr>
                <w:rFonts w:ascii="Arial Narrow" w:hAnsi="Arial Narrow"/>
                <w:bCs/>
                <w:sz w:val="20"/>
                <w:szCs w:val="20"/>
              </w:rPr>
              <w:t xml:space="preserve">Source: REAL-4, Table 9, somatrogon, PSD, March 2022, PBAC meeting, and CDC growth charts for age-specific weights </w:t>
            </w:r>
          </w:p>
        </w:tc>
        <w:tc>
          <w:tcPr>
            <w:tcW w:w="2218" w:type="dxa"/>
            <w:tcMar>
              <w:left w:w="40" w:type="dxa"/>
              <w:right w:w="40" w:type="dxa"/>
            </w:tcMar>
            <w:vAlign w:val="center"/>
          </w:tcPr>
          <w:p w14:paraId="510A1DD6" w14:textId="17570245" w:rsidR="00236B7A" w:rsidRPr="007E4B31" w:rsidRDefault="00236B7A" w:rsidP="00A40607">
            <w:pPr>
              <w:jc w:val="left"/>
              <w:rPr>
                <w:rFonts w:ascii="Arial Narrow" w:hAnsi="Arial Narrow"/>
                <w:b/>
                <w:bCs/>
                <w:sz w:val="20"/>
                <w:szCs w:val="20"/>
              </w:rPr>
            </w:pPr>
            <w:r w:rsidRPr="007E4B31">
              <w:rPr>
                <w:rFonts w:ascii="Arial Narrow" w:hAnsi="Arial Narrow"/>
                <w:bCs/>
                <w:iCs/>
                <w:sz w:val="20"/>
                <w:szCs w:val="20"/>
              </w:rPr>
              <w:t xml:space="preserve">CDC growth charts were </w:t>
            </w:r>
            <w:proofErr w:type="gramStart"/>
            <w:r w:rsidRPr="007E4B31">
              <w:rPr>
                <w:rFonts w:ascii="Arial Narrow" w:hAnsi="Arial Narrow"/>
                <w:bCs/>
                <w:iCs/>
                <w:sz w:val="20"/>
                <w:szCs w:val="20"/>
              </w:rPr>
              <w:t>reasonably generalisable</w:t>
            </w:r>
            <w:proofErr w:type="gramEnd"/>
            <w:r w:rsidRPr="007E4B31">
              <w:rPr>
                <w:rFonts w:ascii="Arial Narrow" w:hAnsi="Arial Narrow"/>
                <w:bCs/>
                <w:iCs/>
                <w:sz w:val="20"/>
                <w:szCs w:val="20"/>
              </w:rPr>
              <w:t xml:space="preserve"> to the Australian setting. As discussed in </w:t>
            </w:r>
            <w:r w:rsidR="00643433" w:rsidRPr="007E4B31">
              <w:rPr>
                <w:rFonts w:ascii="Arial Narrow" w:hAnsi="Arial Narrow"/>
                <w:bCs/>
                <w:iCs/>
                <w:sz w:val="20"/>
                <w:szCs w:val="20"/>
              </w:rPr>
              <w:t xml:space="preserve">paragraph </w:t>
            </w:r>
            <w:r w:rsidR="00DA2876">
              <w:rPr>
                <w:rFonts w:ascii="Arial Narrow" w:hAnsi="Arial Narrow"/>
                <w:bCs/>
                <w:iCs/>
                <w:sz w:val="20"/>
                <w:szCs w:val="20"/>
              </w:rPr>
              <w:t>6.36</w:t>
            </w:r>
            <w:r w:rsidRPr="007E4B31">
              <w:rPr>
                <w:rFonts w:ascii="Arial Narrow" w:hAnsi="Arial Narrow"/>
                <w:bCs/>
                <w:iCs/>
                <w:sz w:val="20"/>
                <w:szCs w:val="20"/>
              </w:rPr>
              <w:t xml:space="preserve"> the dose used in clinical practice may be higher than the equi-effective dose, which would increase the yearly doses. The average weight of the 10-14-year age group used in the submission was higher than that from the CDC data (44.5 v</w:t>
            </w:r>
            <w:r w:rsidR="00250774">
              <w:rPr>
                <w:rFonts w:ascii="Arial Narrow" w:hAnsi="Arial Narrow"/>
                <w:bCs/>
                <w:iCs/>
                <w:sz w:val="20"/>
                <w:szCs w:val="20"/>
              </w:rPr>
              <w:t>ersu</w:t>
            </w:r>
            <w:r w:rsidRPr="007E4B31">
              <w:rPr>
                <w:rFonts w:ascii="Arial Narrow" w:hAnsi="Arial Narrow"/>
                <w:bCs/>
                <w:iCs/>
                <w:sz w:val="20"/>
                <w:szCs w:val="20"/>
              </w:rPr>
              <w:t>s 41kg, respectively).</w:t>
            </w:r>
            <w:r w:rsidRPr="007E4B31">
              <w:rPr>
                <w:rFonts w:ascii="Arial Narrow" w:hAnsi="Arial Narrow"/>
                <w:bCs/>
                <w:sz w:val="20"/>
                <w:szCs w:val="20"/>
              </w:rPr>
              <w:t xml:space="preserve"> </w:t>
            </w:r>
          </w:p>
        </w:tc>
      </w:tr>
      <w:tr w:rsidR="00236B7A" w:rsidRPr="007E4B31" w14:paraId="49E073A8" w14:textId="77777777" w:rsidTr="005D16AF">
        <w:tc>
          <w:tcPr>
            <w:tcW w:w="1075" w:type="dxa"/>
            <w:tcMar>
              <w:left w:w="40" w:type="dxa"/>
              <w:right w:w="40" w:type="dxa"/>
            </w:tcMar>
            <w:vAlign w:val="center"/>
          </w:tcPr>
          <w:p w14:paraId="648D1D50" w14:textId="77777777" w:rsidR="00236B7A" w:rsidRPr="007E4B31" w:rsidRDefault="00236B7A" w:rsidP="005D16AF">
            <w:pPr>
              <w:jc w:val="left"/>
              <w:rPr>
                <w:rFonts w:ascii="Arial Narrow" w:hAnsi="Arial Narrow"/>
                <w:bCs/>
                <w:sz w:val="20"/>
                <w:szCs w:val="20"/>
              </w:rPr>
            </w:pPr>
            <w:r w:rsidRPr="007E4B31">
              <w:rPr>
                <w:rFonts w:ascii="Arial Narrow" w:hAnsi="Arial Narrow"/>
                <w:bCs/>
                <w:sz w:val="20"/>
                <w:szCs w:val="20"/>
              </w:rPr>
              <w:lastRenderedPageBreak/>
              <w:t xml:space="preserve">Distribution of somapacitan pens </w:t>
            </w:r>
          </w:p>
        </w:tc>
        <w:tc>
          <w:tcPr>
            <w:tcW w:w="5724" w:type="dxa"/>
            <w:tcMar>
              <w:left w:w="40" w:type="dxa"/>
              <w:right w:w="40" w:type="dxa"/>
            </w:tcMar>
            <w:vAlign w:val="center"/>
          </w:tcPr>
          <w:p w14:paraId="14AA6141" w14:textId="36D058DE"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 xml:space="preserve">Using the average yearly dose, the submission calculated the number of pens per year per presentation for each age group (i.e., average yearly dose divided by 5, 10, or 15 mg/1.5 ml presentations) and then weighted them by the estimated distribution of pens for each age group. The distribution of pens among the age groups was based on the Sponsor’s internal forecasts and assumptions. </w:t>
            </w:r>
          </w:p>
          <w:p w14:paraId="6761B043" w14:textId="77777777" w:rsidR="00236B7A" w:rsidRPr="007E4B31" w:rsidRDefault="00236B7A" w:rsidP="00A40607">
            <w:pPr>
              <w:jc w:val="left"/>
              <w:rPr>
                <w:rFonts w:ascii="Arial Narrow" w:hAnsi="Arial Narrow"/>
                <w:bCs/>
                <w:sz w:val="20"/>
                <w:szCs w:val="20"/>
              </w:rPr>
            </w:pPr>
          </w:p>
          <w:tbl>
            <w:tblPr>
              <w:tblStyle w:val="TableGrid"/>
              <w:tblW w:w="5539" w:type="dxa"/>
              <w:tblLayout w:type="fixed"/>
              <w:tblLook w:val="04A0" w:firstRow="1" w:lastRow="0" w:firstColumn="1" w:lastColumn="0" w:noHBand="0" w:noVBand="1"/>
            </w:tblPr>
            <w:tblGrid>
              <w:gridCol w:w="1871"/>
              <w:gridCol w:w="3668"/>
            </w:tblGrid>
            <w:tr w:rsidR="00236B7A" w:rsidRPr="007E4B31" w14:paraId="1BB1AFEF" w14:textId="77777777" w:rsidTr="00A40607">
              <w:trPr>
                <w:trHeight w:val="206"/>
              </w:trPr>
              <w:tc>
                <w:tcPr>
                  <w:tcW w:w="1871" w:type="dxa"/>
                  <w:vAlign w:val="center"/>
                </w:tcPr>
                <w:p w14:paraId="29B3D647" w14:textId="77777777"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Age (years), average weight</w:t>
                  </w:r>
                </w:p>
              </w:tc>
              <w:tc>
                <w:tcPr>
                  <w:tcW w:w="3668" w:type="dxa"/>
                  <w:vAlign w:val="center"/>
                </w:tcPr>
                <w:p w14:paraId="733036C2" w14:textId="77777777" w:rsidR="00236B7A" w:rsidRPr="007E4B31" w:rsidRDefault="00236B7A" w:rsidP="00A40607">
                  <w:pPr>
                    <w:jc w:val="center"/>
                    <w:rPr>
                      <w:rFonts w:ascii="Arial Narrow" w:hAnsi="Arial Narrow"/>
                      <w:bCs/>
                      <w:sz w:val="20"/>
                      <w:szCs w:val="20"/>
                    </w:rPr>
                  </w:pPr>
                  <w:r w:rsidRPr="007E4B31">
                    <w:rPr>
                      <w:rFonts w:ascii="Arial Narrow" w:hAnsi="Arial Narrow"/>
                      <w:bCs/>
                      <w:sz w:val="20"/>
                      <w:szCs w:val="20"/>
                    </w:rPr>
                    <w:t>Assumption</w:t>
                  </w:r>
                </w:p>
              </w:tc>
            </w:tr>
            <w:tr w:rsidR="00236B7A" w:rsidRPr="007E4B31" w14:paraId="4762E6DD" w14:textId="77777777" w:rsidTr="00A40607">
              <w:trPr>
                <w:trHeight w:val="221"/>
              </w:trPr>
              <w:tc>
                <w:tcPr>
                  <w:tcW w:w="1871" w:type="dxa"/>
                  <w:vAlign w:val="center"/>
                </w:tcPr>
                <w:p w14:paraId="0AB71641" w14:textId="77777777"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 xml:space="preserve">&lt;5, </w:t>
                  </w:r>
                  <w:r w:rsidRPr="007E4B31">
                    <w:rPr>
                      <w:rFonts w:ascii="Arial Narrow" w:hAnsi="Arial Narrow"/>
                      <w:bCs/>
                      <w:iCs/>
                      <w:sz w:val="20"/>
                      <w:szCs w:val="20"/>
                    </w:rPr>
                    <w:t>12.2 kg</w:t>
                  </w:r>
                </w:p>
              </w:tc>
              <w:tc>
                <w:tcPr>
                  <w:tcW w:w="3668" w:type="dxa"/>
                </w:tcPr>
                <w:p w14:paraId="2CDD7875" w14:textId="77777777"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 xml:space="preserve">100% receive 5 mg/1.5 ml pen = </w:t>
                  </w:r>
                  <w:r w:rsidRPr="007E4B31">
                    <w:rPr>
                      <w:rFonts w:ascii="Arial Narrow" w:hAnsi="Arial Narrow"/>
                      <w:bCs/>
                      <w:iCs/>
                      <w:sz w:val="20"/>
                      <w:szCs w:val="20"/>
                    </w:rPr>
                    <w:t>20.02</w:t>
                  </w:r>
                  <w:r w:rsidRPr="007E4B31">
                    <w:rPr>
                      <w:rFonts w:ascii="Arial Narrow" w:hAnsi="Arial Narrow"/>
                      <w:bCs/>
                      <w:sz w:val="20"/>
                      <w:szCs w:val="20"/>
                    </w:rPr>
                    <w:t xml:space="preserve"> pens</w:t>
                  </w:r>
                </w:p>
              </w:tc>
            </w:tr>
            <w:tr w:rsidR="00236B7A" w:rsidRPr="007E4B31" w14:paraId="2BB76A9A" w14:textId="77777777" w:rsidTr="00A40607">
              <w:trPr>
                <w:trHeight w:val="206"/>
              </w:trPr>
              <w:tc>
                <w:tcPr>
                  <w:tcW w:w="1871" w:type="dxa"/>
                  <w:vAlign w:val="center"/>
                </w:tcPr>
                <w:p w14:paraId="383F7544" w14:textId="77777777"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5-9, 24 kg</w:t>
                  </w:r>
                </w:p>
              </w:tc>
              <w:tc>
                <w:tcPr>
                  <w:tcW w:w="3668" w:type="dxa"/>
                </w:tcPr>
                <w:p w14:paraId="75828864" w14:textId="77777777"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100% receive 10 mg/1.5 ml pen = 19.65 pens</w:t>
                  </w:r>
                </w:p>
              </w:tc>
            </w:tr>
            <w:tr w:rsidR="00236B7A" w:rsidRPr="007E4B31" w14:paraId="48643E9E" w14:textId="77777777" w:rsidTr="00A40607">
              <w:trPr>
                <w:trHeight w:val="429"/>
              </w:trPr>
              <w:tc>
                <w:tcPr>
                  <w:tcW w:w="1871" w:type="dxa"/>
                  <w:vAlign w:val="center"/>
                </w:tcPr>
                <w:p w14:paraId="36815C9B" w14:textId="77777777"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 xml:space="preserve">10-14, 44.5 kg </w:t>
                  </w:r>
                </w:p>
              </w:tc>
              <w:tc>
                <w:tcPr>
                  <w:tcW w:w="3668" w:type="dxa"/>
                </w:tcPr>
                <w:p w14:paraId="1BCA64CD" w14:textId="77777777" w:rsidR="00236B7A" w:rsidRPr="007E4B31" w:rsidRDefault="00236B7A" w:rsidP="00A40607">
                  <w:pPr>
                    <w:jc w:val="left"/>
                    <w:rPr>
                      <w:rFonts w:ascii="Arial Narrow" w:hAnsi="Arial Narrow"/>
                      <w:bCs/>
                      <w:sz w:val="20"/>
                      <w:szCs w:val="20"/>
                    </w:rPr>
                  </w:pPr>
                  <w:proofErr w:type="gramStart"/>
                  <w:r w:rsidRPr="007E4B31">
                    <w:rPr>
                      <w:rFonts w:ascii="Arial Narrow" w:hAnsi="Arial Narrow"/>
                      <w:bCs/>
                      <w:sz w:val="20"/>
                      <w:szCs w:val="20"/>
                    </w:rPr>
                    <w:t>20%</w:t>
                  </w:r>
                  <w:proofErr w:type="gramEnd"/>
                  <w:r w:rsidRPr="007E4B31">
                    <w:rPr>
                      <w:rFonts w:ascii="Arial Narrow" w:hAnsi="Arial Narrow"/>
                      <w:bCs/>
                      <w:sz w:val="20"/>
                      <w:szCs w:val="20"/>
                    </w:rPr>
                    <w:t xml:space="preserve"> receive 10 mg/1.5 ml pen = 36.43 pens</w:t>
                  </w:r>
                </w:p>
                <w:p w14:paraId="3E89D2AE" w14:textId="77777777" w:rsidR="00236B7A" w:rsidRPr="007E4B31" w:rsidRDefault="00236B7A" w:rsidP="00A40607">
                  <w:pPr>
                    <w:jc w:val="left"/>
                    <w:rPr>
                      <w:rFonts w:ascii="Arial Narrow" w:hAnsi="Arial Narrow"/>
                      <w:bCs/>
                      <w:sz w:val="20"/>
                      <w:szCs w:val="20"/>
                    </w:rPr>
                  </w:pPr>
                  <w:proofErr w:type="gramStart"/>
                  <w:r w:rsidRPr="007E4B31">
                    <w:rPr>
                      <w:rFonts w:ascii="Arial Narrow" w:hAnsi="Arial Narrow"/>
                      <w:bCs/>
                      <w:sz w:val="20"/>
                      <w:szCs w:val="20"/>
                    </w:rPr>
                    <w:t>80%</w:t>
                  </w:r>
                  <w:proofErr w:type="gramEnd"/>
                  <w:r w:rsidRPr="007E4B31">
                    <w:rPr>
                      <w:rFonts w:ascii="Arial Narrow" w:hAnsi="Arial Narrow"/>
                      <w:bCs/>
                      <w:sz w:val="20"/>
                      <w:szCs w:val="20"/>
                    </w:rPr>
                    <w:t xml:space="preserve"> receive 15 mg/1.5 ml pen = 24.28 pens</w:t>
                  </w:r>
                </w:p>
              </w:tc>
            </w:tr>
          </w:tbl>
          <w:p w14:paraId="48C31255" w14:textId="77777777" w:rsidR="00236B7A" w:rsidRPr="007E4B31" w:rsidRDefault="00236B7A" w:rsidP="00A40607">
            <w:pPr>
              <w:jc w:val="left"/>
              <w:rPr>
                <w:rFonts w:ascii="Arial Narrow" w:hAnsi="Arial Narrow"/>
                <w:bCs/>
                <w:sz w:val="20"/>
                <w:szCs w:val="20"/>
              </w:rPr>
            </w:pPr>
          </w:p>
          <w:p w14:paraId="7EA32609" w14:textId="068798F9"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 xml:space="preserve">Source: </w:t>
            </w:r>
            <w:r w:rsidR="000751CF" w:rsidRPr="007E4B31">
              <w:rPr>
                <w:rFonts w:ascii="Arial Narrow" w:hAnsi="Arial Narrow"/>
                <w:bCs/>
                <w:sz w:val="20"/>
                <w:szCs w:val="20"/>
              </w:rPr>
              <w:t xml:space="preserve">Table 9, </w:t>
            </w:r>
            <w:r w:rsidRPr="007E4B31">
              <w:rPr>
                <w:rFonts w:ascii="Arial Narrow" w:hAnsi="Arial Narrow"/>
                <w:bCs/>
                <w:sz w:val="20"/>
                <w:szCs w:val="20"/>
              </w:rPr>
              <w:t xml:space="preserve">REAL-4 </w:t>
            </w:r>
            <w:r w:rsidR="000751CF" w:rsidRPr="007E4B31">
              <w:rPr>
                <w:rFonts w:ascii="Arial Narrow" w:hAnsi="Arial Narrow"/>
                <w:bCs/>
                <w:sz w:val="20"/>
                <w:szCs w:val="20"/>
              </w:rPr>
              <w:t xml:space="preserve">CSR </w:t>
            </w:r>
            <w:r w:rsidRPr="007E4B31">
              <w:rPr>
                <w:rFonts w:ascii="Arial Narrow" w:hAnsi="Arial Narrow"/>
                <w:bCs/>
                <w:sz w:val="20"/>
                <w:szCs w:val="20"/>
              </w:rPr>
              <w:t>somapacitan pen injection selection guide, CDC growth charts, Sponsor internal estimates</w:t>
            </w:r>
          </w:p>
        </w:tc>
        <w:tc>
          <w:tcPr>
            <w:tcW w:w="2218" w:type="dxa"/>
            <w:tcMar>
              <w:left w:w="40" w:type="dxa"/>
              <w:right w:w="40" w:type="dxa"/>
            </w:tcMar>
            <w:vAlign w:val="center"/>
          </w:tcPr>
          <w:p w14:paraId="53F71B55" w14:textId="7FFEBDF2" w:rsidR="00236B7A" w:rsidRPr="007E4B31" w:rsidRDefault="005A597D" w:rsidP="00A40607">
            <w:pPr>
              <w:jc w:val="left"/>
              <w:rPr>
                <w:rFonts w:ascii="Arial Narrow" w:hAnsi="Arial Narrow"/>
                <w:bCs/>
                <w:iCs/>
                <w:sz w:val="20"/>
                <w:szCs w:val="20"/>
              </w:rPr>
            </w:pPr>
            <w:r w:rsidRPr="007E4B31">
              <w:rPr>
                <w:rFonts w:ascii="Arial Narrow" w:hAnsi="Arial Narrow"/>
                <w:bCs/>
                <w:iCs/>
                <w:sz w:val="20"/>
                <w:szCs w:val="20"/>
              </w:rPr>
              <w:t xml:space="preserve">The submission claimed wastage </w:t>
            </w:r>
            <w:proofErr w:type="gramStart"/>
            <w:r w:rsidRPr="007E4B31">
              <w:rPr>
                <w:rFonts w:ascii="Arial Narrow" w:hAnsi="Arial Narrow"/>
                <w:bCs/>
                <w:iCs/>
                <w:sz w:val="20"/>
                <w:szCs w:val="20"/>
              </w:rPr>
              <w:t>was considered</w:t>
            </w:r>
            <w:proofErr w:type="gramEnd"/>
            <w:r w:rsidRPr="007E4B31">
              <w:rPr>
                <w:rFonts w:ascii="Arial Narrow" w:hAnsi="Arial Narrow"/>
                <w:bCs/>
                <w:iCs/>
                <w:sz w:val="20"/>
                <w:szCs w:val="20"/>
              </w:rPr>
              <w:t xml:space="preserve"> but it was unclear how this was accounted for in determining the pen distributions used. </w:t>
            </w:r>
            <w:r w:rsidR="00236B7A" w:rsidRPr="007E4B31">
              <w:rPr>
                <w:rFonts w:ascii="Arial Narrow" w:hAnsi="Arial Narrow"/>
                <w:bCs/>
                <w:iCs/>
                <w:sz w:val="20"/>
                <w:szCs w:val="20"/>
              </w:rPr>
              <w:t>According to the REAL</w:t>
            </w:r>
            <w:r w:rsidR="00236B7A" w:rsidRPr="007E4B31">
              <w:rPr>
                <w:rFonts w:ascii="Arial Narrow" w:hAnsi="Arial Narrow"/>
                <w:bCs/>
                <w:iCs/>
                <w:sz w:val="20"/>
                <w:szCs w:val="20"/>
              </w:rPr>
              <w:noBreakHyphen/>
            </w:r>
            <w:proofErr w:type="gramStart"/>
            <w:r w:rsidR="00236B7A" w:rsidRPr="007E4B31">
              <w:rPr>
                <w:rFonts w:ascii="Arial Narrow" w:hAnsi="Arial Narrow"/>
                <w:bCs/>
                <w:iCs/>
                <w:sz w:val="20"/>
                <w:szCs w:val="20"/>
              </w:rPr>
              <w:t>4</w:t>
            </w:r>
            <w:proofErr w:type="gramEnd"/>
            <w:r w:rsidR="00236B7A" w:rsidRPr="007E4B31">
              <w:rPr>
                <w:rFonts w:ascii="Arial Narrow" w:hAnsi="Arial Narrow"/>
                <w:bCs/>
                <w:iCs/>
                <w:sz w:val="20"/>
                <w:szCs w:val="20"/>
              </w:rPr>
              <w:t xml:space="preserve"> pen selection guide and the average weight of each age group, it was possible that different presentations are prescribed, which was not explored in the submission. </w:t>
            </w:r>
          </w:p>
        </w:tc>
      </w:tr>
      <w:tr w:rsidR="00236B7A" w:rsidRPr="007E4B31" w14:paraId="3CDBB000" w14:textId="77777777" w:rsidTr="00C01433">
        <w:tc>
          <w:tcPr>
            <w:tcW w:w="1075" w:type="dxa"/>
            <w:tcMar>
              <w:left w:w="40" w:type="dxa"/>
              <w:right w:w="40" w:type="dxa"/>
            </w:tcMar>
            <w:vAlign w:val="center"/>
          </w:tcPr>
          <w:p w14:paraId="42C1BD76" w14:textId="77777777"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 xml:space="preserve">GH therapy costs and utilisation of GH therapy </w:t>
            </w:r>
          </w:p>
        </w:tc>
        <w:tc>
          <w:tcPr>
            <w:tcW w:w="5724" w:type="dxa"/>
            <w:tcMar>
              <w:left w:w="40" w:type="dxa"/>
              <w:right w:w="40" w:type="dxa"/>
            </w:tcMar>
            <w:vAlign w:val="center"/>
          </w:tcPr>
          <w:p w14:paraId="1D8E3202" w14:textId="77777777"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 xml:space="preserve">Cost of GH therapies as subsidised by the PBS, and results from the CMA were used to inform the </w:t>
            </w:r>
            <w:proofErr w:type="gramStart"/>
            <w:r w:rsidRPr="007E4B31">
              <w:rPr>
                <w:rFonts w:ascii="Arial Narrow" w:hAnsi="Arial Narrow"/>
                <w:bCs/>
                <w:sz w:val="20"/>
                <w:szCs w:val="20"/>
              </w:rPr>
              <w:t>financial impact</w:t>
            </w:r>
            <w:proofErr w:type="gramEnd"/>
            <w:r w:rsidRPr="007E4B31">
              <w:rPr>
                <w:rFonts w:ascii="Arial Narrow" w:hAnsi="Arial Narrow"/>
                <w:bCs/>
                <w:sz w:val="20"/>
                <w:szCs w:val="20"/>
              </w:rPr>
              <w:t xml:space="preserve"> of somapacitan listing. The somapacitan and somatrogon AEMPs </w:t>
            </w:r>
            <w:proofErr w:type="gramStart"/>
            <w:r w:rsidRPr="007E4B31">
              <w:rPr>
                <w:rFonts w:ascii="Arial Narrow" w:hAnsi="Arial Narrow"/>
                <w:bCs/>
                <w:sz w:val="20"/>
                <w:szCs w:val="20"/>
              </w:rPr>
              <w:t>are presented</w:t>
            </w:r>
            <w:proofErr w:type="gramEnd"/>
            <w:r w:rsidRPr="007E4B31">
              <w:rPr>
                <w:rFonts w:ascii="Arial Narrow" w:hAnsi="Arial Narrow"/>
                <w:bCs/>
                <w:sz w:val="20"/>
                <w:szCs w:val="20"/>
              </w:rPr>
              <w:t xml:space="preserve"> below. To estimate the utilisation of GH therapy, the submission used the patient beneficiary category distribution for somatropin for the treatment of SSABGHD and SSSG on the PBS (Table 4.1.2, Attachment 4 to the commentary)</w:t>
            </w:r>
          </w:p>
          <w:p w14:paraId="73213DE8" w14:textId="77777777" w:rsidR="00236B7A" w:rsidRPr="007E4B31" w:rsidRDefault="00236B7A" w:rsidP="00A40607">
            <w:pPr>
              <w:jc w:val="left"/>
              <w:rPr>
                <w:rFonts w:ascii="Arial Narrow" w:hAnsi="Arial Narrow"/>
                <w:bCs/>
                <w:sz w:val="20"/>
                <w:szCs w:val="20"/>
              </w:rPr>
            </w:pPr>
          </w:p>
          <w:tbl>
            <w:tblPr>
              <w:tblStyle w:val="TableGrid"/>
              <w:tblW w:w="5556" w:type="dxa"/>
              <w:tblLayout w:type="fixed"/>
              <w:tblLook w:val="04A0" w:firstRow="1" w:lastRow="0" w:firstColumn="1" w:lastColumn="0" w:noHBand="0" w:noVBand="1"/>
            </w:tblPr>
            <w:tblGrid>
              <w:gridCol w:w="2778"/>
              <w:gridCol w:w="2778"/>
            </w:tblGrid>
            <w:tr w:rsidR="00236B7A" w:rsidRPr="007E4B31" w14:paraId="1B10F3D1" w14:textId="77777777" w:rsidTr="007023C6">
              <w:trPr>
                <w:trHeight w:val="231"/>
              </w:trPr>
              <w:tc>
                <w:tcPr>
                  <w:tcW w:w="2778" w:type="dxa"/>
                  <w:vAlign w:val="center"/>
                </w:tcPr>
                <w:p w14:paraId="5D50DC8C" w14:textId="77777777" w:rsidR="00236B7A" w:rsidRPr="007E4B31" w:rsidRDefault="00236B7A" w:rsidP="00236B7A">
                  <w:pPr>
                    <w:jc w:val="center"/>
                    <w:rPr>
                      <w:rFonts w:ascii="Arial Narrow" w:hAnsi="Arial Narrow"/>
                      <w:bCs/>
                      <w:sz w:val="20"/>
                      <w:szCs w:val="20"/>
                    </w:rPr>
                  </w:pPr>
                  <w:r w:rsidRPr="007E4B31">
                    <w:rPr>
                      <w:rFonts w:ascii="Arial Narrow" w:hAnsi="Arial Narrow"/>
                      <w:bCs/>
                      <w:sz w:val="20"/>
                      <w:szCs w:val="20"/>
                    </w:rPr>
                    <w:t>Somapacitan</w:t>
                  </w:r>
                </w:p>
              </w:tc>
              <w:tc>
                <w:tcPr>
                  <w:tcW w:w="2778" w:type="dxa"/>
                  <w:vAlign w:val="center"/>
                </w:tcPr>
                <w:p w14:paraId="0229DD06" w14:textId="77777777" w:rsidR="00236B7A" w:rsidRPr="007E4B31" w:rsidRDefault="00236B7A" w:rsidP="00236B7A">
                  <w:pPr>
                    <w:jc w:val="center"/>
                    <w:rPr>
                      <w:rFonts w:ascii="Arial Narrow" w:hAnsi="Arial Narrow"/>
                      <w:bCs/>
                      <w:sz w:val="20"/>
                      <w:szCs w:val="20"/>
                    </w:rPr>
                  </w:pPr>
                  <w:r w:rsidRPr="007E4B31">
                    <w:rPr>
                      <w:rFonts w:ascii="Arial Narrow" w:hAnsi="Arial Narrow"/>
                      <w:bCs/>
                      <w:sz w:val="20"/>
                      <w:szCs w:val="20"/>
                    </w:rPr>
                    <w:t>Somatrogon</w:t>
                  </w:r>
                </w:p>
              </w:tc>
            </w:tr>
            <w:tr w:rsidR="00236B7A" w:rsidRPr="007E4B31" w14:paraId="39A82482" w14:textId="77777777" w:rsidTr="007023C6">
              <w:trPr>
                <w:trHeight w:val="694"/>
              </w:trPr>
              <w:tc>
                <w:tcPr>
                  <w:tcW w:w="2778" w:type="dxa"/>
                  <w:vAlign w:val="center"/>
                </w:tcPr>
                <w:p w14:paraId="74665B16" w14:textId="22C5B94E" w:rsidR="00236B7A" w:rsidRPr="007E4B31" w:rsidRDefault="00236B7A" w:rsidP="00236B7A">
                  <w:pPr>
                    <w:jc w:val="center"/>
                    <w:rPr>
                      <w:rFonts w:ascii="Arial Narrow" w:hAnsi="Arial Narrow"/>
                      <w:sz w:val="20"/>
                      <w:szCs w:val="20"/>
                    </w:rPr>
                  </w:pPr>
                  <w:r w:rsidRPr="007E4B31">
                    <w:rPr>
                      <w:rFonts w:ascii="Arial Narrow" w:hAnsi="Arial Narrow"/>
                      <w:sz w:val="20"/>
                      <w:szCs w:val="20"/>
                    </w:rPr>
                    <w:t>5 mg/1.5 ml $312.50</w:t>
                  </w:r>
                </w:p>
                <w:p w14:paraId="15C15ABF" w14:textId="77777777" w:rsidR="00236B7A" w:rsidRPr="007E4B31" w:rsidRDefault="00236B7A" w:rsidP="00236B7A">
                  <w:pPr>
                    <w:jc w:val="center"/>
                    <w:rPr>
                      <w:rFonts w:ascii="Arial Narrow" w:hAnsi="Arial Narrow"/>
                      <w:sz w:val="20"/>
                      <w:szCs w:val="20"/>
                    </w:rPr>
                  </w:pPr>
                  <w:r w:rsidRPr="007E4B31">
                    <w:rPr>
                      <w:rFonts w:ascii="Arial Narrow" w:hAnsi="Arial Narrow"/>
                      <w:sz w:val="20"/>
                      <w:szCs w:val="20"/>
                    </w:rPr>
                    <w:t>10 mg/1.5 ml $625.01</w:t>
                  </w:r>
                </w:p>
                <w:p w14:paraId="35C31FB0" w14:textId="77777777" w:rsidR="00236B7A" w:rsidRPr="007E4B31" w:rsidRDefault="00236B7A" w:rsidP="00236B7A">
                  <w:pPr>
                    <w:jc w:val="center"/>
                    <w:rPr>
                      <w:rFonts w:ascii="Arial Narrow" w:hAnsi="Arial Narrow"/>
                      <w:sz w:val="20"/>
                      <w:szCs w:val="20"/>
                    </w:rPr>
                  </w:pPr>
                  <w:r w:rsidRPr="007E4B31">
                    <w:rPr>
                      <w:rFonts w:ascii="Arial Narrow" w:hAnsi="Arial Narrow"/>
                      <w:sz w:val="20"/>
                      <w:szCs w:val="20"/>
                    </w:rPr>
                    <w:t>15 mg/1.5 ml $937.51</w:t>
                  </w:r>
                </w:p>
              </w:tc>
              <w:tc>
                <w:tcPr>
                  <w:tcW w:w="2778" w:type="dxa"/>
                  <w:vAlign w:val="center"/>
                </w:tcPr>
                <w:p w14:paraId="19A375A9" w14:textId="77777777" w:rsidR="00236B7A" w:rsidRPr="007E4B31" w:rsidRDefault="00236B7A" w:rsidP="00236B7A">
                  <w:pPr>
                    <w:jc w:val="center"/>
                    <w:rPr>
                      <w:rFonts w:ascii="Arial Narrow" w:hAnsi="Arial Narrow"/>
                      <w:sz w:val="20"/>
                      <w:szCs w:val="20"/>
                    </w:rPr>
                  </w:pPr>
                  <w:r w:rsidRPr="007E4B31">
                    <w:rPr>
                      <w:rFonts w:ascii="Arial Narrow" w:hAnsi="Arial Narrow"/>
                      <w:sz w:val="20"/>
                      <w:szCs w:val="20"/>
                    </w:rPr>
                    <w:t>24 mg/1.2 ml $360.50</w:t>
                  </w:r>
                </w:p>
                <w:p w14:paraId="2EE59C41" w14:textId="77777777" w:rsidR="00236B7A" w:rsidRPr="007E4B31" w:rsidRDefault="00236B7A" w:rsidP="00236B7A">
                  <w:pPr>
                    <w:jc w:val="center"/>
                    <w:rPr>
                      <w:rFonts w:ascii="Arial Narrow" w:hAnsi="Arial Narrow"/>
                      <w:sz w:val="20"/>
                      <w:szCs w:val="20"/>
                    </w:rPr>
                  </w:pPr>
                  <w:r w:rsidRPr="007E4B31">
                    <w:rPr>
                      <w:rFonts w:ascii="Arial Narrow" w:hAnsi="Arial Narrow"/>
                      <w:sz w:val="20"/>
                      <w:szCs w:val="20"/>
                    </w:rPr>
                    <w:t>60 mg/1.2 ml $901.25</w:t>
                  </w:r>
                </w:p>
              </w:tc>
            </w:tr>
          </w:tbl>
          <w:p w14:paraId="028D603A" w14:textId="77777777" w:rsidR="00236B7A" w:rsidRPr="007E4B31" w:rsidRDefault="00236B7A" w:rsidP="00A40607">
            <w:pPr>
              <w:jc w:val="left"/>
              <w:rPr>
                <w:rFonts w:ascii="Arial Narrow" w:hAnsi="Arial Narrow"/>
                <w:bCs/>
                <w:sz w:val="20"/>
                <w:szCs w:val="20"/>
              </w:rPr>
            </w:pPr>
          </w:p>
          <w:p w14:paraId="04B1521D" w14:textId="77777777" w:rsidR="00236B7A" w:rsidRPr="007E4B31" w:rsidRDefault="00236B7A" w:rsidP="00A40607">
            <w:pPr>
              <w:jc w:val="left"/>
              <w:rPr>
                <w:rFonts w:ascii="Arial Narrow" w:hAnsi="Arial Narrow"/>
                <w:bCs/>
                <w:sz w:val="20"/>
                <w:szCs w:val="20"/>
              </w:rPr>
            </w:pPr>
            <w:r w:rsidRPr="007E4B31">
              <w:rPr>
                <w:rFonts w:ascii="Arial Narrow" w:hAnsi="Arial Narrow"/>
                <w:bCs/>
                <w:sz w:val="20"/>
                <w:szCs w:val="20"/>
              </w:rPr>
              <w:t>Source: PBS and CMA (Section 3)</w:t>
            </w:r>
          </w:p>
        </w:tc>
        <w:tc>
          <w:tcPr>
            <w:tcW w:w="2218" w:type="dxa"/>
            <w:tcMar>
              <w:left w:w="40" w:type="dxa"/>
              <w:right w:w="40" w:type="dxa"/>
            </w:tcMar>
            <w:vAlign w:val="center"/>
          </w:tcPr>
          <w:p w14:paraId="21A7C921" w14:textId="4B071DC2" w:rsidR="00236B7A" w:rsidRPr="007E4B31" w:rsidRDefault="00236B7A" w:rsidP="00A40607">
            <w:pPr>
              <w:jc w:val="left"/>
              <w:rPr>
                <w:rFonts w:ascii="Arial Narrow" w:hAnsi="Arial Narrow"/>
                <w:bCs/>
                <w:iCs/>
                <w:sz w:val="20"/>
                <w:szCs w:val="20"/>
              </w:rPr>
            </w:pPr>
            <w:r w:rsidRPr="007E4B31">
              <w:rPr>
                <w:rFonts w:ascii="Arial Narrow" w:hAnsi="Arial Narrow"/>
                <w:bCs/>
                <w:iCs/>
                <w:sz w:val="20"/>
                <w:szCs w:val="20"/>
              </w:rPr>
              <w:t>It is possible that the somapacitan dose used in clinical practice is higher than the equi</w:t>
            </w:r>
            <w:r w:rsidRPr="007E4B31">
              <w:rPr>
                <w:rFonts w:ascii="Arial Narrow" w:hAnsi="Arial Narrow"/>
                <w:bCs/>
                <w:iCs/>
                <w:sz w:val="20"/>
                <w:szCs w:val="20"/>
              </w:rPr>
              <w:noBreakHyphen/>
              <w:t xml:space="preserve">effective dose (see </w:t>
            </w:r>
            <w:r w:rsidR="00D23D45" w:rsidRPr="007E4B31">
              <w:rPr>
                <w:rFonts w:ascii="Arial Narrow" w:hAnsi="Arial Narrow"/>
                <w:bCs/>
                <w:iCs/>
                <w:sz w:val="20"/>
                <w:szCs w:val="20"/>
              </w:rPr>
              <w:t>paragraph</w:t>
            </w:r>
            <w:r w:rsidR="00DA2876">
              <w:rPr>
                <w:rFonts w:ascii="Arial Narrow" w:hAnsi="Arial Narrow"/>
                <w:bCs/>
                <w:iCs/>
                <w:sz w:val="20"/>
                <w:szCs w:val="20"/>
              </w:rPr>
              <w:t xml:space="preserve"> 6.36</w:t>
            </w:r>
            <w:r w:rsidR="00D23D45" w:rsidRPr="007E4B31">
              <w:rPr>
                <w:rFonts w:ascii="Arial Narrow" w:hAnsi="Arial Narrow"/>
                <w:bCs/>
                <w:iCs/>
                <w:sz w:val="20"/>
                <w:szCs w:val="20"/>
              </w:rPr>
              <w:t xml:space="preserve"> </w:t>
            </w:r>
            <w:r w:rsidR="00D23D45" w:rsidRPr="007E4B31">
              <w:rPr>
                <w:rFonts w:ascii="Arial Narrow" w:hAnsi="Arial Narrow"/>
                <w:bCs/>
                <w:iCs/>
                <w:sz w:val="20"/>
                <w:szCs w:val="20"/>
              </w:rPr>
              <w:fldChar w:fldCharType="begin" w:fldLock="1"/>
            </w:r>
            <w:r w:rsidR="00D23D45" w:rsidRPr="007E4B31">
              <w:rPr>
                <w:rFonts w:ascii="Arial Narrow" w:hAnsi="Arial Narrow"/>
                <w:bCs/>
                <w:iCs/>
                <w:sz w:val="20"/>
                <w:szCs w:val="20"/>
              </w:rPr>
              <w:instrText xml:space="preserve"> REF _Ref133843513 \r \h </w:instrText>
            </w:r>
            <w:r w:rsidR="00370FF4" w:rsidRPr="007E4B31">
              <w:rPr>
                <w:rFonts w:ascii="Arial Narrow" w:hAnsi="Arial Narrow"/>
                <w:bCs/>
                <w:iCs/>
                <w:sz w:val="20"/>
                <w:szCs w:val="20"/>
              </w:rPr>
              <w:instrText xml:space="preserve"> \* MERGEFORMAT </w:instrText>
            </w:r>
            <w:r w:rsidR="00D23D45" w:rsidRPr="007E4B31">
              <w:rPr>
                <w:rFonts w:ascii="Arial Narrow" w:hAnsi="Arial Narrow"/>
                <w:bCs/>
                <w:iCs/>
                <w:sz w:val="20"/>
                <w:szCs w:val="20"/>
              </w:rPr>
            </w:r>
            <w:r w:rsidR="00402BC2">
              <w:rPr>
                <w:rFonts w:ascii="Arial Narrow" w:hAnsi="Arial Narrow"/>
                <w:bCs/>
                <w:iCs/>
                <w:sz w:val="20"/>
                <w:szCs w:val="20"/>
              </w:rPr>
              <w:fldChar w:fldCharType="separate"/>
            </w:r>
            <w:r w:rsidR="00D23D45" w:rsidRPr="007E4B31">
              <w:rPr>
                <w:rFonts w:ascii="Arial Narrow" w:hAnsi="Arial Narrow"/>
                <w:bCs/>
                <w:iCs/>
                <w:sz w:val="20"/>
                <w:szCs w:val="20"/>
              </w:rPr>
              <w:fldChar w:fldCharType="end"/>
            </w:r>
            <w:r w:rsidRPr="007E4B31">
              <w:rPr>
                <w:rFonts w:ascii="Arial Narrow" w:hAnsi="Arial Narrow"/>
                <w:bCs/>
                <w:iCs/>
                <w:sz w:val="20"/>
                <w:szCs w:val="20"/>
              </w:rPr>
              <w:t>).</w:t>
            </w:r>
          </w:p>
        </w:tc>
      </w:tr>
    </w:tbl>
    <w:p w14:paraId="1072CDBF" w14:textId="77777777" w:rsidR="00C604B7" w:rsidRPr="007E4B31" w:rsidRDefault="00C604B7" w:rsidP="001B22F2">
      <w:pPr>
        <w:pStyle w:val="TableFooter"/>
        <w:rPr>
          <w:rStyle w:val="SubtitleChar1"/>
          <w:rFonts w:ascii="Arial Narrow" w:hAnsi="Arial Narrow" w:cs="Arial"/>
          <w:i w:val="0"/>
          <w:iCs w:val="0"/>
          <w:snapToGrid/>
          <w:color w:val="auto"/>
          <w:spacing w:val="0"/>
          <w:sz w:val="18"/>
          <w:lang w:eastAsia="en-AU"/>
        </w:rPr>
      </w:pPr>
      <w:r w:rsidRPr="007E4B31">
        <w:rPr>
          <w:rStyle w:val="SubtitleChar1"/>
          <w:rFonts w:ascii="Arial Narrow" w:hAnsi="Arial Narrow" w:cs="Arial"/>
          <w:i w:val="0"/>
          <w:iCs w:val="0"/>
          <w:snapToGrid/>
          <w:color w:val="auto"/>
          <w:spacing w:val="0"/>
          <w:sz w:val="18"/>
          <w:lang w:eastAsia="en-AU"/>
        </w:rPr>
        <w:t>Source: Tables 4.4-9, pp.172-6; Table 4.11, p.177 of the submission</w:t>
      </w:r>
    </w:p>
    <w:p w14:paraId="1F4BE44B" w14:textId="77777777" w:rsidR="00C604B7" w:rsidRPr="007E4B31" w:rsidRDefault="00C604B7" w:rsidP="001B22F2">
      <w:pPr>
        <w:pStyle w:val="TableFooter"/>
      </w:pPr>
      <w:r w:rsidRPr="007E4B31">
        <w:t>AEMP = approved ex-manufacturer price; CDC = Centre for Disease Control; CMA = cost minimisation analysis; GH = growth hormone; PBS = Pharmaceutical Benefits Scheme; PSD = Public Summary Document; RPBS = Repatriation Pharmaceutical Benefits Scheme; SSABGHD = Short stature associated with biochemical growth hormone deficiency; SSSG = short stature and slow growth</w:t>
      </w:r>
    </w:p>
    <w:p w14:paraId="3D81C4CC" w14:textId="77777777" w:rsidR="00C604B7" w:rsidRPr="007E4B31" w:rsidRDefault="00C604B7" w:rsidP="001B22F2">
      <w:pPr>
        <w:pStyle w:val="TableFooter"/>
        <w:rPr>
          <w:iCs/>
        </w:rPr>
      </w:pPr>
    </w:p>
    <w:p w14:paraId="36679EC0" w14:textId="2565B065" w:rsidR="00C604B7" w:rsidRPr="007E4B31" w:rsidRDefault="00C604B7" w:rsidP="001B22F2">
      <w:pPr>
        <w:pStyle w:val="3-BodyText"/>
      </w:pPr>
      <w:r w:rsidRPr="007E4B31">
        <w:t xml:space="preserve">The estimated number of treated patients, scripts dispensed, and financial implications of listing once weekly somapacitan compared to somatrogon in paediatric patients for the treatment of SSABGHD and SSSG are presented in </w:t>
      </w:r>
      <w:r w:rsidRPr="007E4B31">
        <w:fldChar w:fldCharType="begin" w:fldLock="1"/>
      </w:r>
      <w:r w:rsidRPr="007E4B31">
        <w:instrText xml:space="preserve"> REF _Ref133904914 \h </w:instrText>
      </w:r>
      <w:r w:rsidR="00370FF4" w:rsidRPr="007E4B31">
        <w:instrText xml:space="preserve"> \* MERGEFORMAT </w:instrText>
      </w:r>
      <w:r w:rsidRPr="007E4B31">
        <w:fldChar w:fldCharType="separate"/>
      </w:r>
      <w:r w:rsidR="00D3534F" w:rsidRPr="007E4B31">
        <w:t xml:space="preserve">Table </w:t>
      </w:r>
      <w:r w:rsidR="00D3534F">
        <w:rPr>
          <w:noProof/>
        </w:rPr>
        <w:t>11</w:t>
      </w:r>
      <w:r w:rsidRPr="007E4B31">
        <w:fldChar w:fldCharType="end"/>
      </w:r>
      <w:r w:rsidR="005178D7" w:rsidRPr="007E4B31">
        <w:t xml:space="preserve"> and </w:t>
      </w:r>
      <w:r w:rsidR="005178D7" w:rsidRPr="007E4B31">
        <w:fldChar w:fldCharType="begin" w:fldLock="1"/>
      </w:r>
      <w:r w:rsidR="005178D7" w:rsidRPr="007E4B31">
        <w:instrText xml:space="preserve"> REF _Ref134187291 \h </w:instrText>
      </w:r>
      <w:r w:rsidR="00370FF4" w:rsidRPr="007E4B31">
        <w:instrText xml:space="preserve"> \* MERGEFORMAT </w:instrText>
      </w:r>
      <w:r w:rsidR="005178D7" w:rsidRPr="007E4B31">
        <w:fldChar w:fldCharType="separate"/>
      </w:r>
      <w:r w:rsidR="00D3534F" w:rsidRPr="007E4B31">
        <w:t xml:space="preserve">Table </w:t>
      </w:r>
      <w:r w:rsidR="00D3534F">
        <w:rPr>
          <w:noProof/>
        </w:rPr>
        <w:t>12</w:t>
      </w:r>
      <w:r w:rsidR="005178D7" w:rsidRPr="007E4B31">
        <w:fldChar w:fldCharType="end"/>
      </w:r>
      <w:r w:rsidRPr="007E4B31">
        <w:t>.</w:t>
      </w:r>
    </w:p>
    <w:p w14:paraId="40420105" w14:textId="44721B12" w:rsidR="00C604B7" w:rsidRPr="007E4B31" w:rsidRDefault="00C604B7" w:rsidP="004D03B0">
      <w:pPr>
        <w:pStyle w:val="Caption"/>
      </w:pPr>
      <w:bookmarkStart w:id="47" w:name="_Ref133904914"/>
      <w:r w:rsidRPr="007E4B31">
        <w:lastRenderedPageBreak/>
        <w:t xml:space="preserve">Table </w:t>
      </w:r>
      <w:r w:rsidR="00402BC2">
        <w:fldChar w:fldCharType="begin" w:fldLock="1"/>
      </w:r>
      <w:r w:rsidR="00402BC2">
        <w:instrText xml:space="preserve"> SEQ Table \* ARABIC </w:instrText>
      </w:r>
      <w:r w:rsidR="00402BC2">
        <w:fldChar w:fldCharType="separate"/>
      </w:r>
      <w:r w:rsidR="00D3534F">
        <w:rPr>
          <w:noProof/>
        </w:rPr>
        <w:t>11</w:t>
      </w:r>
      <w:r w:rsidR="00402BC2">
        <w:rPr>
          <w:noProof/>
        </w:rPr>
        <w:fldChar w:fldCharType="end"/>
      </w:r>
      <w:bookmarkEnd w:id="47"/>
      <w:r w:rsidRPr="007E4B31">
        <w:t xml:space="preserve">: Estimation of number of treated patients, </w:t>
      </w:r>
      <w:proofErr w:type="gramStart"/>
      <w:r w:rsidRPr="007E4B31">
        <w:t>prescriptions</w:t>
      </w:r>
      <w:proofErr w:type="gramEnd"/>
      <w:r w:rsidRPr="007E4B31">
        <w:t xml:space="preserve"> and the financial implications – somapacitan </w:t>
      </w:r>
    </w:p>
    <w:tbl>
      <w:tblPr>
        <w:tblStyle w:val="HTATableshaded"/>
        <w:tblW w:w="5000" w:type="pct"/>
        <w:tblLayout w:type="fixed"/>
        <w:tblLook w:val="04A0" w:firstRow="1" w:lastRow="0" w:firstColumn="1" w:lastColumn="0" w:noHBand="0" w:noVBand="1"/>
      </w:tblPr>
      <w:tblGrid>
        <w:gridCol w:w="493"/>
        <w:gridCol w:w="1346"/>
        <w:gridCol w:w="2412"/>
        <w:gridCol w:w="793"/>
        <w:gridCol w:w="795"/>
        <w:gridCol w:w="795"/>
        <w:gridCol w:w="795"/>
        <w:gridCol w:w="795"/>
        <w:gridCol w:w="793"/>
      </w:tblGrid>
      <w:tr w:rsidR="00C604B7" w:rsidRPr="007E4B31" w14:paraId="3CB81F70" w14:textId="77777777" w:rsidTr="004D03B0">
        <w:trPr>
          <w:cnfStyle w:val="100000000000" w:firstRow="1" w:lastRow="0" w:firstColumn="0" w:lastColumn="0" w:oddVBand="0" w:evenVBand="0" w:oddHBand="0" w:evenHBand="0" w:firstRowFirstColumn="0" w:firstRowLastColumn="0" w:lastRowFirstColumn="0" w:lastRowLastColumn="0"/>
          <w:trHeight w:val="20"/>
        </w:trPr>
        <w:tc>
          <w:tcPr>
            <w:tcW w:w="273" w:type="pct"/>
            <w:vAlign w:val="center"/>
          </w:tcPr>
          <w:p w14:paraId="3F2DEB6B" w14:textId="77777777" w:rsidR="00C604B7" w:rsidRPr="007E4B31" w:rsidRDefault="00C604B7" w:rsidP="004D03B0">
            <w:pPr>
              <w:keepNext/>
              <w:keepLines/>
              <w:spacing w:before="0" w:after="0"/>
              <w:jc w:val="left"/>
              <w:rPr>
                <w:rFonts w:ascii="Arial Narrow" w:hAnsi="Arial Narrow"/>
                <w:color w:val="3366FF"/>
                <w:sz w:val="20"/>
                <w:szCs w:val="20"/>
              </w:rPr>
            </w:pPr>
          </w:p>
        </w:tc>
        <w:tc>
          <w:tcPr>
            <w:tcW w:w="746" w:type="pct"/>
          </w:tcPr>
          <w:p w14:paraId="5FAD301A" w14:textId="77777777" w:rsidR="00C604B7" w:rsidRPr="007E4B31" w:rsidRDefault="00C604B7" w:rsidP="004D03B0">
            <w:pPr>
              <w:pStyle w:val="TableText0"/>
              <w:keepLines/>
              <w:spacing w:before="0" w:after="0"/>
              <w:rPr>
                <w:b/>
                <w:bCs w:val="0"/>
                <w:sz w:val="20"/>
                <w:szCs w:val="20"/>
              </w:rPr>
            </w:pPr>
            <w:r w:rsidRPr="007E4B31">
              <w:rPr>
                <w:b/>
                <w:bCs w:val="0"/>
                <w:sz w:val="20"/>
                <w:szCs w:val="20"/>
              </w:rPr>
              <w:t>Variable</w:t>
            </w:r>
          </w:p>
        </w:tc>
        <w:tc>
          <w:tcPr>
            <w:tcW w:w="1337" w:type="pct"/>
          </w:tcPr>
          <w:p w14:paraId="121B332F" w14:textId="77777777" w:rsidR="00C604B7" w:rsidRPr="007E4B31" w:rsidRDefault="00C604B7" w:rsidP="004D03B0">
            <w:pPr>
              <w:pStyle w:val="TableText0"/>
              <w:keepLines/>
              <w:spacing w:before="0" w:after="0"/>
              <w:rPr>
                <w:b/>
                <w:bCs w:val="0"/>
                <w:sz w:val="20"/>
                <w:szCs w:val="20"/>
              </w:rPr>
            </w:pPr>
            <w:r w:rsidRPr="007E4B31">
              <w:rPr>
                <w:b/>
                <w:bCs w:val="0"/>
                <w:sz w:val="20"/>
                <w:szCs w:val="20"/>
              </w:rPr>
              <w:t>Method/Assumption</w:t>
            </w:r>
          </w:p>
        </w:tc>
        <w:tc>
          <w:tcPr>
            <w:tcW w:w="440" w:type="pct"/>
          </w:tcPr>
          <w:p w14:paraId="38874E78" w14:textId="77777777" w:rsidR="00C604B7" w:rsidRPr="007E4B31" w:rsidRDefault="00C604B7" w:rsidP="004D03B0">
            <w:pPr>
              <w:pStyle w:val="TableFigureHeading"/>
              <w:keepLines/>
              <w:spacing w:before="0" w:after="0"/>
              <w:jc w:val="center"/>
              <w:rPr>
                <w:sz w:val="20"/>
                <w:szCs w:val="20"/>
              </w:rPr>
            </w:pPr>
            <w:r w:rsidRPr="007E4B31">
              <w:rPr>
                <w:sz w:val="20"/>
                <w:szCs w:val="20"/>
              </w:rPr>
              <w:t>Year 1</w:t>
            </w:r>
          </w:p>
        </w:tc>
        <w:tc>
          <w:tcPr>
            <w:tcW w:w="441" w:type="pct"/>
          </w:tcPr>
          <w:p w14:paraId="39DA1481" w14:textId="77777777" w:rsidR="00C604B7" w:rsidRPr="007E4B31" w:rsidRDefault="00C604B7" w:rsidP="004D03B0">
            <w:pPr>
              <w:pStyle w:val="TableFigureHeading"/>
              <w:keepLines/>
              <w:spacing w:before="0" w:after="0"/>
              <w:jc w:val="center"/>
              <w:rPr>
                <w:sz w:val="20"/>
                <w:szCs w:val="20"/>
              </w:rPr>
            </w:pPr>
            <w:r w:rsidRPr="007E4B31">
              <w:rPr>
                <w:sz w:val="20"/>
                <w:szCs w:val="20"/>
              </w:rPr>
              <w:t>Year 2</w:t>
            </w:r>
          </w:p>
        </w:tc>
        <w:tc>
          <w:tcPr>
            <w:tcW w:w="441" w:type="pct"/>
          </w:tcPr>
          <w:p w14:paraId="7E517A91" w14:textId="77777777" w:rsidR="00C604B7" w:rsidRPr="007E4B31" w:rsidRDefault="00C604B7" w:rsidP="004D03B0">
            <w:pPr>
              <w:pStyle w:val="TableFigureHeading"/>
              <w:keepLines/>
              <w:spacing w:before="0" w:after="0"/>
              <w:jc w:val="center"/>
              <w:rPr>
                <w:sz w:val="20"/>
                <w:szCs w:val="20"/>
              </w:rPr>
            </w:pPr>
            <w:r w:rsidRPr="007E4B31">
              <w:rPr>
                <w:sz w:val="20"/>
                <w:szCs w:val="20"/>
              </w:rPr>
              <w:t>Year 3</w:t>
            </w:r>
          </w:p>
        </w:tc>
        <w:tc>
          <w:tcPr>
            <w:tcW w:w="441" w:type="pct"/>
          </w:tcPr>
          <w:p w14:paraId="16D8077C" w14:textId="77777777" w:rsidR="00C604B7" w:rsidRPr="007E4B31" w:rsidRDefault="00C604B7" w:rsidP="004D03B0">
            <w:pPr>
              <w:pStyle w:val="TableFigureHeading"/>
              <w:keepLines/>
              <w:spacing w:before="0" w:after="0"/>
              <w:jc w:val="center"/>
              <w:rPr>
                <w:sz w:val="20"/>
                <w:szCs w:val="20"/>
              </w:rPr>
            </w:pPr>
            <w:r w:rsidRPr="007E4B31">
              <w:rPr>
                <w:sz w:val="20"/>
                <w:szCs w:val="20"/>
              </w:rPr>
              <w:t>Year 4</w:t>
            </w:r>
          </w:p>
        </w:tc>
        <w:tc>
          <w:tcPr>
            <w:tcW w:w="441" w:type="pct"/>
          </w:tcPr>
          <w:p w14:paraId="78A3EECB" w14:textId="77777777" w:rsidR="00C604B7" w:rsidRPr="007E4B31" w:rsidRDefault="00C604B7" w:rsidP="004D03B0">
            <w:pPr>
              <w:pStyle w:val="TableFigureHeading"/>
              <w:keepLines/>
              <w:spacing w:before="0" w:after="0"/>
              <w:jc w:val="center"/>
              <w:rPr>
                <w:sz w:val="20"/>
                <w:szCs w:val="20"/>
              </w:rPr>
            </w:pPr>
            <w:r w:rsidRPr="007E4B31">
              <w:rPr>
                <w:sz w:val="20"/>
                <w:szCs w:val="20"/>
              </w:rPr>
              <w:t>Year 5</w:t>
            </w:r>
          </w:p>
        </w:tc>
        <w:tc>
          <w:tcPr>
            <w:tcW w:w="440" w:type="pct"/>
          </w:tcPr>
          <w:p w14:paraId="440CDE47" w14:textId="77777777" w:rsidR="00C604B7" w:rsidRPr="007E4B31" w:rsidRDefault="00C604B7" w:rsidP="004D03B0">
            <w:pPr>
              <w:pStyle w:val="TableFigureHeading"/>
              <w:keepLines/>
              <w:spacing w:before="0" w:after="0"/>
              <w:jc w:val="center"/>
              <w:rPr>
                <w:sz w:val="20"/>
                <w:szCs w:val="20"/>
              </w:rPr>
            </w:pPr>
            <w:r w:rsidRPr="007E4B31">
              <w:rPr>
                <w:sz w:val="20"/>
                <w:szCs w:val="20"/>
              </w:rPr>
              <w:t>Year 6</w:t>
            </w:r>
          </w:p>
        </w:tc>
      </w:tr>
      <w:tr w:rsidR="00C604B7" w:rsidRPr="007E4B31" w14:paraId="152DF732" w14:textId="77777777" w:rsidTr="004D03B0">
        <w:trPr>
          <w:trHeight w:val="20"/>
        </w:trPr>
        <w:tc>
          <w:tcPr>
            <w:tcW w:w="5000" w:type="pct"/>
            <w:gridSpan w:val="9"/>
            <w:vAlign w:val="center"/>
          </w:tcPr>
          <w:p w14:paraId="7E9AD6C3" w14:textId="676A2E7F" w:rsidR="00C604B7" w:rsidRPr="007E4B31" w:rsidRDefault="00C604B7" w:rsidP="004D03B0">
            <w:pPr>
              <w:pStyle w:val="TableText0"/>
              <w:keepLines/>
              <w:spacing w:before="0" w:after="0"/>
              <w:rPr>
                <w:b/>
                <w:bCs w:val="0"/>
                <w:sz w:val="20"/>
                <w:szCs w:val="20"/>
              </w:rPr>
            </w:pPr>
            <w:r w:rsidRPr="007E4B31">
              <w:rPr>
                <w:b/>
                <w:bCs w:val="0"/>
                <w:sz w:val="20"/>
                <w:szCs w:val="20"/>
              </w:rPr>
              <w:t>Eligible population</w:t>
            </w:r>
          </w:p>
        </w:tc>
      </w:tr>
      <w:tr w:rsidR="00C604B7" w:rsidRPr="007E4B31" w14:paraId="1A0DF7BB" w14:textId="77777777" w:rsidTr="004D03B0">
        <w:trPr>
          <w:trHeight w:val="20"/>
        </w:trPr>
        <w:tc>
          <w:tcPr>
            <w:tcW w:w="273" w:type="pct"/>
            <w:vAlign w:val="center"/>
          </w:tcPr>
          <w:p w14:paraId="1F70F27D" w14:textId="77777777" w:rsidR="00C604B7" w:rsidRPr="007E4B31" w:rsidRDefault="00C604B7" w:rsidP="004D03B0">
            <w:pPr>
              <w:pStyle w:val="TableText0"/>
              <w:keepLines/>
              <w:spacing w:before="0" w:after="0"/>
              <w:rPr>
                <w:sz w:val="20"/>
                <w:szCs w:val="20"/>
              </w:rPr>
            </w:pPr>
            <w:r w:rsidRPr="007E4B31">
              <w:rPr>
                <w:sz w:val="20"/>
                <w:szCs w:val="20"/>
              </w:rPr>
              <w:t>A1</w:t>
            </w:r>
          </w:p>
        </w:tc>
        <w:tc>
          <w:tcPr>
            <w:tcW w:w="746" w:type="pct"/>
          </w:tcPr>
          <w:p w14:paraId="4B13572A" w14:textId="77777777" w:rsidR="00C604B7" w:rsidRPr="007E4B31" w:rsidRDefault="00C604B7" w:rsidP="004D03B0">
            <w:pPr>
              <w:pStyle w:val="TableText0"/>
              <w:keepLines/>
              <w:spacing w:before="0" w:after="0"/>
              <w:rPr>
                <w:sz w:val="20"/>
                <w:szCs w:val="20"/>
              </w:rPr>
            </w:pPr>
            <w:r w:rsidRPr="007E4B31">
              <w:rPr>
                <w:sz w:val="20"/>
                <w:szCs w:val="20"/>
              </w:rPr>
              <w:t>&lt;5 years</w:t>
            </w:r>
          </w:p>
        </w:tc>
        <w:tc>
          <w:tcPr>
            <w:tcW w:w="1337" w:type="pct"/>
            <w:vMerge w:val="restart"/>
            <w:vAlign w:val="center"/>
          </w:tcPr>
          <w:p w14:paraId="4003B11D" w14:textId="77777777" w:rsidR="00C604B7" w:rsidRPr="007E4B31" w:rsidRDefault="00C604B7" w:rsidP="004D03B0">
            <w:pPr>
              <w:pStyle w:val="TableText0"/>
              <w:keepLines/>
              <w:spacing w:before="0" w:after="0"/>
              <w:rPr>
                <w:sz w:val="20"/>
                <w:szCs w:val="20"/>
              </w:rPr>
            </w:pPr>
            <w:r w:rsidRPr="007E4B31">
              <w:rPr>
                <w:sz w:val="20"/>
                <w:szCs w:val="20"/>
              </w:rPr>
              <w:t xml:space="preserve">Linearly extrapolated to 2023-2028 from 2016-2022 data </w:t>
            </w:r>
          </w:p>
        </w:tc>
        <w:tc>
          <w:tcPr>
            <w:tcW w:w="440" w:type="pct"/>
          </w:tcPr>
          <w:p w14:paraId="68AE6A9E" w14:textId="79453FCA" w:rsidR="00C604B7" w:rsidRPr="009B65C7" w:rsidRDefault="00D87EC4" w:rsidP="004D03B0">
            <w:pPr>
              <w:pStyle w:val="TableText0"/>
              <w:keepLines/>
              <w:spacing w:before="0" w:after="0"/>
              <w:jc w:val="center"/>
              <w:rPr>
                <w:sz w:val="20"/>
                <w:szCs w:val="20"/>
                <w:highlight w:val="darkGray"/>
              </w:rPr>
            </w:pPr>
            <w:r w:rsidRPr="00402BC2">
              <w:rPr>
                <w:color w:val="000000"/>
                <w:spacing w:val="204"/>
                <w:sz w:val="20"/>
                <w:szCs w:val="20"/>
                <w:shd w:val="solid" w:color="000000" w:fill="000000"/>
                <w:fitText w:val="290" w:id="-1168421120"/>
                <w14:textFill>
                  <w14:solidFill>
                    <w14:srgbClr w14:val="000000">
                      <w14:alpha w14:val="100000"/>
                    </w14:srgbClr>
                  </w14:solidFill>
                </w14:textFill>
              </w:rPr>
              <w:t>|</w:t>
            </w:r>
            <w:r w:rsidRPr="00402BC2">
              <w:rPr>
                <w:color w:val="000000"/>
                <w:sz w:val="20"/>
                <w:szCs w:val="20"/>
                <w:shd w:val="solid" w:color="000000" w:fill="000000"/>
                <w:fitText w:val="290" w:id="-1168421120"/>
                <w14:textFill>
                  <w14:solidFill>
                    <w14:srgbClr w14:val="000000">
                      <w14:alpha w14:val="100000"/>
                    </w14:srgbClr>
                  </w14:solidFill>
                </w14:textFill>
              </w:rPr>
              <w:t>|</w:t>
            </w:r>
            <w:r w:rsidR="009B65C7" w:rsidRPr="009B65C7">
              <w:rPr>
                <w:vertAlign w:val="superscript"/>
              </w:rPr>
              <w:t>1</w:t>
            </w:r>
          </w:p>
        </w:tc>
        <w:tc>
          <w:tcPr>
            <w:tcW w:w="441" w:type="pct"/>
          </w:tcPr>
          <w:p w14:paraId="063D1B60" w14:textId="26B31A10" w:rsidR="00C604B7" w:rsidRPr="009B65C7" w:rsidRDefault="00D87EC4" w:rsidP="004D03B0">
            <w:pPr>
              <w:pStyle w:val="TableText0"/>
              <w:keepLines/>
              <w:spacing w:before="0" w:after="0"/>
              <w:jc w:val="center"/>
              <w:rPr>
                <w:sz w:val="20"/>
                <w:szCs w:val="20"/>
                <w:highlight w:val="darkGray"/>
              </w:rPr>
            </w:pPr>
            <w:r w:rsidRPr="00402BC2">
              <w:rPr>
                <w:color w:val="000000"/>
                <w:spacing w:val="204"/>
                <w:sz w:val="20"/>
                <w:szCs w:val="20"/>
                <w:shd w:val="solid" w:color="000000" w:fill="000000"/>
                <w:fitText w:val="290" w:id="-1168421119"/>
                <w14:textFill>
                  <w14:solidFill>
                    <w14:srgbClr w14:val="000000">
                      <w14:alpha w14:val="100000"/>
                    </w14:srgbClr>
                  </w14:solidFill>
                </w14:textFill>
              </w:rPr>
              <w:t>|</w:t>
            </w:r>
            <w:r w:rsidRPr="00402BC2">
              <w:rPr>
                <w:color w:val="000000"/>
                <w:sz w:val="20"/>
                <w:szCs w:val="20"/>
                <w:shd w:val="solid" w:color="000000" w:fill="000000"/>
                <w:fitText w:val="290" w:id="-1168421119"/>
                <w14:textFill>
                  <w14:solidFill>
                    <w14:srgbClr w14:val="000000">
                      <w14:alpha w14:val="100000"/>
                    </w14:srgbClr>
                  </w14:solidFill>
                </w14:textFill>
              </w:rPr>
              <w:t>|</w:t>
            </w:r>
            <w:r w:rsidR="009B65C7" w:rsidRPr="009B65C7">
              <w:rPr>
                <w:vertAlign w:val="superscript"/>
              </w:rPr>
              <w:t>1</w:t>
            </w:r>
          </w:p>
        </w:tc>
        <w:tc>
          <w:tcPr>
            <w:tcW w:w="441" w:type="pct"/>
          </w:tcPr>
          <w:p w14:paraId="714FDB88" w14:textId="11C46329" w:rsidR="00C604B7" w:rsidRPr="009B65C7" w:rsidRDefault="00D87EC4" w:rsidP="004D03B0">
            <w:pPr>
              <w:pStyle w:val="TableText0"/>
              <w:keepLines/>
              <w:spacing w:before="0" w:after="0"/>
              <w:jc w:val="center"/>
              <w:rPr>
                <w:sz w:val="20"/>
                <w:szCs w:val="20"/>
                <w:highlight w:val="darkGray"/>
              </w:rPr>
            </w:pPr>
            <w:r w:rsidRPr="00402BC2">
              <w:rPr>
                <w:color w:val="000000"/>
                <w:spacing w:val="204"/>
                <w:sz w:val="20"/>
                <w:szCs w:val="20"/>
                <w:shd w:val="solid" w:color="000000" w:fill="000000"/>
                <w:fitText w:val="290" w:id="-1168421118"/>
                <w14:textFill>
                  <w14:solidFill>
                    <w14:srgbClr w14:val="000000">
                      <w14:alpha w14:val="100000"/>
                    </w14:srgbClr>
                  </w14:solidFill>
                </w14:textFill>
              </w:rPr>
              <w:t>|</w:t>
            </w:r>
            <w:r w:rsidRPr="00402BC2">
              <w:rPr>
                <w:color w:val="000000"/>
                <w:sz w:val="20"/>
                <w:szCs w:val="20"/>
                <w:shd w:val="solid" w:color="000000" w:fill="000000"/>
                <w:fitText w:val="290" w:id="-1168421118"/>
                <w14:textFill>
                  <w14:solidFill>
                    <w14:srgbClr w14:val="000000">
                      <w14:alpha w14:val="100000"/>
                    </w14:srgbClr>
                  </w14:solidFill>
                </w14:textFill>
              </w:rPr>
              <w:t>|</w:t>
            </w:r>
            <w:r w:rsidR="009B65C7" w:rsidRPr="009B65C7">
              <w:rPr>
                <w:vertAlign w:val="superscript"/>
              </w:rPr>
              <w:t>1</w:t>
            </w:r>
          </w:p>
        </w:tc>
        <w:tc>
          <w:tcPr>
            <w:tcW w:w="441" w:type="pct"/>
          </w:tcPr>
          <w:p w14:paraId="1FA5F050" w14:textId="4D7896C6"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7"/>
                <w14:textFill>
                  <w14:solidFill>
                    <w14:srgbClr w14:val="000000">
                      <w14:alpha w14:val="100000"/>
                    </w14:srgbClr>
                  </w14:solidFill>
                </w14:textFill>
              </w:rPr>
              <w:t>|</w:t>
            </w:r>
            <w:r w:rsidRPr="00D87EC4">
              <w:rPr>
                <w:color w:val="000000"/>
                <w:sz w:val="20"/>
                <w:szCs w:val="20"/>
                <w:shd w:val="solid" w:color="000000" w:fill="000000"/>
                <w:fitText w:val="290" w:id="-1168421117"/>
                <w14:textFill>
                  <w14:solidFill>
                    <w14:srgbClr w14:val="000000">
                      <w14:alpha w14:val="100000"/>
                    </w14:srgbClr>
                  </w14:solidFill>
                </w14:textFill>
              </w:rPr>
              <w:t>|</w:t>
            </w:r>
            <w:r w:rsidR="009B65C7" w:rsidRPr="009B65C7">
              <w:rPr>
                <w:vertAlign w:val="superscript"/>
              </w:rPr>
              <w:t>1</w:t>
            </w:r>
          </w:p>
        </w:tc>
        <w:tc>
          <w:tcPr>
            <w:tcW w:w="441" w:type="pct"/>
          </w:tcPr>
          <w:p w14:paraId="3C00E2F0" w14:textId="078E35DF"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6"/>
                <w14:textFill>
                  <w14:solidFill>
                    <w14:srgbClr w14:val="000000">
                      <w14:alpha w14:val="100000"/>
                    </w14:srgbClr>
                  </w14:solidFill>
                </w14:textFill>
              </w:rPr>
              <w:t>|</w:t>
            </w:r>
            <w:r w:rsidRPr="00D87EC4">
              <w:rPr>
                <w:color w:val="000000"/>
                <w:sz w:val="20"/>
                <w:szCs w:val="20"/>
                <w:shd w:val="solid" w:color="000000" w:fill="000000"/>
                <w:fitText w:val="290" w:id="-1168421116"/>
                <w14:textFill>
                  <w14:solidFill>
                    <w14:srgbClr w14:val="000000">
                      <w14:alpha w14:val="100000"/>
                    </w14:srgbClr>
                  </w14:solidFill>
                </w14:textFill>
              </w:rPr>
              <w:t>|</w:t>
            </w:r>
            <w:r w:rsidR="009B65C7" w:rsidRPr="009B65C7">
              <w:rPr>
                <w:vertAlign w:val="superscript"/>
              </w:rPr>
              <w:t>1</w:t>
            </w:r>
          </w:p>
        </w:tc>
        <w:tc>
          <w:tcPr>
            <w:tcW w:w="440" w:type="pct"/>
          </w:tcPr>
          <w:p w14:paraId="090EDBAB" w14:textId="55145B72"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5"/>
                <w14:textFill>
                  <w14:solidFill>
                    <w14:srgbClr w14:val="000000">
                      <w14:alpha w14:val="100000"/>
                    </w14:srgbClr>
                  </w14:solidFill>
                </w14:textFill>
              </w:rPr>
              <w:t>|</w:t>
            </w:r>
            <w:r w:rsidRPr="00D87EC4">
              <w:rPr>
                <w:color w:val="000000"/>
                <w:sz w:val="20"/>
                <w:szCs w:val="20"/>
                <w:shd w:val="solid" w:color="000000" w:fill="000000"/>
                <w:fitText w:val="290" w:id="-1168421115"/>
                <w14:textFill>
                  <w14:solidFill>
                    <w14:srgbClr w14:val="000000">
                      <w14:alpha w14:val="100000"/>
                    </w14:srgbClr>
                  </w14:solidFill>
                </w14:textFill>
              </w:rPr>
              <w:t>|</w:t>
            </w:r>
            <w:r w:rsidR="009B65C7" w:rsidRPr="009B65C7">
              <w:rPr>
                <w:vertAlign w:val="superscript"/>
              </w:rPr>
              <w:t>1</w:t>
            </w:r>
          </w:p>
        </w:tc>
      </w:tr>
      <w:tr w:rsidR="00C604B7" w:rsidRPr="007E4B31" w14:paraId="52D48252" w14:textId="77777777" w:rsidTr="004D03B0">
        <w:trPr>
          <w:trHeight w:val="20"/>
        </w:trPr>
        <w:tc>
          <w:tcPr>
            <w:tcW w:w="273" w:type="pct"/>
            <w:vAlign w:val="center"/>
          </w:tcPr>
          <w:p w14:paraId="24E574C9" w14:textId="77777777" w:rsidR="00C604B7" w:rsidRPr="007E4B31" w:rsidRDefault="00C604B7" w:rsidP="004D03B0">
            <w:pPr>
              <w:pStyle w:val="TableText0"/>
              <w:keepLines/>
              <w:spacing w:before="0" w:after="0"/>
              <w:rPr>
                <w:sz w:val="20"/>
                <w:szCs w:val="20"/>
              </w:rPr>
            </w:pPr>
            <w:r w:rsidRPr="007E4B31">
              <w:rPr>
                <w:sz w:val="20"/>
                <w:szCs w:val="20"/>
              </w:rPr>
              <w:t>A2</w:t>
            </w:r>
          </w:p>
        </w:tc>
        <w:tc>
          <w:tcPr>
            <w:tcW w:w="746" w:type="pct"/>
          </w:tcPr>
          <w:p w14:paraId="11BE112C" w14:textId="77777777" w:rsidR="00C604B7" w:rsidRPr="007E4B31" w:rsidRDefault="00C604B7" w:rsidP="004D03B0">
            <w:pPr>
              <w:pStyle w:val="TableText0"/>
              <w:keepLines/>
              <w:spacing w:before="0" w:after="0"/>
              <w:rPr>
                <w:sz w:val="20"/>
                <w:szCs w:val="20"/>
              </w:rPr>
            </w:pPr>
            <w:r w:rsidRPr="007E4B31">
              <w:rPr>
                <w:sz w:val="20"/>
                <w:szCs w:val="20"/>
              </w:rPr>
              <w:t>5-9 years</w:t>
            </w:r>
          </w:p>
        </w:tc>
        <w:tc>
          <w:tcPr>
            <w:tcW w:w="1337" w:type="pct"/>
            <w:vMerge/>
            <w:vAlign w:val="center"/>
          </w:tcPr>
          <w:p w14:paraId="43A589C5" w14:textId="77777777" w:rsidR="00C604B7" w:rsidRPr="007E4B31" w:rsidRDefault="00C604B7" w:rsidP="004D03B0">
            <w:pPr>
              <w:pStyle w:val="TableText0"/>
              <w:keepLines/>
              <w:spacing w:before="0" w:after="0"/>
              <w:rPr>
                <w:sz w:val="20"/>
                <w:szCs w:val="20"/>
              </w:rPr>
            </w:pPr>
          </w:p>
        </w:tc>
        <w:tc>
          <w:tcPr>
            <w:tcW w:w="440" w:type="pct"/>
          </w:tcPr>
          <w:p w14:paraId="40A31AAA" w14:textId="728321E3"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4"/>
                <w14:textFill>
                  <w14:solidFill>
                    <w14:srgbClr w14:val="000000">
                      <w14:alpha w14:val="100000"/>
                    </w14:srgbClr>
                  </w14:solidFill>
                </w14:textFill>
              </w:rPr>
              <w:t>|</w:t>
            </w:r>
            <w:r w:rsidRPr="00D87EC4">
              <w:rPr>
                <w:color w:val="000000"/>
                <w:sz w:val="20"/>
                <w:szCs w:val="20"/>
                <w:shd w:val="solid" w:color="000000" w:fill="000000"/>
                <w:fitText w:val="290" w:id="-1168421114"/>
                <w14:textFill>
                  <w14:solidFill>
                    <w14:srgbClr w14:val="000000">
                      <w14:alpha w14:val="100000"/>
                    </w14:srgbClr>
                  </w14:solidFill>
                </w14:textFill>
              </w:rPr>
              <w:t>|</w:t>
            </w:r>
            <w:r w:rsidR="009B65C7" w:rsidRPr="009B65C7">
              <w:rPr>
                <w:vertAlign w:val="superscript"/>
              </w:rPr>
              <w:t>1</w:t>
            </w:r>
          </w:p>
        </w:tc>
        <w:tc>
          <w:tcPr>
            <w:tcW w:w="441" w:type="pct"/>
          </w:tcPr>
          <w:p w14:paraId="4C42CC44" w14:textId="399BCFAB"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3"/>
                <w14:textFill>
                  <w14:solidFill>
                    <w14:srgbClr w14:val="000000">
                      <w14:alpha w14:val="100000"/>
                    </w14:srgbClr>
                  </w14:solidFill>
                </w14:textFill>
              </w:rPr>
              <w:t>|</w:t>
            </w:r>
            <w:r w:rsidRPr="00D87EC4">
              <w:rPr>
                <w:color w:val="000000"/>
                <w:sz w:val="20"/>
                <w:szCs w:val="20"/>
                <w:shd w:val="solid" w:color="000000" w:fill="000000"/>
                <w:fitText w:val="290" w:id="-1168421113"/>
                <w14:textFill>
                  <w14:solidFill>
                    <w14:srgbClr w14:val="000000">
                      <w14:alpha w14:val="100000"/>
                    </w14:srgbClr>
                  </w14:solidFill>
                </w14:textFill>
              </w:rPr>
              <w:t>|</w:t>
            </w:r>
            <w:r w:rsidR="009B65C7" w:rsidRPr="009B65C7">
              <w:rPr>
                <w:vertAlign w:val="superscript"/>
              </w:rPr>
              <w:t>1</w:t>
            </w:r>
          </w:p>
        </w:tc>
        <w:tc>
          <w:tcPr>
            <w:tcW w:w="441" w:type="pct"/>
          </w:tcPr>
          <w:p w14:paraId="39A324BF" w14:textId="6C33372A"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2"/>
                <w14:textFill>
                  <w14:solidFill>
                    <w14:srgbClr w14:val="000000">
                      <w14:alpha w14:val="100000"/>
                    </w14:srgbClr>
                  </w14:solidFill>
                </w14:textFill>
              </w:rPr>
              <w:t>|</w:t>
            </w:r>
            <w:r w:rsidRPr="00D87EC4">
              <w:rPr>
                <w:color w:val="000000"/>
                <w:sz w:val="20"/>
                <w:szCs w:val="20"/>
                <w:shd w:val="solid" w:color="000000" w:fill="000000"/>
                <w:fitText w:val="290" w:id="-1168421112"/>
                <w14:textFill>
                  <w14:solidFill>
                    <w14:srgbClr w14:val="000000">
                      <w14:alpha w14:val="100000"/>
                    </w14:srgbClr>
                  </w14:solidFill>
                </w14:textFill>
              </w:rPr>
              <w:t>|</w:t>
            </w:r>
            <w:r w:rsidR="009B65C7" w:rsidRPr="009B65C7">
              <w:rPr>
                <w:vertAlign w:val="superscript"/>
              </w:rPr>
              <w:t>1</w:t>
            </w:r>
          </w:p>
        </w:tc>
        <w:tc>
          <w:tcPr>
            <w:tcW w:w="441" w:type="pct"/>
          </w:tcPr>
          <w:p w14:paraId="42C57746" w14:textId="160475B9"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1"/>
                <w14:textFill>
                  <w14:solidFill>
                    <w14:srgbClr w14:val="000000">
                      <w14:alpha w14:val="100000"/>
                    </w14:srgbClr>
                  </w14:solidFill>
                </w14:textFill>
              </w:rPr>
              <w:t>|</w:t>
            </w:r>
            <w:r w:rsidRPr="00D87EC4">
              <w:rPr>
                <w:color w:val="000000"/>
                <w:sz w:val="20"/>
                <w:szCs w:val="20"/>
                <w:shd w:val="solid" w:color="000000" w:fill="000000"/>
                <w:fitText w:val="290" w:id="-1168421111"/>
                <w14:textFill>
                  <w14:solidFill>
                    <w14:srgbClr w14:val="000000">
                      <w14:alpha w14:val="100000"/>
                    </w14:srgbClr>
                  </w14:solidFill>
                </w14:textFill>
              </w:rPr>
              <w:t>|</w:t>
            </w:r>
            <w:r w:rsidR="009B65C7" w:rsidRPr="009B65C7">
              <w:rPr>
                <w:vertAlign w:val="superscript"/>
              </w:rPr>
              <w:t>1</w:t>
            </w:r>
          </w:p>
        </w:tc>
        <w:tc>
          <w:tcPr>
            <w:tcW w:w="441" w:type="pct"/>
          </w:tcPr>
          <w:p w14:paraId="2C7D81A3" w14:textId="12566F26"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0"/>
                <w14:textFill>
                  <w14:solidFill>
                    <w14:srgbClr w14:val="000000">
                      <w14:alpha w14:val="100000"/>
                    </w14:srgbClr>
                  </w14:solidFill>
                </w14:textFill>
              </w:rPr>
              <w:t>|</w:t>
            </w:r>
            <w:r w:rsidRPr="00D87EC4">
              <w:rPr>
                <w:color w:val="000000"/>
                <w:sz w:val="20"/>
                <w:szCs w:val="20"/>
                <w:shd w:val="solid" w:color="000000" w:fill="000000"/>
                <w:fitText w:val="290" w:id="-1168421110"/>
                <w14:textFill>
                  <w14:solidFill>
                    <w14:srgbClr w14:val="000000">
                      <w14:alpha w14:val="100000"/>
                    </w14:srgbClr>
                  </w14:solidFill>
                </w14:textFill>
              </w:rPr>
              <w:t>|</w:t>
            </w:r>
            <w:r w:rsidR="009B65C7" w:rsidRPr="009B65C7">
              <w:rPr>
                <w:vertAlign w:val="superscript"/>
              </w:rPr>
              <w:t>1</w:t>
            </w:r>
          </w:p>
        </w:tc>
        <w:tc>
          <w:tcPr>
            <w:tcW w:w="440" w:type="pct"/>
          </w:tcPr>
          <w:p w14:paraId="65E30F72" w14:textId="0E9A861E"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9"/>
                <w14:textFill>
                  <w14:solidFill>
                    <w14:srgbClr w14:val="000000">
                      <w14:alpha w14:val="100000"/>
                    </w14:srgbClr>
                  </w14:solidFill>
                </w14:textFill>
              </w:rPr>
              <w:t>|</w:t>
            </w:r>
            <w:r w:rsidRPr="00D87EC4">
              <w:rPr>
                <w:color w:val="000000"/>
                <w:sz w:val="20"/>
                <w:szCs w:val="20"/>
                <w:shd w:val="solid" w:color="000000" w:fill="000000"/>
                <w:fitText w:val="290" w:id="-1168421109"/>
                <w14:textFill>
                  <w14:solidFill>
                    <w14:srgbClr w14:val="000000">
                      <w14:alpha w14:val="100000"/>
                    </w14:srgbClr>
                  </w14:solidFill>
                </w14:textFill>
              </w:rPr>
              <w:t>|</w:t>
            </w:r>
            <w:r w:rsidR="009B65C7" w:rsidRPr="009B65C7">
              <w:rPr>
                <w:vertAlign w:val="superscript"/>
              </w:rPr>
              <w:t>1</w:t>
            </w:r>
          </w:p>
        </w:tc>
      </w:tr>
      <w:tr w:rsidR="00C604B7" w:rsidRPr="007E4B31" w14:paraId="7D20C5EB" w14:textId="77777777" w:rsidTr="004D03B0">
        <w:trPr>
          <w:trHeight w:val="20"/>
        </w:trPr>
        <w:tc>
          <w:tcPr>
            <w:tcW w:w="273" w:type="pct"/>
            <w:vAlign w:val="center"/>
          </w:tcPr>
          <w:p w14:paraId="3D9871EF" w14:textId="77777777" w:rsidR="00C604B7" w:rsidRPr="007E4B31" w:rsidRDefault="00C604B7" w:rsidP="004D03B0">
            <w:pPr>
              <w:pStyle w:val="TableText0"/>
              <w:keepLines/>
              <w:spacing w:before="0" w:after="0"/>
              <w:rPr>
                <w:sz w:val="20"/>
                <w:szCs w:val="20"/>
              </w:rPr>
            </w:pPr>
            <w:r w:rsidRPr="007E4B31">
              <w:rPr>
                <w:sz w:val="20"/>
                <w:szCs w:val="20"/>
              </w:rPr>
              <w:t>A3</w:t>
            </w:r>
          </w:p>
        </w:tc>
        <w:tc>
          <w:tcPr>
            <w:tcW w:w="746" w:type="pct"/>
          </w:tcPr>
          <w:p w14:paraId="1C57B81E" w14:textId="77777777" w:rsidR="00C604B7" w:rsidRPr="007E4B31" w:rsidRDefault="00C604B7" w:rsidP="004D03B0">
            <w:pPr>
              <w:pStyle w:val="TableText0"/>
              <w:keepLines/>
              <w:spacing w:before="0" w:after="0"/>
              <w:rPr>
                <w:sz w:val="20"/>
                <w:szCs w:val="20"/>
              </w:rPr>
            </w:pPr>
            <w:r w:rsidRPr="007E4B31">
              <w:rPr>
                <w:sz w:val="20"/>
                <w:szCs w:val="20"/>
              </w:rPr>
              <w:t xml:space="preserve">10-14 years </w:t>
            </w:r>
          </w:p>
        </w:tc>
        <w:tc>
          <w:tcPr>
            <w:tcW w:w="1337" w:type="pct"/>
            <w:vMerge/>
            <w:vAlign w:val="center"/>
          </w:tcPr>
          <w:p w14:paraId="6C3F05A7" w14:textId="77777777" w:rsidR="00C604B7" w:rsidRPr="007E4B31" w:rsidRDefault="00C604B7" w:rsidP="004D03B0">
            <w:pPr>
              <w:pStyle w:val="TableText0"/>
              <w:keepLines/>
              <w:spacing w:before="0" w:after="0"/>
              <w:rPr>
                <w:sz w:val="20"/>
                <w:szCs w:val="20"/>
              </w:rPr>
            </w:pPr>
          </w:p>
        </w:tc>
        <w:tc>
          <w:tcPr>
            <w:tcW w:w="440" w:type="pct"/>
          </w:tcPr>
          <w:p w14:paraId="48C8BEB2" w14:textId="412F9AEF"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8"/>
                <w14:textFill>
                  <w14:solidFill>
                    <w14:srgbClr w14:val="000000">
                      <w14:alpha w14:val="100000"/>
                    </w14:srgbClr>
                  </w14:solidFill>
                </w14:textFill>
              </w:rPr>
              <w:t>|</w:t>
            </w:r>
            <w:r w:rsidRPr="00D87EC4">
              <w:rPr>
                <w:color w:val="000000"/>
                <w:sz w:val="20"/>
                <w:szCs w:val="20"/>
                <w:shd w:val="solid" w:color="000000" w:fill="000000"/>
                <w:fitText w:val="290" w:id="-1168421108"/>
                <w14:textFill>
                  <w14:solidFill>
                    <w14:srgbClr w14:val="000000">
                      <w14:alpha w14:val="100000"/>
                    </w14:srgbClr>
                  </w14:solidFill>
                </w14:textFill>
              </w:rPr>
              <w:t>|</w:t>
            </w:r>
            <w:r w:rsidR="009B65C7">
              <w:rPr>
                <w:vertAlign w:val="superscript"/>
              </w:rPr>
              <w:t>2</w:t>
            </w:r>
          </w:p>
        </w:tc>
        <w:tc>
          <w:tcPr>
            <w:tcW w:w="441" w:type="pct"/>
          </w:tcPr>
          <w:p w14:paraId="58488336" w14:textId="04A7E79D"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7"/>
                <w14:textFill>
                  <w14:solidFill>
                    <w14:srgbClr w14:val="000000">
                      <w14:alpha w14:val="100000"/>
                    </w14:srgbClr>
                  </w14:solidFill>
                </w14:textFill>
              </w:rPr>
              <w:t>|</w:t>
            </w:r>
            <w:r w:rsidRPr="00D87EC4">
              <w:rPr>
                <w:color w:val="000000"/>
                <w:sz w:val="20"/>
                <w:szCs w:val="20"/>
                <w:shd w:val="solid" w:color="000000" w:fill="000000"/>
                <w:fitText w:val="290" w:id="-1168421107"/>
                <w14:textFill>
                  <w14:solidFill>
                    <w14:srgbClr w14:val="000000">
                      <w14:alpha w14:val="100000"/>
                    </w14:srgbClr>
                  </w14:solidFill>
                </w14:textFill>
              </w:rPr>
              <w:t>|</w:t>
            </w:r>
            <w:r w:rsidR="009B65C7">
              <w:rPr>
                <w:vertAlign w:val="superscript"/>
              </w:rPr>
              <w:t>2</w:t>
            </w:r>
          </w:p>
        </w:tc>
        <w:tc>
          <w:tcPr>
            <w:tcW w:w="441" w:type="pct"/>
          </w:tcPr>
          <w:p w14:paraId="70DE9292" w14:textId="40CBCC08"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6"/>
                <w14:textFill>
                  <w14:solidFill>
                    <w14:srgbClr w14:val="000000">
                      <w14:alpha w14:val="100000"/>
                    </w14:srgbClr>
                  </w14:solidFill>
                </w14:textFill>
              </w:rPr>
              <w:t>|</w:t>
            </w:r>
            <w:r w:rsidRPr="00D87EC4">
              <w:rPr>
                <w:color w:val="000000"/>
                <w:sz w:val="20"/>
                <w:szCs w:val="20"/>
                <w:shd w:val="solid" w:color="000000" w:fill="000000"/>
                <w:fitText w:val="290" w:id="-1168421106"/>
                <w14:textFill>
                  <w14:solidFill>
                    <w14:srgbClr w14:val="000000">
                      <w14:alpha w14:val="100000"/>
                    </w14:srgbClr>
                  </w14:solidFill>
                </w14:textFill>
              </w:rPr>
              <w:t>|</w:t>
            </w:r>
            <w:r w:rsidR="009B65C7">
              <w:rPr>
                <w:vertAlign w:val="superscript"/>
              </w:rPr>
              <w:t>2</w:t>
            </w:r>
          </w:p>
        </w:tc>
        <w:tc>
          <w:tcPr>
            <w:tcW w:w="441" w:type="pct"/>
          </w:tcPr>
          <w:p w14:paraId="25A9D0B8" w14:textId="4EDB3DBF"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5"/>
                <w14:textFill>
                  <w14:solidFill>
                    <w14:srgbClr w14:val="000000">
                      <w14:alpha w14:val="100000"/>
                    </w14:srgbClr>
                  </w14:solidFill>
                </w14:textFill>
              </w:rPr>
              <w:t>|</w:t>
            </w:r>
            <w:r w:rsidRPr="00D87EC4">
              <w:rPr>
                <w:color w:val="000000"/>
                <w:sz w:val="20"/>
                <w:szCs w:val="20"/>
                <w:shd w:val="solid" w:color="000000" w:fill="000000"/>
                <w:fitText w:val="290" w:id="-1168421105"/>
                <w14:textFill>
                  <w14:solidFill>
                    <w14:srgbClr w14:val="000000">
                      <w14:alpha w14:val="100000"/>
                    </w14:srgbClr>
                  </w14:solidFill>
                </w14:textFill>
              </w:rPr>
              <w:t>|</w:t>
            </w:r>
            <w:r w:rsidR="009B65C7">
              <w:rPr>
                <w:vertAlign w:val="superscript"/>
              </w:rPr>
              <w:t>2</w:t>
            </w:r>
          </w:p>
        </w:tc>
        <w:tc>
          <w:tcPr>
            <w:tcW w:w="441" w:type="pct"/>
          </w:tcPr>
          <w:p w14:paraId="7EB8E90C" w14:textId="3EC5C853"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4"/>
                <w14:textFill>
                  <w14:solidFill>
                    <w14:srgbClr w14:val="000000">
                      <w14:alpha w14:val="100000"/>
                    </w14:srgbClr>
                  </w14:solidFill>
                </w14:textFill>
              </w:rPr>
              <w:t>|</w:t>
            </w:r>
            <w:r w:rsidRPr="00D87EC4">
              <w:rPr>
                <w:color w:val="000000"/>
                <w:sz w:val="20"/>
                <w:szCs w:val="20"/>
                <w:shd w:val="solid" w:color="000000" w:fill="000000"/>
                <w:fitText w:val="290" w:id="-1168421104"/>
                <w14:textFill>
                  <w14:solidFill>
                    <w14:srgbClr w14:val="000000">
                      <w14:alpha w14:val="100000"/>
                    </w14:srgbClr>
                  </w14:solidFill>
                </w14:textFill>
              </w:rPr>
              <w:t>|</w:t>
            </w:r>
            <w:r w:rsidR="009B65C7">
              <w:rPr>
                <w:vertAlign w:val="superscript"/>
              </w:rPr>
              <w:t>2</w:t>
            </w:r>
          </w:p>
        </w:tc>
        <w:tc>
          <w:tcPr>
            <w:tcW w:w="440" w:type="pct"/>
          </w:tcPr>
          <w:p w14:paraId="16D17922" w14:textId="680F3900"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20"/>
                <w14:textFill>
                  <w14:solidFill>
                    <w14:srgbClr w14:val="000000">
                      <w14:alpha w14:val="100000"/>
                    </w14:srgbClr>
                  </w14:solidFill>
                </w14:textFill>
              </w:rPr>
              <w:t>|</w:t>
            </w:r>
            <w:r w:rsidRPr="00D87EC4">
              <w:rPr>
                <w:color w:val="000000"/>
                <w:sz w:val="20"/>
                <w:szCs w:val="20"/>
                <w:shd w:val="solid" w:color="000000" w:fill="000000"/>
                <w:fitText w:val="290" w:id="-1168421120"/>
                <w14:textFill>
                  <w14:solidFill>
                    <w14:srgbClr w14:val="000000">
                      <w14:alpha w14:val="100000"/>
                    </w14:srgbClr>
                  </w14:solidFill>
                </w14:textFill>
              </w:rPr>
              <w:t>|</w:t>
            </w:r>
            <w:r w:rsidR="009B65C7">
              <w:rPr>
                <w:vertAlign w:val="superscript"/>
              </w:rPr>
              <w:t>2</w:t>
            </w:r>
          </w:p>
        </w:tc>
      </w:tr>
      <w:tr w:rsidR="00C604B7" w:rsidRPr="007E4B31" w14:paraId="3C099218" w14:textId="77777777" w:rsidTr="004D03B0">
        <w:trPr>
          <w:trHeight w:val="20"/>
        </w:trPr>
        <w:tc>
          <w:tcPr>
            <w:tcW w:w="273" w:type="pct"/>
            <w:vAlign w:val="center"/>
          </w:tcPr>
          <w:p w14:paraId="6D55CDE4" w14:textId="77777777" w:rsidR="00C604B7" w:rsidRPr="007E4B31" w:rsidRDefault="00C604B7" w:rsidP="004D03B0">
            <w:pPr>
              <w:pStyle w:val="TableText0"/>
              <w:keepLines/>
              <w:spacing w:before="0" w:after="0"/>
              <w:rPr>
                <w:sz w:val="20"/>
                <w:szCs w:val="20"/>
              </w:rPr>
            </w:pPr>
            <w:r w:rsidRPr="007E4B31">
              <w:rPr>
                <w:sz w:val="20"/>
                <w:szCs w:val="20"/>
              </w:rPr>
              <w:t>A4</w:t>
            </w:r>
          </w:p>
        </w:tc>
        <w:tc>
          <w:tcPr>
            <w:tcW w:w="746" w:type="pct"/>
          </w:tcPr>
          <w:p w14:paraId="0FC8980C" w14:textId="77777777" w:rsidR="00C604B7" w:rsidRPr="007E4B31" w:rsidRDefault="00C604B7" w:rsidP="004D03B0">
            <w:pPr>
              <w:pStyle w:val="TableText0"/>
              <w:keepLines/>
              <w:spacing w:before="0" w:after="0"/>
              <w:rPr>
                <w:sz w:val="20"/>
                <w:szCs w:val="20"/>
              </w:rPr>
            </w:pPr>
            <w:r w:rsidRPr="007E4B31">
              <w:rPr>
                <w:sz w:val="20"/>
                <w:szCs w:val="20"/>
              </w:rPr>
              <w:t>Total</w:t>
            </w:r>
          </w:p>
        </w:tc>
        <w:tc>
          <w:tcPr>
            <w:tcW w:w="1337" w:type="pct"/>
            <w:vAlign w:val="center"/>
          </w:tcPr>
          <w:p w14:paraId="1D7DAD59" w14:textId="77777777" w:rsidR="00C604B7" w:rsidRPr="007E4B31" w:rsidRDefault="00C604B7" w:rsidP="004D03B0">
            <w:pPr>
              <w:pStyle w:val="TableText0"/>
              <w:keepLines/>
              <w:spacing w:before="0" w:after="0"/>
              <w:rPr>
                <w:sz w:val="20"/>
                <w:szCs w:val="20"/>
              </w:rPr>
            </w:pPr>
            <w:r w:rsidRPr="007E4B31">
              <w:rPr>
                <w:sz w:val="20"/>
                <w:szCs w:val="20"/>
              </w:rPr>
              <w:t>A1 + A2 + A3</w:t>
            </w:r>
          </w:p>
        </w:tc>
        <w:tc>
          <w:tcPr>
            <w:tcW w:w="440" w:type="pct"/>
          </w:tcPr>
          <w:p w14:paraId="796FF084" w14:textId="2A61E69D"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9"/>
                <w14:textFill>
                  <w14:solidFill>
                    <w14:srgbClr w14:val="000000">
                      <w14:alpha w14:val="100000"/>
                    </w14:srgbClr>
                  </w14:solidFill>
                </w14:textFill>
              </w:rPr>
              <w:t>|</w:t>
            </w:r>
            <w:r w:rsidRPr="00D87EC4">
              <w:rPr>
                <w:color w:val="000000"/>
                <w:sz w:val="20"/>
                <w:szCs w:val="20"/>
                <w:shd w:val="solid" w:color="000000" w:fill="000000"/>
                <w:fitText w:val="290" w:id="-1168421119"/>
                <w14:textFill>
                  <w14:solidFill>
                    <w14:srgbClr w14:val="000000">
                      <w14:alpha w14:val="100000"/>
                    </w14:srgbClr>
                  </w14:solidFill>
                </w14:textFill>
              </w:rPr>
              <w:t>|</w:t>
            </w:r>
            <w:r w:rsidR="009B65C7">
              <w:rPr>
                <w:vertAlign w:val="superscript"/>
              </w:rPr>
              <w:t>2</w:t>
            </w:r>
          </w:p>
        </w:tc>
        <w:tc>
          <w:tcPr>
            <w:tcW w:w="441" w:type="pct"/>
          </w:tcPr>
          <w:p w14:paraId="566AF934" w14:textId="396D3053"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8"/>
                <w14:textFill>
                  <w14:solidFill>
                    <w14:srgbClr w14:val="000000">
                      <w14:alpha w14:val="100000"/>
                    </w14:srgbClr>
                  </w14:solidFill>
                </w14:textFill>
              </w:rPr>
              <w:t>|</w:t>
            </w:r>
            <w:r w:rsidRPr="00D87EC4">
              <w:rPr>
                <w:color w:val="000000"/>
                <w:sz w:val="20"/>
                <w:szCs w:val="20"/>
                <w:shd w:val="solid" w:color="000000" w:fill="000000"/>
                <w:fitText w:val="290" w:id="-1168421118"/>
                <w14:textFill>
                  <w14:solidFill>
                    <w14:srgbClr w14:val="000000">
                      <w14:alpha w14:val="100000"/>
                    </w14:srgbClr>
                  </w14:solidFill>
                </w14:textFill>
              </w:rPr>
              <w:t>|</w:t>
            </w:r>
            <w:r w:rsidR="009B65C7">
              <w:rPr>
                <w:vertAlign w:val="superscript"/>
              </w:rPr>
              <w:t>2</w:t>
            </w:r>
          </w:p>
        </w:tc>
        <w:tc>
          <w:tcPr>
            <w:tcW w:w="441" w:type="pct"/>
          </w:tcPr>
          <w:p w14:paraId="60E72677" w14:textId="47D36766"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7"/>
                <w14:textFill>
                  <w14:solidFill>
                    <w14:srgbClr w14:val="000000">
                      <w14:alpha w14:val="100000"/>
                    </w14:srgbClr>
                  </w14:solidFill>
                </w14:textFill>
              </w:rPr>
              <w:t>|</w:t>
            </w:r>
            <w:r w:rsidRPr="00D87EC4">
              <w:rPr>
                <w:color w:val="000000"/>
                <w:sz w:val="20"/>
                <w:szCs w:val="20"/>
                <w:shd w:val="solid" w:color="000000" w:fill="000000"/>
                <w:fitText w:val="290" w:id="-1168421117"/>
                <w14:textFill>
                  <w14:solidFill>
                    <w14:srgbClr w14:val="000000">
                      <w14:alpha w14:val="100000"/>
                    </w14:srgbClr>
                  </w14:solidFill>
                </w14:textFill>
              </w:rPr>
              <w:t>|</w:t>
            </w:r>
            <w:r w:rsidR="009B65C7">
              <w:rPr>
                <w:vertAlign w:val="superscript"/>
              </w:rPr>
              <w:t>2</w:t>
            </w:r>
          </w:p>
        </w:tc>
        <w:tc>
          <w:tcPr>
            <w:tcW w:w="441" w:type="pct"/>
          </w:tcPr>
          <w:p w14:paraId="1EBB969F" w14:textId="67B25948"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6"/>
                <w14:textFill>
                  <w14:solidFill>
                    <w14:srgbClr w14:val="000000">
                      <w14:alpha w14:val="100000"/>
                    </w14:srgbClr>
                  </w14:solidFill>
                </w14:textFill>
              </w:rPr>
              <w:t>|</w:t>
            </w:r>
            <w:r w:rsidRPr="00D87EC4">
              <w:rPr>
                <w:color w:val="000000"/>
                <w:sz w:val="20"/>
                <w:szCs w:val="20"/>
                <w:shd w:val="solid" w:color="000000" w:fill="000000"/>
                <w:fitText w:val="290" w:id="-1168421116"/>
                <w14:textFill>
                  <w14:solidFill>
                    <w14:srgbClr w14:val="000000">
                      <w14:alpha w14:val="100000"/>
                    </w14:srgbClr>
                  </w14:solidFill>
                </w14:textFill>
              </w:rPr>
              <w:t>|</w:t>
            </w:r>
            <w:r w:rsidR="009B65C7">
              <w:rPr>
                <w:vertAlign w:val="superscript"/>
              </w:rPr>
              <w:t>2</w:t>
            </w:r>
          </w:p>
        </w:tc>
        <w:tc>
          <w:tcPr>
            <w:tcW w:w="441" w:type="pct"/>
          </w:tcPr>
          <w:p w14:paraId="1D8E211D" w14:textId="755FBF39"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5"/>
                <w14:textFill>
                  <w14:solidFill>
                    <w14:srgbClr w14:val="000000">
                      <w14:alpha w14:val="100000"/>
                    </w14:srgbClr>
                  </w14:solidFill>
                </w14:textFill>
              </w:rPr>
              <w:t>|</w:t>
            </w:r>
            <w:r w:rsidRPr="00D87EC4">
              <w:rPr>
                <w:color w:val="000000"/>
                <w:sz w:val="20"/>
                <w:szCs w:val="20"/>
                <w:shd w:val="solid" w:color="000000" w:fill="000000"/>
                <w:fitText w:val="290" w:id="-1168421115"/>
                <w14:textFill>
                  <w14:solidFill>
                    <w14:srgbClr w14:val="000000">
                      <w14:alpha w14:val="100000"/>
                    </w14:srgbClr>
                  </w14:solidFill>
                </w14:textFill>
              </w:rPr>
              <w:t>|</w:t>
            </w:r>
            <w:r w:rsidR="009B65C7">
              <w:rPr>
                <w:vertAlign w:val="superscript"/>
              </w:rPr>
              <w:t>2</w:t>
            </w:r>
          </w:p>
        </w:tc>
        <w:tc>
          <w:tcPr>
            <w:tcW w:w="440" w:type="pct"/>
          </w:tcPr>
          <w:p w14:paraId="709916B8" w14:textId="5423715B"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4"/>
                <w14:textFill>
                  <w14:solidFill>
                    <w14:srgbClr w14:val="000000">
                      <w14:alpha w14:val="100000"/>
                    </w14:srgbClr>
                  </w14:solidFill>
                </w14:textFill>
              </w:rPr>
              <w:t>|</w:t>
            </w:r>
            <w:r w:rsidRPr="00D87EC4">
              <w:rPr>
                <w:color w:val="000000"/>
                <w:sz w:val="20"/>
                <w:szCs w:val="20"/>
                <w:shd w:val="solid" w:color="000000" w:fill="000000"/>
                <w:fitText w:val="290" w:id="-1168421114"/>
                <w14:textFill>
                  <w14:solidFill>
                    <w14:srgbClr w14:val="000000">
                      <w14:alpha w14:val="100000"/>
                    </w14:srgbClr>
                  </w14:solidFill>
                </w14:textFill>
              </w:rPr>
              <w:t>|</w:t>
            </w:r>
            <w:r w:rsidR="009B65C7">
              <w:rPr>
                <w:vertAlign w:val="superscript"/>
              </w:rPr>
              <w:t>2</w:t>
            </w:r>
          </w:p>
        </w:tc>
      </w:tr>
      <w:tr w:rsidR="00C604B7" w:rsidRPr="007E4B31" w14:paraId="053DF5A4" w14:textId="77777777" w:rsidTr="004D03B0">
        <w:trPr>
          <w:trHeight w:val="20"/>
        </w:trPr>
        <w:tc>
          <w:tcPr>
            <w:tcW w:w="5000" w:type="pct"/>
            <w:gridSpan w:val="9"/>
            <w:vAlign w:val="center"/>
          </w:tcPr>
          <w:p w14:paraId="5636894B" w14:textId="77777777" w:rsidR="00C604B7" w:rsidRPr="007E4B31" w:rsidRDefault="00C604B7" w:rsidP="004D03B0">
            <w:pPr>
              <w:pStyle w:val="TableText0"/>
              <w:keepLines/>
              <w:spacing w:before="0" w:after="0"/>
              <w:rPr>
                <w:b/>
                <w:bCs w:val="0"/>
                <w:sz w:val="20"/>
                <w:szCs w:val="20"/>
              </w:rPr>
            </w:pPr>
            <w:r w:rsidRPr="007E4B31">
              <w:rPr>
                <w:b/>
                <w:bCs w:val="0"/>
                <w:sz w:val="20"/>
                <w:szCs w:val="20"/>
              </w:rPr>
              <w:t>Estimated number of patients treated with somapacitan</w:t>
            </w:r>
          </w:p>
        </w:tc>
      </w:tr>
      <w:tr w:rsidR="00C604B7" w:rsidRPr="007E4B31" w14:paraId="596100F4" w14:textId="77777777" w:rsidTr="004D03B0">
        <w:trPr>
          <w:trHeight w:val="20"/>
        </w:trPr>
        <w:tc>
          <w:tcPr>
            <w:tcW w:w="273" w:type="pct"/>
            <w:vAlign w:val="center"/>
          </w:tcPr>
          <w:p w14:paraId="35053D91" w14:textId="77777777" w:rsidR="00C604B7" w:rsidRPr="007E4B31" w:rsidRDefault="00C604B7" w:rsidP="004D03B0">
            <w:pPr>
              <w:pStyle w:val="TableText0"/>
              <w:keepLines/>
              <w:spacing w:before="0" w:after="0"/>
              <w:rPr>
                <w:sz w:val="20"/>
                <w:szCs w:val="20"/>
              </w:rPr>
            </w:pPr>
            <w:r w:rsidRPr="007E4B31">
              <w:rPr>
                <w:sz w:val="20"/>
                <w:szCs w:val="20"/>
              </w:rPr>
              <w:t>B</w:t>
            </w:r>
          </w:p>
        </w:tc>
        <w:tc>
          <w:tcPr>
            <w:tcW w:w="746" w:type="pct"/>
          </w:tcPr>
          <w:p w14:paraId="2517A4DE" w14:textId="77777777" w:rsidR="00C604B7" w:rsidRPr="007E4B31" w:rsidRDefault="00C604B7" w:rsidP="004D03B0">
            <w:pPr>
              <w:pStyle w:val="TableText0"/>
              <w:keepLines/>
              <w:spacing w:before="0" w:after="0"/>
              <w:rPr>
                <w:sz w:val="20"/>
                <w:szCs w:val="20"/>
              </w:rPr>
            </w:pPr>
            <w:r w:rsidRPr="007E4B31">
              <w:rPr>
                <w:sz w:val="20"/>
                <w:szCs w:val="20"/>
              </w:rPr>
              <w:t>Estimated market share</w:t>
            </w:r>
          </w:p>
        </w:tc>
        <w:tc>
          <w:tcPr>
            <w:tcW w:w="1337" w:type="pct"/>
            <w:vAlign w:val="center"/>
          </w:tcPr>
          <w:p w14:paraId="171C8D2D" w14:textId="77777777" w:rsidR="00C604B7" w:rsidRPr="007E4B31" w:rsidRDefault="00C604B7" w:rsidP="004D03B0">
            <w:pPr>
              <w:pStyle w:val="TableText0"/>
              <w:keepLines/>
              <w:spacing w:before="0" w:after="0"/>
              <w:rPr>
                <w:sz w:val="20"/>
                <w:szCs w:val="20"/>
              </w:rPr>
            </w:pPr>
            <w:r w:rsidRPr="007E4B31">
              <w:rPr>
                <w:sz w:val="20"/>
                <w:szCs w:val="20"/>
              </w:rPr>
              <w:t>Equal with somatrogon</w:t>
            </w:r>
          </w:p>
        </w:tc>
        <w:tc>
          <w:tcPr>
            <w:tcW w:w="440" w:type="pct"/>
            <w:vAlign w:val="center"/>
          </w:tcPr>
          <w:p w14:paraId="3D60B77D" w14:textId="77777777" w:rsidR="00C604B7" w:rsidRPr="007E4B31" w:rsidRDefault="00C604B7" w:rsidP="004D03B0">
            <w:pPr>
              <w:pStyle w:val="TableText0"/>
              <w:keepLines/>
              <w:spacing w:before="0" w:after="0"/>
              <w:jc w:val="center"/>
              <w:rPr>
                <w:sz w:val="20"/>
                <w:szCs w:val="20"/>
              </w:rPr>
            </w:pPr>
            <w:r w:rsidRPr="007E4B31">
              <w:rPr>
                <w:sz w:val="20"/>
                <w:szCs w:val="20"/>
              </w:rPr>
              <w:t>10.0%</w:t>
            </w:r>
          </w:p>
        </w:tc>
        <w:tc>
          <w:tcPr>
            <w:tcW w:w="441" w:type="pct"/>
            <w:vAlign w:val="center"/>
          </w:tcPr>
          <w:p w14:paraId="426BFC78" w14:textId="77777777" w:rsidR="00C604B7" w:rsidRPr="007E4B31" w:rsidRDefault="00C604B7" w:rsidP="004D03B0">
            <w:pPr>
              <w:pStyle w:val="TableText0"/>
              <w:keepLines/>
              <w:spacing w:before="0" w:after="0"/>
              <w:jc w:val="center"/>
              <w:rPr>
                <w:sz w:val="20"/>
                <w:szCs w:val="20"/>
              </w:rPr>
            </w:pPr>
            <w:r w:rsidRPr="007E4B31">
              <w:rPr>
                <w:sz w:val="20"/>
                <w:szCs w:val="20"/>
              </w:rPr>
              <w:t>20.0%</w:t>
            </w:r>
          </w:p>
        </w:tc>
        <w:tc>
          <w:tcPr>
            <w:tcW w:w="441" w:type="pct"/>
            <w:vAlign w:val="center"/>
          </w:tcPr>
          <w:p w14:paraId="43C15B10" w14:textId="77777777" w:rsidR="00C604B7" w:rsidRPr="007E4B31" w:rsidRDefault="00C604B7" w:rsidP="004D03B0">
            <w:pPr>
              <w:pStyle w:val="TableText0"/>
              <w:keepLines/>
              <w:spacing w:before="0" w:after="0"/>
              <w:jc w:val="center"/>
              <w:rPr>
                <w:sz w:val="20"/>
                <w:szCs w:val="20"/>
              </w:rPr>
            </w:pPr>
            <w:r w:rsidRPr="007E4B31">
              <w:rPr>
                <w:sz w:val="20"/>
                <w:szCs w:val="20"/>
              </w:rPr>
              <w:t>25.0%</w:t>
            </w:r>
          </w:p>
        </w:tc>
        <w:tc>
          <w:tcPr>
            <w:tcW w:w="441" w:type="pct"/>
            <w:vAlign w:val="center"/>
          </w:tcPr>
          <w:p w14:paraId="6BCF5BFD" w14:textId="77777777" w:rsidR="00C604B7" w:rsidRPr="007E4B31" w:rsidRDefault="00C604B7" w:rsidP="004D03B0">
            <w:pPr>
              <w:pStyle w:val="TableText0"/>
              <w:keepLines/>
              <w:spacing w:before="0" w:after="0"/>
              <w:jc w:val="center"/>
              <w:rPr>
                <w:sz w:val="20"/>
                <w:szCs w:val="20"/>
              </w:rPr>
            </w:pPr>
            <w:r w:rsidRPr="007E4B31">
              <w:rPr>
                <w:sz w:val="20"/>
                <w:szCs w:val="20"/>
              </w:rPr>
              <w:t>27.5%</w:t>
            </w:r>
          </w:p>
        </w:tc>
        <w:tc>
          <w:tcPr>
            <w:tcW w:w="441" w:type="pct"/>
            <w:vAlign w:val="center"/>
          </w:tcPr>
          <w:p w14:paraId="0D08D753" w14:textId="77777777" w:rsidR="00C604B7" w:rsidRPr="007E4B31" w:rsidRDefault="00C604B7" w:rsidP="004D03B0">
            <w:pPr>
              <w:pStyle w:val="TableText0"/>
              <w:keepLines/>
              <w:spacing w:before="0" w:after="0"/>
              <w:jc w:val="center"/>
              <w:rPr>
                <w:sz w:val="20"/>
                <w:szCs w:val="20"/>
              </w:rPr>
            </w:pPr>
            <w:r w:rsidRPr="007E4B31">
              <w:rPr>
                <w:sz w:val="20"/>
                <w:szCs w:val="20"/>
              </w:rPr>
              <w:t>30.0%</w:t>
            </w:r>
          </w:p>
        </w:tc>
        <w:tc>
          <w:tcPr>
            <w:tcW w:w="440" w:type="pct"/>
            <w:vAlign w:val="center"/>
          </w:tcPr>
          <w:p w14:paraId="27393989" w14:textId="77777777" w:rsidR="00C604B7" w:rsidRPr="007E4B31" w:rsidRDefault="00C604B7" w:rsidP="004D03B0">
            <w:pPr>
              <w:pStyle w:val="TableText0"/>
              <w:keepLines/>
              <w:spacing w:before="0" w:after="0"/>
              <w:jc w:val="center"/>
              <w:rPr>
                <w:sz w:val="20"/>
                <w:szCs w:val="20"/>
              </w:rPr>
            </w:pPr>
            <w:r w:rsidRPr="007E4B31">
              <w:rPr>
                <w:sz w:val="20"/>
                <w:szCs w:val="20"/>
              </w:rPr>
              <w:t>32.5%</w:t>
            </w:r>
          </w:p>
        </w:tc>
      </w:tr>
      <w:tr w:rsidR="00C604B7" w:rsidRPr="007E4B31" w14:paraId="6435016A" w14:textId="77777777" w:rsidTr="004D03B0">
        <w:trPr>
          <w:trHeight w:val="20"/>
        </w:trPr>
        <w:tc>
          <w:tcPr>
            <w:tcW w:w="273" w:type="pct"/>
            <w:vAlign w:val="center"/>
          </w:tcPr>
          <w:p w14:paraId="796E75B7" w14:textId="77777777" w:rsidR="00C604B7" w:rsidRPr="007E4B31" w:rsidRDefault="00C604B7" w:rsidP="004D03B0">
            <w:pPr>
              <w:pStyle w:val="TableText0"/>
              <w:keepLines/>
              <w:spacing w:before="0" w:after="0"/>
              <w:rPr>
                <w:sz w:val="20"/>
                <w:szCs w:val="20"/>
              </w:rPr>
            </w:pPr>
            <w:r w:rsidRPr="007E4B31">
              <w:rPr>
                <w:sz w:val="20"/>
                <w:szCs w:val="20"/>
              </w:rPr>
              <w:t>C1</w:t>
            </w:r>
          </w:p>
        </w:tc>
        <w:tc>
          <w:tcPr>
            <w:tcW w:w="746" w:type="pct"/>
          </w:tcPr>
          <w:p w14:paraId="1DA6EEF5" w14:textId="77777777" w:rsidR="00C604B7" w:rsidRPr="007E4B31" w:rsidRDefault="00C604B7" w:rsidP="004D03B0">
            <w:pPr>
              <w:pStyle w:val="TableText0"/>
              <w:keepLines/>
              <w:spacing w:before="0" w:after="0"/>
              <w:rPr>
                <w:sz w:val="20"/>
                <w:szCs w:val="20"/>
              </w:rPr>
            </w:pPr>
            <w:r w:rsidRPr="007E4B31">
              <w:rPr>
                <w:sz w:val="20"/>
                <w:szCs w:val="20"/>
              </w:rPr>
              <w:t>&lt;5 years</w:t>
            </w:r>
          </w:p>
        </w:tc>
        <w:tc>
          <w:tcPr>
            <w:tcW w:w="1337" w:type="pct"/>
            <w:vAlign w:val="center"/>
          </w:tcPr>
          <w:p w14:paraId="282A020D" w14:textId="77777777" w:rsidR="00C604B7" w:rsidRPr="007E4B31" w:rsidRDefault="00C604B7" w:rsidP="004D03B0">
            <w:pPr>
              <w:pStyle w:val="TableText0"/>
              <w:keepLines/>
              <w:spacing w:before="0" w:after="0"/>
              <w:rPr>
                <w:sz w:val="20"/>
                <w:szCs w:val="20"/>
              </w:rPr>
            </w:pPr>
            <w:r w:rsidRPr="007E4B31">
              <w:rPr>
                <w:sz w:val="20"/>
                <w:szCs w:val="20"/>
              </w:rPr>
              <w:t>A1 x B</w:t>
            </w:r>
          </w:p>
        </w:tc>
        <w:tc>
          <w:tcPr>
            <w:tcW w:w="440" w:type="pct"/>
            <w:vAlign w:val="center"/>
          </w:tcPr>
          <w:p w14:paraId="6E9D666A" w14:textId="2B91B270"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3"/>
                <w14:textFill>
                  <w14:solidFill>
                    <w14:srgbClr w14:val="000000">
                      <w14:alpha w14:val="100000"/>
                    </w14:srgbClr>
                  </w14:solidFill>
                </w14:textFill>
              </w:rPr>
              <w:t>|</w:t>
            </w:r>
            <w:r w:rsidRPr="00D87EC4">
              <w:rPr>
                <w:color w:val="000000"/>
                <w:sz w:val="20"/>
                <w:szCs w:val="20"/>
                <w:shd w:val="solid" w:color="000000" w:fill="000000"/>
                <w:fitText w:val="290" w:id="-1168421113"/>
                <w14:textFill>
                  <w14:solidFill>
                    <w14:srgbClr w14:val="000000">
                      <w14:alpha w14:val="100000"/>
                    </w14:srgbClr>
                  </w14:solidFill>
                </w14:textFill>
              </w:rPr>
              <w:t>|</w:t>
            </w:r>
            <w:r w:rsidR="009B65C7" w:rsidRPr="009B65C7">
              <w:rPr>
                <w:vertAlign w:val="superscript"/>
              </w:rPr>
              <w:t>1</w:t>
            </w:r>
          </w:p>
        </w:tc>
        <w:tc>
          <w:tcPr>
            <w:tcW w:w="441" w:type="pct"/>
            <w:vAlign w:val="center"/>
          </w:tcPr>
          <w:p w14:paraId="276EEB78" w14:textId="0C54A00B"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2"/>
                <w14:textFill>
                  <w14:solidFill>
                    <w14:srgbClr w14:val="000000">
                      <w14:alpha w14:val="100000"/>
                    </w14:srgbClr>
                  </w14:solidFill>
                </w14:textFill>
              </w:rPr>
              <w:t>|</w:t>
            </w:r>
            <w:r w:rsidRPr="00D87EC4">
              <w:rPr>
                <w:color w:val="000000"/>
                <w:sz w:val="20"/>
                <w:szCs w:val="20"/>
                <w:shd w:val="solid" w:color="000000" w:fill="000000"/>
                <w:fitText w:val="290" w:id="-1168421112"/>
                <w14:textFill>
                  <w14:solidFill>
                    <w14:srgbClr w14:val="000000">
                      <w14:alpha w14:val="100000"/>
                    </w14:srgbClr>
                  </w14:solidFill>
                </w14:textFill>
              </w:rPr>
              <w:t>|</w:t>
            </w:r>
            <w:r w:rsidR="009B65C7" w:rsidRPr="009B65C7">
              <w:rPr>
                <w:vertAlign w:val="superscript"/>
              </w:rPr>
              <w:t>1</w:t>
            </w:r>
          </w:p>
        </w:tc>
        <w:tc>
          <w:tcPr>
            <w:tcW w:w="441" w:type="pct"/>
            <w:vAlign w:val="center"/>
          </w:tcPr>
          <w:p w14:paraId="654C10EA" w14:textId="1FEB70D2"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1"/>
                <w14:textFill>
                  <w14:solidFill>
                    <w14:srgbClr w14:val="000000">
                      <w14:alpha w14:val="100000"/>
                    </w14:srgbClr>
                  </w14:solidFill>
                </w14:textFill>
              </w:rPr>
              <w:t>|</w:t>
            </w:r>
            <w:r w:rsidRPr="00D87EC4">
              <w:rPr>
                <w:color w:val="000000"/>
                <w:sz w:val="20"/>
                <w:szCs w:val="20"/>
                <w:shd w:val="solid" w:color="000000" w:fill="000000"/>
                <w:fitText w:val="290" w:id="-1168421111"/>
                <w14:textFill>
                  <w14:solidFill>
                    <w14:srgbClr w14:val="000000">
                      <w14:alpha w14:val="100000"/>
                    </w14:srgbClr>
                  </w14:solidFill>
                </w14:textFill>
              </w:rPr>
              <w:t>|</w:t>
            </w:r>
            <w:r w:rsidR="009B65C7" w:rsidRPr="009B65C7">
              <w:rPr>
                <w:vertAlign w:val="superscript"/>
              </w:rPr>
              <w:t>1</w:t>
            </w:r>
          </w:p>
        </w:tc>
        <w:tc>
          <w:tcPr>
            <w:tcW w:w="441" w:type="pct"/>
            <w:vAlign w:val="center"/>
          </w:tcPr>
          <w:p w14:paraId="3231D54C" w14:textId="02FCBA01"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0"/>
                <w14:textFill>
                  <w14:solidFill>
                    <w14:srgbClr w14:val="000000">
                      <w14:alpha w14:val="100000"/>
                    </w14:srgbClr>
                  </w14:solidFill>
                </w14:textFill>
              </w:rPr>
              <w:t>|</w:t>
            </w:r>
            <w:r w:rsidRPr="00D87EC4">
              <w:rPr>
                <w:color w:val="000000"/>
                <w:sz w:val="20"/>
                <w:szCs w:val="20"/>
                <w:shd w:val="solid" w:color="000000" w:fill="000000"/>
                <w:fitText w:val="290" w:id="-1168421110"/>
                <w14:textFill>
                  <w14:solidFill>
                    <w14:srgbClr w14:val="000000">
                      <w14:alpha w14:val="100000"/>
                    </w14:srgbClr>
                  </w14:solidFill>
                </w14:textFill>
              </w:rPr>
              <w:t>|</w:t>
            </w:r>
            <w:r w:rsidR="009B65C7" w:rsidRPr="009B65C7">
              <w:rPr>
                <w:vertAlign w:val="superscript"/>
              </w:rPr>
              <w:t>1</w:t>
            </w:r>
          </w:p>
        </w:tc>
        <w:tc>
          <w:tcPr>
            <w:tcW w:w="441" w:type="pct"/>
            <w:vAlign w:val="center"/>
          </w:tcPr>
          <w:p w14:paraId="3CD09ADA" w14:textId="6CA1D285"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9"/>
                <w14:textFill>
                  <w14:solidFill>
                    <w14:srgbClr w14:val="000000">
                      <w14:alpha w14:val="100000"/>
                    </w14:srgbClr>
                  </w14:solidFill>
                </w14:textFill>
              </w:rPr>
              <w:t>|</w:t>
            </w:r>
            <w:r w:rsidRPr="00D87EC4">
              <w:rPr>
                <w:color w:val="000000"/>
                <w:sz w:val="20"/>
                <w:szCs w:val="20"/>
                <w:shd w:val="solid" w:color="000000" w:fill="000000"/>
                <w:fitText w:val="290" w:id="-1168421109"/>
                <w14:textFill>
                  <w14:solidFill>
                    <w14:srgbClr w14:val="000000">
                      <w14:alpha w14:val="100000"/>
                    </w14:srgbClr>
                  </w14:solidFill>
                </w14:textFill>
              </w:rPr>
              <w:t>|</w:t>
            </w:r>
            <w:r w:rsidR="009B65C7" w:rsidRPr="009B65C7">
              <w:rPr>
                <w:vertAlign w:val="superscript"/>
              </w:rPr>
              <w:t>1</w:t>
            </w:r>
          </w:p>
        </w:tc>
        <w:tc>
          <w:tcPr>
            <w:tcW w:w="440" w:type="pct"/>
            <w:vAlign w:val="center"/>
          </w:tcPr>
          <w:p w14:paraId="29D179A9" w14:textId="6FB13264"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8"/>
                <w14:textFill>
                  <w14:solidFill>
                    <w14:srgbClr w14:val="000000">
                      <w14:alpha w14:val="100000"/>
                    </w14:srgbClr>
                  </w14:solidFill>
                </w14:textFill>
              </w:rPr>
              <w:t>|</w:t>
            </w:r>
            <w:r w:rsidRPr="00D87EC4">
              <w:rPr>
                <w:color w:val="000000"/>
                <w:sz w:val="20"/>
                <w:szCs w:val="20"/>
                <w:shd w:val="solid" w:color="000000" w:fill="000000"/>
                <w:fitText w:val="290" w:id="-1168421108"/>
                <w14:textFill>
                  <w14:solidFill>
                    <w14:srgbClr w14:val="000000">
                      <w14:alpha w14:val="100000"/>
                    </w14:srgbClr>
                  </w14:solidFill>
                </w14:textFill>
              </w:rPr>
              <w:t>|</w:t>
            </w:r>
            <w:r w:rsidR="009B65C7" w:rsidRPr="009B65C7">
              <w:rPr>
                <w:vertAlign w:val="superscript"/>
              </w:rPr>
              <w:t>1</w:t>
            </w:r>
          </w:p>
        </w:tc>
      </w:tr>
      <w:tr w:rsidR="00C604B7" w:rsidRPr="007E4B31" w14:paraId="0BB300C2" w14:textId="77777777" w:rsidTr="004D03B0">
        <w:trPr>
          <w:trHeight w:val="20"/>
        </w:trPr>
        <w:tc>
          <w:tcPr>
            <w:tcW w:w="273" w:type="pct"/>
            <w:vAlign w:val="center"/>
          </w:tcPr>
          <w:p w14:paraId="6084221D" w14:textId="77777777" w:rsidR="00C604B7" w:rsidRPr="007E4B31" w:rsidRDefault="00C604B7" w:rsidP="004D03B0">
            <w:pPr>
              <w:pStyle w:val="TableText0"/>
              <w:keepLines/>
              <w:spacing w:before="0" w:after="0"/>
              <w:rPr>
                <w:sz w:val="20"/>
                <w:szCs w:val="20"/>
              </w:rPr>
            </w:pPr>
            <w:r w:rsidRPr="007E4B31">
              <w:rPr>
                <w:sz w:val="20"/>
                <w:szCs w:val="20"/>
              </w:rPr>
              <w:t>C2</w:t>
            </w:r>
          </w:p>
        </w:tc>
        <w:tc>
          <w:tcPr>
            <w:tcW w:w="746" w:type="pct"/>
          </w:tcPr>
          <w:p w14:paraId="481D8DDF" w14:textId="77777777" w:rsidR="00C604B7" w:rsidRPr="007E4B31" w:rsidRDefault="00C604B7" w:rsidP="004D03B0">
            <w:pPr>
              <w:pStyle w:val="TableText0"/>
              <w:keepLines/>
              <w:spacing w:before="0" w:after="0"/>
              <w:rPr>
                <w:sz w:val="20"/>
                <w:szCs w:val="20"/>
              </w:rPr>
            </w:pPr>
            <w:r w:rsidRPr="007E4B31">
              <w:rPr>
                <w:sz w:val="20"/>
                <w:szCs w:val="20"/>
              </w:rPr>
              <w:t>5-9 years</w:t>
            </w:r>
          </w:p>
        </w:tc>
        <w:tc>
          <w:tcPr>
            <w:tcW w:w="1337" w:type="pct"/>
            <w:vAlign w:val="center"/>
          </w:tcPr>
          <w:p w14:paraId="30D88DF6" w14:textId="77777777" w:rsidR="00C604B7" w:rsidRPr="007E4B31" w:rsidRDefault="00C604B7" w:rsidP="004D03B0">
            <w:pPr>
              <w:pStyle w:val="TableText0"/>
              <w:keepLines/>
              <w:spacing w:before="0" w:after="0"/>
              <w:rPr>
                <w:sz w:val="20"/>
                <w:szCs w:val="20"/>
              </w:rPr>
            </w:pPr>
            <w:r w:rsidRPr="007E4B31">
              <w:rPr>
                <w:sz w:val="20"/>
                <w:szCs w:val="20"/>
              </w:rPr>
              <w:t>A2 x B</w:t>
            </w:r>
          </w:p>
        </w:tc>
        <w:tc>
          <w:tcPr>
            <w:tcW w:w="440" w:type="pct"/>
            <w:vAlign w:val="center"/>
          </w:tcPr>
          <w:p w14:paraId="7ECAEA0F" w14:textId="54B4124A"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7"/>
                <w14:textFill>
                  <w14:solidFill>
                    <w14:srgbClr w14:val="000000">
                      <w14:alpha w14:val="100000"/>
                    </w14:srgbClr>
                  </w14:solidFill>
                </w14:textFill>
              </w:rPr>
              <w:t>|</w:t>
            </w:r>
            <w:r w:rsidRPr="00D87EC4">
              <w:rPr>
                <w:color w:val="000000"/>
                <w:sz w:val="20"/>
                <w:szCs w:val="20"/>
                <w:shd w:val="solid" w:color="000000" w:fill="000000"/>
                <w:fitText w:val="290" w:id="-1168421107"/>
                <w14:textFill>
                  <w14:solidFill>
                    <w14:srgbClr w14:val="000000">
                      <w14:alpha w14:val="100000"/>
                    </w14:srgbClr>
                  </w14:solidFill>
                </w14:textFill>
              </w:rPr>
              <w:t>|</w:t>
            </w:r>
            <w:r w:rsidR="009B65C7" w:rsidRPr="009B65C7">
              <w:rPr>
                <w:vertAlign w:val="superscript"/>
              </w:rPr>
              <w:t>1</w:t>
            </w:r>
          </w:p>
        </w:tc>
        <w:tc>
          <w:tcPr>
            <w:tcW w:w="441" w:type="pct"/>
            <w:vAlign w:val="center"/>
          </w:tcPr>
          <w:p w14:paraId="49823D88" w14:textId="75587C47"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6"/>
                <w14:textFill>
                  <w14:solidFill>
                    <w14:srgbClr w14:val="000000">
                      <w14:alpha w14:val="100000"/>
                    </w14:srgbClr>
                  </w14:solidFill>
                </w14:textFill>
              </w:rPr>
              <w:t>|</w:t>
            </w:r>
            <w:r w:rsidRPr="00D87EC4">
              <w:rPr>
                <w:color w:val="000000"/>
                <w:sz w:val="20"/>
                <w:szCs w:val="20"/>
                <w:shd w:val="solid" w:color="000000" w:fill="000000"/>
                <w:fitText w:val="290" w:id="-1168421106"/>
                <w14:textFill>
                  <w14:solidFill>
                    <w14:srgbClr w14:val="000000">
                      <w14:alpha w14:val="100000"/>
                    </w14:srgbClr>
                  </w14:solidFill>
                </w14:textFill>
              </w:rPr>
              <w:t>|</w:t>
            </w:r>
            <w:r w:rsidR="009B65C7" w:rsidRPr="009B65C7">
              <w:rPr>
                <w:vertAlign w:val="superscript"/>
              </w:rPr>
              <w:t>1</w:t>
            </w:r>
          </w:p>
        </w:tc>
        <w:tc>
          <w:tcPr>
            <w:tcW w:w="441" w:type="pct"/>
            <w:vAlign w:val="center"/>
          </w:tcPr>
          <w:p w14:paraId="247F5C74" w14:textId="0383CA6E"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5"/>
                <w14:textFill>
                  <w14:solidFill>
                    <w14:srgbClr w14:val="000000">
                      <w14:alpha w14:val="100000"/>
                    </w14:srgbClr>
                  </w14:solidFill>
                </w14:textFill>
              </w:rPr>
              <w:t>|</w:t>
            </w:r>
            <w:r w:rsidRPr="00D87EC4">
              <w:rPr>
                <w:color w:val="000000"/>
                <w:sz w:val="20"/>
                <w:szCs w:val="20"/>
                <w:shd w:val="solid" w:color="000000" w:fill="000000"/>
                <w:fitText w:val="290" w:id="-1168421105"/>
                <w14:textFill>
                  <w14:solidFill>
                    <w14:srgbClr w14:val="000000">
                      <w14:alpha w14:val="100000"/>
                    </w14:srgbClr>
                  </w14:solidFill>
                </w14:textFill>
              </w:rPr>
              <w:t>|</w:t>
            </w:r>
            <w:r w:rsidR="009B65C7" w:rsidRPr="009B65C7">
              <w:rPr>
                <w:vertAlign w:val="superscript"/>
              </w:rPr>
              <w:t>1</w:t>
            </w:r>
          </w:p>
        </w:tc>
        <w:tc>
          <w:tcPr>
            <w:tcW w:w="441" w:type="pct"/>
            <w:vAlign w:val="center"/>
          </w:tcPr>
          <w:p w14:paraId="450AA402" w14:textId="053EACDD"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4"/>
                <w14:textFill>
                  <w14:solidFill>
                    <w14:srgbClr w14:val="000000">
                      <w14:alpha w14:val="100000"/>
                    </w14:srgbClr>
                  </w14:solidFill>
                </w14:textFill>
              </w:rPr>
              <w:t>|</w:t>
            </w:r>
            <w:r w:rsidRPr="00D87EC4">
              <w:rPr>
                <w:color w:val="000000"/>
                <w:sz w:val="20"/>
                <w:szCs w:val="20"/>
                <w:shd w:val="solid" w:color="000000" w:fill="000000"/>
                <w:fitText w:val="290" w:id="-1168421104"/>
                <w14:textFill>
                  <w14:solidFill>
                    <w14:srgbClr w14:val="000000">
                      <w14:alpha w14:val="100000"/>
                    </w14:srgbClr>
                  </w14:solidFill>
                </w14:textFill>
              </w:rPr>
              <w:t>|</w:t>
            </w:r>
            <w:r w:rsidR="009B65C7" w:rsidRPr="009B65C7">
              <w:rPr>
                <w:vertAlign w:val="superscript"/>
              </w:rPr>
              <w:t>1</w:t>
            </w:r>
          </w:p>
        </w:tc>
        <w:tc>
          <w:tcPr>
            <w:tcW w:w="441" w:type="pct"/>
            <w:vAlign w:val="center"/>
          </w:tcPr>
          <w:p w14:paraId="4442C0B6" w14:textId="1916733F"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20"/>
                <w14:textFill>
                  <w14:solidFill>
                    <w14:srgbClr w14:val="000000">
                      <w14:alpha w14:val="100000"/>
                    </w14:srgbClr>
                  </w14:solidFill>
                </w14:textFill>
              </w:rPr>
              <w:t>|</w:t>
            </w:r>
            <w:r w:rsidRPr="00D87EC4">
              <w:rPr>
                <w:color w:val="000000"/>
                <w:sz w:val="20"/>
                <w:szCs w:val="20"/>
                <w:shd w:val="solid" w:color="000000" w:fill="000000"/>
                <w:fitText w:val="290" w:id="-1168421120"/>
                <w14:textFill>
                  <w14:solidFill>
                    <w14:srgbClr w14:val="000000">
                      <w14:alpha w14:val="100000"/>
                    </w14:srgbClr>
                  </w14:solidFill>
                </w14:textFill>
              </w:rPr>
              <w:t>|</w:t>
            </w:r>
            <w:r w:rsidR="009B65C7" w:rsidRPr="009B65C7">
              <w:rPr>
                <w:vertAlign w:val="superscript"/>
              </w:rPr>
              <w:t>1</w:t>
            </w:r>
          </w:p>
        </w:tc>
        <w:tc>
          <w:tcPr>
            <w:tcW w:w="440" w:type="pct"/>
            <w:vAlign w:val="center"/>
          </w:tcPr>
          <w:p w14:paraId="4FE7D3BE" w14:textId="41718C1F"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9"/>
                <w14:textFill>
                  <w14:solidFill>
                    <w14:srgbClr w14:val="000000">
                      <w14:alpha w14:val="100000"/>
                    </w14:srgbClr>
                  </w14:solidFill>
                </w14:textFill>
              </w:rPr>
              <w:t>|</w:t>
            </w:r>
            <w:r w:rsidRPr="00D87EC4">
              <w:rPr>
                <w:color w:val="000000"/>
                <w:sz w:val="20"/>
                <w:szCs w:val="20"/>
                <w:shd w:val="solid" w:color="000000" w:fill="000000"/>
                <w:fitText w:val="290" w:id="-1168421119"/>
                <w14:textFill>
                  <w14:solidFill>
                    <w14:srgbClr w14:val="000000">
                      <w14:alpha w14:val="100000"/>
                    </w14:srgbClr>
                  </w14:solidFill>
                </w14:textFill>
              </w:rPr>
              <w:t>|</w:t>
            </w:r>
            <w:r w:rsidR="009B65C7" w:rsidRPr="009B65C7">
              <w:rPr>
                <w:vertAlign w:val="superscript"/>
              </w:rPr>
              <w:t>1</w:t>
            </w:r>
          </w:p>
        </w:tc>
      </w:tr>
      <w:tr w:rsidR="00C604B7" w:rsidRPr="007E4B31" w14:paraId="4A950E56" w14:textId="77777777" w:rsidTr="004D03B0">
        <w:trPr>
          <w:trHeight w:val="20"/>
        </w:trPr>
        <w:tc>
          <w:tcPr>
            <w:tcW w:w="273" w:type="pct"/>
            <w:vAlign w:val="center"/>
          </w:tcPr>
          <w:p w14:paraId="6D30D90E" w14:textId="77777777" w:rsidR="00C604B7" w:rsidRPr="007E4B31" w:rsidRDefault="00C604B7" w:rsidP="004D03B0">
            <w:pPr>
              <w:pStyle w:val="TableText0"/>
              <w:keepLines/>
              <w:spacing w:before="0" w:after="0"/>
              <w:rPr>
                <w:sz w:val="20"/>
                <w:szCs w:val="20"/>
              </w:rPr>
            </w:pPr>
            <w:r w:rsidRPr="007E4B31">
              <w:rPr>
                <w:sz w:val="20"/>
                <w:szCs w:val="20"/>
              </w:rPr>
              <w:t>C3</w:t>
            </w:r>
          </w:p>
        </w:tc>
        <w:tc>
          <w:tcPr>
            <w:tcW w:w="746" w:type="pct"/>
          </w:tcPr>
          <w:p w14:paraId="0603F257" w14:textId="77777777" w:rsidR="00C604B7" w:rsidRPr="007E4B31" w:rsidRDefault="00C604B7" w:rsidP="004D03B0">
            <w:pPr>
              <w:pStyle w:val="TableText0"/>
              <w:keepLines/>
              <w:spacing w:before="0" w:after="0"/>
              <w:rPr>
                <w:sz w:val="20"/>
                <w:szCs w:val="20"/>
              </w:rPr>
            </w:pPr>
            <w:r w:rsidRPr="007E4B31">
              <w:rPr>
                <w:sz w:val="20"/>
                <w:szCs w:val="20"/>
              </w:rPr>
              <w:t xml:space="preserve">10-14 years </w:t>
            </w:r>
          </w:p>
        </w:tc>
        <w:tc>
          <w:tcPr>
            <w:tcW w:w="1337" w:type="pct"/>
            <w:vAlign w:val="center"/>
          </w:tcPr>
          <w:p w14:paraId="607497A5" w14:textId="77777777" w:rsidR="00C604B7" w:rsidRPr="007E4B31" w:rsidRDefault="00C604B7" w:rsidP="004D03B0">
            <w:pPr>
              <w:pStyle w:val="TableText0"/>
              <w:keepLines/>
              <w:spacing w:before="0" w:after="0"/>
              <w:rPr>
                <w:sz w:val="20"/>
                <w:szCs w:val="20"/>
              </w:rPr>
            </w:pPr>
            <w:r w:rsidRPr="007E4B31">
              <w:rPr>
                <w:sz w:val="20"/>
                <w:szCs w:val="20"/>
              </w:rPr>
              <w:t>A3 x B</w:t>
            </w:r>
          </w:p>
        </w:tc>
        <w:tc>
          <w:tcPr>
            <w:tcW w:w="440" w:type="pct"/>
            <w:vAlign w:val="center"/>
          </w:tcPr>
          <w:p w14:paraId="73EA7CF0" w14:textId="5B8A5C25"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8"/>
                <w14:textFill>
                  <w14:solidFill>
                    <w14:srgbClr w14:val="000000">
                      <w14:alpha w14:val="100000"/>
                    </w14:srgbClr>
                  </w14:solidFill>
                </w14:textFill>
              </w:rPr>
              <w:t>|</w:t>
            </w:r>
            <w:r w:rsidRPr="00D87EC4">
              <w:rPr>
                <w:color w:val="000000"/>
                <w:sz w:val="20"/>
                <w:szCs w:val="20"/>
                <w:shd w:val="solid" w:color="000000" w:fill="000000"/>
                <w:fitText w:val="290" w:id="-1168421118"/>
                <w14:textFill>
                  <w14:solidFill>
                    <w14:srgbClr w14:val="000000">
                      <w14:alpha w14:val="100000"/>
                    </w14:srgbClr>
                  </w14:solidFill>
                </w14:textFill>
              </w:rPr>
              <w:t>|</w:t>
            </w:r>
            <w:r w:rsidR="009B65C7" w:rsidRPr="009B65C7">
              <w:rPr>
                <w:vertAlign w:val="superscript"/>
              </w:rPr>
              <w:t>1</w:t>
            </w:r>
          </w:p>
        </w:tc>
        <w:tc>
          <w:tcPr>
            <w:tcW w:w="441" w:type="pct"/>
            <w:vAlign w:val="center"/>
          </w:tcPr>
          <w:p w14:paraId="05C807E4" w14:textId="0DCDFC99"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7"/>
                <w14:textFill>
                  <w14:solidFill>
                    <w14:srgbClr w14:val="000000">
                      <w14:alpha w14:val="100000"/>
                    </w14:srgbClr>
                  </w14:solidFill>
                </w14:textFill>
              </w:rPr>
              <w:t>|</w:t>
            </w:r>
            <w:r w:rsidRPr="00D87EC4">
              <w:rPr>
                <w:color w:val="000000"/>
                <w:sz w:val="20"/>
                <w:szCs w:val="20"/>
                <w:shd w:val="solid" w:color="000000" w:fill="000000"/>
                <w:fitText w:val="290" w:id="-1168421117"/>
                <w14:textFill>
                  <w14:solidFill>
                    <w14:srgbClr w14:val="000000">
                      <w14:alpha w14:val="100000"/>
                    </w14:srgbClr>
                  </w14:solidFill>
                </w14:textFill>
              </w:rPr>
              <w:t>|</w:t>
            </w:r>
            <w:r w:rsidR="009B65C7" w:rsidRPr="009B65C7">
              <w:rPr>
                <w:vertAlign w:val="superscript"/>
              </w:rPr>
              <w:t>1</w:t>
            </w:r>
          </w:p>
        </w:tc>
        <w:tc>
          <w:tcPr>
            <w:tcW w:w="441" w:type="pct"/>
            <w:vAlign w:val="center"/>
          </w:tcPr>
          <w:p w14:paraId="65E35D50" w14:textId="3E5435F0"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6"/>
                <w14:textFill>
                  <w14:solidFill>
                    <w14:srgbClr w14:val="000000">
                      <w14:alpha w14:val="100000"/>
                    </w14:srgbClr>
                  </w14:solidFill>
                </w14:textFill>
              </w:rPr>
              <w:t>|</w:t>
            </w:r>
            <w:r w:rsidRPr="00D87EC4">
              <w:rPr>
                <w:color w:val="000000"/>
                <w:sz w:val="20"/>
                <w:szCs w:val="20"/>
                <w:shd w:val="solid" w:color="000000" w:fill="000000"/>
                <w:fitText w:val="290" w:id="-1168421116"/>
                <w14:textFill>
                  <w14:solidFill>
                    <w14:srgbClr w14:val="000000">
                      <w14:alpha w14:val="100000"/>
                    </w14:srgbClr>
                  </w14:solidFill>
                </w14:textFill>
              </w:rPr>
              <w:t>|</w:t>
            </w:r>
            <w:r w:rsidR="009B65C7" w:rsidRPr="009B65C7">
              <w:rPr>
                <w:vertAlign w:val="superscript"/>
              </w:rPr>
              <w:t>1</w:t>
            </w:r>
          </w:p>
        </w:tc>
        <w:tc>
          <w:tcPr>
            <w:tcW w:w="441" w:type="pct"/>
            <w:vAlign w:val="center"/>
          </w:tcPr>
          <w:p w14:paraId="5E7FBBB3" w14:textId="03E7B23D"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5"/>
                <w14:textFill>
                  <w14:solidFill>
                    <w14:srgbClr w14:val="000000">
                      <w14:alpha w14:val="100000"/>
                    </w14:srgbClr>
                  </w14:solidFill>
                </w14:textFill>
              </w:rPr>
              <w:t>|</w:t>
            </w:r>
            <w:r w:rsidRPr="00D87EC4">
              <w:rPr>
                <w:color w:val="000000"/>
                <w:sz w:val="20"/>
                <w:szCs w:val="20"/>
                <w:shd w:val="solid" w:color="000000" w:fill="000000"/>
                <w:fitText w:val="290" w:id="-1168421115"/>
                <w14:textFill>
                  <w14:solidFill>
                    <w14:srgbClr w14:val="000000">
                      <w14:alpha w14:val="100000"/>
                    </w14:srgbClr>
                  </w14:solidFill>
                </w14:textFill>
              </w:rPr>
              <w:t>|</w:t>
            </w:r>
            <w:r w:rsidR="009B65C7" w:rsidRPr="009B65C7">
              <w:rPr>
                <w:vertAlign w:val="superscript"/>
              </w:rPr>
              <w:t>1</w:t>
            </w:r>
          </w:p>
        </w:tc>
        <w:tc>
          <w:tcPr>
            <w:tcW w:w="441" w:type="pct"/>
            <w:vAlign w:val="center"/>
          </w:tcPr>
          <w:p w14:paraId="6550A29C" w14:textId="10A8B892"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4"/>
                <w14:textFill>
                  <w14:solidFill>
                    <w14:srgbClr w14:val="000000">
                      <w14:alpha w14:val="100000"/>
                    </w14:srgbClr>
                  </w14:solidFill>
                </w14:textFill>
              </w:rPr>
              <w:t>|</w:t>
            </w:r>
            <w:r w:rsidRPr="00D87EC4">
              <w:rPr>
                <w:color w:val="000000"/>
                <w:sz w:val="20"/>
                <w:szCs w:val="20"/>
                <w:shd w:val="solid" w:color="000000" w:fill="000000"/>
                <w:fitText w:val="290" w:id="-1168421114"/>
                <w14:textFill>
                  <w14:solidFill>
                    <w14:srgbClr w14:val="000000">
                      <w14:alpha w14:val="100000"/>
                    </w14:srgbClr>
                  </w14:solidFill>
                </w14:textFill>
              </w:rPr>
              <w:t>|</w:t>
            </w:r>
            <w:r w:rsidR="009B65C7" w:rsidRPr="009B65C7">
              <w:rPr>
                <w:vertAlign w:val="superscript"/>
              </w:rPr>
              <w:t>1</w:t>
            </w:r>
          </w:p>
        </w:tc>
        <w:tc>
          <w:tcPr>
            <w:tcW w:w="440" w:type="pct"/>
            <w:vAlign w:val="center"/>
          </w:tcPr>
          <w:p w14:paraId="617B19AE" w14:textId="2ACAA720"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3"/>
                <w14:textFill>
                  <w14:solidFill>
                    <w14:srgbClr w14:val="000000">
                      <w14:alpha w14:val="100000"/>
                    </w14:srgbClr>
                  </w14:solidFill>
                </w14:textFill>
              </w:rPr>
              <w:t>|</w:t>
            </w:r>
            <w:r w:rsidRPr="00D87EC4">
              <w:rPr>
                <w:color w:val="000000"/>
                <w:sz w:val="20"/>
                <w:szCs w:val="20"/>
                <w:shd w:val="solid" w:color="000000" w:fill="000000"/>
                <w:fitText w:val="290" w:id="-1168421113"/>
                <w14:textFill>
                  <w14:solidFill>
                    <w14:srgbClr w14:val="000000">
                      <w14:alpha w14:val="100000"/>
                    </w14:srgbClr>
                  </w14:solidFill>
                </w14:textFill>
              </w:rPr>
              <w:t>|</w:t>
            </w:r>
            <w:r w:rsidR="009B65C7" w:rsidRPr="009B65C7">
              <w:rPr>
                <w:vertAlign w:val="superscript"/>
              </w:rPr>
              <w:t>1</w:t>
            </w:r>
          </w:p>
        </w:tc>
      </w:tr>
      <w:tr w:rsidR="00C604B7" w:rsidRPr="007E4B31" w14:paraId="55259826" w14:textId="77777777" w:rsidTr="004D03B0">
        <w:trPr>
          <w:trHeight w:val="20"/>
        </w:trPr>
        <w:tc>
          <w:tcPr>
            <w:tcW w:w="5000" w:type="pct"/>
            <w:gridSpan w:val="9"/>
            <w:vAlign w:val="center"/>
          </w:tcPr>
          <w:p w14:paraId="5353E92F" w14:textId="77777777" w:rsidR="00C604B7" w:rsidRPr="007E4B31" w:rsidRDefault="00C604B7" w:rsidP="004D03B0">
            <w:pPr>
              <w:pStyle w:val="TableText0"/>
              <w:keepLines/>
              <w:spacing w:before="0" w:after="0"/>
              <w:rPr>
                <w:b/>
                <w:bCs w:val="0"/>
                <w:sz w:val="20"/>
                <w:szCs w:val="20"/>
                <w:vertAlign w:val="superscript"/>
              </w:rPr>
            </w:pPr>
            <w:r w:rsidRPr="007E4B31">
              <w:rPr>
                <w:b/>
                <w:bCs w:val="0"/>
                <w:sz w:val="20"/>
                <w:szCs w:val="20"/>
              </w:rPr>
              <w:t xml:space="preserve">Total somapacitan script numbers </w:t>
            </w:r>
            <w:r w:rsidRPr="007E4B31">
              <w:rPr>
                <w:b/>
                <w:bCs w:val="0"/>
                <w:sz w:val="20"/>
                <w:szCs w:val="20"/>
                <w:vertAlign w:val="superscript"/>
              </w:rPr>
              <w:t>a</w:t>
            </w:r>
          </w:p>
        </w:tc>
      </w:tr>
      <w:tr w:rsidR="00C604B7" w:rsidRPr="007E4B31" w14:paraId="088ADCC4" w14:textId="77777777" w:rsidTr="004D03B0">
        <w:trPr>
          <w:trHeight w:val="20"/>
        </w:trPr>
        <w:tc>
          <w:tcPr>
            <w:tcW w:w="273" w:type="pct"/>
            <w:vAlign w:val="center"/>
          </w:tcPr>
          <w:p w14:paraId="1E4ACF1C" w14:textId="77777777" w:rsidR="00C604B7" w:rsidRPr="007E4B31" w:rsidRDefault="00C604B7" w:rsidP="004D03B0">
            <w:pPr>
              <w:pStyle w:val="TableText0"/>
              <w:keepLines/>
              <w:spacing w:before="0" w:after="0"/>
              <w:rPr>
                <w:sz w:val="20"/>
                <w:szCs w:val="20"/>
              </w:rPr>
            </w:pPr>
            <w:r w:rsidRPr="007E4B31">
              <w:rPr>
                <w:sz w:val="20"/>
                <w:szCs w:val="20"/>
              </w:rPr>
              <w:t>F1</w:t>
            </w:r>
          </w:p>
        </w:tc>
        <w:tc>
          <w:tcPr>
            <w:tcW w:w="746" w:type="pct"/>
          </w:tcPr>
          <w:p w14:paraId="36F82ED4" w14:textId="77777777" w:rsidR="00C604B7" w:rsidRPr="007E4B31" w:rsidRDefault="00C604B7" w:rsidP="004D03B0">
            <w:pPr>
              <w:pStyle w:val="TableText0"/>
              <w:keepLines/>
              <w:spacing w:before="0" w:after="0"/>
              <w:rPr>
                <w:sz w:val="20"/>
                <w:szCs w:val="20"/>
              </w:rPr>
            </w:pPr>
            <w:r w:rsidRPr="007E4B31">
              <w:rPr>
                <w:sz w:val="20"/>
                <w:szCs w:val="20"/>
              </w:rPr>
              <w:t>5 mg/1.5 ml</w:t>
            </w:r>
          </w:p>
        </w:tc>
        <w:tc>
          <w:tcPr>
            <w:tcW w:w="1337" w:type="pct"/>
          </w:tcPr>
          <w:p w14:paraId="6A2943B2" w14:textId="77777777" w:rsidR="00C604B7" w:rsidRPr="007E4B31" w:rsidRDefault="00C604B7" w:rsidP="004D03B0">
            <w:pPr>
              <w:pStyle w:val="TableText0"/>
              <w:keepLines/>
              <w:spacing w:before="0" w:after="0"/>
              <w:rPr>
                <w:sz w:val="20"/>
                <w:szCs w:val="20"/>
              </w:rPr>
            </w:pPr>
            <w:r w:rsidRPr="007E4B31">
              <w:rPr>
                <w:sz w:val="20"/>
                <w:szCs w:val="20"/>
              </w:rPr>
              <w:t xml:space="preserve">C1 x (100.1/5) x 100% </w:t>
            </w:r>
          </w:p>
        </w:tc>
        <w:tc>
          <w:tcPr>
            <w:tcW w:w="440" w:type="pct"/>
            <w:vAlign w:val="center"/>
          </w:tcPr>
          <w:p w14:paraId="4C16E4D8" w14:textId="4A2AE2CD"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2"/>
                <w14:textFill>
                  <w14:solidFill>
                    <w14:srgbClr w14:val="000000">
                      <w14:alpha w14:val="100000"/>
                    </w14:srgbClr>
                  </w14:solidFill>
                </w14:textFill>
              </w:rPr>
              <w:t>|</w:t>
            </w:r>
            <w:r w:rsidRPr="00D87EC4">
              <w:rPr>
                <w:color w:val="000000"/>
                <w:sz w:val="20"/>
                <w:szCs w:val="20"/>
                <w:shd w:val="solid" w:color="000000" w:fill="000000"/>
                <w:fitText w:val="290" w:id="-1168421112"/>
                <w14:textFill>
                  <w14:solidFill>
                    <w14:srgbClr w14:val="000000">
                      <w14:alpha w14:val="100000"/>
                    </w14:srgbClr>
                  </w14:solidFill>
                </w14:textFill>
              </w:rPr>
              <w:t>|</w:t>
            </w:r>
            <w:r w:rsidR="009B65C7" w:rsidRPr="009B65C7">
              <w:rPr>
                <w:vertAlign w:val="superscript"/>
              </w:rPr>
              <w:t>1</w:t>
            </w:r>
          </w:p>
        </w:tc>
        <w:tc>
          <w:tcPr>
            <w:tcW w:w="441" w:type="pct"/>
            <w:vAlign w:val="center"/>
          </w:tcPr>
          <w:p w14:paraId="255622DD" w14:textId="609FE7C3"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1"/>
                <w14:textFill>
                  <w14:solidFill>
                    <w14:srgbClr w14:val="000000">
                      <w14:alpha w14:val="100000"/>
                    </w14:srgbClr>
                  </w14:solidFill>
                </w14:textFill>
              </w:rPr>
              <w:t>|</w:t>
            </w:r>
            <w:r w:rsidRPr="00D87EC4">
              <w:rPr>
                <w:color w:val="000000"/>
                <w:sz w:val="20"/>
                <w:szCs w:val="20"/>
                <w:shd w:val="solid" w:color="000000" w:fill="000000"/>
                <w:fitText w:val="290" w:id="-1168421111"/>
                <w14:textFill>
                  <w14:solidFill>
                    <w14:srgbClr w14:val="000000">
                      <w14:alpha w14:val="100000"/>
                    </w14:srgbClr>
                  </w14:solidFill>
                </w14:textFill>
              </w:rPr>
              <w:t>|</w:t>
            </w:r>
            <w:r w:rsidR="009B65C7" w:rsidRPr="009B65C7">
              <w:rPr>
                <w:vertAlign w:val="superscript"/>
              </w:rPr>
              <w:t>1</w:t>
            </w:r>
          </w:p>
        </w:tc>
        <w:tc>
          <w:tcPr>
            <w:tcW w:w="441" w:type="pct"/>
            <w:vAlign w:val="center"/>
          </w:tcPr>
          <w:p w14:paraId="74843D71" w14:textId="201AFA5B"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10"/>
                <w14:textFill>
                  <w14:solidFill>
                    <w14:srgbClr w14:val="000000">
                      <w14:alpha w14:val="100000"/>
                    </w14:srgbClr>
                  </w14:solidFill>
                </w14:textFill>
              </w:rPr>
              <w:t>|</w:t>
            </w:r>
            <w:r w:rsidRPr="00D87EC4">
              <w:rPr>
                <w:color w:val="000000"/>
                <w:sz w:val="20"/>
                <w:szCs w:val="20"/>
                <w:shd w:val="solid" w:color="000000" w:fill="000000"/>
                <w:fitText w:val="290" w:id="-1168421110"/>
                <w14:textFill>
                  <w14:solidFill>
                    <w14:srgbClr w14:val="000000">
                      <w14:alpha w14:val="100000"/>
                    </w14:srgbClr>
                  </w14:solidFill>
                </w14:textFill>
              </w:rPr>
              <w:t>|</w:t>
            </w:r>
            <w:r w:rsidR="009B65C7" w:rsidRPr="009B65C7">
              <w:rPr>
                <w:vertAlign w:val="superscript"/>
              </w:rPr>
              <w:t>1</w:t>
            </w:r>
          </w:p>
        </w:tc>
        <w:tc>
          <w:tcPr>
            <w:tcW w:w="441" w:type="pct"/>
            <w:vAlign w:val="center"/>
          </w:tcPr>
          <w:p w14:paraId="10360AFE" w14:textId="5D2D98AD"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9"/>
                <w14:textFill>
                  <w14:solidFill>
                    <w14:srgbClr w14:val="000000">
                      <w14:alpha w14:val="100000"/>
                    </w14:srgbClr>
                  </w14:solidFill>
                </w14:textFill>
              </w:rPr>
              <w:t>|</w:t>
            </w:r>
            <w:r w:rsidRPr="00D87EC4">
              <w:rPr>
                <w:color w:val="000000"/>
                <w:sz w:val="20"/>
                <w:szCs w:val="20"/>
                <w:shd w:val="solid" w:color="000000" w:fill="000000"/>
                <w:fitText w:val="290" w:id="-1168421109"/>
                <w14:textFill>
                  <w14:solidFill>
                    <w14:srgbClr w14:val="000000">
                      <w14:alpha w14:val="100000"/>
                    </w14:srgbClr>
                  </w14:solidFill>
                </w14:textFill>
              </w:rPr>
              <w:t>|</w:t>
            </w:r>
            <w:r w:rsidR="009B65C7" w:rsidRPr="009B65C7">
              <w:rPr>
                <w:vertAlign w:val="superscript"/>
              </w:rPr>
              <w:t>1</w:t>
            </w:r>
          </w:p>
        </w:tc>
        <w:tc>
          <w:tcPr>
            <w:tcW w:w="441" w:type="pct"/>
            <w:vAlign w:val="center"/>
          </w:tcPr>
          <w:p w14:paraId="04507E54" w14:textId="66763E53"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8"/>
                <w14:textFill>
                  <w14:solidFill>
                    <w14:srgbClr w14:val="000000">
                      <w14:alpha w14:val="100000"/>
                    </w14:srgbClr>
                  </w14:solidFill>
                </w14:textFill>
              </w:rPr>
              <w:t>|</w:t>
            </w:r>
            <w:r w:rsidRPr="00D87EC4">
              <w:rPr>
                <w:color w:val="000000"/>
                <w:sz w:val="20"/>
                <w:szCs w:val="20"/>
                <w:shd w:val="solid" w:color="000000" w:fill="000000"/>
                <w:fitText w:val="290" w:id="-1168421108"/>
                <w14:textFill>
                  <w14:solidFill>
                    <w14:srgbClr w14:val="000000">
                      <w14:alpha w14:val="100000"/>
                    </w14:srgbClr>
                  </w14:solidFill>
                </w14:textFill>
              </w:rPr>
              <w:t>|</w:t>
            </w:r>
            <w:r w:rsidR="009B65C7">
              <w:rPr>
                <w:vertAlign w:val="superscript"/>
              </w:rPr>
              <w:t>2</w:t>
            </w:r>
          </w:p>
        </w:tc>
        <w:tc>
          <w:tcPr>
            <w:tcW w:w="440" w:type="pct"/>
            <w:vAlign w:val="center"/>
          </w:tcPr>
          <w:p w14:paraId="1F0B1E01" w14:textId="10EE5BBD"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7"/>
                <w14:textFill>
                  <w14:solidFill>
                    <w14:srgbClr w14:val="000000">
                      <w14:alpha w14:val="100000"/>
                    </w14:srgbClr>
                  </w14:solidFill>
                </w14:textFill>
              </w:rPr>
              <w:t>|</w:t>
            </w:r>
            <w:r w:rsidRPr="00D87EC4">
              <w:rPr>
                <w:color w:val="000000"/>
                <w:sz w:val="20"/>
                <w:szCs w:val="20"/>
                <w:shd w:val="solid" w:color="000000" w:fill="000000"/>
                <w:fitText w:val="290" w:id="-1168421107"/>
                <w14:textFill>
                  <w14:solidFill>
                    <w14:srgbClr w14:val="000000">
                      <w14:alpha w14:val="100000"/>
                    </w14:srgbClr>
                  </w14:solidFill>
                </w14:textFill>
              </w:rPr>
              <w:t>|</w:t>
            </w:r>
            <w:r w:rsidR="009B65C7">
              <w:rPr>
                <w:vertAlign w:val="superscript"/>
              </w:rPr>
              <w:t>2</w:t>
            </w:r>
          </w:p>
        </w:tc>
      </w:tr>
      <w:tr w:rsidR="00C604B7" w:rsidRPr="007E4B31" w14:paraId="45B94364" w14:textId="77777777" w:rsidTr="004D03B0">
        <w:trPr>
          <w:trHeight w:val="20"/>
        </w:trPr>
        <w:tc>
          <w:tcPr>
            <w:tcW w:w="273" w:type="pct"/>
            <w:vAlign w:val="center"/>
          </w:tcPr>
          <w:p w14:paraId="5243FADB" w14:textId="77777777" w:rsidR="00C604B7" w:rsidRPr="007E4B31" w:rsidRDefault="00C604B7" w:rsidP="004D03B0">
            <w:pPr>
              <w:pStyle w:val="TableText0"/>
              <w:keepLines/>
              <w:spacing w:before="0" w:after="0"/>
              <w:rPr>
                <w:sz w:val="20"/>
                <w:szCs w:val="20"/>
              </w:rPr>
            </w:pPr>
            <w:r w:rsidRPr="007E4B31">
              <w:rPr>
                <w:sz w:val="20"/>
                <w:szCs w:val="20"/>
              </w:rPr>
              <w:t>F2</w:t>
            </w:r>
          </w:p>
        </w:tc>
        <w:tc>
          <w:tcPr>
            <w:tcW w:w="746" w:type="pct"/>
            <w:vAlign w:val="center"/>
          </w:tcPr>
          <w:p w14:paraId="14FB917B" w14:textId="77777777" w:rsidR="00C604B7" w:rsidRPr="007E4B31" w:rsidRDefault="00C604B7" w:rsidP="004D03B0">
            <w:pPr>
              <w:pStyle w:val="TableText0"/>
              <w:keepLines/>
              <w:spacing w:before="0" w:after="0"/>
              <w:rPr>
                <w:sz w:val="20"/>
                <w:szCs w:val="20"/>
              </w:rPr>
            </w:pPr>
            <w:r w:rsidRPr="007E4B31">
              <w:rPr>
                <w:sz w:val="20"/>
                <w:szCs w:val="20"/>
              </w:rPr>
              <w:t>10 mg/1.5 ml</w:t>
            </w:r>
          </w:p>
        </w:tc>
        <w:tc>
          <w:tcPr>
            <w:tcW w:w="1337" w:type="pct"/>
          </w:tcPr>
          <w:p w14:paraId="1208E112" w14:textId="77777777" w:rsidR="00C604B7" w:rsidRPr="007E4B31" w:rsidRDefault="00C604B7" w:rsidP="004D03B0">
            <w:pPr>
              <w:pStyle w:val="TableText0"/>
              <w:keepLines/>
              <w:spacing w:before="0" w:after="0"/>
              <w:rPr>
                <w:sz w:val="20"/>
                <w:szCs w:val="20"/>
              </w:rPr>
            </w:pPr>
            <w:r w:rsidRPr="007E4B31">
              <w:rPr>
                <w:sz w:val="20"/>
                <w:szCs w:val="20"/>
              </w:rPr>
              <w:t>C2 x (196.5/10) x 100% + C3 x (364.3/15) x 20%</w:t>
            </w:r>
          </w:p>
        </w:tc>
        <w:tc>
          <w:tcPr>
            <w:tcW w:w="440" w:type="pct"/>
            <w:vAlign w:val="center"/>
          </w:tcPr>
          <w:p w14:paraId="79AF2AA7" w14:textId="604E0C23"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6"/>
                <w14:textFill>
                  <w14:solidFill>
                    <w14:srgbClr w14:val="000000">
                      <w14:alpha w14:val="100000"/>
                    </w14:srgbClr>
                  </w14:solidFill>
                </w14:textFill>
              </w:rPr>
              <w:t>|</w:t>
            </w:r>
            <w:r w:rsidRPr="00D87EC4">
              <w:rPr>
                <w:color w:val="000000"/>
                <w:sz w:val="20"/>
                <w:szCs w:val="20"/>
                <w:shd w:val="solid" w:color="000000" w:fill="000000"/>
                <w:fitText w:val="290" w:id="-1168421106"/>
                <w14:textFill>
                  <w14:solidFill>
                    <w14:srgbClr w14:val="000000">
                      <w14:alpha w14:val="100000"/>
                    </w14:srgbClr>
                  </w14:solidFill>
                </w14:textFill>
              </w:rPr>
              <w:t>|</w:t>
            </w:r>
            <w:r w:rsidR="009B65C7">
              <w:rPr>
                <w:vertAlign w:val="superscript"/>
              </w:rPr>
              <w:t>2</w:t>
            </w:r>
          </w:p>
        </w:tc>
        <w:tc>
          <w:tcPr>
            <w:tcW w:w="441" w:type="pct"/>
            <w:vAlign w:val="center"/>
          </w:tcPr>
          <w:p w14:paraId="500454EF" w14:textId="489A416A"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5"/>
                <w14:textFill>
                  <w14:solidFill>
                    <w14:srgbClr w14:val="000000">
                      <w14:alpha w14:val="100000"/>
                    </w14:srgbClr>
                  </w14:solidFill>
                </w14:textFill>
              </w:rPr>
              <w:t>|</w:t>
            </w:r>
            <w:r w:rsidRPr="00D87EC4">
              <w:rPr>
                <w:color w:val="000000"/>
                <w:sz w:val="20"/>
                <w:szCs w:val="20"/>
                <w:shd w:val="solid" w:color="000000" w:fill="000000"/>
                <w:fitText w:val="290" w:id="-1168421105"/>
                <w14:textFill>
                  <w14:solidFill>
                    <w14:srgbClr w14:val="000000">
                      <w14:alpha w14:val="100000"/>
                    </w14:srgbClr>
                  </w14:solidFill>
                </w14:textFill>
              </w:rPr>
              <w:t>|</w:t>
            </w:r>
            <w:r w:rsidR="009B65C7">
              <w:rPr>
                <w:vertAlign w:val="superscript"/>
              </w:rPr>
              <w:t>2</w:t>
            </w:r>
          </w:p>
        </w:tc>
        <w:tc>
          <w:tcPr>
            <w:tcW w:w="441" w:type="pct"/>
            <w:vAlign w:val="center"/>
          </w:tcPr>
          <w:p w14:paraId="513B2FDD" w14:textId="5AE5FD02"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1104"/>
                <w14:textFill>
                  <w14:solidFill>
                    <w14:srgbClr w14:val="000000">
                      <w14:alpha w14:val="100000"/>
                    </w14:srgbClr>
                  </w14:solidFill>
                </w14:textFill>
              </w:rPr>
              <w:t>|</w:t>
            </w:r>
            <w:r w:rsidRPr="00D87EC4">
              <w:rPr>
                <w:color w:val="000000"/>
                <w:sz w:val="20"/>
                <w:szCs w:val="20"/>
                <w:shd w:val="solid" w:color="000000" w:fill="000000"/>
                <w:fitText w:val="290" w:id="-1168421104"/>
                <w14:textFill>
                  <w14:solidFill>
                    <w14:srgbClr w14:val="000000">
                      <w14:alpha w14:val="100000"/>
                    </w14:srgbClr>
                  </w14:solidFill>
                </w14:textFill>
              </w:rPr>
              <w:t>|</w:t>
            </w:r>
            <w:r w:rsidR="009B65C7">
              <w:rPr>
                <w:vertAlign w:val="superscript"/>
              </w:rPr>
              <w:t>2</w:t>
            </w:r>
          </w:p>
        </w:tc>
        <w:tc>
          <w:tcPr>
            <w:tcW w:w="441" w:type="pct"/>
            <w:vAlign w:val="center"/>
          </w:tcPr>
          <w:p w14:paraId="66A7FF5C" w14:textId="04F8D8AB"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0864"/>
                <w14:textFill>
                  <w14:solidFill>
                    <w14:srgbClr w14:val="000000">
                      <w14:alpha w14:val="100000"/>
                    </w14:srgbClr>
                  </w14:solidFill>
                </w14:textFill>
              </w:rPr>
              <w:t>|</w:t>
            </w:r>
            <w:r w:rsidRPr="00D87EC4">
              <w:rPr>
                <w:color w:val="000000"/>
                <w:sz w:val="20"/>
                <w:szCs w:val="20"/>
                <w:shd w:val="solid" w:color="000000" w:fill="000000"/>
                <w:fitText w:val="290" w:id="-1168420864"/>
                <w14:textFill>
                  <w14:solidFill>
                    <w14:srgbClr w14:val="000000">
                      <w14:alpha w14:val="100000"/>
                    </w14:srgbClr>
                  </w14:solidFill>
                </w14:textFill>
              </w:rPr>
              <w:t>|</w:t>
            </w:r>
            <w:r w:rsidR="009B65C7">
              <w:rPr>
                <w:vertAlign w:val="superscript"/>
              </w:rPr>
              <w:t>2</w:t>
            </w:r>
          </w:p>
        </w:tc>
        <w:tc>
          <w:tcPr>
            <w:tcW w:w="441" w:type="pct"/>
            <w:vAlign w:val="center"/>
          </w:tcPr>
          <w:p w14:paraId="55FC509A" w14:textId="2D2E7EE3"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0863"/>
                <w14:textFill>
                  <w14:solidFill>
                    <w14:srgbClr w14:val="000000">
                      <w14:alpha w14:val="100000"/>
                    </w14:srgbClr>
                  </w14:solidFill>
                </w14:textFill>
              </w:rPr>
              <w:t>|</w:t>
            </w:r>
            <w:r w:rsidRPr="00D87EC4">
              <w:rPr>
                <w:color w:val="000000"/>
                <w:sz w:val="20"/>
                <w:szCs w:val="20"/>
                <w:shd w:val="solid" w:color="000000" w:fill="000000"/>
                <w:fitText w:val="290" w:id="-1168420863"/>
                <w14:textFill>
                  <w14:solidFill>
                    <w14:srgbClr w14:val="000000">
                      <w14:alpha w14:val="100000"/>
                    </w14:srgbClr>
                  </w14:solidFill>
                </w14:textFill>
              </w:rPr>
              <w:t>|</w:t>
            </w:r>
            <w:r w:rsidR="009B65C7">
              <w:rPr>
                <w:vertAlign w:val="superscript"/>
              </w:rPr>
              <w:t>3</w:t>
            </w:r>
          </w:p>
        </w:tc>
        <w:tc>
          <w:tcPr>
            <w:tcW w:w="440" w:type="pct"/>
            <w:vAlign w:val="center"/>
          </w:tcPr>
          <w:p w14:paraId="4BACF82A" w14:textId="6F0B78FF"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0862"/>
                <w14:textFill>
                  <w14:solidFill>
                    <w14:srgbClr w14:val="000000">
                      <w14:alpha w14:val="100000"/>
                    </w14:srgbClr>
                  </w14:solidFill>
                </w14:textFill>
              </w:rPr>
              <w:t>|</w:t>
            </w:r>
            <w:r w:rsidRPr="00D87EC4">
              <w:rPr>
                <w:color w:val="000000"/>
                <w:sz w:val="20"/>
                <w:szCs w:val="20"/>
                <w:shd w:val="solid" w:color="000000" w:fill="000000"/>
                <w:fitText w:val="290" w:id="-1168420862"/>
                <w14:textFill>
                  <w14:solidFill>
                    <w14:srgbClr w14:val="000000">
                      <w14:alpha w14:val="100000"/>
                    </w14:srgbClr>
                  </w14:solidFill>
                </w14:textFill>
              </w:rPr>
              <w:t>|</w:t>
            </w:r>
            <w:r w:rsidR="009B65C7">
              <w:rPr>
                <w:vertAlign w:val="superscript"/>
              </w:rPr>
              <w:t>3</w:t>
            </w:r>
          </w:p>
        </w:tc>
      </w:tr>
      <w:tr w:rsidR="00C604B7" w:rsidRPr="007E4B31" w14:paraId="4906F1A5" w14:textId="77777777" w:rsidTr="004D03B0">
        <w:trPr>
          <w:trHeight w:val="20"/>
        </w:trPr>
        <w:tc>
          <w:tcPr>
            <w:tcW w:w="273" w:type="pct"/>
            <w:vAlign w:val="center"/>
          </w:tcPr>
          <w:p w14:paraId="6F5B2EE3" w14:textId="77777777" w:rsidR="00C604B7" w:rsidRPr="007E4B31" w:rsidRDefault="00C604B7" w:rsidP="004D03B0">
            <w:pPr>
              <w:pStyle w:val="TableText0"/>
              <w:keepLines/>
              <w:spacing w:before="0" w:after="0"/>
              <w:rPr>
                <w:sz w:val="20"/>
                <w:szCs w:val="20"/>
              </w:rPr>
            </w:pPr>
            <w:r w:rsidRPr="007E4B31">
              <w:rPr>
                <w:sz w:val="20"/>
                <w:szCs w:val="20"/>
              </w:rPr>
              <w:t>F3</w:t>
            </w:r>
          </w:p>
        </w:tc>
        <w:tc>
          <w:tcPr>
            <w:tcW w:w="746" w:type="pct"/>
            <w:vAlign w:val="center"/>
          </w:tcPr>
          <w:p w14:paraId="1822B952" w14:textId="77777777" w:rsidR="00C604B7" w:rsidRPr="007E4B31" w:rsidRDefault="00C604B7" w:rsidP="004D03B0">
            <w:pPr>
              <w:pStyle w:val="TableText0"/>
              <w:keepLines/>
              <w:spacing w:before="0" w:after="0"/>
              <w:rPr>
                <w:sz w:val="20"/>
                <w:szCs w:val="20"/>
              </w:rPr>
            </w:pPr>
            <w:r w:rsidRPr="007E4B31">
              <w:rPr>
                <w:sz w:val="20"/>
                <w:szCs w:val="20"/>
              </w:rPr>
              <w:t>15 mg/1.5 ml</w:t>
            </w:r>
          </w:p>
        </w:tc>
        <w:tc>
          <w:tcPr>
            <w:tcW w:w="1337" w:type="pct"/>
          </w:tcPr>
          <w:p w14:paraId="072C4633" w14:textId="77777777" w:rsidR="00C604B7" w:rsidRPr="007E4B31" w:rsidRDefault="00C604B7" w:rsidP="004D03B0">
            <w:pPr>
              <w:pStyle w:val="TableText0"/>
              <w:keepLines/>
              <w:spacing w:before="0" w:after="0"/>
              <w:rPr>
                <w:sz w:val="20"/>
                <w:szCs w:val="20"/>
              </w:rPr>
            </w:pPr>
            <w:r w:rsidRPr="007E4B31">
              <w:rPr>
                <w:sz w:val="20"/>
                <w:szCs w:val="20"/>
              </w:rPr>
              <w:t>C3 x (364.3/15) x 80%</w:t>
            </w:r>
          </w:p>
        </w:tc>
        <w:tc>
          <w:tcPr>
            <w:tcW w:w="440" w:type="pct"/>
            <w:vAlign w:val="center"/>
          </w:tcPr>
          <w:p w14:paraId="488DC9F9" w14:textId="0D6D2D6C"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0861"/>
                <w14:textFill>
                  <w14:solidFill>
                    <w14:srgbClr w14:val="000000">
                      <w14:alpha w14:val="100000"/>
                    </w14:srgbClr>
                  </w14:solidFill>
                </w14:textFill>
              </w:rPr>
              <w:t>|</w:t>
            </w:r>
            <w:r w:rsidRPr="00D87EC4">
              <w:rPr>
                <w:color w:val="000000"/>
                <w:sz w:val="20"/>
                <w:szCs w:val="20"/>
                <w:shd w:val="solid" w:color="000000" w:fill="000000"/>
                <w:fitText w:val="290" w:id="-1168420861"/>
                <w14:textFill>
                  <w14:solidFill>
                    <w14:srgbClr w14:val="000000">
                      <w14:alpha w14:val="100000"/>
                    </w14:srgbClr>
                  </w14:solidFill>
                </w14:textFill>
              </w:rPr>
              <w:t>|</w:t>
            </w:r>
            <w:r w:rsidR="009B65C7">
              <w:rPr>
                <w:vertAlign w:val="superscript"/>
              </w:rPr>
              <w:t>2</w:t>
            </w:r>
          </w:p>
        </w:tc>
        <w:tc>
          <w:tcPr>
            <w:tcW w:w="441" w:type="pct"/>
            <w:vAlign w:val="center"/>
          </w:tcPr>
          <w:p w14:paraId="028A3F2F" w14:textId="3037966F"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0860"/>
                <w14:textFill>
                  <w14:solidFill>
                    <w14:srgbClr w14:val="000000">
                      <w14:alpha w14:val="100000"/>
                    </w14:srgbClr>
                  </w14:solidFill>
                </w14:textFill>
              </w:rPr>
              <w:t>|</w:t>
            </w:r>
            <w:r w:rsidRPr="00D87EC4">
              <w:rPr>
                <w:color w:val="000000"/>
                <w:sz w:val="20"/>
                <w:szCs w:val="20"/>
                <w:shd w:val="solid" w:color="000000" w:fill="000000"/>
                <w:fitText w:val="290" w:id="-1168420860"/>
                <w14:textFill>
                  <w14:solidFill>
                    <w14:srgbClr w14:val="000000">
                      <w14:alpha w14:val="100000"/>
                    </w14:srgbClr>
                  </w14:solidFill>
                </w14:textFill>
              </w:rPr>
              <w:t>|</w:t>
            </w:r>
            <w:r w:rsidR="009B65C7">
              <w:rPr>
                <w:vertAlign w:val="superscript"/>
              </w:rPr>
              <w:t>2</w:t>
            </w:r>
          </w:p>
        </w:tc>
        <w:tc>
          <w:tcPr>
            <w:tcW w:w="441" w:type="pct"/>
            <w:vAlign w:val="center"/>
          </w:tcPr>
          <w:p w14:paraId="0CA6ACDE" w14:textId="67D61E78"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0859"/>
                <w14:textFill>
                  <w14:solidFill>
                    <w14:srgbClr w14:val="000000">
                      <w14:alpha w14:val="100000"/>
                    </w14:srgbClr>
                  </w14:solidFill>
                </w14:textFill>
              </w:rPr>
              <w:t>|</w:t>
            </w:r>
            <w:r w:rsidRPr="00D87EC4">
              <w:rPr>
                <w:color w:val="000000"/>
                <w:sz w:val="20"/>
                <w:szCs w:val="20"/>
                <w:shd w:val="solid" w:color="000000" w:fill="000000"/>
                <w:fitText w:val="290" w:id="-1168420859"/>
                <w14:textFill>
                  <w14:solidFill>
                    <w14:srgbClr w14:val="000000">
                      <w14:alpha w14:val="100000"/>
                    </w14:srgbClr>
                  </w14:solidFill>
                </w14:textFill>
              </w:rPr>
              <w:t>|</w:t>
            </w:r>
            <w:r w:rsidR="009B65C7">
              <w:rPr>
                <w:vertAlign w:val="superscript"/>
              </w:rPr>
              <w:t>3</w:t>
            </w:r>
          </w:p>
        </w:tc>
        <w:tc>
          <w:tcPr>
            <w:tcW w:w="441" w:type="pct"/>
            <w:vAlign w:val="center"/>
          </w:tcPr>
          <w:p w14:paraId="71427C5E" w14:textId="70B2D892"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0858"/>
                <w14:textFill>
                  <w14:solidFill>
                    <w14:srgbClr w14:val="000000">
                      <w14:alpha w14:val="100000"/>
                    </w14:srgbClr>
                  </w14:solidFill>
                </w14:textFill>
              </w:rPr>
              <w:t>|</w:t>
            </w:r>
            <w:r w:rsidRPr="00D87EC4">
              <w:rPr>
                <w:color w:val="000000"/>
                <w:sz w:val="20"/>
                <w:szCs w:val="20"/>
                <w:shd w:val="solid" w:color="000000" w:fill="000000"/>
                <w:fitText w:val="290" w:id="-1168420858"/>
                <w14:textFill>
                  <w14:solidFill>
                    <w14:srgbClr w14:val="000000">
                      <w14:alpha w14:val="100000"/>
                    </w14:srgbClr>
                  </w14:solidFill>
                </w14:textFill>
              </w:rPr>
              <w:t>|</w:t>
            </w:r>
            <w:r w:rsidR="009B65C7">
              <w:rPr>
                <w:vertAlign w:val="superscript"/>
              </w:rPr>
              <w:t>3</w:t>
            </w:r>
          </w:p>
        </w:tc>
        <w:tc>
          <w:tcPr>
            <w:tcW w:w="441" w:type="pct"/>
            <w:vAlign w:val="center"/>
          </w:tcPr>
          <w:p w14:paraId="1EAA0A11" w14:textId="6C67EFDD"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0857"/>
                <w14:textFill>
                  <w14:solidFill>
                    <w14:srgbClr w14:val="000000">
                      <w14:alpha w14:val="100000"/>
                    </w14:srgbClr>
                  </w14:solidFill>
                </w14:textFill>
              </w:rPr>
              <w:t>|</w:t>
            </w:r>
            <w:r w:rsidRPr="00D87EC4">
              <w:rPr>
                <w:color w:val="000000"/>
                <w:sz w:val="20"/>
                <w:szCs w:val="20"/>
                <w:shd w:val="solid" w:color="000000" w:fill="000000"/>
                <w:fitText w:val="290" w:id="-1168420857"/>
                <w14:textFill>
                  <w14:solidFill>
                    <w14:srgbClr w14:val="000000">
                      <w14:alpha w14:val="100000"/>
                    </w14:srgbClr>
                  </w14:solidFill>
                </w14:textFill>
              </w:rPr>
              <w:t>|</w:t>
            </w:r>
            <w:r w:rsidR="009B65C7">
              <w:rPr>
                <w:vertAlign w:val="superscript"/>
              </w:rPr>
              <w:t>3</w:t>
            </w:r>
          </w:p>
        </w:tc>
        <w:tc>
          <w:tcPr>
            <w:tcW w:w="440" w:type="pct"/>
            <w:vAlign w:val="center"/>
          </w:tcPr>
          <w:p w14:paraId="7C50F654" w14:textId="2B6685F3" w:rsidR="00C604B7" w:rsidRPr="009B65C7" w:rsidRDefault="00D87EC4" w:rsidP="004D03B0">
            <w:pPr>
              <w:pStyle w:val="TableText0"/>
              <w:keepLines/>
              <w:spacing w:before="0" w:after="0"/>
              <w:jc w:val="center"/>
              <w:rPr>
                <w:sz w:val="20"/>
                <w:szCs w:val="20"/>
                <w:highlight w:val="darkGray"/>
              </w:rPr>
            </w:pPr>
            <w:r w:rsidRPr="00D87EC4">
              <w:rPr>
                <w:color w:val="000000"/>
                <w:spacing w:val="204"/>
                <w:sz w:val="20"/>
                <w:szCs w:val="20"/>
                <w:shd w:val="solid" w:color="000000" w:fill="000000"/>
                <w:fitText w:val="290" w:id="-1168420856"/>
                <w14:textFill>
                  <w14:solidFill>
                    <w14:srgbClr w14:val="000000">
                      <w14:alpha w14:val="100000"/>
                    </w14:srgbClr>
                  </w14:solidFill>
                </w14:textFill>
              </w:rPr>
              <w:t>|</w:t>
            </w:r>
            <w:r w:rsidRPr="00D87EC4">
              <w:rPr>
                <w:color w:val="000000"/>
                <w:sz w:val="20"/>
                <w:szCs w:val="20"/>
                <w:shd w:val="solid" w:color="000000" w:fill="000000"/>
                <w:fitText w:val="290" w:id="-1168420856"/>
                <w14:textFill>
                  <w14:solidFill>
                    <w14:srgbClr w14:val="000000">
                      <w14:alpha w14:val="100000"/>
                    </w14:srgbClr>
                  </w14:solidFill>
                </w14:textFill>
              </w:rPr>
              <w:t>|</w:t>
            </w:r>
            <w:r w:rsidR="009B65C7">
              <w:rPr>
                <w:vertAlign w:val="superscript"/>
              </w:rPr>
              <w:t>3</w:t>
            </w:r>
          </w:p>
        </w:tc>
      </w:tr>
    </w:tbl>
    <w:p w14:paraId="7B5F67CE" w14:textId="0D3BF663" w:rsidR="00C604B7" w:rsidRPr="007E4B31" w:rsidRDefault="00C604B7" w:rsidP="004D03B0">
      <w:pPr>
        <w:pStyle w:val="FooterTableFigure"/>
        <w:keepNext/>
        <w:keepLines/>
      </w:pPr>
      <w:r w:rsidRPr="007E4B31">
        <w:t>Source: Table 4.4 and Figure 4.1, p.172; Table 4.6, p.173; Tables 4.8-11, pp.176-7</w:t>
      </w:r>
      <w:r w:rsidR="00DC60EC" w:rsidRPr="007E4B31">
        <w:t xml:space="preserve"> </w:t>
      </w:r>
      <w:r w:rsidRPr="007E4B31">
        <w:t>of the submission</w:t>
      </w:r>
    </w:p>
    <w:p w14:paraId="161E3A9B" w14:textId="7B2E9273" w:rsidR="00C604B7" w:rsidRPr="007E4B31" w:rsidRDefault="00C604B7" w:rsidP="004D03B0">
      <w:pPr>
        <w:pStyle w:val="FooterTableFigure"/>
        <w:keepNext/>
        <w:keepLines/>
      </w:pPr>
      <w:r w:rsidRPr="007E4B31">
        <w:t>PBS = Pharmaceutical Benefits Scheme; RPBS = Repatriation Pharmaceutical Benefits Scheme</w:t>
      </w:r>
    </w:p>
    <w:p w14:paraId="20BB0E06" w14:textId="3E230283" w:rsidR="00C604B7" w:rsidRDefault="00C604B7" w:rsidP="004D03B0">
      <w:pPr>
        <w:pStyle w:val="FooterTableFigure"/>
        <w:keepNext/>
        <w:keepLines/>
      </w:pPr>
      <w:proofErr w:type="gramStart"/>
      <w:r w:rsidRPr="007E4B31">
        <w:rPr>
          <w:vertAlign w:val="superscript"/>
        </w:rPr>
        <w:t xml:space="preserve">a  </w:t>
      </w:r>
      <w:r w:rsidRPr="007E4B31">
        <w:t>Distribution</w:t>
      </w:r>
      <w:proofErr w:type="gramEnd"/>
      <w:r w:rsidRPr="007E4B31">
        <w:t xml:space="preserve"> of pens was based on REAL-4 pen selection guide and internal sponsor estimates. The yearly dose for each age group was based on the mean yearly dose of 8.186 mg/kg and the average weight for each age group from CDC growth chart (&lt;5 years = 12.2 kg; 5-9 years = 24 kg; and 10-14 years = 44.5 kg). See </w:t>
      </w:r>
      <w:r w:rsidRPr="007E4B31">
        <w:fldChar w:fldCharType="begin" w:fldLock="1"/>
      </w:r>
      <w:r w:rsidRPr="007E4B31">
        <w:instrText xml:space="preserve"> REF _Ref133904169 \h </w:instrText>
      </w:r>
      <w:r w:rsidR="00370FF4" w:rsidRPr="007E4B31">
        <w:instrText xml:space="preserve"> \* MERGEFORMAT </w:instrText>
      </w:r>
      <w:r w:rsidRPr="007E4B31">
        <w:fldChar w:fldCharType="separate"/>
      </w:r>
      <w:r w:rsidR="00D3534F" w:rsidRPr="007E4B31">
        <w:t xml:space="preserve">Table </w:t>
      </w:r>
      <w:r w:rsidR="00D3534F">
        <w:t>10</w:t>
      </w:r>
      <w:r w:rsidRPr="007E4B31">
        <w:fldChar w:fldCharType="end"/>
      </w:r>
    </w:p>
    <w:p w14:paraId="407D0697" w14:textId="0F3965C2" w:rsidR="009B65C7" w:rsidRPr="009B65C7" w:rsidRDefault="009B65C7" w:rsidP="004D03B0">
      <w:pPr>
        <w:pStyle w:val="FooterTableFigure"/>
        <w:keepNext/>
        <w:keepLines/>
        <w:rPr>
          <w:i/>
          <w:iCs/>
        </w:rPr>
      </w:pPr>
      <w:r w:rsidRPr="009B65C7">
        <w:rPr>
          <w:i/>
          <w:iCs/>
        </w:rPr>
        <w:t>The redacted values correspond to the following ranges:</w:t>
      </w:r>
    </w:p>
    <w:p w14:paraId="28018CE8" w14:textId="6C13DDBB" w:rsidR="009B65C7" w:rsidRPr="009B65C7" w:rsidRDefault="009B65C7" w:rsidP="004D03B0">
      <w:pPr>
        <w:pStyle w:val="FooterTableFigure"/>
        <w:keepNext/>
        <w:keepLines/>
        <w:rPr>
          <w:i/>
          <w:iCs/>
        </w:rPr>
      </w:pPr>
      <w:r w:rsidRPr="009B65C7">
        <w:rPr>
          <w:i/>
          <w:iCs/>
          <w:vertAlign w:val="superscript"/>
        </w:rPr>
        <w:t xml:space="preserve">1 </w:t>
      </w:r>
      <w:r w:rsidRPr="009B65C7">
        <w:rPr>
          <w:i/>
          <w:iCs/>
        </w:rPr>
        <w:t>&lt; 500</w:t>
      </w:r>
    </w:p>
    <w:p w14:paraId="512E3882" w14:textId="23CCBF3E" w:rsidR="009B65C7" w:rsidRPr="009B65C7" w:rsidRDefault="009B65C7" w:rsidP="004D03B0">
      <w:pPr>
        <w:pStyle w:val="FooterTableFigure"/>
        <w:keepNext/>
        <w:keepLines/>
        <w:rPr>
          <w:i/>
          <w:iCs/>
        </w:rPr>
      </w:pPr>
      <w:r w:rsidRPr="009B65C7">
        <w:rPr>
          <w:i/>
          <w:iCs/>
          <w:vertAlign w:val="superscript"/>
        </w:rPr>
        <w:t>2</w:t>
      </w:r>
      <w:r w:rsidRPr="009B65C7">
        <w:rPr>
          <w:i/>
          <w:iCs/>
        </w:rPr>
        <w:t xml:space="preserve"> 500 to &lt; 5,000</w:t>
      </w:r>
    </w:p>
    <w:p w14:paraId="00D17D07" w14:textId="2250E9D0" w:rsidR="009B65C7" w:rsidRPr="009B65C7" w:rsidRDefault="009B65C7" w:rsidP="004D03B0">
      <w:pPr>
        <w:pStyle w:val="FooterTableFigure"/>
        <w:keepNext/>
        <w:keepLines/>
        <w:rPr>
          <w:i/>
          <w:iCs/>
        </w:rPr>
      </w:pPr>
      <w:r w:rsidRPr="009B65C7">
        <w:rPr>
          <w:i/>
          <w:iCs/>
          <w:vertAlign w:val="superscript"/>
        </w:rPr>
        <w:t>3</w:t>
      </w:r>
      <w:r w:rsidRPr="009B65C7">
        <w:rPr>
          <w:i/>
          <w:iCs/>
        </w:rPr>
        <w:t xml:space="preserve"> 5,000 to &lt; 10,000</w:t>
      </w:r>
    </w:p>
    <w:p w14:paraId="3B8C7DC1" w14:textId="77777777" w:rsidR="00DC60EC" w:rsidRPr="007E4B31" w:rsidRDefault="00DC60EC" w:rsidP="001B22F2">
      <w:pPr>
        <w:pStyle w:val="FooterTableFigure"/>
      </w:pPr>
    </w:p>
    <w:p w14:paraId="5501B69B" w14:textId="7C093340" w:rsidR="005A67A0" w:rsidRPr="007E4B31" w:rsidRDefault="005A67A0" w:rsidP="005A67A0">
      <w:pPr>
        <w:pStyle w:val="TableFigureHeading"/>
      </w:pPr>
      <w:bookmarkStart w:id="48" w:name="_Ref134187291"/>
      <w:r w:rsidRPr="007E4B31">
        <w:t xml:space="preserve">Table </w:t>
      </w:r>
      <w:r w:rsidR="00402BC2">
        <w:fldChar w:fldCharType="begin" w:fldLock="1"/>
      </w:r>
      <w:r w:rsidR="00402BC2">
        <w:instrText xml:space="preserve"> SEQ Table \* ARABIC </w:instrText>
      </w:r>
      <w:r w:rsidR="00402BC2">
        <w:fldChar w:fldCharType="separate"/>
      </w:r>
      <w:r w:rsidR="00D3534F">
        <w:rPr>
          <w:noProof/>
        </w:rPr>
        <w:t>12</w:t>
      </w:r>
      <w:r w:rsidR="00402BC2">
        <w:rPr>
          <w:noProof/>
        </w:rPr>
        <w:fldChar w:fldCharType="end"/>
      </w:r>
      <w:bookmarkEnd w:id="48"/>
      <w:r w:rsidRPr="007E4B31">
        <w:t>: Financial implications of somapacitan to the PBS/RPBS</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196"/>
        <w:gridCol w:w="1214"/>
        <w:gridCol w:w="1179"/>
        <w:gridCol w:w="1197"/>
        <w:gridCol w:w="1196"/>
        <w:gridCol w:w="1335"/>
      </w:tblGrid>
      <w:tr w:rsidR="00DC60EC" w:rsidRPr="007E4B31" w14:paraId="28509D73" w14:textId="77777777" w:rsidTr="009B65C7">
        <w:trPr>
          <w:trHeight w:val="170"/>
        </w:trPr>
        <w:tc>
          <w:tcPr>
            <w:tcW w:w="1004" w:type="pct"/>
            <w:shd w:val="clear" w:color="auto" w:fill="FFFFFF" w:themeFill="background1"/>
            <w:noWrap/>
            <w:vAlign w:val="center"/>
            <w:hideMark/>
          </w:tcPr>
          <w:p w14:paraId="552358FF" w14:textId="77777777" w:rsidR="00DC60EC" w:rsidRPr="007E4B31" w:rsidRDefault="00DC60EC" w:rsidP="00A40607">
            <w:pPr>
              <w:pStyle w:val="Tabletext"/>
            </w:pPr>
          </w:p>
        </w:tc>
        <w:tc>
          <w:tcPr>
            <w:tcW w:w="653" w:type="pct"/>
            <w:shd w:val="clear" w:color="auto" w:fill="FFFFFF" w:themeFill="background1"/>
            <w:noWrap/>
            <w:hideMark/>
          </w:tcPr>
          <w:p w14:paraId="481A2493" w14:textId="77777777" w:rsidR="00DC60EC" w:rsidRPr="007E4B31" w:rsidRDefault="00DC60EC" w:rsidP="00A40607">
            <w:pPr>
              <w:pStyle w:val="Tabletext"/>
              <w:jc w:val="center"/>
              <w:rPr>
                <w:rFonts w:eastAsia="SimSun"/>
                <w:b/>
                <w:bCs/>
              </w:rPr>
            </w:pPr>
            <w:r w:rsidRPr="007E4B31">
              <w:rPr>
                <w:rFonts w:eastAsia="SimSun"/>
                <w:b/>
                <w:bCs/>
              </w:rPr>
              <w:t>Year 1</w:t>
            </w:r>
          </w:p>
          <w:p w14:paraId="2DF9F17F" w14:textId="77777777" w:rsidR="00DC60EC" w:rsidRPr="007E4B31" w:rsidRDefault="00DC60EC" w:rsidP="00A40607">
            <w:pPr>
              <w:pStyle w:val="Tabletext"/>
              <w:jc w:val="center"/>
              <w:rPr>
                <w:rFonts w:eastAsia="SimSun"/>
                <w:b/>
                <w:bCs/>
              </w:rPr>
            </w:pPr>
            <w:r w:rsidRPr="007E4B31">
              <w:rPr>
                <w:rFonts w:eastAsia="SimSun"/>
                <w:b/>
                <w:bCs/>
              </w:rPr>
              <w:t>(2023)</w:t>
            </w:r>
          </w:p>
        </w:tc>
        <w:tc>
          <w:tcPr>
            <w:tcW w:w="663" w:type="pct"/>
            <w:shd w:val="clear" w:color="auto" w:fill="FFFFFF" w:themeFill="background1"/>
            <w:noWrap/>
            <w:hideMark/>
          </w:tcPr>
          <w:p w14:paraId="68B263A9" w14:textId="77777777" w:rsidR="00DC60EC" w:rsidRPr="007E4B31" w:rsidRDefault="00DC60EC" w:rsidP="00A40607">
            <w:pPr>
              <w:pStyle w:val="Tabletext"/>
              <w:jc w:val="center"/>
              <w:rPr>
                <w:rFonts w:eastAsia="SimSun"/>
                <w:b/>
                <w:bCs/>
              </w:rPr>
            </w:pPr>
            <w:r w:rsidRPr="007E4B31">
              <w:rPr>
                <w:rFonts w:eastAsia="SimSun"/>
                <w:b/>
                <w:bCs/>
              </w:rPr>
              <w:t>Year 2</w:t>
            </w:r>
          </w:p>
          <w:p w14:paraId="1EA63206" w14:textId="77777777" w:rsidR="00DC60EC" w:rsidRPr="007E4B31" w:rsidRDefault="00DC60EC" w:rsidP="00A40607">
            <w:pPr>
              <w:pStyle w:val="Tabletext"/>
              <w:jc w:val="center"/>
              <w:rPr>
                <w:rFonts w:eastAsia="SimSun"/>
                <w:b/>
                <w:bCs/>
              </w:rPr>
            </w:pPr>
            <w:r w:rsidRPr="007E4B31">
              <w:rPr>
                <w:rFonts w:eastAsia="SimSun"/>
                <w:b/>
                <w:bCs/>
              </w:rPr>
              <w:t>(2024)</w:t>
            </w:r>
          </w:p>
        </w:tc>
        <w:tc>
          <w:tcPr>
            <w:tcW w:w="644" w:type="pct"/>
            <w:shd w:val="clear" w:color="auto" w:fill="FFFFFF" w:themeFill="background1"/>
            <w:noWrap/>
            <w:hideMark/>
          </w:tcPr>
          <w:p w14:paraId="68D9CBAC" w14:textId="77777777" w:rsidR="00DC60EC" w:rsidRPr="007E4B31" w:rsidRDefault="00DC60EC" w:rsidP="00A40607">
            <w:pPr>
              <w:pStyle w:val="Tabletext"/>
              <w:jc w:val="center"/>
              <w:rPr>
                <w:rFonts w:eastAsia="SimSun"/>
                <w:b/>
                <w:bCs/>
              </w:rPr>
            </w:pPr>
            <w:r w:rsidRPr="007E4B31">
              <w:rPr>
                <w:rFonts w:eastAsia="SimSun"/>
                <w:b/>
                <w:bCs/>
              </w:rPr>
              <w:t>Year 3</w:t>
            </w:r>
          </w:p>
          <w:p w14:paraId="066767DE" w14:textId="77777777" w:rsidR="00DC60EC" w:rsidRPr="007E4B31" w:rsidRDefault="00DC60EC" w:rsidP="00A40607">
            <w:pPr>
              <w:pStyle w:val="Tabletext"/>
              <w:jc w:val="center"/>
              <w:rPr>
                <w:rFonts w:eastAsia="SimSun"/>
                <w:b/>
                <w:bCs/>
              </w:rPr>
            </w:pPr>
            <w:r w:rsidRPr="007E4B31">
              <w:rPr>
                <w:rFonts w:eastAsia="SimSun"/>
                <w:b/>
                <w:bCs/>
              </w:rPr>
              <w:t>(2025)</w:t>
            </w:r>
          </w:p>
        </w:tc>
        <w:tc>
          <w:tcPr>
            <w:tcW w:w="654" w:type="pct"/>
            <w:shd w:val="clear" w:color="auto" w:fill="FFFFFF" w:themeFill="background1"/>
            <w:noWrap/>
            <w:hideMark/>
          </w:tcPr>
          <w:p w14:paraId="48087615" w14:textId="77777777" w:rsidR="00DC60EC" w:rsidRPr="007E4B31" w:rsidRDefault="00DC60EC" w:rsidP="00A40607">
            <w:pPr>
              <w:pStyle w:val="Tabletext"/>
              <w:jc w:val="center"/>
              <w:rPr>
                <w:rFonts w:eastAsia="SimSun"/>
                <w:b/>
                <w:bCs/>
              </w:rPr>
            </w:pPr>
            <w:r w:rsidRPr="007E4B31">
              <w:rPr>
                <w:rFonts w:eastAsia="SimSun"/>
                <w:b/>
                <w:bCs/>
              </w:rPr>
              <w:t>Year 4</w:t>
            </w:r>
          </w:p>
          <w:p w14:paraId="07A6D395" w14:textId="77777777" w:rsidR="00DC60EC" w:rsidRPr="007E4B31" w:rsidRDefault="00DC60EC" w:rsidP="00A40607">
            <w:pPr>
              <w:pStyle w:val="Tabletext"/>
              <w:jc w:val="center"/>
              <w:rPr>
                <w:rFonts w:eastAsia="SimSun"/>
                <w:b/>
                <w:bCs/>
              </w:rPr>
            </w:pPr>
            <w:r w:rsidRPr="007E4B31">
              <w:rPr>
                <w:rFonts w:eastAsia="SimSun"/>
                <w:b/>
                <w:bCs/>
              </w:rPr>
              <w:t>(2026)</w:t>
            </w:r>
          </w:p>
        </w:tc>
        <w:tc>
          <w:tcPr>
            <w:tcW w:w="653" w:type="pct"/>
            <w:shd w:val="clear" w:color="auto" w:fill="FFFFFF" w:themeFill="background1"/>
            <w:noWrap/>
            <w:hideMark/>
          </w:tcPr>
          <w:p w14:paraId="260FA757" w14:textId="77777777" w:rsidR="00DC60EC" w:rsidRPr="007E4B31" w:rsidRDefault="00DC60EC" w:rsidP="00A40607">
            <w:pPr>
              <w:pStyle w:val="Tabletext"/>
              <w:jc w:val="center"/>
              <w:rPr>
                <w:rFonts w:eastAsia="SimSun"/>
                <w:b/>
                <w:bCs/>
              </w:rPr>
            </w:pPr>
            <w:r w:rsidRPr="007E4B31">
              <w:rPr>
                <w:rFonts w:eastAsia="SimSun"/>
                <w:b/>
                <w:bCs/>
              </w:rPr>
              <w:t>Year 5</w:t>
            </w:r>
          </w:p>
          <w:p w14:paraId="41936E86" w14:textId="77777777" w:rsidR="00DC60EC" w:rsidRPr="007E4B31" w:rsidRDefault="00DC60EC" w:rsidP="00A40607">
            <w:pPr>
              <w:pStyle w:val="Tabletext"/>
              <w:jc w:val="center"/>
              <w:rPr>
                <w:rFonts w:eastAsia="SimSun"/>
                <w:b/>
                <w:bCs/>
              </w:rPr>
            </w:pPr>
            <w:r w:rsidRPr="007E4B31">
              <w:rPr>
                <w:rFonts w:eastAsia="SimSun"/>
                <w:b/>
                <w:bCs/>
              </w:rPr>
              <w:t>(2027)</w:t>
            </w:r>
          </w:p>
        </w:tc>
        <w:tc>
          <w:tcPr>
            <w:tcW w:w="729" w:type="pct"/>
            <w:shd w:val="clear" w:color="auto" w:fill="FFFFFF" w:themeFill="background1"/>
            <w:noWrap/>
            <w:hideMark/>
          </w:tcPr>
          <w:p w14:paraId="5003F42E" w14:textId="77777777" w:rsidR="00DC60EC" w:rsidRPr="007E4B31" w:rsidRDefault="00DC60EC" w:rsidP="00A40607">
            <w:pPr>
              <w:pStyle w:val="Tabletext"/>
              <w:jc w:val="center"/>
              <w:rPr>
                <w:rFonts w:eastAsia="SimSun"/>
                <w:b/>
                <w:bCs/>
              </w:rPr>
            </w:pPr>
            <w:r w:rsidRPr="007E4B31">
              <w:rPr>
                <w:rFonts w:eastAsia="SimSun"/>
                <w:b/>
                <w:bCs/>
              </w:rPr>
              <w:t>Year 6</w:t>
            </w:r>
          </w:p>
          <w:p w14:paraId="42BB58F6" w14:textId="77777777" w:rsidR="00DC60EC" w:rsidRPr="007E4B31" w:rsidRDefault="00DC60EC" w:rsidP="00A40607">
            <w:pPr>
              <w:pStyle w:val="Tabletext"/>
              <w:jc w:val="center"/>
              <w:rPr>
                <w:rFonts w:eastAsia="SimSun"/>
                <w:b/>
                <w:bCs/>
              </w:rPr>
            </w:pPr>
            <w:r w:rsidRPr="007E4B31">
              <w:rPr>
                <w:rFonts w:eastAsia="SimSun"/>
                <w:b/>
                <w:bCs/>
              </w:rPr>
              <w:t>(2028)</w:t>
            </w:r>
          </w:p>
        </w:tc>
      </w:tr>
      <w:tr w:rsidR="00DC60EC" w:rsidRPr="007E4B31" w14:paraId="38E33667" w14:textId="77777777" w:rsidTr="009B65C7">
        <w:trPr>
          <w:trHeight w:val="170"/>
        </w:trPr>
        <w:tc>
          <w:tcPr>
            <w:tcW w:w="5000" w:type="pct"/>
            <w:gridSpan w:val="7"/>
            <w:shd w:val="clear" w:color="auto" w:fill="FFFFFF" w:themeFill="background1"/>
            <w:noWrap/>
            <w:vAlign w:val="center"/>
          </w:tcPr>
          <w:p w14:paraId="37B51494" w14:textId="77777777" w:rsidR="00DC60EC" w:rsidRPr="007E4B31" w:rsidRDefault="00DC60EC" w:rsidP="00A40607">
            <w:pPr>
              <w:pStyle w:val="Tabletext"/>
              <w:rPr>
                <w:rFonts w:eastAsia="SimSun"/>
                <w:b/>
                <w:bCs/>
              </w:rPr>
            </w:pPr>
            <w:r w:rsidRPr="007E4B31">
              <w:rPr>
                <w:rFonts w:eastAsia="SimSun"/>
                <w:b/>
                <w:bCs/>
              </w:rPr>
              <w:t>Estimated extent of use</w:t>
            </w:r>
          </w:p>
        </w:tc>
      </w:tr>
      <w:tr w:rsidR="00DC60EC" w:rsidRPr="007E4B31" w14:paraId="21A4A03B" w14:textId="77777777" w:rsidTr="009B65C7">
        <w:trPr>
          <w:trHeight w:val="170"/>
        </w:trPr>
        <w:tc>
          <w:tcPr>
            <w:tcW w:w="1004" w:type="pct"/>
            <w:shd w:val="clear" w:color="auto" w:fill="auto"/>
            <w:vAlign w:val="center"/>
          </w:tcPr>
          <w:p w14:paraId="7FAACF93" w14:textId="2D4AA1E3" w:rsidR="00DC60EC" w:rsidRPr="007E4B31" w:rsidRDefault="00DC60EC" w:rsidP="00A40607">
            <w:pPr>
              <w:pStyle w:val="Tabletext"/>
              <w:rPr>
                <w:vertAlign w:val="superscript"/>
              </w:rPr>
            </w:pPr>
            <w:r w:rsidRPr="007E4B31">
              <w:t xml:space="preserve">Number of patients treated </w:t>
            </w:r>
            <w:r w:rsidR="00F81B4B" w:rsidRPr="007E4B31">
              <w:rPr>
                <w:vertAlign w:val="superscript"/>
              </w:rPr>
              <w:t>a</w:t>
            </w:r>
          </w:p>
        </w:tc>
        <w:tc>
          <w:tcPr>
            <w:tcW w:w="653" w:type="pct"/>
            <w:shd w:val="clear" w:color="auto" w:fill="auto"/>
            <w:vAlign w:val="center"/>
          </w:tcPr>
          <w:p w14:paraId="56EA4984" w14:textId="50C903F6"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55"/>
                <w14:textFill>
                  <w14:solidFill>
                    <w14:srgbClr w14:val="000000">
                      <w14:alpha w14:val="100000"/>
                    </w14:srgbClr>
                  </w14:solidFill>
                </w14:textFill>
              </w:rPr>
              <w:t xml:space="preserve">　</w:t>
            </w:r>
            <w:r w:rsidRPr="00D87EC4">
              <w:rPr>
                <w:color w:val="000000"/>
                <w:w w:val="20"/>
                <w:shd w:val="solid" w:color="000000" w:fill="000000"/>
                <w:fitText w:val="90" w:id="-1168420855"/>
                <w14:textFill>
                  <w14:solidFill>
                    <w14:srgbClr w14:val="000000">
                      <w14:alpha w14:val="100000"/>
                    </w14:srgbClr>
                  </w14:solidFill>
                </w14:textFill>
              </w:rPr>
              <w:t>|</w:t>
            </w:r>
            <w:r w:rsidRPr="00D87EC4">
              <w:rPr>
                <w:rFonts w:hint="eastAsia"/>
                <w:color w:val="000000"/>
                <w:spacing w:val="3"/>
                <w:w w:val="20"/>
                <w:shd w:val="solid" w:color="000000" w:fill="000000"/>
                <w:fitText w:val="90" w:id="-1168420855"/>
                <w14:textFill>
                  <w14:solidFill>
                    <w14:srgbClr w14:val="000000">
                      <w14:alpha w14:val="100000"/>
                    </w14:srgbClr>
                  </w14:solidFill>
                </w14:textFill>
              </w:rPr>
              <w:t xml:space="preserve">　</w:t>
            </w:r>
            <w:r w:rsidR="009B65C7">
              <w:rPr>
                <w:vertAlign w:val="superscript"/>
              </w:rPr>
              <w:t>1</w:t>
            </w:r>
          </w:p>
        </w:tc>
        <w:tc>
          <w:tcPr>
            <w:tcW w:w="663" w:type="pct"/>
            <w:shd w:val="clear" w:color="auto" w:fill="auto"/>
            <w:vAlign w:val="center"/>
          </w:tcPr>
          <w:p w14:paraId="75132464" w14:textId="163C1EED" w:rsidR="00DC60EC" w:rsidRPr="009B65C7" w:rsidRDefault="00D87EC4" w:rsidP="00A40607">
            <w:pPr>
              <w:pStyle w:val="Tabletext"/>
              <w:jc w:val="center"/>
              <w:rPr>
                <w:highlight w:val="darkGray"/>
              </w:rPr>
            </w:pPr>
            <w:r w:rsidRPr="00D87EC4">
              <w:rPr>
                <w:rFonts w:hint="eastAsia"/>
                <w:color w:val="000000"/>
                <w:w w:val="18"/>
                <w:shd w:val="solid" w:color="000000" w:fill="000000"/>
                <w:fitText w:val="80" w:id="-1168420854"/>
                <w14:textFill>
                  <w14:solidFill>
                    <w14:srgbClr w14:val="000000">
                      <w14:alpha w14:val="100000"/>
                    </w14:srgbClr>
                  </w14:solidFill>
                </w14:textFill>
              </w:rPr>
              <w:t xml:space="preserve">　</w:t>
            </w:r>
            <w:r w:rsidRPr="00D87EC4">
              <w:rPr>
                <w:color w:val="000000"/>
                <w:w w:val="18"/>
                <w:shd w:val="solid" w:color="000000" w:fill="000000"/>
                <w:fitText w:val="80" w:id="-1168420854"/>
                <w14:textFill>
                  <w14:solidFill>
                    <w14:srgbClr w14:val="000000">
                      <w14:alpha w14:val="100000"/>
                    </w14:srgbClr>
                  </w14:solidFill>
                </w14:textFill>
              </w:rPr>
              <w:t>|</w:t>
            </w:r>
            <w:r w:rsidRPr="00D87EC4">
              <w:rPr>
                <w:rFonts w:hint="eastAsia"/>
                <w:color w:val="000000"/>
                <w:w w:val="18"/>
                <w:shd w:val="solid" w:color="000000" w:fill="000000"/>
                <w:fitText w:val="80" w:id="-1168420854"/>
                <w14:textFill>
                  <w14:solidFill>
                    <w14:srgbClr w14:val="000000">
                      <w14:alpha w14:val="100000"/>
                    </w14:srgbClr>
                  </w14:solidFill>
                </w14:textFill>
              </w:rPr>
              <w:t xml:space="preserve">　</w:t>
            </w:r>
            <w:r w:rsidR="009B65C7">
              <w:rPr>
                <w:vertAlign w:val="superscript"/>
              </w:rPr>
              <w:t>1</w:t>
            </w:r>
          </w:p>
        </w:tc>
        <w:tc>
          <w:tcPr>
            <w:tcW w:w="644" w:type="pct"/>
            <w:shd w:val="clear" w:color="auto" w:fill="auto"/>
            <w:vAlign w:val="center"/>
          </w:tcPr>
          <w:p w14:paraId="7A680F8E" w14:textId="2360E150" w:rsidR="00DC60EC" w:rsidRPr="009B65C7" w:rsidRDefault="00D87EC4" w:rsidP="00A40607">
            <w:pPr>
              <w:pStyle w:val="Tabletext"/>
              <w:jc w:val="center"/>
              <w:rPr>
                <w:highlight w:val="darkGray"/>
              </w:rPr>
            </w:pPr>
            <w:r w:rsidRPr="00D87EC4">
              <w:rPr>
                <w:rFonts w:hint="eastAsia"/>
                <w:color w:val="000000"/>
                <w:w w:val="22"/>
                <w:shd w:val="solid" w:color="000000" w:fill="000000"/>
                <w:fitText w:val="100" w:id="-1168420853"/>
                <w14:textFill>
                  <w14:solidFill>
                    <w14:srgbClr w14:val="000000">
                      <w14:alpha w14:val="100000"/>
                    </w14:srgbClr>
                  </w14:solidFill>
                </w14:textFill>
              </w:rPr>
              <w:t xml:space="preserve">　</w:t>
            </w:r>
            <w:r w:rsidRPr="00D87EC4">
              <w:rPr>
                <w:color w:val="000000"/>
                <w:w w:val="22"/>
                <w:shd w:val="solid" w:color="000000" w:fill="000000"/>
                <w:fitText w:val="100" w:id="-1168420853"/>
                <w14:textFill>
                  <w14:solidFill>
                    <w14:srgbClr w14:val="000000">
                      <w14:alpha w14:val="100000"/>
                    </w14:srgbClr>
                  </w14:solidFill>
                </w14:textFill>
              </w:rPr>
              <w:t>|</w:t>
            </w:r>
            <w:r w:rsidRPr="00D87EC4">
              <w:rPr>
                <w:rFonts w:hint="eastAsia"/>
                <w:color w:val="000000"/>
                <w:spacing w:val="3"/>
                <w:w w:val="22"/>
                <w:shd w:val="solid" w:color="000000" w:fill="000000"/>
                <w:fitText w:val="100" w:id="-1168420853"/>
                <w14:textFill>
                  <w14:solidFill>
                    <w14:srgbClr w14:val="000000">
                      <w14:alpha w14:val="100000"/>
                    </w14:srgbClr>
                  </w14:solidFill>
                </w14:textFill>
              </w:rPr>
              <w:t xml:space="preserve">　</w:t>
            </w:r>
            <w:r w:rsidR="009B65C7">
              <w:rPr>
                <w:vertAlign w:val="superscript"/>
              </w:rPr>
              <w:t>1</w:t>
            </w:r>
          </w:p>
        </w:tc>
        <w:tc>
          <w:tcPr>
            <w:tcW w:w="654" w:type="pct"/>
            <w:shd w:val="clear" w:color="auto" w:fill="auto"/>
            <w:vAlign w:val="center"/>
          </w:tcPr>
          <w:p w14:paraId="0529A4EA" w14:textId="290346BD"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52"/>
                <w14:textFill>
                  <w14:solidFill>
                    <w14:srgbClr w14:val="000000">
                      <w14:alpha w14:val="100000"/>
                    </w14:srgbClr>
                  </w14:solidFill>
                </w14:textFill>
              </w:rPr>
              <w:t xml:space="preserve">　</w:t>
            </w:r>
            <w:r w:rsidRPr="00D87EC4">
              <w:rPr>
                <w:color w:val="000000"/>
                <w:w w:val="20"/>
                <w:shd w:val="solid" w:color="000000" w:fill="000000"/>
                <w:fitText w:val="90" w:id="-1168420852"/>
                <w14:textFill>
                  <w14:solidFill>
                    <w14:srgbClr w14:val="000000">
                      <w14:alpha w14:val="100000"/>
                    </w14:srgbClr>
                  </w14:solidFill>
                </w14:textFill>
              </w:rPr>
              <w:t>|</w:t>
            </w:r>
            <w:r w:rsidRPr="00D87EC4">
              <w:rPr>
                <w:rFonts w:hint="eastAsia"/>
                <w:color w:val="000000"/>
                <w:spacing w:val="3"/>
                <w:w w:val="20"/>
                <w:shd w:val="solid" w:color="000000" w:fill="000000"/>
                <w:fitText w:val="90" w:id="-1168420852"/>
                <w14:textFill>
                  <w14:solidFill>
                    <w14:srgbClr w14:val="000000">
                      <w14:alpha w14:val="100000"/>
                    </w14:srgbClr>
                  </w14:solidFill>
                </w14:textFill>
              </w:rPr>
              <w:t xml:space="preserve">　</w:t>
            </w:r>
            <w:r w:rsidR="009B65C7">
              <w:rPr>
                <w:vertAlign w:val="superscript"/>
              </w:rPr>
              <w:t>1</w:t>
            </w:r>
          </w:p>
        </w:tc>
        <w:tc>
          <w:tcPr>
            <w:tcW w:w="653" w:type="pct"/>
            <w:shd w:val="clear" w:color="auto" w:fill="auto"/>
            <w:vAlign w:val="center"/>
          </w:tcPr>
          <w:p w14:paraId="29A84EE5" w14:textId="1F88BE79"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51"/>
                <w14:textFill>
                  <w14:solidFill>
                    <w14:srgbClr w14:val="000000">
                      <w14:alpha w14:val="100000"/>
                    </w14:srgbClr>
                  </w14:solidFill>
                </w14:textFill>
              </w:rPr>
              <w:t xml:space="preserve">　</w:t>
            </w:r>
            <w:r w:rsidRPr="00D87EC4">
              <w:rPr>
                <w:color w:val="000000"/>
                <w:w w:val="20"/>
                <w:shd w:val="solid" w:color="000000" w:fill="000000"/>
                <w:fitText w:val="90" w:id="-1168420851"/>
                <w14:textFill>
                  <w14:solidFill>
                    <w14:srgbClr w14:val="000000">
                      <w14:alpha w14:val="100000"/>
                    </w14:srgbClr>
                  </w14:solidFill>
                </w14:textFill>
              </w:rPr>
              <w:t>|</w:t>
            </w:r>
            <w:r w:rsidRPr="00D87EC4">
              <w:rPr>
                <w:rFonts w:hint="eastAsia"/>
                <w:color w:val="000000"/>
                <w:spacing w:val="3"/>
                <w:w w:val="20"/>
                <w:shd w:val="solid" w:color="000000" w:fill="000000"/>
                <w:fitText w:val="90" w:id="-1168420851"/>
                <w14:textFill>
                  <w14:solidFill>
                    <w14:srgbClr w14:val="000000">
                      <w14:alpha w14:val="100000"/>
                    </w14:srgbClr>
                  </w14:solidFill>
                </w14:textFill>
              </w:rPr>
              <w:t xml:space="preserve">　</w:t>
            </w:r>
            <w:r w:rsidR="009B65C7">
              <w:rPr>
                <w:vertAlign w:val="superscript"/>
              </w:rPr>
              <w:t>1</w:t>
            </w:r>
          </w:p>
        </w:tc>
        <w:tc>
          <w:tcPr>
            <w:tcW w:w="729" w:type="pct"/>
            <w:shd w:val="clear" w:color="auto" w:fill="auto"/>
            <w:vAlign w:val="center"/>
          </w:tcPr>
          <w:p w14:paraId="38E76F46" w14:textId="2A0A10B3" w:rsidR="00DC60EC" w:rsidRPr="009B65C7" w:rsidRDefault="00D87EC4" w:rsidP="00A40607">
            <w:pPr>
              <w:pStyle w:val="Tabletext"/>
              <w:jc w:val="center"/>
              <w:rPr>
                <w:highlight w:val="darkGray"/>
              </w:rPr>
            </w:pPr>
            <w:r w:rsidRPr="00402BC2">
              <w:rPr>
                <w:rFonts w:hint="eastAsia"/>
                <w:color w:val="000000"/>
                <w:w w:val="15"/>
                <w:shd w:val="solid" w:color="000000" w:fill="000000"/>
                <w:fitText w:val="20" w:id="-1168420850"/>
                <w14:textFill>
                  <w14:solidFill>
                    <w14:srgbClr w14:val="000000">
                      <w14:alpha w14:val="100000"/>
                    </w14:srgbClr>
                  </w14:solidFill>
                </w14:textFill>
              </w:rPr>
              <w:t xml:space="preserve">　</w:t>
            </w:r>
            <w:r w:rsidRPr="00402BC2">
              <w:rPr>
                <w:color w:val="000000"/>
                <w:w w:val="15"/>
                <w:shd w:val="solid" w:color="000000" w:fill="000000"/>
                <w:fitText w:val="20" w:id="-1168420850"/>
                <w14:textFill>
                  <w14:solidFill>
                    <w14:srgbClr w14:val="000000">
                      <w14:alpha w14:val="100000"/>
                    </w14:srgbClr>
                  </w14:solidFill>
                </w14:textFill>
              </w:rPr>
              <w:t>|</w:t>
            </w:r>
            <w:r w:rsidRPr="00402BC2">
              <w:rPr>
                <w:rFonts w:hint="eastAsia"/>
                <w:color w:val="000000"/>
                <w:spacing w:val="-46"/>
                <w:w w:val="15"/>
                <w:shd w:val="solid" w:color="000000" w:fill="000000"/>
                <w:fitText w:val="20" w:id="-1168420850"/>
                <w14:textFill>
                  <w14:solidFill>
                    <w14:srgbClr w14:val="000000">
                      <w14:alpha w14:val="100000"/>
                    </w14:srgbClr>
                  </w14:solidFill>
                </w14:textFill>
              </w:rPr>
              <w:t xml:space="preserve">　</w:t>
            </w:r>
            <w:r w:rsidR="009B65C7">
              <w:rPr>
                <w:vertAlign w:val="superscript"/>
              </w:rPr>
              <w:t>2</w:t>
            </w:r>
          </w:p>
        </w:tc>
      </w:tr>
      <w:tr w:rsidR="00DC60EC" w:rsidRPr="007E4B31" w14:paraId="632EC7D9" w14:textId="77777777" w:rsidTr="009B65C7">
        <w:trPr>
          <w:trHeight w:val="170"/>
        </w:trPr>
        <w:tc>
          <w:tcPr>
            <w:tcW w:w="1004" w:type="pct"/>
            <w:shd w:val="clear" w:color="auto" w:fill="auto"/>
            <w:vAlign w:val="center"/>
          </w:tcPr>
          <w:p w14:paraId="43A3BC11" w14:textId="0D7F3FD0" w:rsidR="00DC60EC" w:rsidRPr="007E4B31" w:rsidRDefault="00DC60EC" w:rsidP="00A40607">
            <w:pPr>
              <w:pStyle w:val="Tabletext"/>
              <w:rPr>
                <w:vertAlign w:val="superscript"/>
              </w:rPr>
            </w:pPr>
            <w:r w:rsidRPr="007E4B31">
              <w:t xml:space="preserve">Number of scripts dispensed </w:t>
            </w:r>
            <w:r w:rsidR="00F81B4B" w:rsidRPr="007E4B31">
              <w:rPr>
                <w:vertAlign w:val="superscript"/>
              </w:rPr>
              <w:t>b</w:t>
            </w:r>
          </w:p>
        </w:tc>
        <w:tc>
          <w:tcPr>
            <w:tcW w:w="653" w:type="pct"/>
            <w:shd w:val="clear" w:color="auto" w:fill="auto"/>
            <w:vAlign w:val="center"/>
          </w:tcPr>
          <w:p w14:paraId="7B72C0B3" w14:textId="39BB7CFF" w:rsidR="00DC60EC" w:rsidRPr="009B65C7" w:rsidRDefault="00D87EC4" w:rsidP="00A40607">
            <w:pPr>
              <w:pStyle w:val="Tabletext"/>
              <w:jc w:val="center"/>
              <w:rPr>
                <w:highlight w:val="darkGray"/>
              </w:rPr>
            </w:pPr>
            <w:r w:rsidRPr="00D87EC4">
              <w:rPr>
                <w:rFonts w:hint="eastAsia"/>
                <w:color w:val="000000"/>
                <w:w w:val="24"/>
                <w:shd w:val="solid" w:color="000000" w:fill="000000"/>
                <w:fitText w:val="110" w:id="-1168420849"/>
                <w14:textFill>
                  <w14:solidFill>
                    <w14:srgbClr w14:val="000000">
                      <w14:alpha w14:val="100000"/>
                    </w14:srgbClr>
                  </w14:solidFill>
                </w14:textFill>
              </w:rPr>
              <w:t xml:space="preserve">　</w:t>
            </w:r>
            <w:proofErr w:type="gramStart"/>
            <w:r w:rsidRPr="00D87EC4">
              <w:rPr>
                <w:color w:val="000000"/>
                <w:w w:val="24"/>
                <w:shd w:val="solid" w:color="000000" w:fill="000000"/>
                <w:fitText w:val="110" w:id="-1168420849"/>
                <w14:textFill>
                  <w14:solidFill>
                    <w14:srgbClr w14:val="000000">
                      <w14:alpha w14:val="100000"/>
                    </w14:srgbClr>
                  </w14:solidFill>
                </w14:textFill>
              </w:rPr>
              <w:t>|</w:t>
            </w:r>
            <w:r w:rsidRPr="00D87EC4">
              <w:rPr>
                <w:rFonts w:hint="eastAsia"/>
                <w:color w:val="000000"/>
                <w:spacing w:val="6"/>
                <w:w w:val="24"/>
                <w:shd w:val="solid" w:color="000000" w:fill="000000"/>
                <w:fitText w:val="110" w:id="-1168420849"/>
                <w14:textFill>
                  <w14:solidFill>
                    <w14:srgbClr w14:val="000000">
                      <w14:alpha w14:val="100000"/>
                    </w14:srgbClr>
                  </w14:solidFill>
                </w14:textFill>
              </w:rPr>
              <w:t xml:space="preserve">　</w:t>
            </w:r>
            <w:r w:rsidRPr="00D87EC4">
              <w:t xml:space="preserve"> </w:t>
            </w:r>
            <w:r w:rsidR="009B65C7">
              <w:rPr>
                <w:vertAlign w:val="superscript"/>
              </w:rPr>
              <w:t>2</w:t>
            </w:r>
            <w:proofErr w:type="gramEnd"/>
          </w:p>
        </w:tc>
        <w:tc>
          <w:tcPr>
            <w:tcW w:w="663" w:type="pct"/>
            <w:shd w:val="clear" w:color="auto" w:fill="auto"/>
            <w:vAlign w:val="center"/>
          </w:tcPr>
          <w:p w14:paraId="7C577BC6" w14:textId="16F8ABE1" w:rsidR="00DC60EC" w:rsidRPr="009B65C7" w:rsidRDefault="00D87EC4" w:rsidP="00A40607">
            <w:pPr>
              <w:pStyle w:val="Tabletext"/>
              <w:jc w:val="center"/>
              <w:rPr>
                <w:highlight w:val="darkGray"/>
              </w:rPr>
            </w:pPr>
            <w:r w:rsidRPr="00D87EC4">
              <w:rPr>
                <w:rFonts w:hint="eastAsia"/>
                <w:color w:val="000000"/>
                <w:w w:val="18"/>
                <w:shd w:val="solid" w:color="000000" w:fill="000000"/>
                <w:fitText w:val="80" w:id="-1168420848"/>
                <w14:textFill>
                  <w14:solidFill>
                    <w14:srgbClr w14:val="000000">
                      <w14:alpha w14:val="100000"/>
                    </w14:srgbClr>
                  </w14:solidFill>
                </w14:textFill>
              </w:rPr>
              <w:t xml:space="preserve">　</w:t>
            </w:r>
            <w:r w:rsidRPr="00D87EC4">
              <w:rPr>
                <w:color w:val="000000"/>
                <w:w w:val="18"/>
                <w:shd w:val="solid" w:color="000000" w:fill="000000"/>
                <w:fitText w:val="80" w:id="-1168420848"/>
                <w14:textFill>
                  <w14:solidFill>
                    <w14:srgbClr w14:val="000000">
                      <w14:alpha w14:val="100000"/>
                    </w14:srgbClr>
                  </w14:solidFill>
                </w14:textFill>
              </w:rPr>
              <w:t>|</w:t>
            </w:r>
            <w:r w:rsidRPr="00D87EC4">
              <w:rPr>
                <w:rFonts w:hint="eastAsia"/>
                <w:color w:val="000000"/>
                <w:w w:val="18"/>
                <w:shd w:val="solid" w:color="000000" w:fill="000000"/>
                <w:fitText w:val="80" w:id="-1168420848"/>
                <w14:textFill>
                  <w14:solidFill>
                    <w14:srgbClr w14:val="000000">
                      <w14:alpha w14:val="100000"/>
                    </w14:srgbClr>
                  </w14:solidFill>
                </w14:textFill>
              </w:rPr>
              <w:t xml:space="preserve">　</w:t>
            </w:r>
            <w:r w:rsidR="009B65C7">
              <w:rPr>
                <w:vertAlign w:val="superscript"/>
              </w:rPr>
              <w:t>3</w:t>
            </w:r>
          </w:p>
        </w:tc>
        <w:tc>
          <w:tcPr>
            <w:tcW w:w="644" w:type="pct"/>
            <w:shd w:val="clear" w:color="auto" w:fill="auto"/>
            <w:vAlign w:val="center"/>
          </w:tcPr>
          <w:p w14:paraId="433458BC" w14:textId="6FE90BBB" w:rsidR="00DC60EC" w:rsidRPr="009B65C7" w:rsidRDefault="00D87EC4" w:rsidP="00A40607">
            <w:pPr>
              <w:pStyle w:val="Tabletext"/>
              <w:jc w:val="center"/>
              <w:rPr>
                <w:highlight w:val="darkGray"/>
              </w:rPr>
            </w:pPr>
            <w:r w:rsidRPr="00D87EC4">
              <w:rPr>
                <w:rFonts w:hint="eastAsia"/>
                <w:color w:val="000000"/>
                <w:w w:val="22"/>
                <w:shd w:val="solid" w:color="000000" w:fill="000000"/>
                <w:fitText w:val="100" w:id="-1168420864"/>
                <w14:textFill>
                  <w14:solidFill>
                    <w14:srgbClr w14:val="000000">
                      <w14:alpha w14:val="100000"/>
                    </w14:srgbClr>
                  </w14:solidFill>
                </w14:textFill>
              </w:rPr>
              <w:t xml:space="preserve">　</w:t>
            </w:r>
            <w:r w:rsidRPr="00D87EC4">
              <w:rPr>
                <w:color w:val="000000"/>
                <w:w w:val="22"/>
                <w:shd w:val="solid" w:color="000000" w:fill="000000"/>
                <w:fitText w:val="100" w:id="-1168420864"/>
                <w14:textFill>
                  <w14:solidFill>
                    <w14:srgbClr w14:val="000000">
                      <w14:alpha w14:val="100000"/>
                    </w14:srgbClr>
                  </w14:solidFill>
                </w14:textFill>
              </w:rPr>
              <w:t>|</w:t>
            </w:r>
            <w:r w:rsidRPr="00D87EC4">
              <w:rPr>
                <w:rFonts w:hint="eastAsia"/>
                <w:color w:val="000000"/>
                <w:spacing w:val="3"/>
                <w:w w:val="22"/>
                <w:shd w:val="solid" w:color="000000" w:fill="000000"/>
                <w:fitText w:val="100" w:id="-1168420864"/>
                <w14:textFill>
                  <w14:solidFill>
                    <w14:srgbClr w14:val="000000">
                      <w14:alpha w14:val="100000"/>
                    </w14:srgbClr>
                  </w14:solidFill>
                </w14:textFill>
              </w:rPr>
              <w:t xml:space="preserve">　</w:t>
            </w:r>
            <w:r w:rsidR="009B65C7">
              <w:rPr>
                <w:vertAlign w:val="superscript"/>
              </w:rPr>
              <w:t>3</w:t>
            </w:r>
          </w:p>
        </w:tc>
        <w:tc>
          <w:tcPr>
            <w:tcW w:w="654" w:type="pct"/>
            <w:shd w:val="clear" w:color="auto" w:fill="auto"/>
            <w:vAlign w:val="center"/>
          </w:tcPr>
          <w:p w14:paraId="4A3CFD3D" w14:textId="74F0A901"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63"/>
                <w14:textFill>
                  <w14:solidFill>
                    <w14:srgbClr w14:val="000000">
                      <w14:alpha w14:val="100000"/>
                    </w14:srgbClr>
                  </w14:solidFill>
                </w14:textFill>
              </w:rPr>
              <w:t xml:space="preserve">　</w:t>
            </w:r>
            <w:r w:rsidRPr="00D87EC4">
              <w:rPr>
                <w:color w:val="000000"/>
                <w:w w:val="20"/>
                <w:shd w:val="solid" w:color="000000" w:fill="000000"/>
                <w:fitText w:val="90" w:id="-1168420863"/>
                <w14:textFill>
                  <w14:solidFill>
                    <w14:srgbClr w14:val="000000">
                      <w14:alpha w14:val="100000"/>
                    </w14:srgbClr>
                  </w14:solidFill>
                </w14:textFill>
              </w:rPr>
              <w:t>|</w:t>
            </w:r>
            <w:r w:rsidRPr="00D87EC4">
              <w:rPr>
                <w:rFonts w:hint="eastAsia"/>
                <w:color w:val="000000"/>
                <w:spacing w:val="3"/>
                <w:w w:val="20"/>
                <w:shd w:val="solid" w:color="000000" w:fill="000000"/>
                <w:fitText w:val="90" w:id="-1168420863"/>
                <w14:textFill>
                  <w14:solidFill>
                    <w14:srgbClr w14:val="000000">
                      <w14:alpha w14:val="100000"/>
                    </w14:srgbClr>
                  </w14:solidFill>
                </w14:textFill>
              </w:rPr>
              <w:t xml:space="preserve">　</w:t>
            </w:r>
            <w:r w:rsidR="009B65C7">
              <w:rPr>
                <w:vertAlign w:val="superscript"/>
              </w:rPr>
              <w:t>4</w:t>
            </w:r>
            <w:r w:rsidRPr="00D87EC4">
              <w:t xml:space="preserve"> </w:t>
            </w:r>
          </w:p>
        </w:tc>
        <w:tc>
          <w:tcPr>
            <w:tcW w:w="653" w:type="pct"/>
            <w:shd w:val="clear" w:color="auto" w:fill="auto"/>
            <w:vAlign w:val="center"/>
          </w:tcPr>
          <w:p w14:paraId="20CBD7F1" w14:textId="63FD55D0"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62"/>
                <w14:textFill>
                  <w14:solidFill>
                    <w14:srgbClr w14:val="000000">
                      <w14:alpha w14:val="100000"/>
                    </w14:srgbClr>
                  </w14:solidFill>
                </w14:textFill>
              </w:rPr>
              <w:t xml:space="preserve">　</w:t>
            </w:r>
            <w:r w:rsidRPr="00D87EC4">
              <w:rPr>
                <w:color w:val="000000"/>
                <w:w w:val="20"/>
                <w:shd w:val="solid" w:color="000000" w:fill="000000"/>
                <w:fitText w:val="90" w:id="-1168420862"/>
                <w14:textFill>
                  <w14:solidFill>
                    <w14:srgbClr w14:val="000000">
                      <w14:alpha w14:val="100000"/>
                    </w14:srgbClr>
                  </w14:solidFill>
                </w14:textFill>
              </w:rPr>
              <w:t>|</w:t>
            </w:r>
            <w:r w:rsidRPr="00D87EC4">
              <w:rPr>
                <w:rFonts w:hint="eastAsia"/>
                <w:color w:val="000000"/>
                <w:spacing w:val="3"/>
                <w:w w:val="20"/>
                <w:shd w:val="solid" w:color="000000" w:fill="000000"/>
                <w:fitText w:val="90" w:id="-1168420862"/>
                <w14:textFill>
                  <w14:solidFill>
                    <w14:srgbClr w14:val="000000">
                      <w14:alpha w14:val="100000"/>
                    </w14:srgbClr>
                  </w14:solidFill>
                </w14:textFill>
              </w:rPr>
              <w:t xml:space="preserve">　</w:t>
            </w:r>
            <w:r w:rsidR="009B65C7">
              <w:rPr>
                <w:vertAlign w:val="superscript"/>
              </w:rPr>
              <w:t>4</w:t>
            </w:r>
            <w:r w:rsidRPr="00D87EC4">
              <w:t xml:space="preserve"> </w:t>
            </w:r>
          </w:p>
        </w:tc>
        <w:tc>
          <w:tcPr>
            <w:tcW w:w="729" w:type="pct"/>
            <w:shd w:val="clear" w:color="auto" w:fill="auto"/>
            <w:vAlign w:val="center"/>
          </w:tcPr>
          <w:p w14:paraId="4727F6AB" w14:textId="2CF381E3" w:rsidR="00DC60EC" w:rsidRPr="009B65C7" w:rsidRDefault="00D87EC4" w:rsidP="00A40607">
            <w:pPr>
              <w:pStyle w:val="Tabletext"/>
              <w:jc w:val="center"/>
              <w:rPr>
                <w:highlight w:val="darkGray"/>
              </w:rPr>
            </w:pPr>
            <w:r w:rsidRPr="00402BC2">
              <w:rPr>
                <w:rFonts w:hint="eastAsia"/>
                <w:color w:val="000000"/>
                <w:w w:val="15"/>
                <w:shd w:val="solid" w:color="000000" w:fill="000000"/>
                <w:fitText w:val="20" w:id="-1168420861"/>
                <w14:textFill>
                  <w14:solidFill>
                    <w14:srgbClr w14:val="000000">
                      <w14:alpha w14:val="100000"/>
                    </w14:srgbClr>
                  </w14:solidFill>
                </w14:textFill>
              </w:rPr>
              <w:t xml:space="preserve">　</w:t>
            </w:r>
            <w:r w:rsidRPr="00402BC2">
              <w:rPr>
                <w:color w:val="000000"/>
                <w:w w:val="15"/>
                <w:shd w:val="solid" w:color="000000" w:fill="000000"/>
                <w:fitText w:val="20" w:id="-1168420861"/>
                <w14:textFill>
                  <w14:solidFill>
                    <w14:srgbClr w14:val="000000">
                      <w14:alpha w14:val="100000"/>
                    </w14:srgbClr>
                  </w14:solidFill>
                </w14:textFill>
              </w:rPr>
              <w:t>|</w:t>
            </w:r>
            <w:r w:rsidRPr="00402BC2">
              <w:rPr>
                <w:rFonts w:hint="eastAsia"/>
                <w:color w:val="000000"/>
                <w:spacing w:val="-46"/>
                <w:w w:val="15"/>
                <w:shd w:val="solid" w:color="000000" w:fill="000000"/>
                <w:fitText w:val="20" w:id="-1168420861"/>
                <w14:textFill>
                  <w14:solidFill>
                    <w14:srgbClr w14:val="000000">
                      <w14:alpha w14:val="100000"/>
                    </w14:srgbClr>
                  </w14:solidFill>
                </w14:textFill>
              </w:rPr>
              <w:t xml:space="preserve">　</w:t>
            </w:r>
            <w:r w:rsidR="009B65C7">
              <w:rPr>
                <w:vertAlign w:val="superscript"/>
              </w:rPr>
              <w:t>4</w:t>
            </w:r>
            <w:r w:rsidRPr="00D87EC4">
              <w:t xml:space="preserve"> </w:t>
            </w:r>
          </w:p>
        </w:tc>
      </w:tr>
      <w:tr w:rsidR="00DC60EC" w:rsidRPr="007E4B31" w14:paraId="1C73CC88" w14:textId="77777777" w:rsidTr="009B65C7">
        <w:trPr>
          <w:trHeight w:val="170"/>
        </w:trPr>
        <w:tc>
          <w:tcPr>
            <w:tcW w:w="5000" w:type="pct"/>
            <w:gridSpan w:val="7"/>
            <w:shd w:val="clear" w:color="auto" w:fill="auto"/>
            <w:vAlign w:val="center"/>
          </w:tcPr>
          <w:p w14:paraId="14B5C5D9" w14:textId="77777777" w:rsidR="00DC60EC" w:rsidRPr="007E4B31" w:rsidRDefault="00DC60EC" w:rsidP="00A40607">
            <w:pPr>
              <w:pStyle w:val="Tabletext"/>
            </w:pPr>
            <w:r w:rsidRPr="007E4B31">
              <w:rPr>
                <w:b/>
              </w:rPr>
              <w:t xml:space="preserve">Estimated financial implications of somapacitan – based on proposed DPMQ </w:t>
            </w:r>
          </w:p>
        </w:tc>
      </w:tr>
      <w:tr w:rsidR="00DC60EC" w:rsidRPr="007E4B31" w14:paraId="306977C9" w14:textId="77777777" w:rsidTr="009B65C7">
        <w:trPr>
          <w:trHeight w:val="170"/>
        </w:trPr>
        <w:tc>
          <w:tcPr>
            <w:tcW w:w="1004" w:type="pct"/>
            <w:shd w:val="clear" w:color="auto" w:fill="auto"/>
            <w:vAlign w:val="center"/>
          </w:tcPr>
          <w:p w14:paraId="217A47D0" w14:textId="77777777" w:rsidR="00DC60EC" w:rsidRPr="007E4B31" w:rsidRDefault="00DC60EC" w:rsidP="00A40607">
            <w:pPr>
              <w:pStyle w:val="Tabletext"/>
            </w:pPr>
            <w:r w:rsidRPr="007E4B31">
              <w:t>Cost to PBS/RPBS less co-payments</w:t>
            </w:r>
          </w:p>
        </w:tc>
        <w:tc>
          <w:tcPr>
            <w:tcW w:w="653" w:type="pct"/>
            <w:shd w:val="clear" w:color="auto" w:fill="auto"/>
            <w:vAlign w:val="center"/>
          </w:tcPr>
          <w:p w14:paraId="6B21B833" w14:textId="75FB2B91"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60"/>
                <w14:textFill>
                  <w14:solidFill>
                    <w14:srgbClr w14:val="000000">
                      <w14:alpha w14:val="100000"/>
                    </w14:srgbClr>
                  </w14:solidFill>
                </w14:textFill>
              </w:rPr>
              <w:t xml:space="preserve">　</w:t>
            </w:r>
            <w:r w:rsidRPr="00D87EC4">
              <w:rPr>
                <w:color w:val="000000"/>
                <w:w w:val="20"/>
                <w:shd w:val="solid" w:color="000000" w:fill="000000"/>
                <w:fitText w:val="90" w:id="-1168420860"/>
                <w14:textFill>
                  <w14:solidFill>
                    <w14:srgbClr w14:val="000000">
                      <w14:alpha w14:val="100000"/>
                    </w14:srgbClr>
                  </w14:solidFill>
                </w14:textFill>
              </w:rPr>
              <w:t>|</w:t>
            </w:r>
            <w:r w:rsidRPr="00D87EC4">
              <w:rPr>
                <w:rFonts w:hint="eastAsia"/>
                <w:color w:val="000000"/>
                <w:spacing w:val="3"/>
                <w:w w:val="20"/>
                <w:shd w:val="solid" w:color="000000" w:fill="000000"/>
                <w:fitText w:val="90" w:id="-1168420860"/>
                <w14:textFill>
                  <w14:solidFill>
                    <w14:srgbClr w14:val="000000">
                      <w14:alpha w14:val="100000"/>
                    </w14:srgbClr>
                  </w14:solidFill>
                </w14:textFill>
              </w:rPr>
              <w:t xml:space="preserve">　</w:t>
            </w:r>
            <w:r w:rsidR="009B65C7">
              <w:rPr>
                <w:vertAlign w:val="superscript"/>
              </w:rPr>
              <w:t>5</w:t>
            </w:r>
          </w:p>
        </w:tc>
        <w:tc>
          <w:tcPr>
            <w:tcW w:w="663" w:type="pct"/>
            <w:shd w:val="clear" w:color="auto" w:fill="auto"/>
            <w:vAlign w:val="center"/>
          </w:tcPr>
          <w:p w14:paraId="07A45ADE" w14:textId="29264347" w:rsidR="00DC60EC" w:rsidRPr="009B65C7" w:rsidRDefault="00D87EC4" w:rsidP="00A40607">
            <w:pPr>
              <w:pStyle w:val="Tabletext"/>
              <w:jc w:val="center"/>
              <w:rPr>
                <w:highlight w:val="darkGray"/>
              </w:rPr>
            </w:pPr>
            <w:r w:rsidRPr="00D87EC4">
              <w:rPr>
                <w:rFonts w:hint="eastAsia"/>
                <w:color w:val="000000"/>
                <w:w w:val="18"/>
                <w:shd w:val="solid" w:color="000000" w:fill="000000"/>
                <w:fitText w:val="80" w:id="-1168420859"/>
                <w14:textFill>
                  <w14:solidFill>
                    <w14:srgbClr w14:val="000000">
                      <w14:alpha w14:val="100000"/>
                    </w14:srgbClr>
                  </w14:solidFill>
                </w14:textFill>
              </w:rPr>
              <w:t xml:space="preserve">　</w:t>
            </w:r>
            <w:r w:rsidRPr="00D87EC4">
              <w:rPr>
                <w:color w:val="000000"/>
                <w:w w:val="18"/>
                <w:shd w:val="solid" w:color="000000" w:fill="000000"/>
                <w:fitText w:val="80" w:id="-1168420859"/>
                <w14:textFill>
                  <w14:solidFill>
                    <w14:srgbClr w14:val="000000">
                      <w14:alpha w14:val="100000"/>
                    </w14:srgbClr>
                  </w14:solidFill>
                </w14:textFill>
              </w:rPr>
              <w:t>|</w:t>
            </w:r>
            <w:r w:rsidRPr="00D87EC4">
              <w:rPr>
                <w:rFonts w:hint="eastAsia"/>
                <w:color w:val="000000"/>
                <w:w w:val="18"/>
                <w:shd w:val="solid" w:color="000000" w:fill="000000"/>
                <w:fitText w:val="80" w:id="-1168420859"/>
                <w14:textFill>
                  <w14:solidFill>
                    <w14:srgbClr w14:val="000000">
                      <w14:alpha w14:val="100000"/>
                    </w14:srgbClr>
                  </w14:solidFill>
                </w14:textFill>
              </w:rPr>
              <w:t xml:space="preserve">　</w:t>
            </w:r>
            <w:r w:rsidR="009B65C7">
              <w:rPr>
                <w:vertAlign w:val="superscript"/>
              </w:rPr>
              <w:t>5</w:t>
            </w:r>
          </w:p>
        </w:tc>
        <w:tc>
          <w:tcPr>
            <w:tcW w:w="644" w:type="pct"/>
            <w:shd w:val="clear" w:color="auto" w:fill="auto"/>
            <w:vAlign w:val="center"/>
          </w:tcPr>
          <w:p w14:paraId="473E9E23" w14:textId="77D3B442" w:rsidR="00DC60EC" w:rsidRPr="009B65C7" w:rsidRDefault="00D87EC4" w:rsidP="00A40607">
            <w:pPr>
              <w:pStyle w:val="Tabletext"/>
              <w:jc w:val="center"/>
              <w:rPr>
                <w:highlight w:val="darkGray"/>
              </w:rPr>
            </w:pPr>
            <w:r w:rsidRPr="00D87EC4">
              <w:rPr>
                <w:rFonts w:hint="eastAsia"/>
                <w:color w:val="000000"/>
                <w:w w:val="22"/>
                <w:shd w:val="solid" w:color="000000" w:fill="000000"/>
                <w:fitText w:val="100" w:id="-1168420858"/>
                <w14:textFill>
                  <w14:solidFill>
                    <w14:srgbClr w14:val="000000">
                      <w14:alpha w14:val="100000"/>
                    </w14:srgbClr>
                  </w14:solidFill>
                </w14:textFill>
              </w:rPr>
              <w:t xml:space="preserve">　</w:t>
            </w:r>
            <w:r w:rsidRPr="00D87EC4">
              <w:rPr>
                <w:color w:val="000000"/>
                <w:w w:val="22"/>
                <w:shd w:val="solid" w:color="000000" w:fill="000000"/>
                <w:fitText w:val="100" w:id="-1168420858"/>
                <w14:textFill>
                  <w14:solidFill>
                    <w14:srgbClr w14:val="000000">
                      <w14:alpha w14:val="100000"/>
                    </w14:srgbClr>
                  </w14:solidFill>
                </w14:textFill>
              </w:rPr>
              <w:t>|</w:t>
            </w:r>
            <w:r w:rsidRPr="00D87EC4">
              <w:rPr>
                <w:rFonts w:hint="eastAsia"/>
                <w:color w:val="000000"/>
                <w:spacing w:val="3"/>
                <w:w w:val="22"/>
                <w:shd w:val="solid" w:color="000000" w:fill="000000"/>
                <w:fitText w:val="100" w:id="-1168420858"/>
                <w14:textFill>
                  <w14:solidFill>
                    <w14:srgbClr w14:val="000000">
                      <w14:alpha w14:val="100000"/>
                    </w14:srgbClr>
                  </w14:solidFill>
                </w14:textFill>
              </w:rPr>
              <w:t xml:space="preserve">　</w:t>
            </w:r>
            <w:r w:rsidR="009B65C7">
              <w:rPr>
                <w:vertAlign w:val="superscript"/>
              </w:rPr>
              <w:t>5</w:t>
            </w:r>
          </w:p>
        </w:tc>
        <w:tc>
          <w:tcPr>
            <w:tcW w:w="654" w:type="pct"/>
            <w:shd w:val="clear" w:color="auto" w:fill="auto"/>
            <w:vAlign w:val="center"/>
          </w:tcPr>
          <w:p w14:paraId="484573FD" w14:textId="0D4943F3"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57"/>
                <w14:textFill>
                  <w14:solidFill>
                    <w14:srgbClr w14:val="000000">
                      <w14:alpha w14:val="100000"/>
                    </w14:srgbClr>
                  </w14:solidFill>
                </w14:textFill>
              </w:rPr>
              <w:t xml:space="preserve">　</w:t>
            </w:r>
            <w:r w:rsidRPr="00D87EC4">
              <w:rPr>
                <w:color w:val="000000"/>
                <w:w w:val="20"/>
                <w:shd w:val="solid" w:color="000000" w:fill="000000"/>
                <w:fitText w:val="90" w:id="-1168420857"/>
                <w14:textFill>
                  <w14:solidFill>
                    <w14:srgbClr w14:val="000000">
                      <w14:alpha w14:val="100000"/>
                    </w14:srgbClr>
                  </w14:solidFill>
                </w14:textFill>
              </w:rPr>
              <w:t>|</w:t>
            </w:r>
            <w:r w:rsidRPr="00D87EC4">
              <w:rPr>
                <w:rFonts w:hint="eastAsia"/>
                <w:color w:val="000000"/>
                <w:spacing w:val="3"/>
                <w:w w:val="20"/>
                <w:shd w:val="solid" w:color="000000" w:fill="000000"/>
                <w:fitText w:val="90" w:id="-1168420857"/>
                <w14:textFill>
                  <w14:solidFill>
                    <w14:srgbClr w14:val="000000">
                      <w14:alpha w14:val="100000"/>
                    </w14:srgbClr>
                  </w14:solidFill>
                </w14:textFill>
              </w:rPr>
              <w:t xml:space="preserve">　</w:t>
            </w:r>
            <w:r w:rsidR="009B65C7">
              <w:rPr>
                <w:vertAlign w:val="superscript"/>
              </w:rPr>
              <w:t>5</w:t>
            </w:r>
          </w:p>
        </w:tc>
        <w:tc>
          <w:tcPr>
            <w:tcW w:w="653" w:type="pct"/>
            <w:shd w:val="clear" w:color="auto" w:fill="auto"/>
            <w:vAlign w:val="center"/>
          </w:tcPr>
          <w:p w14:paraId="2B7F917F" w14:textId="2BE85AB3"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56"/>
                <w14:textFill>
                  <w14:solidFill>
                    <w14:srgbClr w14:val="000000">
                      <w14:alpha w14:val="100000"/>
                    </w14:srgbClr>
                  </w14:solidFill>
                </w14:textFill>
              </w:rPr>
              <w:t xml:space="preserve">　</w:t>
            </w:r>
            <w:r w:rsidRPr="00D87EC4">
              <w:rPr>
                <w:color w:val="000000"/>
                <w:w w:val="20"/>
                <w:shd w:val="solid" w:color="000000" w:fill="000000"/>
                <w:fitText w:val="90" w:id="-1168420856"/>
                <w14:textFill>
                  <w14:solidFill>
                    <w14:srgbClr w14:val="000000">
                      <w14:alpha w14:val="100000"/>
                    </w14:srgbClr>
                  </w14:solidFill>
                </w14:textFill>
              </w:rPr>
              <w:t>|</w:t>
            </w:r>
            <w:r w:rsidRPr="00D87EC4">
              <w:rPr>
                <w:rFonts w:hint="eastAsia"/>
                <w:color w:val="000000"/>
                <w:spacing w:val="3"/>
                <w:w w:val="20"/>
                <w:shd w:val="solid" w:color="000000" w:fill="000000"/>
                <w:fitText w:val="90" w:id="-1168420856"/>
                <w14:textFill>
                  <w14:solidFill>
                    <w14:srgbClr w14:val="000000">
                      <w14:alpha w14:val="100000"/>
                    </w14:srgbClr>
                  </w14:solidFill>
                </w14:textFill>
              </w:rPr>
              <w:t xml:space="preserve">　</w:t>
            </w:r>
            <w:r w:rsidR="009B65C7">
              <w:rPr>
                <w:vertAlign w:val="superscript"/>
              </w:rPr>
              <w:t>5</w:t>
            </w:r>
          </w:p>
        </w:tc>
        <w:tc>
          <w:tcPr>
            <w:tcW w:w="729" w:type="pct"/>
            <w:shd w:val="clear" w:color="auto" w:fill="auto"/>
            <w:vAlign w:val="center"/>
          </w:tcPr>
          <w:p w14:paraId="57FD6DC8" w14:textId="5FF2D5C3" w:rsidR="00DC60EC" w:rsidRPr="009B65C7" w:rsidRDefault="00D87EC4" w:rsidP="00A40607">
            <w:pPr>
              <w:pStyle w:val="Tabletext"/>
              <w:jc w:val="center"/>
              <w:rPr>
                <w:highlight w:val="darkGray"/>
              </w:rPr>
            </w:pPr>
            <w:r w:rsidRPr="00402BC2">
              <w:rPr>
                <w:rFonts w:hint="eastAsia"/>
                <w:color w:val="000000"/>
                <w:w w:val="15"/>
                <w:shd w:val="solid" w:color="000000" w:fill="000000"/>
                <w:fitText w:val="20" w:id="-1168420855"/>
                <w14:textFill>
                  <w14:solidFill>
                    <w14:srgbClr w14:val="000000">
                      <w14:alpha w14:val="100000"/>
                    </w14:srgbClr>
                  </w14:solidFill>
                </w14:textFill>
              </w:rPr>
              <w:t xml:space="preserve">　</w:t>
            </w:r>
            <w:r w:rsidRPr="00402BC2">
              <w:rPr>
                <w:color w:val="000000"/>
                <w:w w:val="15"/>
                <w:shd w:val="solid" w:color="000000" w:fill="000000"/>
                <w:fitText w:val="20" w:id="-1168420855"/>
                <w14:textFill>
                  <w14:solidFill>
                    <w14:srgbClr w14:val="000000">
                      <w14:alpha w14:val="100000"/>
                    </w14:srgbClr>
                  </w14:solidFill>
                </w14:textFill>
              </w:rPr>
              <w:t>|</w:t>
            </w:r>
            <w:r w:rsidRPr="00402BC2">
              <w:rPr>
                <w:rFonts w:hint="eastAsia"/>
                <w:color w:val="000000"/>
                <w:spacing w:val="-46"/>
                <w:w w:val="15"/>
                <w:shd w:val="solid" w:color="000000" w:fill="000000"/>
                <w:fitText w:val="20" w:id="-1168420855"/>
                <w14:textFill>
                  <w14:solidFill>
                    <w14:srgbClr w14:val="000000">
                      <w14:alpha w14:val="100000"/>
                    </w14:srgbClr>
                  </w14:solidFill>
                </w14:textFill>
              </w:rPr>
              <w:t xml:space="preserve">　</w:t>
            </w:r>
            <w:r w:rsidR="009B65C7">
              <w:rPr>
                <w:vertAlign w:val="superscript"/>
              </w:rPr>
              <w:t>6</w:t>
            </w:r>
          </w:p>
        </w:tc>
      </w:tr>
      <w:tr w:rsidR="00DC60EC" w:rsidRPr="007E4B31" w14:paraId="00D38CA9" w14:textId="77777777" w:rsidTr="009B65C7">
        <w:trPr>
          <w:trHeight w:val="170"/>
        </w:trPr>
        <w:tc>
          <w:tcPr>
            <w:tcW w:w="5000" w:type="pct"/>
            <w:gridSpan w:val="7"/>
            <w:shd w:val="clear" w:color="auto" w:fill="auto"/>
            <w:vAlign w:val="center"/>
          </w:tcPr>
          <w:p w14:paraId="59252399" w14:textId="6AB884FD" w:rsidR="00DC60EC" w:rsidRPr="007E4B31" w:rsidRDefault="00DC60EC" w:rsidP="00A40607">
            <w:pPr>
              <w:pStyle w:val="Tabletext"/>
              <w:rPr>
                <w:vertAlign w:val="superscript"/>
              </w:rPr>
            </w:pPr>
            <w:r w:rsidRPr="007E4B31">
              <w:rPr>
                <w:b/>
              </w:rPr>
              <w:t xml:space="preserve">Estimated financial implications of somatrogon – based on published DPMQ </w:t>
            </w:r>
            <w:r w:rsidR="00F81B4B" w:rsidRPr="007E4B31">
              <w:rPr>
                <w:b/>
                <w:vertAlign w:val="superscript"/>
              </w:rPr>
              <w:t>c</w:t>
            </w:r>
          </w:p>
        </w:tc>
      </w:tr>
      <w:tr w:rsidR="00DC60EC" w:rsidRPr="007E4B31" w14:paraId="359E3A62" w14:textId="77777777" w:rsidTr="009B65C7">
        <w:trPr>
          <w:trHeight w:val="170"/>
        </w:trPr>
        <w:tc>
          <w:tcPr>
            <w:tcW w:w="1004" w:type="pct"/>
            <w:shd w:val="clear" w:color="auto" w:fill="auto"/>
            <w:vAlign w:val="center"/>
            <w:hideMark/>
          </w:tcPr>
          <w:p w14:paraId="4EC7EE55" w14:textId="77777777" w:rsidR="00DC60EC" w:rsidRPr="007E4B31" w:rsidRDefault="00DC60EC" w:rsidP="00A40607">
            <w:pPr>
              <w:pStyle w:val="Tabletext"/>
            </w:pPr>
            <w:r w:rsidRPr="007E4B31">
              <w:t>Cost to PBS/RPBS less co-payments</w:t>
            </w:r>
          </w:p>
        </w:tc>
        <w:tc>
          <w:tcPr>
            <w:tcW w:w="653" w:type="pct"/>
            <w:shd w:val="clear" w:color="auto" w:fill="auto"/>
            <w:vAlign w:val="center"/>
          </w:tcPr>
          <w:p w14:paraId="670F22E5" w14:textId="3EFC920A"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54"/>
                <w14:textFill>
                  <w14:solidFill>
                    <w14:srgbClr w14:val="000000">
                      <w14:alpha w14:val="100000"/>
                    </w14:srgbClr>
                  </w14:solidFill>
                </w14:textFill>
              </w:rPr>
              <w:t xml:space="preserve">　</w:t>
            </w:r>
            <w:r w:rsidRPr="00D87EC4">
              <w:rPr>
                <w:color w:val="000000"/>
                <w:w w:val="20"/>
                <w:shd w:val="solid" w:color="000000" w:fill="000000"/>
                <w:fitText w:val="90" w:id="-1168420854"/>
                <w14:textFill>
                  <w14:solidFill>
                    <w14:srgbClr w14:val="000000">
                      <w14:alpha w14:val="100000"/>
                    </w14:srgbClr>
                  </w14:solidFill>
                </w14:textFill>
              </w:rPr>
              <w:t>|</w:t>
            </w:r>
            <w:r w:rsidRPr="00D87EC4">
              <w:rPr>
                <w:rFonts w:hint="eastAsia"/>
                <w:color w:val="000000"/>
                <w:spacing w:val="3"/>
                <w:w w:val="20"/>
                <w:shd w:val="solid" w:color="000000" w:fill="000000"/>
                <w:fitText w:val="90" w:id="-1168420854"/>
                <w14:textFill>
                  <w14:solidFill>
                    <w14:srgbClr w14:val="000000">
                      <w14:alpha w14:val="100000"/>
                    </w14:srgbClr>
                  </w14:solidFill>
                </w14:textFill>
              </w:rPr>
              <w:t xml:space="preserve">　</w:t>
            </w:r>
            <w:r w:rsidR="009B65C7">
              <w:rPr>
                <w:vertAlign w:val="superscript"/>
              </w:rPr>
              <w:t>7</w:t>
            </w:r>
          </w:p>
        </w:tc>
        <w:tc>
          <w:tcPr>
            <w:tcW w:w="663" w:type="pct"/>
            <w:shd w:val="clear" w:color="auto" w:fill="auto"/>
            <w:vAlign w:val="center"/>
          </w:tcPr>
          <w:p w14:paraId="4ABAA5B3" w14:textId="06A8A420" w:rsidR="00DC60EC" w:rsidRPr="009B65C7" w:rsidRDefault="00D87EC4" w:rsidP="00A40607">
            <w:pPr>
              <w:pStyle w:val="Tabletext"/>
              <w:jc w:val="center"/>
              <w:rPr>
                <w:highlight w:val="darkGray"/>
              </w:rPr>
            </w:pPr>
            <w:r w:rsidRPr="00D87EC4">
              <w:rPr>
                <w:rFonts w:hint="eastAsia"/>
                <w:color w:val="000000"/>
                <w:w w:val="18"/>
                <w:shd w:val="solid" w:color="000000" w:fill="000000"/>
                <w:fitText w:val="80" w:id="-1168420853"/>
                <w14:textFill>
                  <w14:solidFill>
                    <w14:srgbClr w14:val="000000">
                      <w14:alpha w14:val="100000"/>
                    </w14:srgbClr>
                  </w14:solidFill>
                </w14:textFill>
              </w:rPr>
              <w:t xml:space="preserve">　</w:t>
            </w:r>
            <w:r w:rsidRPr="00D87EC4">
              <w:rPr>
                <w:color w:val="000000"/>
                <w:w w:val="18"/>
                <w:shd w:val="solid" w:color="000000" w:fill="000000"/>
                <w:fitText w:val="80" w:id="-1168420853"/>
                <w14:textFill>
                  <w14:solidFill>
                    <w14:srgbClr w14:val="000000">
                      <w14:alpha w14:val="100000"/>
                    </w14:srgbClr>
                  </w14:solidFill>
                </w14:textFill>
              </w:rPr>
              <w:t>|</w:t>
            </w:r>
            <w:r w:rsidRPr="00D87EC4">
              <w:rPr>
                <w:rFonts w:hint="eastAsia"/>
                <w:color w:val="000000"/>
                <w:w w:val="18"/>
                <w:shd w:val="solid" w:color="000000" w:fill="000000"/>
                <w:fitText w:val="80" w:id="-1168420853"/>
                <w14:textFill>
                  <w14:solidFill>
                    <w14:srgbClr w14:val="000000">
                      <w14:alpha w14:val="100000"/>
                    </w14:srgbClr>
                  </w14:solidFill>
                </w14:textFill>
              </w:rPr>
              <w:t xml:space="preserve">　</w:t>
            </w:r>
            <w:r w:rsidR="009B65C7">
              <w:rPr>
                <w:vertAlign w:val="superscript"/>
              </w:rPr>
              <w:t>7</w:t>
            </w:r>
          </w:p>
        </w:tc>
        <w:tc>
          <w:tcPr>
            <w:tcW w:w="644" w:type="pct"/>
            <w:shd w:val="clear" w:color="auto" w:fill="auto"/>
            <w:vAlign w:val="center"/>
          </w:tcPr>
          <w:p w14:paraId="75739D30" w14:textId="79F29AB0" w:rsidR="00DC60EC" w:rsidRPr="009B65C7" w:rsidRDefault="00D87EC4" w:rsidP="00A40607">
            <w:pPr>
              <w:pStyle w:val="Tabletext"/>
              <w:jc w:val="center"/>
              <w:rPr>
                <w:highlight w:val="darkGray"/>
              </w:rPr>
            </w:pPr>
            <w:r w:rsidRPr="00D87EC4">
              <w:rPr>
                <w:rFonts w:hint="eastAsia"/>
                <w:color w:val="000000"/>
                <w:w w:val="22"/>
                <w:shd w:val="solid" w:color="000000" w:fill="000000"/>
                <w:fitText w:val="100" w:id="-1168420852"/>
                <w14:textFill>
                  <w14:solidFill>
                    <w14:srgbClr w14:val="000000">
                      <w14:alpha w14:val="100000"/>
                    </w14:srgbClr>
                  </w14:solidFill>
                </w14:textFill>
              </w:rPr>
              <w:t xml:space="preserve">　</w:t>
            </w:r>
            <w:r w:rsidRPr="00D87EC4">
              <w:rPr>
                <w:color w:val="000000"/>
                <w:w w:val="22"/>
                <w:shd w:val="solid" w:color="000000" w:fill="000000"/>
                <w:fitText w:val="100" w:id="-1168420852"/>
                <w14:textFill>
                  <w14:solidFill>
                    <w14:srgbClr w14:val="000000">
                      <w14:alpha w14:val="100000"/>
                    </w14:srgbClr>
                  </w14:solidFill>
                </w14:textFill>
              </w:rPr>
              <w:t>|</w:t>
            </w:r>
            <w:r w:rsidRPr="00D87EC4">
              <w:rPr>
                <w:rFonts w:hint="eastAsia"/>
                <w:color w:val="000000"/>
                <w:spacing w:val="3"/>
                <w:w w:val="22"/>
                <w:shd w:val="solid" w:color="000000" w:fill="000000"/>
                <w:fitText w:val="100" w:id="-1168420852"/>
                <w14:textFill>
                  <w14:solidFill>
                    <w14:srgbClr w14:val="000000">
                      <w14:alpha w14:val="100000"/>
                    </w14:srgbClr>
                  </w14:solidFill>
                </w14:textFill>
              </w:rPr>
              <w:t xml:space="preserve">　</w:t>
            </w:r>
            <w:r w:rsidR="009B65C7">
              <w:rPr>
                <w:vertAlign w:val="superscript"/>
              </w:rPr>
              <w:t>7</w:t>
            </w:r>
          </w:p>
        </w:tc>
        <w:tc>
          <w:tcPr>
            <w:tcW w:w="654" w:type="pct"/>
            <w:shd w:val="clear" w:color="auto" w:fill="auto"/>
            <w:vAlign w:val="center"/>
          </w:tcPr>
          <w:p w14:paraId="6F62407B" w14:textId="1A7A95B9"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51"/>
                <w14:textFill>
                  <w14:solidFill>
                    <w14:srgbClr w14:val="000000">
                      <w14:alpha w14:val="100000"/>
                    </w14:srgbClr>
                  </w14:solidFill>
                </w14:textFill>
              </w:rPr>
              <w:t xml:space="preserve">　</w:t>
            </w:r>
            <w:r w:rsidRPr="00D87EC4">
              <w:rPr>
                <w:color w:val="000000"/>
                <w:w w:val="20"/>
                <w:shd w:val="solid" w:color="000000" w:fill="000000"/>
                <w:fitText w:val="90" w:id="-1168420851"/>
                <w14:textFill>
                  <w14:solidFill>
                    <w14:srgbClr w14:val="000000">
                      <w14:alpha w14:val="100000"/>
                    </w14:srgbClr>
                  </w14:solidFill>
                </w14:textFill>
              </w:rPr>
              <w:t>|</w:t>
            </w:r>
            <w:r w:rsidRPr="00D87EC4">
              <w:rPr>
                <w:rFonts w:hint="eastAsia"/>
                <w:color w:val="000000"/>
                <w:spacing w:val="3"/>
                <w:w w:val="20"/>
                <w:shd w:val="solid" w:color="000000" w:fill="000000"/>
                <w:fitText w:val="90" w:id="-1168420851"/>
                <w14:textFill>
                  <w14:solidFill>
                    <w14:srgbClr w14:val="000000">
                      <w14:alpha w14:val="100000"/>
                    </w14:srgbClr>
                  </w14:solidFill>
                </w14:textFill>
              </w:rPr>
              <w:t xml:space="preserve">　</w:t>
            </w:r>
            <w:r w:rsidR="009B65C7">
              <w:rPr>
                <w:vertAlign w:val="superscript"/>
              </w:rPr>
              <w:t>7</w:t>
            </w:r>
          </w:p>
        </w:tc>
        <w:tc>
          <w:tcPr>
            <w:tcW w:w="653" w:type="pct"/>
            <w:shd w:val="clear" w:color="auto" w:fill="auto"/>
            <w:vAlign w:val="center"/>
          </w:tcPr>
          <w:p w14:paraId="2750AD3D" w14:textId="5648D2AB"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50"/>
                <w14:textFill>
                  <w14:solidFill>
                    <w14:srgbClr w14:val="000000">
                      <w14:alpha w14:val="100000"/>
                    </w14:srgbClr>
                  </w14:solidFill>
                </w14:textFill>
              </w:rPr>
              <w:t xml:space="preserve">　</w:t>
            </w:r>
            <w:r w:rsidRPr="00D87EC4">
              <w:rPr>
                <w:color w:val="000000"/>
                <w:w w:val="20"/>
                <w:shd w:val="solid" w:color="000000" w:fill="000000"/>
                <w:fitText w:val="90" w:id="-1168420850"/>
                <w14:textFill>
                  <w14:solidFill>
                    <w14:srgbClr w14:val="000000">
                      <w14:alpha w14:val="100000"/>
                    </w14:srgbClr>
                  </w14:solidFill>
                </w14:textFill>
              </w:rPr>
              <w:t>|</w:t>
            </w:r>
            <w:r w:rsidRPr="00D87EC4">
              <w:rPr>
                <w:rFonts w:hint="eastAsia"/>
                <w:color w:val="000000"/>
                <w:spacing w:val="3"/>
                <w:w w:val="20"/>
                <w:shd w:val="solid" w:color="000000" w:fill="000000"/>
                <w:fitText w:val="90" w:id="-1168420850"/>
                <w14:textFill>
                  <w14:solidFill>
                    <w14:srgbClr w14:val="000000">
                      <w14:alpha w14:val="100000"/>
                    </w14:srgbClr>
                  </w14:solidFill>
                </w14:textFill>
              </w:rPr>
              <w:t xml:space="preserve">　</w:t>
            </w:r>
            <w:r w:rsidR="009B65C7">
              <w:rPr>
                <w:vertAlign w:val="superscript"/>
              </w:rPr>
              <w:t>7</w:t>
            </w:r>
          </w:p>
        </w:tc>
        <w:tc>
          <w:tcPr>
            <w:tcW w:w="729" w:type="pct"/>
            <w:shd w:val="clear" w:color="auto" w:fill="auto"/>
            <w:vAlign w:val="center"/>
          </w:tcPr>
          <w:p w14:paraId="5D12CF0E" w14:textId="2E548336" w:rsidR="00DC60EC" w:rsidRPr="009B65C7" w:rsidRDefault="00D87EC4" w:rsidP="00A40607">
            <w:pPr>
              <w:pStyle w:val="Tabletext"/>
              <w:jc w:val="center"/>
              <w:rPr>
                <w:highlight w:val="darkGray"/>
              </w:rPr>
            </w:pPr>
            <w:r w:rsidRPr="00402BC2">
              <w:rPr>
                <w:rFonts w:hint="eastAsia"/>
                <w:color w:val="000000"/>
                <w:w w:val="15"/>
                <w:shd w:val="solid" w:color="000000" w:fill="000000"/>
                <w:fitText w:val="20" w:id="-1168420849"/>
                <w14:textFill>
                  <w14:solidFill>
                    <w14:srgbClr w14:val="000000">
                      <w14:alpha w14:val="100000"/>
                    </w14:srgbClr>
                  </w14:solidFill>
                </w14:textFill>
              </w:rPr>
              <w:t xml:space="preserve">　</w:t>
            </w:r>
            <w:r w:rsidRPr="00402BC2">
              <w:rPr>
                <w:color w:val="000000"/>
                <w:w w:val="15"/>
                <w:shd w:val="solid" w:color="000000" w:fill="000000"/>
                <w:fitText w:val="20" w:id="-1168420849"/>
                <w14:textFill>
                  <w14:solidFill>
                    <w14:srgbClr w14:val="000000">
                      <w14:alpha w14:val="100000"/>
                    </w14:srgbClr>
                  </w14:solidFill>
                </w14:textFill>
              </w:rPr>
              <w:t>|</w:t>
            </w:r>
            <w:r w:rsidRPr="00402BC2">
              <w:rPr>
                <w:rFonts w:hint="eastAsia"/>
                <w:color w:val="000000"/>
                <w:spacing w:val="-46"/>
                <w:w w:val="15"/>
                <w:shd w:val="solid" w:color="000000" w:fill="000000"/>
                <w:fitText w:val="20" w:id="-1168420849"/>
                <w14:textFill>
                  <w14:solidFill>
                    <w14:srgbClr w14:val="000000">
                      <w14:alpha w14:val="100000"/>
                    </w14:srgbClr>
                  </w14:solidFill>
                </w14:textFill>
              </w:rPr>
              <w:t xml:space="preserve">　</w:t>
            </w:r>
            <w:r w:rsidR="009B65C7">
              <w:rPr>
                <w:vertAlign w:val="superscript"/>
              </w:rPr>
              <w:t>7</w:t>
            </w:r>
          </w:p>
        </w:tc>
      </w:tr>
      <w:tr w:rsidR="00DC60EC" w:rsidRPr="007E4B31" w14:paraId="36EA391C" w14:textId="77777777" w:rsidTr="009B65C7">
        <w:trPr>
          <w:trHeight w:val="170"/>
        </w:trPr>
        <w:tc>
          <w:tcPr>
            <w:tcW w:w="5000" w:type="pct"/>
            <w:gridSpan w:val="7"/>
            <w:shd w:val="clear" w:color="auto" w:fill="auto"/>
          </w:tcPr>
          <w:p w14:paraId="12328377" w14:textId="77777777" w:rsidR="00DC60EC" w:rsidRPr="007E4B31" w:rsidRDefault="00DC60EC" w:rsidP="00A40607">
            <w:pPr>
              <w:pStyle w:val="Tabletext"/>
              <w:rPr>
                <w:b/>
                <w:bCs/>
              </w:rPr>
            </w:pPr>
            <w:r w:rsidRPr="007E4B31">
              <w:rPr>
                <w:b/>
                <w:bCs/>
              </w:rPr>
              <w:t>Net financial implications of somapacitan replacing somatrogon</w:t>
            </w:r>
          </w:p>
        </w:tc>
      </w:tr>
      <w:tr w:rsidR="00DC60EC" w:rsidRPr="007E4B31" w14:paraId="35FABACC" w14:textId="77777777" w:rsidTr="009B65C7">
        <w:trPr>
          <w:trHeight w:val="170"/>
        </w:trPr>
        <w:tc>
          <w:tcPr>
            <w:tcW w:w="1004" w:type="pct"/>
            <w:shd w:val="clear" w:color="auto" w:fill="auto"/>
          </w:tcPr>
          <w:p w14:paraId="529DA895" w14:textId="77777777" w:rsidR="00DC60EC" w:rsidRPr="007E4B31" w:rsidRDefault="00DC60EC" w:rsidP="00A40607">
            <w:pPr>
              <w:pStyle w:val="Tabletext"/>
            </w:pPr>
            <w:r w:rsidRPr="007E4B31">
              <w:t>Net cost PBS / RPBS</w:t>
            </w:r>
          </w:p>
        </w:tc>
        <w:tc>
          <w:tcPr>
            <w:tcW w:w="653" w:type="pct"/>
            <w:shd w:val="clear" w:color="auto" w:fill="auto"/>
            <w:vAlign w:val="center"/>
          </w:tcPr>
          <w:p w14:paraId="05594BED" w14:textId="25FBAC1E"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48"/>
                <w14:textFill>
                  <w14:solidFill>
                    <w14:srgbClr w14:val="000000">
                      <w14:alpha w14:val="100000"/>
                    </w14:srgbClr>
                  </w14:solidFill>
                </w14:textFill>
              </w:rPr>
              <w:t xml:space="preserve">　</w:t>
            </w:r>
            <w:r w:rsidRPr="00D87EC4">
              <w:rPr>
                <w:color w:val="000000"/>
                <w:w w:val="20"/>
                <w:shd w:val="solid" w:color="000000" w:fill="000000"/>
                <w:fitText w:val="90" w:id="-1168420848"/>
                <w14:textFill>
                  <w14:solidFill>
                    <w14:srgbClr w14:val="000000">
                      <w14:alpha w14:val="100000"/>
                    </w14:srgbClr>
                  </w14:solidFill>
                </w14:textFill>
              </w:rPr>
              <w:t>|</w:t>
            </w:r>
            <w:r w:rsidRPr="00D87EC4">
              <w:rPr>
                <w:rFonts w:hint="eastAsia"/>
                <w:color w:val="000000"/>
                <w:spacing w:val="3"/>
                <w:w w:val="20"/>
                <w:shd w:val="solid" w:color="000000" w:fill="000000"/>
                <w:fitText w:val="90" w:id="-1168420848"/>
                <w14:textFill>
                  <w14:solidFill>
                    <w14:srgbClr w14:val="000000">
                      <w14:alpha w14:val="100000"/>
                    </w14:srgbClr>
                  </w14:solidFill>
                </w14:textFill>
              </w:rPr>
              <w:t xml:space="preserve">　</w:t>
            </w:r>
            <w:r w:rsidR="009B65C7">
              <w:rPr>
                <w:vertAlign w:val="superscript"/>
              </w:rPr>
              <w:t>7</w:t>
            </w:r>
          </w:p>
        </w:tc>
        <w:tc>
          <w:tcPr>
            <w:tcW w:w="663" w:type="pct"/>
            <w:shd w:val="clear" w:color="auto" w:fill="auto"/>
            <w:vAlign w:val="center"/>
          </w:tcPr>
          <w:p w14:paraId="4DC276DF" w14:textId="062322A6" w:rsidR="00DC60EC" w:rsidRPr="009B65C7" w:rsidRDefault="00D87EC4" w:rsidP="00A40607">
            <w:pPr>
              <w:pStyle w:val="Tabletext"/>
              <w:jc w:val="center"/>
              <w:rPr>
                <w:highlight w:val="darkGray"/>
              </w:rPr>
            </w:pPr>
            <w:r w:rsidRPr="00D87EC4">
              <w:rPr>
                <w:rFonts w:hint="eastAsia"/>
                <w:color w:val="000000"/>
                <w:w w:val="18"/>
                <w:shd w:val="solid" w:color="000000" w:fill="000000"/>
                <w:fitText w:val="80" w:id="-1168420864"/>
                <w14:textFill>
                  <w14:solidFill>
                    <w14:srgbClr w14:val="000000">
                      <w14:alpha w14:val="100000"/>
                    </w14:srgbClr>
                  </w14:solidFill>
                </w14:textFill>
              </w:rPr>
              <w:t xml:space="preserve">　</w:t>
            </w:r>
            <w:r w:rsidRPr="00D87EC4">
              <w:rPr>
                <w:color w:val="000000"/>
                <w:w w:val="18"/>
                <w:shd w:val="solid" w:color="000000" w:fill="000000"/>
                <w:fitText w:val="80" w:id="-1168420864"/>
                <w14:textFill>
                  <w14:solidFill>
                    <w14:srgbClr w14:val="000000">
                      <w14:alpha w14:val="100000"/>
                    </w14:srgbClr>
                  </w14:solidFill>
                </w14:textFill>
              </w:rPr>
              <w:t>|</w:t>
            </w:r>
            <w:r w:rsidRPr="00D87EC4">
              <w:rPr>
                <w:rFonts w:hint="eastAsia"/>
                <w:color w:val="000000"/>
                <w:w w:val="18"/>
                <w:shd w:val="solid" w:color="000000" w:fill="000000"/>
                <w:fitText w:val="80" w:id="-1168420864"/>
                <w14:textFill>
                  <w14:solidFill>
                    <w14:srgbClr w14:val="000000">
                      <w14:alpha w14:val="100000"/>
                    </w14:srgbClr>
                  </w14:solidFill>
                </w14:textFill>
              </w:rPr>
              <w:t xml:space="preserve">　</w:t>
            </w:r>
            <w:r w:rsidR="009B65C7">
              <w:rPr>
                <w:vertAlign w:val="superscript"/>
              </w:rPr>
              <w:t>7</w:t>
            </w:r>
          </w:p>
        </w:tc>
        <w:tc>
          <w:tcPr>
            <w:tcW w:w="644" w:type="pct"/>
            <w:shd w:val="clear" w:color="auto" w:fill="auto"/>
            <w:vAlign w:val="center"/>
          </w:tcPr>
          <w:p w14:paraId="3857368F" w14:textId="78EAB3BA" w:rsidR="00DC60EC" w:rsidRPr="009B65C7" w:rsidRDefault="00D87EC4" w:rsidP="00A40607">
            <w:pPr>
              <w:pStyle w:val="Tabletext"/>
              <w:jc w:val="center"/>
              <w:rPr>
                <w:highlight w:val="darkGray"/>
              </w:rPr>
            </w:pPr>
            <w:r w:rsidRPr="00D87EC4">
              <w:rPr>
                <w:rFonts w:hint="eastAsia"/>
                <w:color w:val="000000"/>
                <w:w w:val="22"/>
                <w:shd w:val="solid" w:color="000000" w:fill="000000"/>
                <w:fitText w:val="100" w:id="-1168420863"/>
                <w14:textFill>
                  <w14:solidFill>
                    <w14:srgbClr w14:val="000000">
                      <w14:alpha w14:val="100000"/>
                    </w14:srgbClr>
                  </w14:solidFill>
                </w14:textFill>
              </w:rPr>
              <w:t xml:space="preserve">　</w:t>
            </w:r>
            <w:r w:rsidRPr="00D87EC4">
              <w:rPr>
                <w:color w:val="000000"/>
                <w:w w:val="22"/>
                <w:shd w:val="solid" w:color="000000" w:fill="000000"/>
                <w:fitText w:val="100" w:id="-1168420863"/>
                <w14:textFill>
                  <w14:solidFill>
                    <w14:srgbClr w14:val="000000">
                      <w14:alpha w14:val="100000"/>
                    </w14:srgbClr>
                  </w14:solidFill>
                </w14:textFill>
              </w:rPr>
              <w:t>|</w:t>
            </w:r>
            <w:r w:rsidRPr="00D87EC4">
              <w:rPr>
                <w:rFonts w:hint="eastAsia"/>
                <w:color w:val="000000"/>
                <w:spacing w:val="3"/>
                <w:w w:val="22"/>
                <w:shd w:val="solid" w:color="000000" w:fill="000000"/>
                <w:fitText w:val="100" w:id="-1168420863"/>
                <w14:textFill>
                  <w14:solidFill>
                    <w14:srgbClr w14:val="000000">
                      <w14:alpha w14:val="100000"/>
                    </w14:srgbClr>
                  </w14:solidFill>
                </w14:textFill>
              </w:rPr>
              <w:t xml:space="preserve">　</w:t>
            </w:r>
            <w:r w:rsidR="009B65C7">
              <w:rPr>
                <w:vertAlign w:val="superscript"/>
              </w:rPr>
              <w:t>7</w:t>
            </w:r>
          </w:p>
        </w:tc>
        <w:tc>
          <w:tcPr>
            <w:tcW w:w="654" w:type="pct"/>
            <w:shd w:val="clear" w:color="auto" w:fill="auto"/>
            <w:vAlign w:val="center"/>
          </w:tcPr>
          <w:p w14:paraId="04D4D4DC" w14:textId="2BB238BB" w:rsidR="00DC60EC" w:rsidRPr="009B65C7" w:rsidRDefault="00D87EC4" w:rsidP="00A40607">
            <w:pPr>
              <w:pStyle w:val="Tabletext"/>
              <w:jc w:val="center"/>
              <w:rPr>
                <w:highlight w:val="darkGray"/>
              </w:rPr>
            </w:pPr>
            <w:r w:rsidRPr="00402BC2">
              <w:rPr>
                <w:rFonts w:hint="eastAsia"/>
                <w:color w:val="000000"/>
                <w:w w:val="20"/>
                <w:shd w:val="solid" w:color="000000" w:fill="000000"/>
                <w:fitText w:val="90" w:id="-1168420862"/>
                <w14:textFill>
                  <w14:solidFill>
                    <w14:srgbClr w14:val="000000">
                      <w14:alpha w14:val="100000"/>
                    </w14:srgbClr>
                  </w14:solidFill>
                </w14:textFill>
              </w:rPr>
              <w:t xml:space="preserve">　</w:t>
            </w:r>
            <w:r w:rsidRPr="00402BC2">
              <w:rPr>
                <w:color w:val="000000"/>
                <w:w w:val="20"/>
                <w:shd w:val="solid" w:color="000000" w:fill="000000"/>
                <w:fitText w:val="90" w:id="-1168420862"/>
                <w14:textFill>
                  <w14:solidFill>
                    <w14:srgbClr w14:val="000000">
                      <w14:alpha w14:val="100000"/>
                    </w14:srgbClr>
                  </w14:solidFill>
                </w14:textFill>
              </w:rPr>
              <w:t>|</w:t>
            </w:r>
            <w:r w:rsidRPr="00402BC2">
              <w:rPr>
                <w:rFonts w:hint="eastAsia"/>
                <w:color w:val="000000"/>
                <w:spacing w:val="3"/>
                <w:w w:val="20"/>
                <w:shd w:val="solid" w:color="000000" w:fill="000000"/>
                <w:fitText w:val="90" w:id="-1168420862"/>
                <w14:textFill>
                  <w14:solidFill>
                    <w14:srgbClr w14:val="000000">
                      <w14:alpha w14:val="100000"/>
                    </w14:srgbClr>
                  </w14:solidFill>
                </w14:textFill>
              </w:rPr>
              <w:t xml:space="preserve">　</w:t>
            </w:r>
            <w:r w:rsidR="009B65C7">
              <w:rPr>
                <w:vertAlign w:val="superscript"/>
              </w:rPr>
              <w:t>7</w:t>
            </w:r>
          </w:p>
        </w:tc>
        <w:tc>
          <w:tcPr>
            <w:tcW w:w="653" w:type="pct"/>
            <w:shd w:val="clear" w:color="auto" w:fill="auto"/>
            <w:vAlign w:val="center"/>
          </w:tcPr>
          <w:p w14:paraId="73F6A548" w14:textId="40E8E5C2" w:rsidR="00DC60EC" w:rsidRPr="009B65C7" w:rsidRDefault="00D87EC4" w:rsidP="00A40607">
            <w:pPr>
              <w:pStyle w:val="Tabletext"/>
              <w:jc w:val="center"/>
              <w:rPr>
                <w:highlight w:val="darkGray"/>
              </w:rPr>
            </w:pPr>
            <w:r w:rsidRPr="00D87EC4">
              <w:rPr>
                <w:rFonts w:hint="eastAsia"/>
                <w:color w:val="000000"/>
                <w:w w:val="20"/>
                <w:shd w:val="solid" w:color="000000" w:fill="000000"/>
                <w:fitText w:val="90" w:id="-1168420861"/>
                <w14:textFill>
                  <w14:solidFill>
                    <w14:srgbClr w14:val="000000">
                      <w14:alpha w14:val="100000"/>
                    </w14:srgbClr>
                  </w14:solidFill>
                </w14:textFill>
              </w:rPr>
              <w:t xml:space="preserve">　</w:t>
            </w:r>
            <w:r w:rsidRPr="00D87EC4">
              <w:rPr>
                <w:color w:val="000000"/>
                <w:w w:val="20"/>
                <w:shd w:val="solid" w:color="000000" w:fill="000000"/>
                <w:fitText w:val="90" w:id="-1168420861"/>
                <w14:textFill>
                  <w14:solidFill>
                    <w14:srgbClr w14:val="000000">
                      <w14:alpha w14:val="100000"/>
                    </w14:srgbClr>
                  </w14:solidFill>
                </w14:textFill>
              </w:rPr>
              <w:t>|</w:t>
            </w:r>
            <w:r w:rsidRPr="00D87EC4">
              <w:rPr>
                <w:rFonts w:hint="eastAsia"/>
                <w:color w:val="000000"/>
                <w:spacing w:val="3"/>
                <w:w w:val="20"/>
                <w:shd w:val="solid" w:color="000000" w:fill="000000"/>
                <w:fitText w:val="90" w:id="-1168420861"/>
                <w14:textFill>
                  <w14:solidFill>
                    <w14:srgbClr w14:val="000000">
                      <w14:alpha w14:val="100000"/>
                    </w14:srgbClr>
                  </w14:solidFill>
                </w14:textFill>
              </w:rPr>
              <w:t xml:space="preserve">　</w:t>
            </w:r>
            <w:r w:rsidR="009B65C7">
              <w:rPr>
                <w:vertAlign w:val="superscript"/>
              </w:rPr>
              <w:t>7</w:t>
            </w:r>
          </w:p>
        </w:tc>
        <w:tc>
          <w:tcPr>
            <w:tcW w:w="729" w:type="pct"/>
            <w:shd w:val="clear" w:color="auto" w:fill="auto"/>
            <w:vAlign w:val="center"/>
          </w:tcPr>
          <w:p w14:paraId="582F9F2F" w14:textId="0571E430" w:rsidR="00DC60EC" w:rsidRPr="009B65C7" w:rsidRDefault="00D87EC4" w:rsidP="00A40607">
            <w:pPr>
              <w:pStyle w:val="Tabletext"/>
              <w:jc w:val="center"/>
              <w:rPr>
                <w:highlight w:val="darkGray"/>
              </w:rPr>
            </w:pPr>
            <w:r w:rsidRPr="00402BC2">
              <w:rPr>
                <w:rFonts w:hint="eastAsia"/>
                <w:color w:val="000000"/>
                <w:w w:val="15"/>
                <w:shd w:val="solid" w:color="000000" w:fill="000000"/>
                <w:fitText w:val="20" w:id="-1168420860"/>
                <w14:textFill>
                  <w14:solidFill>
                    <w14:srgbClr w14:val="000000">
                      <w14:alpha w14:val="100000"/>
                    </w14:srgbClr>
                  </w14:solidFill>
                </w14:textFill>
              </w:rPr>
              <w:t xml:space="preserve">　</w:t>
            </w:r>
            <w:r w:rsidRPr="00402BC2">
              <w:rPr>
                <w:color w:val="000000"/>
                <w:w w:val="15"/>
                <w:shd w:val="solid" w:color="000000" w:fill="000000"/>
                <w:fitText w:val="20" w:id="-1168420860"/>
                <w14:textFill>
                  <w14:solidFill>
                    <w14:srgbClr w14:val="000000">
                      <w14:alpha w14:val="100000"/>
                    </w14:srgbClr>
                  </w14:solidFill>
                </w14:textFill>
              </w:rPr>
              <w:t>|</w:t>
            </w:r>
            <w:r w:rsidRPr="00402BC2">
              <w:rPr>
                <w:rFonts w:hint="eastAsia"/>
                <w:color w:val="000000"/>
                <w:spacing w:val="-46"/>
                <w:w w:val="15"/>
                <w:shd w:val="solid" w:color="000000" w:fill="000000"/>
                <w:fitText w:val="20" w:id="-1168420860"/>
                <w14:textFill>
                  <w14:solidFill>
                    <w14:srgbClr w14:val="000000">
                      <w14:alpha w14:val="100000"/>
                    </w14:srgbClr>
                  </w14:solidFill>
                </w14:textFill>
              </w:rPr>
              <w:t xml:space="preserve">　</w:t>
            </w:r>
            <w:r w:rsidR="009B65C7">
              <w:rPr>
                <w:vertAlign w:val="superscript"/>
              </w:rPr>
              <w:t>7</w:t>
            </w:r>
          </w:p>
        </w:tc>
      </w:tr>
    </w:tbl>
    <w:p w14:paraId="0E33C598" w14:textId="44719C30" w:rsidR="00DC60EC" w:rsidRPr="007E4B31" w:rsidRDefault="00DC60EC" w:rsidP="00DC60EC">
      <w:pPr>
        <w:pStyle w:val="FooterTableFigure"/>
      </w:pPr>
      <w:r w:rsidRPr="007E4B31">
        <w:t>Source: Table 4.19, p.181 of the submission</w:t>
      </w:r>
    </w:p>
    <w:p w14:paraId="61DA9B7B" w14:textId="77777777" w:rsidR="00F81B4B" w:rsidRPr="007E4B31" w:rsidRDefault="00F81B4B" w:rsidP="00F81B4B">
      <w:pPr>
        <w:pStyle w:val="FooterTableFigure"/>
      </w:pPr>
      <w:r w:rsidRPr="007E4B31">
        <w:t>DPMQ = dispensed price for maximum quantity; PBS = Pharmaceutical Benefits Scheme; RPBS = Repatriation Pharmaceutical Benefits Scheme</w:t>
      </w:r>
    </w:p>
    <w:p w14:paraId="700C4C3D" w14:textId="473E955F" w:rsidR="00F81B4B" w:rsidRPr="007E4B31" w:rsidRDefault="00F81B4B" w:rsidP="00F81B4B">
      <w:pPr>
        <w:pStyle w:val="FooterTableFigure"/>
      </w:pPr>
      <w:r w:rsidRPr="007E4B31">
        <w:rPr>
          <w:vertAlign w:val="superscript"/>
        </w:rPr>
        <w:t>a</w:t>
      </w:r>
      <w:r w:rsidRPr="007E4B31">
        <w:t xml:space="preserve"> Sum of patients treated with somapacitan = C1+ C2 +C3</w:t>
      </w:r>
      <w:r w:rsidR="00C77CB0" w:rsidRPr="007E4B31">
        <w:t xml:space="preserve"> (</w:t>
      </w:r>
      <w:r w:rsidR="00C77CB0" w:rsidRPr="007E4B31">
        <w:fldChar w:fldCharType="begin" w:fldLock="1"/>
      </w:r>
      <w:r w:rsidR="00C77CB0" w:rsidRPr="007E4B31">
        <w:instrText xml:space="preserve"> REF _Ref133904914 \h </w:instrText>
      </w:r>
      <w:r w:rsidR="00370FF4" w:rsidRPr="007E4B31">
        <w:instrText xml:space="preserve"> \* MERGEFORMAT </w:instrText>
      </w:r>
      <w:r w:rsidR="00C77CB0" w:rsidRPr="007E4B31">
        <w:fldChar w:fldCharType="separate"/>
      </w:r>
      <w:r w:rsidR="00D3534F" w:rsidRPr="007E4B31">
        <w:t xml:space="preserve">Table </w:t>
      </w:r>
      <w:r w:rsidR="00D3534F">
        <w:rPr>
          <w:noProof/>
        </w:rPr>
        <w:t>11</w:t>
      </w:r>
      <w:r w:rsidR="00C77CB0" w:rsidRPr="007E4B31">
        <w:fldChar w:fldCharType="end"/>
      </w:r>
      <w:r w:rsidR="00C77CB0" w:rsidRPr="007E4B31">
        <w:t>)</w:t>
      </w:r>
    </w:p>
    <w:p w14:paraId="22D5B295" w14:textId="7F594B17" w:rsidR="00F81B4B" w:rsidRPr="007E4B31" w:rsidRDefault="00F81B4B" w:rsidP="00F81B4B">
      <w:pPr>
        <w:pStyle w:val="FooterTableFigure"/>
      </w:pPr>
      <w:r w:rsidRPr="007E4B31">
        <w:rPr>
          <w:vertAlign w:val="superscript"/>
        </w:rPr>
        <w:t>b</w:t>
      </w:r>
      <w:r w:rsidRPr="007E4B31">
        <w:t xml:space="preserve"> Sum of somapacitan scripts = F1 + F2 + F3</w:t>
      </w:r>
      <w:r w:rsidR="00C77CB0" w:rsidRPr="007E4B31">
        <w:t xml:space="preserve"> (</w:t>
      </w:r>
      <w:r w:rsidR="00C77CB0" w:rsidRPr="007E4B31">
        <w:fldChar w:fldCharType="begin" w:fldLock="1"/>
      </w:r>
      <w:r w:rsidR="00C77CB0" w:rsidRPr="007E4B31">
        <w:instrText xml:space="preserve"> REF _Ref133904914 \h </w:instrText>
      </w:r>
      <w:r w:rsidR="00370FF4" w:rsidRPr="007E4B31">
        <w:instrText xml:space="preserve"> \* MERGEFORMAT </w:instrText>
      </w:r>
      <w:r w:rsidR="00C77CB0" w:rsidRPr="007E4B31">
        <w:fldChar w:fldCharType="separate"/>
      </w:r>
      <w:r w:rsidR="00D3534F" w:rsidRPr="007E4B31">
        <w:t xml:space="preserve">Table </w:t>
      </w:r>
      <w:r w:rsidR="00D3534F">
        <w:rPr>
          <w:noProof/>
        </w:rPr>
        <w:t>11</w:t>
      </w:r>
      <w:r w:rsidR="00C77CB0" w:rsidRPr="007E4B31">
        <w:fldChar w:fldCharType="end"/>
      </w:r>
      <w:r w:rsidR="00C77CB0" w:rsidRPr="007E4B31">
        <w:t>)</w:t>
      </w:r>
    </w:p>
    <w:p w14:paraId="7B30B041" w14:textId="6804A4D0" w:rsidR="00F81B4B" w:rsidRDefault="00F81B4B" w:rsidP="00F81B4B">
      <w:pPr>
        <w:pStyle w:val="FooterTableFigure"/>
      </w:pPr>
      <w:r w:rsidRPr="007E4B31">
        <w:rPr>
          <w:vertAlign w:val="superscript"/>
        </w:rPr>
        <w:t xml:space="preserve">c </w:t>
      </w:r>
      <w:proofErr w:type="gramStart"/>
      <w:r w:rsidRPr="007E4B31">
        <w:t>The</w:t>
      </w:r>
      <w:proofErr w:type="gramEnd"/>
      <w:r w:rsidRPr="007E4B31">
        <w:t xml:space="preserve"> approach used to estimate the market share and financial implications of somatrogon was identical to the approach used for somapacitan but for the doses and pens which were specific to somatrogon.</w:t>
      </w:r>
    </w:p>
    <w:p w14:paraId="15339DAD" w14:textId="5471F7F9" w:rsidR="009B65C7" w:rsidRPr="009B65C7" w:rsidRDefault="009B65C7" w:rsidP="00F81B4B">
      <w:pPr>
        <w:pStyle w:val="FooterTableFigure"/>
        <w:rPr>
          <w:i/>
          <w:iCs/>
        </w:rPr>
      </w:pPr>
      <w:r w:rsidRPr="009B65C7">
        <w:rPr>
          <w:i/>
          <w:iCs/>
        </w:rPr>
        <w:t>The redacted values correspond to the following ranges:</w:t>
      </w:r>
    </w:p>
    <w:p w14:paraId="3342E034" w14:textId="328B198C" w:rsidR="009B65C7" w:rsidRPr="009B65C7" w:rsidRDefault="009B65C7" w:rsidP="00F81B4B">
      <w:pPr>
        <w:pStyle w:val="FooterTableFigure"/>
        <w:rPr>
          <w:i/>
          <w:iCs/>
        </w:rPr>
      </w:pPr>
      <w:r w:rsidRPr="009B65C7">
        <w:rPr>
          <w:i/>
          <w:iCs/>
          <w:vertAlign w:val="superscript"/>
        </w:rPr>
        <w:t>1</w:t>
      </w:r>
      <w:r w:rsidRPr="009B65C7">
        <w:rPr>
          <w:i/>
          <w:iCs/>
        </w:rPr>
        <w:t xml:space="preserve"> &lt; 500</w:t>
      </w:r>
    </w:p>
    <w:p w14:paraId="1D5FEECC" w14:textId="0BAA7178" w:rsidR="009B65C7" w:rsidRPr="009B65C7" w:rsidRDefault="009B65C7" w:rsidP="00F81B4B">
      <w:pPr>
        <w:pStyle w:val="FooterTableFigure"/>
        <w:rPr>
          <w:i/>
          <w:iCs/>
        </w:rPr>
      </w:pPr>
      <w:r w:rsidRPr="009B65C7">
        <w:rPr>
          <w:i/>
          <w:iCs/>
          <w:vertAlign w:val="superscript"/>
        </w:rPr>
        <w:t>2</w:t>
      </w:r>
      <w:r w:rsidRPr="009B65C7">
        <w:rPr>
          <w:i/>
          <w:iCs/>
        </w:rPr>
        <w:t xml:space="preserve"> 500 to &lt; 5,000</w:t>
      </w:r>
    </w:p>
    <w:p w14:paraId="24CFB2C8" w14:textId="478DA3D2" w:rsidR="009B65C7" w:rsidRPr="009B65C7" w:rsidRDefault="009B65C7" w:rsidP="00F81B4B">
      <w:pPr>
        <w:pStyle w:val="FooterTableFigure"/>
        <w:rPr>
          <w:i/>
          <w:iCs/>
        </w:rPr>
      </w:pPr>
      <w:r w:rsidRPr="009B65C7">
        <w:rPr>
          <w:i/>
          <w:iCs/>
          <w:vertAlign w:val="superscript"/>
        </w:rPr>
        <w:lastRenderedPageBreak/>
        <w:t>3</w:t>
      </w:r>
      <w:r w:rsidRPr="009B65C7">
        <w:rPr>
          <w:i/>
          <w:iCs/>
        </w:rPr>
        <w:t xml:space="preserve"> 5,000 to &lt; 10,000</w:t>
      </w:r>
    </w:p>
    <w:p w14:paraId="1FD28C0E" w14:textId="19953E24" w:rsidR="009B65C7" w:rsidRPr="009B65C7" w:rsidRDefault="009B65C7" w:rsidP="00F81B4B">
      <w:pPr>
        <w:pStyle w:val="FooterTableFigure"/>
        <w:rPr>
          <w:i/>
          <w:iCs/>
        </w:rPr>
      </w:pPr>
      <w:r w:rsidRPr="009B65C7">
        <w:rPr>
          <w:i/>
          <w:iCs/>
          <w:vertAlign w:val="superscript"/>
        </w:rPr>
        <w:t>4</w:t>
      </w:r>
      <w:r w:rsidRPr="009B65C7">
        <w:rPr>
          <w:i/>
          <w:iCs/>
        </w:rPr>
        <w:t xml:space="preserve"> 10,000 to &lt; 20,000</w:t>
      </w:r>
    </w:p>
    <w:p w14:paraId="0D7DA261" w14:textId="5D95630C" w:rsidR="009B65C7" w:rsidRPr="009B65C7" w:rsidRDefault="009B65C7" w:rsidP="00F81B4B">
      <w:pPr>
        <w:pStyle w:val="FooterTableFigure"/>
        <w:rPr>
          <w:i/>
          <w:iCs/>
        </w:rPr>
      </w:pPr>
      <w:r w:rsidRPr="009B65C7">
        <w:rPr>
          <w:i/>
          <w:iCs/>
          <w:vertAlign w:val="superscript"/>
        </w:rPr>
        <w:t>5</w:t>
      </w:r>
      <w:r w:rsidRPr="009B65C7">
        <w:rPr>
          <w:i/>
          <w:iCs/>
        </w:rPr>
        <w:t xml:space="preserve"> $0 to &lt; $10 million</w:t>
      </w:r>
    </w:p>
    <w:p w14:paraId="4705AA3C" w14:textId="10D8FD9E" w:rsidR="009B65C7" w:rsidRPr="009B65C7" w:rsidRDefault="009B65C7" w:rsidP="00F81B4B">
      <w:pPr>
        <w:pStyle w:val="FooterTableFigure"/>
        <w:rPr>
          <w:i/>
          <w:iCs/>
        </w:rPr>
      </w:pPr>
      <w:r w:rsidRPr="009B65C7">
        <w:rPr>
          <w:i/>
          <w:iCs/>
          <w:vertAlign w:val="superscript"/>
        </w:rPr>
        <w:t>6</w:t>
      </w:r>
      <w:r w:rsidRPr="009B65C7">
        <w:rPr>
          <w:i/>
          <w:iCs/>
        </w:rPr>
        <w:t xml:space="preserve"> $10 million to &lt; $20 million</w:t>
      </w:r>
    </w:p>
    <w:p w14:paraId="6F864BF8" w14:textId="5FC16515" w:rsidR="009B65C7" w:rsidRPr="009B65C7" w:rsidRDefault="009B65C7" w:rsidP="00F81B4B">
      <w:pPr>
        <w:pStyle w:val="FooterTableFigure"/>
        <w:rPr>
          <w:i/>
          <w:iCs/>
        </w:rPr>
      </w:pPr>
      <w:proofErr w:type="gramStart"/>
      <w:r w:rsidRPr="009B65C7">
        <w:rPr>
          <w:i/>
          <w:iCs/>
          <w:vertAlign w:val="superscript"/>
        </w:rPr>
        <w:t>7</w:t>
      </w:r>
      <w:proofErr w:type="gramEnd"/>
      <w:r w:rsidRPr="009B65C7">
        <w:rPr>
          <w:i/>
          <w:iCs/>
        </w:rPr>
        <w:t xml:space="preserve"> net cost saving</w:t>
      </w:r>
    </w:p>
    <w:p w14:paraId="1EC3E80A" w14:textId="73300C84" w:rsidR="00DC60EC" w:rsidRPr="007E4B31" w:rsidRDefault="00DC60EC" w:rsidP="001B22F2">
      <w:pPr>
        <w:pStyle w:val="FooterTableFigure"/>
      </w:pPr>
    </w:p>
    <w:p w14:paraId="05CF81BD" w14:textId="7A2E4736" w:rsidR="003714BE" w:rsidRPr="007E4B31" w:rsidRDefault="00C604B7" w:rsidP="000550C0">
      <w:pPr>
        <w:pStyle w:val="3-BodyText"/>
      </w:pPr>
      <w:bookmarkStart w:id="49" w:name="_Ref133843570"/>
      <w:r w:rsidRPr="007E4B31">
        <w:t>The submission estimated that somapacitan would result in a net savings in Year 1 and Year 6</w:t>
      </w:r>
      <w:r w:rsidR="004C37A2" w:rsidRPr="007E4B31">
        <w:t xml:space="preserve">. </w:t>
      </w:r>
      <w:r w:rsidR="003714BE" w:rsidRPr="007E4B31">
        <w:rPr>
          <w:iCs/>
        </w:rPr>
        <w:t>The ‘</w:t>
      </w:r>
      <w:proofErr w:type="gramStart"/>
      <w:r w:rsidR="003714BE" w:rsidRPr="007E4B31">
        <w:rPr>
          <w:iCs/>
        </w:rPr>
        <w:t>savings’</w:t>
      </w:r>
      <w:proofErr w:type="gramEnd"/>
      <w:r w:rsidR="003714BE" w:rsidRPr="007E4B31">
        <w:rPr>
          <w:iCs/>
        </w:rPr>
        <w:t xml:space="preserve"> estimated for somapacitan compared to somatrogon was a result of increased patient co-payments with somapacitan (due to more somapacitan pens being dispensed). </w:t>
      </w:r>
      <w:r w:rsidR="00432E83" w:rsidRPr="007E4B31">
        <w:t xml:space="preserve">The </w:t>
      </w:r>
      <w:r w:rsidR="00250774">
        <w:t>pre-PBAC response</w:t>
      </w:r>
      <w:r w:rsidR="00432E83" w:rsidRPr="007E4B31">
        <w:t xml:space="preserve"> stated that as the financial estimates presented in the March 2022 submission for somatrogon claimed net savings and this submission also requested the same weekly cost as somatrogon, the proposed listing should </w:t>
      </w:r>
      <w:proofErr w:type="gramStart"/>
      <w:r w:rsidR="00432E83" w:rsidRPr="007E4B31">
        <w:t>be considered</w:t>
      </w:r>
      <w:proofErr w:type="gramEnd"/>
      <w:r w:rsidR="00432E83" w:rsidRPr="007E4B31">
        <w:t xml:space="preserve"> cost-neutral to the PBS.</w:t>
      </w:r>
      <w:r w:rsidR="00EB4571" w:rsidRPr="007E4B31">
        <w:t xml:space="preserve"> The ESC </w:t>
      </w:r>
      <w:r w:rsidR="006F50DA" w:rsidRPr="007E4B31">
        <w:t>consider</w:t>
      </w:r>
      <w:r w:rsidR="00EB4571" w:rsidRPr="007E4B31">
        <w:t xml:space="preserve">ed that </w:t>
      </w:r>
      <w:r w:rsidR="00C41253" w:rsidRPr="007E4B31">
        <w:t xml:space="preserve">there is no clear motivation to preferentially prescribe somapacitan over somatrogon </w:t>
      </w:r>
      <w:r w:rsidR="003427D0" w:rsidRPr="007E4B31">
        <w:t>(</w:t>
      </w:r>
      <w:r w:rsidR="00C41253" w:rsidRPr="007E4B31">
        <w:t xml:space="preserve">and therefore uptake rates in this submission may </w:t>
      </w:r>
      <w:proofErr w:type="gramStart"/>
      <w:r w:rsidR="00C41253" w:rsidRPr="007E4B31">
        <w:t>be overestimated</w:t>
      </w:r>
      <w:proofErr w:type="gramEnd"/>
      <w:r w:rsidR="003427D0" w:rsidRPr="007E4B31">
        <w:t>)</w:t>
      </w:r>
      <w:r w:rsidR="00C41253" w:rsidRPr="007E4B31">
        <w:t>, and that somapacitan should be cost neutral to somatrogon.</w:t>
      </w:r>
    </w:p>
    <w:p w14:paraId="36E8D8E8" w14:textId="27EB95D9" w:rsidR="00C604B7" w:rsidRPr="007E4B31" w:rsidRDefault="00650FBD" w:rsidP="000550C0">
      <w:pPr>
        <w:pStyle w:val="3-BodyText"/>
        <w:rPr>
          <w:iCs/>
        </w:rPr>
      </w:pPr>
      <w:r w:rsidRPr="007E4B31">
        <w:rPr>
          <w:iCs/>
        </w:rPr>
        <w:t>S</w:t>
      </w:r>
      <w:r w:rsidR="00CC6438" w:rsidRPr="007E4B31">
        <w:rPr>
          <w:iCs/>
        </w:rPr>
        <w:t xml:space="preserve">ensitivity analyses </w:t>
      </w:r>
      <w:r w:rsidRPr="007E4B31">
        <w:rPr>
          <w:iCs/>
        </w:rPr>
        <w:t xml:space="preserve">around the financial estimates </w:t>
      </w:r>
      <w:r w:rsidR="00CC6438" w:rsidRPr="007E4B31">
        <w:rPr>
          <w:iCs/>
        </w:rPr>
        <w:t>showed th</w:t>
      </w:r>
      <w:r w:rsidR="00D73E1F" w:rsidRPr="007E4B31">
        <w:rPr>
          <w:iCs/>
        </w:rPr>
        <w:t xml:space="preserve">at changes </w:t>
      </w:r>
      <w:r w:rsidR="00CC6438" w:rsidRPr="007E4B31">
        <w:rPr>
          <w:iCs/>
        </w:rPr>
        <w:t>in dollar terms was likely to be small, with no plausible scenario resulting in a net cost to the R</w:t>
      </w:r>
      <w:r w:rsidR="000550C0" w:rsidRPr="007E4B31">
        <w:rPr>
          <w:iCs/>
        </w:rPr>
        <w:t>/</w:t>
      </w:r>
      <w:r w:rsidR="00CC6438" w:rsidRPr="007E4B31">
        <w:rPr>
          <w:iCs/>
        </w:rPr>
        <w:t>PBS.</w:t>
      </w:r>
      <w:bookmarkEnd w:id="49"/>
      <w:r w:rsidR="00250774">
        <w:rPr>
          <w:iCs/>
        </w:rPr>
        <w:t xml:space="preserve"> The pre-PBAC response presented an exploratory analysis of the net </w:t>
      </w:r>
      <w:proofErr w:type="gramStart"/>
      <w:r w:rsidR="00250774">
        <w:rPr>
          <w:iCs/>
        </w:rPr>
        <w:t>financial impact</w:t>
      </w:r>
      <w:proofErr w:type="gramEnd"/>
      <w:r w:rsidR="00250774">
        <w:rPr>
          <w:iCs/>
        </w:rPr>
        <w:t xml:space="preserve"> of </w:t>
      </w:r>
      <w:r w:rsidR="004F4230">
        <w:rPr>
          <w:iCs/>
        </w:rPr>
        <w:t xml:space="preserve">assuming a 50% increase in the use of somatrogon in the weekly GH market, reducing the estimated use of </w:t>
      </w:r>
      <w:r w:rsidR="00250774">
        <w:rPr>
          <w:iCs/>
        </w:rPr>
        <w:t>somapacitan</w:t>
      </w:r>
      <w:r w:rsidR="004F4230">
        <w:rPr>
          <w:iCs/>
        </w:rPr>
        <w:t>, and this analysis</w:t>
      </w:r>
      <w:r w:rsidR="00250774">
        <w:rPr>
          <w:iCs/>
        </w:rPr>
        <w:t xml:space="preserve"> showed there would be a </w:t>
      </w:r>
      <w:r w:rsidR="004F4230">
        <w:rPr>
          <w:iCs/>
        </w:rPr>
        <w:t xml:space="preserve">slightly </w:t>
      </w:r>
      <w:r w:rsidR="00250774">
        <w:rPr>
          <w:iCs/>
        </w:rPr>
        <w:t>small</w:t>
      </w:r>
      <w:r w:rsidR="004F4230">
        <w:rPr>
          <w:iCs/>
        </w:rPr>
        <w:t>er</w:t>
      </w:r>
      <w:r w:rsidR="00250774">
        <w:rPr>
          <w:iCs/>
        </w:rPr>
        <w:t xml:space="preserve"> minor save to the R/PBS</w:t>
      </w:r>
      <w:r w:rsidR="004F4230">
        <w:rPr>
          <w:iCs/>
        </w:rPr>
        <w:t xml:space="preserve"> associated with PBS listing of somapacitan</w:t>
      </w:r>
      <w:r w:rsidR="00250774">
        <w:rPr>
          <w:iCs/>
        </w:rPr>
        <w:t>.</w:t>
      </w:r>
    </w:p>
    <w:p w14:paraId="1DD60650" w14:textId="291890D0" w:rsidR="00C604B7" w:rsidRPr="007E4B31" w:rsidRDefault="00C604B7" w:rsidP="001B22F2">
      <w:pPr>
        <w:pStyle w:val="3-BodyText"/>
      </w:pPr>
      <w:r w:rsidRPr="007E4B31">
        <w:t xml:space="preserve">The </w:t>
      </w:r>
      <w:r w:rsidR="00250774">
        <w:t>s</w:t>
      </w:r>
      <w:r w:rsidRPr="007E4B31">
        <w:t xml:space="preserve">ponsor noted that an Early </w:t>
      </w:r>
      <w:r w:rsidR="00492A15" w:rsidRPr="007E4B31">
        <w:t>Access</w:t>
      </w:r>
      <w:r w:rsidRPr="007E4B31">
        <w:t xml:space="preserve"> Program </w:t>
      </w:r>
      <w:proofErr w:type="gramStart"/>
      <w:r w:rsidRPr="007E4B31">
        <w:t>is expected</w:t>
      </w:r>
      <w:proofErr w:type="gramEnd"/>
      <w:r w:rsidRPr="007E4B31">
        <w:t xml:space="preserve"> to be implemented in October 2023, but the number of patients expected to enrol is unknown. Thus, grandfathered patients </w:t>
      </w:r>
      <w:proofErr w:type="gramStart"/>
      <w:r w:rsidRPr="007E4B31">
        <w:t>were not included</w:t>
      </w:r>
      <w:proofErr w:type="gramEnd"/>
      <w:r w:rsidRPr="007E4B31">
        <w:t xml:space="preserve"> in the financial estimates.</w:t>
      </w:r>
      <w:r w:rsidRPr="007E4B31">
        <w:rPr>
          <w:iCs/>
        </w:rPr>
        <w:t xml:space="preserve"> </w:t>
      </w:r>
      <w:r w:rsidR="0098403E" w:rsidRPr="007E4B31">
        <w:rPr>
          <w:iCs/>
        </w:rPr>
        <w:t xml:space="preserve">Assuming that only patients who </w:t>
      </w:r>
      <w:proofErr w:type="gramStart"/>
      <w:r w:rsidR="0098403E" w:rsidRPr="007E4B31">
        <w:rPr>
          <w:iCs/>
        </w:rPr>
        <w:t>were treated</w:t>
      </w:r>
      <w:proofErr w:type="gramEnd"/>
      <w:r w:rsidR="0098403E" w:rsidRPr="007E4B31">
        <w:rPr>
          <w:iCs/>
        </w:rPr>
        <w:t xml:space="preserve"> with somatropin or somatrogon on the PBS were enrolled in the Early </w:t>
      </w:r>
      <w:r w:rsidR="00492A15" w:rsidRPr="007E4B31">
        <w:rPr>
          <w:iCs/>
        </w:rPr>
        <w:t>Access</w:t>
      </w:r>
      <w:r w:rsidR="0098403E" w:rsidRPr="007E4B31">
        <w:rPr>
          <w:iCs/>
        </w:rPr>
        <w:t xml:space="preserve"> Program, this may be reasonable. However, no details of the enrolment criteria for the </w:t>
      </w:r>
      <w:r w:rsidR="0091783E" w:rsidRPr="007E4B31">
        <w:rPr>
          <w:iCs/>
        </w:rPr>
        <w:t>program</w:t>
      </w:r>
      <w:r w:rsidR="0098403E" w:rsidRPr="007E4B31">
        <w:rPr>
          <w:iCs/>
        </w:rPr>
        <w:t xml:space="preserve"> </w:t>
      </w:r>
      <w:proofErr w:type="gramStart"/>
      <w:r w:rsidR="0098403E" w:rsidRPr="007E4B31">
        <w:rPr>
          <w:iCs/>
        </w:rPr>
        <w:t>were provided</w:t>
      </w:r>
      <w:proofErr w:type="gramEnd"/>
      <w:r w:rsidR="0098403E" w:rsidRPr="007E4B31">
        <w:rPr>
          <w:iCs/>
        </w:rPr>
        <w:t>.</w:t>
      </w:r>
    </w:p>
    <w:p w14:paraId="36BCF039" w14:textId="77777777" w:rsidR="00C604B7" w:rsidRPr="007E4B31" w:rsidRDefault="00C604B7" w:rsidP="00355B31">
      <w:pPr>
        <w:pStyle w:val="4-SubsectionHeading"/>
      </w:pPr>
      <w:bookmarkStart w:id="50" w:name="_Toc22897648"/>
      <w:bookmarkStart w:id="51" w:name="_Toc134493590"/>
      <w:r w:rsidRPr="007E4B31">
        <w:t>Quality Use of Medicines</w:t>
      </w:r>
      <w:bookmarkEnd w:id="50"/>
      <w:bookmarkEnd w:id="51"/>
    </w:p>
    <w:p w14:paraId="1442CCA1" w14:textId="3C85EF19" w:rsidR="00C4691D" w:rsidRPr="007E4B31" w:rsidRDefault="00C604B7" w:rsidP="00C4691D">
      <w:pPr>
        <w:pStyle w:val="3-BodyText"/>
      </w:pPr>
      <w:r w:rsidRPr="007E4B31">
        <w:t xml:space="preserve">The submission did not outline QUM activities. The submission provided the most recent </w:t>
      </w:r>
      <w:r w:rsidR="00C24522">
        <w:t>development safety update report</w:t>
      </w:r>
      <w:r w:rsidRPr="007E4B31">
        <w:t xml:space="preserve"> for somapacitan that </w:t>
      </w:r>
      <w:proofErr w:type="gramStart"/>
      <w:r w:rsidRPr="007E4B31">
        <w:t>was described</w:t>
      </w:r>
      <w:proofErr w:type="gramEnd"/>
      <w:r w:rsidRPr="007E4B31">
        <w:t xml:space="preserve"> in paragraph </w:t>
      </w:r>
      <w:r w:rsidRPr="007E4B31">
        <w:fldChar w:fldCharType="begin" w:fldLock="1"/>
      </w:r>
      <w:r w:rsidRPr="007E4B31">
        <w:instrText xml:space="preserve"> REF _Ref133848030 \r \h </w:instrText>
      </w:r>
      <w:r w:rsidR="00370FF4" w:rsidRPr="007E4B31">
        <w:instrText xml:space="preserve"> \* MERGEFORMAT </w:instrText>
      </w:r>
      <w:r w:rsidRPr="007E4B31">
        <w:fldChar w:fldCharType="separate"/>
      </w:r>
      <w:r w:rsidR="00D3534F">
        <w:t>6.22</w:t>
      </w:r>
      <w:r w:rsidRPr="007E4B31">
        <w:fldChar w:fldCharType="end"/>
      </w:r>
      <w:r w:rsidR="00FE7EF6">
        <w:t>. The submission</w:t>
      </w:r>
      <w:r w:rsidRPr="007E4B31">
        <w:t xml:space="preserve"> also referenced potential QUM issues that </w:t>
      </w:r>
      <w:proofErr w:type="gramStart"/>
      <w:r w:rsidRPr="007E4B31">
        <w:t>were previously highlighted</w:t>
      </w:r>
      <w:proofErr w:type="gramEnd"/>
      <w:r w:rsidRPr="007E4B31">
        <w:t xml:space="preserve"> by the PBAC in the somatrogon and somapacitan submissions in March 2022. These related</w:t>
      </w:r>
      <w:r w:rsidR="009F130E">
        <w:t xml:space="preserve"> </w:t>
      </w:r>
      <w:r w:rsidRPr="007E4B31">
        <w:t xml:space="preserve">to treatment switching, concurrent use of GH therapies, and the possibility of requiring more than one somapacitan injection per </w:t>
      </w:r>
      <w:r w:rsidR="00393F00" w:rsidRPr="007E4B31">
        <w:t>week</w:t>
      </w:r>
      <w:r w:rsidRPr="007E4B31">
        <w:t xml:space="preserve">. </w:t>
      </w:r>
      <w:r w:rsidR="00393F00" w:rsidRPr="007E4B31">
        <w:rPr>
          <w:iCs/>
        </w:rPr>
        <w:t>It was unclear if the addition of a third exchangeable product would cause any additional risks for poor QUM</w:t>
      </w:r>
      <w:r w:rsidR="002B38A0" w:rsidRPr="007E4B31">
        <w:rPr>
          <w:iCs/>
        </w:rPr>
        <w:t>.</w:t>
      </w:r>
    </w:p>
    <w:p w14:paraId="784333C1" w14:textId="77777777" w:rsidR="00C25E77" w:rsidRPr="004F4230" w:rsidRDefault="00C4691D" w:rsidP="00C4691D">
      <w:pPr>
        <w:pStyle w:val="3-BodyText"/>
        <w:numPr>
          <w:ilvl w:val="0"/>
          <w:numId w:val="0"/>
        </w:numPr>
        <w:ind w:left="720"/>
        <w:rPr>
          <w:i/>
        </w:rPr>
      </w:pPr>
      <w:r w:rsidRPr="004F4230">
        <w:rPr>
          <w:i/>
        </w:rPr>
        <w:t>For more detail on PBAC’s view, see section 7 PBAC outcome.</w:t>
      </w:r>
    </w:p>
    <w:p w14:paraId="302F7B27" w14:textId="77777777" w:rsidR="00C25E77" w:rsidRPr="00AB2D14" w:rsidRDefault="00C25E77" w:rsidP="00C25E77">
      <w:pPr>
        <w:pStyle w:val="2-SectionHeading"/>
      </w:pPr>
      <w:r w:rsidRPr="00AB2D14">
        <w:lastRenderedPageBreak/>
        <w:t>PBAC outcome</w:t>
      </w:r>
    </w:p>
    <w:p w14:paraId="3680BC6E" w14:textId="6890204D" w:rsidR="000C7A39" w:rsidRDefault="009C72B8" w:rsidP="002A6DDC">
      <w:pPr>
        <w:pStyle w:val="3-BodyText"/>
      </w:pPr>
      <w:r w:rsidRPr="007E4B31">
        <w:t>The PBAC</w:t>
      </w:r>
      <w:r w:rsidR="0037065A" w:rsidRPr="007E4B31">
        <w:t xml:space="preserve"> recommended</w:t>
      </w:r>
      <w:r w:rsidRPr="007E4B31">
        <w:t xml:space="preserve"> </w:t>
      </w:r>
      <w:r w:rsidR="007C0364">
        <w:t xml:space="preserve">the </w:t>
      </w:r>
      <w:r w:rsidR="000C7A39">
        <w:t xml:space="preserve">Section 100 Growth Hormone Program </w:t>
      </w:r>
      <w:r w:rsidR="007C0364">
        <w:t>listing of</w:t>
      </w:r>
      <w:r w:rsidRPr="007E4B31">
        <w:t xml:space="preserve"> somapacitan for the treatment of paediatric patients with growth hormone deficiency (GHD)</w:t>
      </w:r>
      <w:r w:rsidR="008960C4" w:rsidRPr="007E4B31">
        <w:t>. The PBAC</w:t>
      </w:r>
      <w:r w:rsidR="000C7A39">
        <w:t xml:space="preserve">’s recommendation for listing was based on, among other matters, its assessment that the cost-effectiveness of somapacitan would be acceptable if it were cost-minimised to the lowest priced comparator of somatropin or somatrogon, for the same indication. </w:t>
      </w:r>
    </w:p>
    <w:p w14:paraId="3F474D98" w14:textId="13650900" w:rsidR="009C4FD8" w:rsidRDefault="000C7A39" w:rsidP="00D3534F">
      <w:pPr>
        <w:pStyle w:val="3-BodyText"/>
        <w:keepNext/>
        <w:keepLines/>
      </w:pPr>
      <w:r>
        <w:t>The PBAC advised that the equi-effective doses</w:t>
      </w:r>
      <w:r w:rsidR="00237FA3">
        <w:t xml:space="preserve"> a</w:t>
      </w:r>
      <w:r>
        <w:t>re</w:t>
      </w:r>
      <w:r w:rsidR="009C4FD8">
        <w:t>:</w:t>
      </w:r>
    </w:p>
    <w:p w14:paraId="42B9D707" w14:textId="1691AED7" w:rsidR="009C72B8" w:rsidRDefault="00655C13" w:rsidP="00F527AB">
      <w:pPr>
        <w:pStyle w:val="3-BodyText"/>
        <w:keepNext/>
        <w:keepLines/>
        <w:numPr>
          <w:ilvl w:val="1"/>
          <w:numId w:val="16"/>
        </w:numPr>
        <w:ind w:left="1440"/>
      </w:pPr>
      <w:bookmarkStart w:id="52" w:name="_Hlk140073875"/>
      <w:r w:rsidRPr="007E4B31">
        <w:t>1</w:t>
      </w:r>
      <w:r w:rsidR="007C0364">
        <w:t xml:space="preserve"> </w:t>
      </w:r>
      <w:r w:rsidRPr="007E4B31">
        <w:t xml:space="preserve">mg of somatrogon </w:t>
      </w:r>
      <w:r w:rsidR="007C0364">
        <w:t>is</w:t>
      </w:r>
      <w:r w:rsidR="000F52F0" w:rsidRPr="007E4B31">
        <w:t xml:space="preserve"> equivalent to</w:t>
      </w:r>
      <w:r w:rsidRPr="007E4B31">
        <w:t xml:space="preserve"> 0.24</w:t>
      </w:r>
      <w:r w:rsidR="008D0572">
        <w:t>0</w:t>
      </w:r>
      <w:r w:rsidRPr="007E4B31">
        <w:t xml:space="preserve"> mg of </w:t>
      </w:r>
      <w:proofErr w:type="gramStart"/>
      <w:r w:rsidRPr="007E4B31">
        <w:t>somapacitan</w:t>
      </w:r>
      <w:proofErr w:type="gramEnd"/>
    </w:p>
    <w:p w14:paraId="3DC48F0E" w14:textId="6CE9A36B" w:rsidR="009C4FD8" w:rsidRPr="007E4B31" w:rsidRDefault="009C4FD8" w:rsidP="00F527AB">
      <w:pPr>
        <w:pStyle w:val="3-BodyText"/>
        <w:keepNext/>
        <w:keepLines/>
        <w:numPr>
          <w:ilvl w:val="1"/>
          <w:numId w:val="16"/>
        </w:numPr>
        <w:ind w:left="1440"/>
      </w:pPr>
      <w:bookmarkStart w:id="53" w:name="_Hlk140073766"/>
      <w:r>
        <w:t>1 mg of somatropin is equivalent to 0.6</w:t>
      </w:r>
      <w:r w:rsidR="00515741">
        <w:t>6</w:t>
      </w:r>
      <w:r>
        <w:t>5 mg of somapacitan</w:t>
      </w:r>
      <w:bookmarkEnd w:id="53"/>
      <w:r>
        <w:t>.</w:t>
      </w:r>
    </w:p>
    <w:bookmarkEnd w:id="52"/>
    <w:p w14:paraId="00FA9BD8" w14:textId="0DD1C9D7" w:rsidR="00C25E77" w:rsidRPr="007E4B31" w:rsidRDefault="009C72B8" w:rsidP="00C25E77">
      <w:pPr>
        <w:pStyle w:val="3-BodyText"/>
      </w:pPr>
      <w:r w:rsidRPr="007E4B31">
        <w:t xml:space="preserve">The PBAC </w:t>
      </w:r>
      <w:r w:rsidR="002A6DDC" w:rsidRPr="007E4B31">
        <w:t xml:space="preserve">noted that the consumer comments were supportive of making somapacitan available on the PBS, </w:t>
      </w:r>
      <w:r w:rsidR="004175B2">
        <w:t>and that they stated</w:t>
      </w:r>
      <w:r w:rsidR="00022C73">
        <w:t xml:space="preserve"> that </w:t>
      </w:r>
      <w:r w:rsidR="002A6DDC" w:rsidRPr="007E4B31">
        <w:t xml:space="preserve">weekly injections </w:t>
      </w:r>
      <w:r w:rsidR="00022C73">
        <w:t xml:space="preserve">have the potential to </w:t>
      </w:r>
      <w:r w:rsidR="002A6DDC" w:rsidRPr="007E4B31">
        <w:t>improve the quality of life for the paediatric population compared to the daily injections.</w:t>
      </w:r>
    </w:p>
    <w:p w14:paraId="70DF1E07" w14:textId="468FCF66" w:rsidR="00F8228D" w:rsidRPr="0045011D" w:rsidRDefault="002819EF" w:rsidP="0053538E">
      <w:pPr>
        <w:pStyle w:val="3-BodyText"/>
      </w:pPr>
      <w:r w:rsidRPr="007E4B31">
        <w:t>The PBAC noted that</w:t>
      </w:r>
      <w:r w:rsidR="00F8228D" w:rsidRPr="007E4B31">
        <w:t xml:space="preserve"> there was limited evidence to support the use of somapacitan in patients older than 11 years and </w:t>
      </w:r>
      <w:r w:rsidR="0053538E" w:rsidRPr="007E4B31">
        <w:t xml:space="preserve">those </w:t>
      </w:r>
      <w:r w:rsidR="00F8228D" w:rsidRPr="007E4B31">
        <w:t xml:space="preserve">who are post-puberty. </w:t>
      </w:r>
      <w:r w:rsidR="0053538E" w:rsidRPr="007E4B31">
        <w:t xml:space="preserve">However, as with </w:t>
      </w:r>
      <w:r w:rsidR="000C7A39">
        <w:t xml:space="preserve">the </w:t>
      </w:r>
      <w:r w:rsidR="0053538E" w:rsidRPr="007E4B31">
        <w:t>somatrogon listing (</w:t>
      </w:r>
      <w:r w:rsidR="0053538E" w:rsidRPr="007E4B31">
        <w:rPr>
          <w:rFonts w:cstheme="minorHAnsi"/>
        </w:rPr>
        <w:t xml:space="preserve">paragraph 7.6, somatrogon, PSD, March 2022 PBAC meeting), the PBAC considered that treatment should not </w:t>
      </w:r>
      <w:proofErr w:type="gramStart"/>
      <w:r w:rsidR="0053538E" w:rsidRPr="007E4B31">
        <w:rPr>
          <w:rFonts w:cstheme="minorHAnsi"/>
        </w:rPr>
        <w:t>be restricted</w:t>
      </w:r>
      <w:proofErr w:type="gramEnd"/>
      <w:r w:rsidR="0053538E" w:rsidRPr="007E4B31">
        <w:rPr>
          <w:rFonts w:cstheme="minorHAnsi"/>
        </w:rPr>
        <w:t xml:space="preserve"> </w:t>
      </w:r>
      <w:r w:rsidR="000C7A39">
        <w:rPr>
          <w:rFonts w:cstheme="minorHAnsi"/>
        </w:rPr>
        <w:t>to a</w:t>
      </w:r>
      <w:r w:rsidR="0053538E" w:rsidRPr="007E4B31">
        <w:rPr>
          <w:rFonts w:cstheme="minorHAnsi"/>
        </w:rPr>
        <w:t xml:space="preserve"> minimum age but rather, th</w:t>
      </w:r>
      <w:r w:rsidR="000C7A39">
        <w:rPr>
          <w:rFonts w:cstheme="minorHAnsi"/>
        </w:rPr>
        <w:t>at</w:t>
      </w:r>
      <w:r w:rsidR="0053538E" w:rsidRPr="007E4B31">
        <w:rPr>
          <w:rFonts w:cstheme="minorHAnsi"/>
        </w:rPr>
        <w:t xml:space="preserve"> eligibility based on bone age was reasonable.</w:t>
      </w:r>
    </w:p>
    <w:p w14:paraId="6CE2DC15" w14:textId="456BE775" w:rsidR="002A6DDC" w:rsidRPr="007E4B31" w:rsidRDefault="002A6DDC" w:rsidP="00C25E77">
      <w:pPr>
        <w:pStyle w:val="3-BodyText"/>
      </w:pPr>
      <w:r w:rsidRPr="007E4B31">
        <w:t xml:space="preserve">The PBAC considered that the nominated main comparator somatrogon (once-weekly dosing) and the secondary comparator somatropin (once-daily dosing) were reasonable, with both somatrogon and somatropin currently PBS-listed for paediatric GHD. </w:t>
      </w:r>
    </w:p>
    <w:p w14:paraId="4107B8DA" w14:textId="1BC98234" w:rsidR="0009673A" w:rsidRPr="007E4B31" w:rsidRDefault="003D4E1B" w:rsidP="002A5A0E">
      <w:pPr>
        <w:pStyle w:val="3-BodyText"/>
      </w:pPr>
      <w:r w:rsidRPr="007E4B31">
        <w:t xml:space="preserve">The PBAC noted that the comparison of somapacitan and </w:t>
      </w:r>
      <w:r w:rsidR="002A5A0E" w:rsidRPr="007E4B31">
        <w:t>somatropin was based on two head-to-head randomised controlled trials</w:t>
      </w:r>
      <w:r w:rsidR="0009673A" w:rsidRPr="007E4B31">
        <w:t xml:space="preserve"> (</w:t>
      </w:r>
      <w:r w:rsidR="002A5A0E" w:rsidRPr="007E4B31">
        <w:t xml:space="preserve">REAL-3 and REAL-4) </w:t>
      </w:r>
      <w:r w:rsidR="00022C73">
        <w:t>and that these trials</w:t>
      </w:r>
      <w:r w:rsidR="002A5A0E" w:rsidRPr="007E4B31">
        <w:t xml:space="preserve"> had </w:t>
      </w:r>
      <w:proofErr w:type="gramStart"/>
      <w:r w:rsidR="0045011D">
        <w:t xml:space="preserve">a </w:t>
      </w:r>
      <w:r w:rsidR="002A5A0E" w:rsidRPr="007E4B31">
        <w:t>low risk</w:t>
      </w:r>
      <w:proofErr w:type="gramEnd"/>
      <w:r w:rsidR="002A5A0E" w:rsidRPr="007E4B31">
        <w:t xml:space="preserve"> of bias.</w:t>
      </w:r>
      <w:r w:rsidR="0009673A" w:rsidRPr="007E4B31">
        <w:t xml:space="preserve"> </w:t>
      </w:r>
      <w:r w:rsidR="0045011D">
        <w:t>T</w:t>
      </w:r>
      <w:r w:rsidR="0009673A" w:rsidRPr="007E4B31">
        <w:t xml:space="preserve">he PBAC noted that the comparison of somapacitan and somatrogon was based on </w:t>
      </w:r>
      <w:r w:rsidR="007146F5">
        <w:t xml:space="preserve">a </w:t>
      </w:r>
      <w:r w:rsidR="0009673A" w:rsidRPr="007E4B31">
        <w:t>pairwise Bucher indirect treatment comparison (ITC) of the pooled data from REAL-3 and REAL</w:t>
      </w:r>
      <w:r w:rsidR="00832359">
        <w:t xml:space="preserve">- </w:t>
      </w:r>
      <w:r w:rsidR="0009673A" w:rsidRPr="007E4B31">
        <w:t xml:space="preserve">4 versus </w:t>
      </w:r>
      <w:r w:rsidR="00832359">
        <w:t>two</w:t>
      </w:r>
      <w:r w:rsidR="0009673A" w:rsidRPr="007E4B31">
        <w:t xml:space="preserve"> head-to-head RCTs comparing somatrogon to somatropin (Opko II, Opko III</w:t>
      </w:r>
      <w:r w:rsidR="00832359">
        <w:t xml:space="preserve">), with </w:t>
      </w:r>
      <w:r w:rsidR="0009673A" w:rsidRPr="007E4B31">
        <w:t>Opko JPN</w:t>
      </w:r>
      <w:r w:rsidR="00832359">
        <w:t xml:space="preserve"> being reasonably excluded from the </w:t>
      </w:r>
      <w:r w:rsidR="0009673A" w:rsidRPr="007E4B31">
        <w:t xml:space="preserve">meta-analysis/ITC due to the somatropin dose being lower than </w:t>
      </w:r>
      <w:r w:rsidR="007146F5">
        <w:t xml:space="preserve">the dose used in </w:t>
      </w:r>
      <w:r w:rsidR="0009673A" w:rsidRPr="007E4B31">
        <w:t>the other trials (0.025</w:t>
      </w:r>
      <w:r w:rsidR="007A6A50">
        <w:t xml:space="preserve"> </w:t>
      </w:r>
      <w:r w:rsidR="0009673A" w:rsidRPr="007E4B31">
        <w:t>mg vs 0.034 mg/kg/day, respectively).</w:t>
      </w:r>
    </w:p>
    <w:p w14:paraId="57018DB0" w14:textId="348411E8" w:rsidR="002A6DDC" w:rsidRPr="007E4B31" w:rsidRDefault="00D32C1F" w:rsidP="002A5A0E">
      <w:pPr>
        <w:pStyle w:val="3-BodyText"/>
      </w:pPr>
      <w:r w:rsidRPr="007E4B31">
        <w:t>The PBAC noted that, b</w:t>
      </w:r>
      <w:r w:rsidR="002A5A0E" w:rsidRPr="007E4B31">
        <w:t xml:space="preserve">ased on </w:t>
      </w:r>
      <w:r w:rsidR="004621A9">
        <w:t xml:space="preserve">the results from </w:t>
      </w:r>
      <w:r w:rsidR="002A5A0E" w:rsidRPr="007E4B31">
        <w:t>REAL-3,</w:t>
      </w:r>
      <w:r w:rsidRPr="007E4B31">
        <w:t xml:space="preserve"> at year 3, </w:t>
      </w:r>
      <w:r w:rsidR="007A6A50">
        <w:t xml:space="preserve">patients treated with </w:t>
      </w:r>
      <w:r w:rsidR="002A5A0E" w:rsidRPr="007E4B31">
        <w:t>somapacitan (0.16</w:t>
      </w:r>
      <w:r w:rsidR="007A6A50">
        <w:t xml:space="preserve"> </w:t>
      </w:r>
      <w:r w:rsidR="002A5A0E" w:rsidRPr="007E4B31">
        <w:t xml:space="preserve">mg/kg/week) </w:t>
      </w:r>
      <w:r w:rsidR="007A6A50">
        <w:t>ha</w:t>
      </w:r>
      <w:r w:rsidR="002A5A0E" w:rsidRPr="007E4B31">
        <w:t>d</w:t>
      </w:r>
      <w:r w:rsidR="007A6A50">
        <w:t xml:space="preserve"> a</w:t>
      </w:r>
      <w:r w:rsidR="002A5A0E" w:rsidRPr="007E4B31">
        <w:t xml:space="preserve"> similar change in height velocity standard deviation score (SDS) </w:t>
      </w:r>
      <w:r w:rsidR="007A6A50">
        <w:t xml:space="preserve">from baseline, </w:t>
      </w:r>
      <w:r w:rsidR="002A5A0E" w:rsidRPr="007E4B31">
        <w:t>as well as change in height SDS from baseline, compared to the daily somatropin injections (0.034</w:t>
      </w:r>
      <w:r w:rsidR="007A6A50">
        <w:t xml:space="preserve"> </w:t>
      </w:r>
      <w:r w:rsidR="002A5A0E" w:rsidRPr="007E4B31">
        <w:t>mg/kg/d</w:t>
      </w:r>
      <w:r w:rsidR="007A6A50">
        <w:t>ay</w:t>
      </w:r>
      <w:r w:rsidR="002A5A0E" w:rsidRPr="007E4B31">
        <w:t>).</w:t>
      </w:r>
      <w:r w:rsidR="00D9561A" w:rsidRPr="007E4B31">
        <w:t xml:space="preserve"> </w:t>
      </w:r>
      <w:r w:rsidRPr="007E4B31">
        <w:t xml:space="preserve">The PBAC further acknowledged that </w:t>
      </w:r>
      <w:r w:rsidR="007A6A50">
        <w:t xml:space="preserve">a </w:t>
      </w:r>
      <w:r w:rsidRPr="007E4B31">
        <w:t xml:space="preserve">comparable height velocity increase </w:t>
      </w:r>
      <w:proofErr w:type="gramStart"/>
      <w:r w:rsidRPr="007E4B31">
        <w:t>was observed</w:t>
      </w:r>
      <w:proofErr w:type="gramEnd"/>
      <w:r w:rsidRPr="007E4B31">
        <w:t xml:space="preserve"> for somapacitan and</w:t>
      </w:r>
      <w:r w:rsidR="00D532A1" w:rsidRPr="007E4B31">
        <w:t xml:space="preserve"> for</w:t>
      </w:r>
      <w:r w:rsidRPr="007E4B31">
        <w:t xml:space="preserve"> somatropin in REAL-4 at 52 weeks. </w:t>
      </w:r>
      <w:r w:rsidR="00D532A1" w:rsidRPr="007E4B31">
        <w:t xml:space="preserve">Based on </w:t>
      </w:r>
      <w:r w:rsidR="007A6A50">
        <w:t xml:space="preserve">the results from </w:t>
      </w:r>
      <w:r w:rsidR="00D532A1" w:rsidRPr="007E4B31">
        <w:t>REAL-3 and REAL-4, the</w:t>
      </w:r>
      <w:r w:rsidR="00D9561A" w:rsidRPr="007E4B31">
        <w:t xml:space="preserve"> PBAC </w:t>
      </w:r>
      <w:r w:rsidR="00D532A1" w:rsidRPr="007E4B31">
        <w:t>considered that</w:t>
      </w:r>
      <w:r w:rsidR="00D9561A" w:rsidRPr="007E4B31">
        <w:t xml:space="preserve"> the lower bound 95% CI for the mean </w:t>
      </w:r>
      <w:r w:rsidR="00D9561A" w:rsidRPr="007E4B31">
        <w:lastRenderedPageBreak/>
        <w:t xml:space="preserve">difference in annualised HV fell within the prespecified </w:t>
      </w:r>
      <w:r w:rsidR="00D9561A" w:rsidRPr="007E4B31">
        <w:noBreakHyphen/>
        <w:t xml:space="preserve">1.8 cm/year non-inferiority margin, supporting </w:t>
      </w:r>
      <w:r w:rsidR="000B3BC8" w:rsidRPr="007E4B31">
        <w:t xml:space="preserve">the claim of </w:t>
      </w:r>
      <w:r w:rsidR="00D9561A" w:rsidRPr="007E4B31">
        <w:t>non-inferiority.</w:t>
      </w:r>
    </w:p>
    <w:p w14:paraId="2A5F3EF6" w14:textId="5EAF7CBC" w:rsidR="00DA5F7D" w:rsidRPr="007E4B31" w:rsidRDefault="00DA5F7D" w:rsidP="00DA5F7D">
      <w:pPr>
        <w:pStyle w:val="3-BodyText"/>
      </w:pPr>
      <w:r w:rsidRPr="007E4B31">
        <w:t>The</w:t>
      </w:r>
      <w:r w:rsidR="002A5A0E" w:rsidRPr="007E4B31">
        <w:t xml:space="preserve"> PBAC </w:t>
      </w:r>
      <w:r w:rsidR="00CD0D89" w:rsidRPr="007E4B31">
        <w:t>noted that the</w:t>
      </w:r>
      <w:r w:rsidRPr="007E4B31">
        <w:t xml:space="preserve"> ITC</w:t>
      </w:r>
      <w:r w:rsidR="00CD0D89" w:rsidRPr="007E4B31">
        <w:t xml:space="preserve"> of</w:t>
      </w:r>
      <w:r w:rsidRPr="007E4B31">
        <w:t xml:space="preserve"> height velocity between</w:t>
      </w:r>
      <w:r w:rsidR="00CD0D89" w:rsidRPr="007E4B31">
        <w:t xml:space="preserve"> somapacitan </w:t>
      </w:r>
      <w:r w:rsidRPr="007E4B31">
        <w:t>and somatrogon based on the meta-analysis of REAL-3 and REAL-4 v</w:t>
      </w:r>
      <w:r w:rsidR="00B25A02">
        <w:t>ersu</w:t>
      </w:r>
      <w:r w:rsidRPr="007E4B31">
        <w:t xml:space="preserve">s Opko II and OpKo III, demonstrated non-inferiority </w:t>
      </w:r>
      <w:r w:rsidR="00B25A02">
        <w:t xml:space="preserve">based on the results of the </w:t>
      </w:r>
      <w:r w:rsidR="000D6C20">
        <w:t>fixed effects</w:t>
      </w:r>
      <w:r w:rsidR="000D6C20" w:rsidRPr="007E4B31">
        <w:t xml:space="preserve"> </w:t>
      </w:r>
      <w:r w:rsidRPr="007E4B31">
        <w:t xml:space="preserve">model (lower 95% CI -1.11) but not when the </w:t>
      </w:r>
      <w:r w:rsidR="000D6C20">
        <w:t>random effects</w:t>
      </w:r>
      <w:r w:rsidR="000D6C20" w:rsidRPr="007E4B31">
        <w:t xml:space="preserve"> </w:t>
      </w:r>
      <w:r w:rsidRPr="007E4B31">
        <w:t xml:space="preserve">model (lower 95% CI -2.01) was </w:t>
      </w:r>
      <w:r w:rsidR="00B25A02">
        <w:t>used</w:t>
      </w:r>
      <w:r w:rsidRPr="007E4B31">
        <w:t xml:space="preserve">. However, the PBAC </w:t>
      </w:r>
      <w:r w:rsidR="007C0364">
        <w:t>considered</w:t>
      </w:r>
      <w:r w:rsidRPr="007E4B31">
        <w:t xml:space="preserve"> somapacitan was likely to be non-inferior in efficacy to somatrogon given that somatrogon </w:t>
      </w:r>
      <w:proofErr w:type="gramStart"/>
      <w:r w:rsidRPr="007E4B31">
        <w:t>was considered</w:t>
      </w:r>
      <w:proofErr w:type="gramEnd"/>
      <w:r w:rsidRPr="007E4B31">
        <w:t xml:space="preserve"> non-inferior to somatropin, and that somapacitan was also non-inferior to somatropin based on the direct trial results from REAL-3 and REAL-4. </w:t>
      </w:r>
    </w:p>
    <w:p w14:paraId="72863BD9" w14:textId="7D39B777" w:rsidR="007D11DD" w:rsidRPr="007E4B31" w:rsidRDefault="007D11DD" w:rsidP="00DA5F7D">
      <w:pPr>
        <w:pStyle w:val="3-BodyText"/>
      </w:pPr>
      <w:r w:rsidRPr="007E4B31">
        <w:t xml:space="preserve">The PBAC noted that patient reported outcomes (TRIM-CGHD-O, TB-CGHD-O, and TB-CGHD-P) </w:t>
      </w:r>
      <w:r w:rsidR="004621A9">
        <w:t>from</w:t>
      </w:r>
      <w:r w:rsidRPr="007E4B31">
        <w:t xml:space="preserve"> REAL-3 and REAL-4 were similar between somapacitan and somatropin and considered that the</w:t>
      </w:r>
      <w:r w:rsidR="002C7B09">
        <w:t xml:space="preserve"> </w:t>
      </w:r>
      <w:proofErr w:type="gramStart"/>
      <w:r w:rsidR="000D6C20">
        <w:t>quality of life</w:t>
      </w:r>
      <w:proofErr w:type="gramEnd"/>
      <w:r w:rsidR="000D6C20" w:rsidRPr="007E4B31">
        <w:t xml:space="preserve"> </w:t>
      </w:r>
      <w:r w:rsidRPr="007E4B31">
        <w:t xml:space="preserve">benefits would likely </w:t>
      </w:r>
      <w:r w:rsidR="004621A9">
        <w:t xml:space="preserve">be </w:t>
      </w:r>
      <w:r w:rsidRPr="007E4B31">
        <w:t>similar between the daily and weekly injectables.</w:t>
      </w:r>
    </w:p>
    <w:p w14:paraId="76A2CAE0" w14:textId="3BA66E0A" w:rsidR="007C66B3" w:rsidRDefault="007C66B3" w:rsidP="007C66B3">
      <w:pPr>
        <w:pStyle w:val="3-BodyText"/>
      </w:pPr>
      <w:r w:rsidRPr="007E4B31">
        <w:t>The PBAC</w:t>
      </w:r>
      <w:r w:rsidR="0037065A" w:rsidRPr="007E4B31">
        <w:t xml:space="preserve"> </w:t>
      </w:r>
      <w:r w:rsidR="007C0364">
        <w:t>note</w:t>
      </w:r>
      <w:r w:rsidR="0037065A" w:rsidRPr="007E4B31">
        <w:t xml:space="preserve">d that there was </w:t>
      </w:r>
      <w:r w:rsidR="00242D67">
        <w:t>a similar</w:t>
      </w:r>
      <w:r w:rsidR="0037065A" w:rsidRPr="007E4B31">
        <w:t xml:space="preserve"> distribution of adverse events among the treatment groups in all trials, and there were no discernible variations in </w:t>
      </w:r>
      <w:r w:rsidR="000F52F0" w:rsidRPr="007E4B31">
        <w:t>adverse</w:t>
      </w:r>
      <w:r w:rsidR="0037065A" w:rsidRPr="007E4B31">
        <w:t xml:space="preserve"> events that resulted in </w:t>
      </w:r>
      <w:r w:rsidR="000F52F0" w:rsidRPr="007E4B31">
        <w:t>discontinuation</w:t>
      </w:r>
      <w:r w:rsidRPr="007E4B31">
        <w:t xml:space="preserve">. </w:t>
      </w:r>
      <w:r w:rsidR="00C07904">
        <w:t>The PBAC noted that f</w:t>
      </w:r>
      <w:r w:rsidRPr="007E4B31">
        <w:t xml:space="preserve">or example, </w:t>
      </w:r>
      <w:r w:rsidR="00F54BBA">
        <w:t xml:space="preserve">while </w:t>
      </w:r>
      <w:r w:rsidRPr="007E4B31">
        <w:t xml:space="preserve">27/132 (21%) </w:t>
      </w:r>
      <w:r w:rsidR="00F54BBA">
        <w:t xml:space="preserve">of </w:t>
      </w:r>
      <w:r w:rsidRPr="007E4B31">
        <w:t>patients in the somapacitan arm and 11/68 (16%) patients in the somatropin arm experienced treatment related AEs</w:t>
      </w:r>
      <w:r w:rsidR="00F54BBA">
        <w:t xml:space="preserve"> in REAL-4</w:t>
      </w:r>
      <w:r w:rsidRPr="007E4B31">
        <w:t xml:space="preserve">, </w:t>
      </w:r>
      <w:r w:rsidR="00242D67">
        <w:t xml:space="preserve">there were no </w:t>
      </w:r>
      <w:r w:rsidRPr="007E4B31">
        <w:t>discontinuation</w:t>
      </w:r>
      <w:r w:rsidR="00242D67">
        <w:t>s</w:t>
      </w:r>
      <w:r w:rsidRPr="007E4B31">
        <w:t xml:space="preserve"> in this trial. The PBAC</w:t>
      </w:r>
      <w:r w:rsidR="007D11DD" w:rsidRPr="007E4B31">
        <w:t xml:space="preserve"> </w:t>
      </w:r>
      <w:r w:rsidRPr="007E4B31">
        <w:t>consider</w:t>
      </w:r>
      <w:r w:rsidR="007D11DD" w:rsidRPr="007E4B31">
        <w:t>ed</w:t>
      </w:r>
      <w:r w:rsidRPr="007E4B31">
        <w:t xml:space="preserve"> that </w:t>
      </w:r>
      <w:r w:rsidR="00242D67">
        <w:t>the claim of</w:t>
      </w:r>
      <w:r w:rsidRPr="007E4B31">
        <w:t xml:space="preserve"> non-inferior safety compared to somatrogon and somatropin was </w:t>
      </w:r>
      <w:proofErr w:type="gramStart"/>
      <w:r w:rsidRPr="007E4B31">
        <w:t>reasonable</w:t>
      </w:r>
      <w:proofErr w:type="gramEnd"/>
      <w:r w:rsidRPr="007E4B31">
        <w:t xml:space="preserve"> </w:t>
      </w:r>
    </w:p>
    <w:p w14:paraId="52CCB46C" w14:textId="70E70A24" w:rsidR="00843D5A" w:rsidRPr="007E4B31" w:rsidRDefault="00843D5A" w:rsidP="00A71AF1">
      <w:pPr>
        <w:pStyle w:val="3-BodyText"/>
      </w:pPr>
      <w:r w:rsidRPr="007E4B31">
        <w:t>The PBAC noted th</w:t>
      </w:r>
      <w:r w:rsidR="007D11DD" w:rsidRPr="007E4B31">
        <w:t>at</w:t>
      </w:r>
      <w:r w:rsidR="002C1A6C" w:rsidRPr="007E4B31">
        <w:t xml:space="preserve"> to account for</w:t>
      </w:r>
      <w:r w:rsidRPr="007E4B31">
        <w:t xml:space="preserve"> </w:t>
      </w:r>
      <w:r w:rsidR="00C07904">
        <w:t xml:space="preserve">a </w:t>
      </w:r>
      <w:r w:rsidRPr="007E4B31">
        <w:t xml:space="preserve">1% lower mean somatropin dose used in REAL-4 (0.159 mg/kg/week for somapacitan </w:t>
      </w:r>
      <w:r w:rsidR="00DC4AEA">
        <w:t xml:space="preserve">and </w:t>
      </w:r>
      <w:r w:rsidRPr="007E4B31">
        <w:t>0.239 mg/kg/week for somatropin) compared to Opko III (0.655 mg/kg/week for somatrogon and 0.237 mg/kg/week for somatropin)</w:t>
      </w:r>
      <w:r w:rsidR="002C1A6C" w:rsidRPr="007E4B31">
        <w:t>,</w:t>
      </w:r>
      <w:r w:rsidRPr="007E4B31">
        <w:t xml:space="preserve"> the submission </w:t>
      </w:r>
      <w:r w:rsidR="00242D67">
        <w:t>reduced</w:t>
      </w:r>
      <w:r w:rsidR="00242D67" w:rsidRPr="007E4B31">
        <w:t xml:space="preserve"> </w:t>
      </w:r>
      <w:r w:rsidRPr="007E4B31">
        <w:t>the mean somapacitan dose in REAL-4</w:t>
      </w:r>
      <w:r w:rsidR="00242D67">
        <w:t xml:space="preserve"> by 1%</w:t>
      </w:r>
      <w:r w:rsidRPr="007E4B31">
        <w:t xml:space="preserve"> (i.e., an adjustment of the dose from 0.159 to 0.157 mg/kg/week) in </w:t>
      </w:r>
      <w:r w:rsidR="00C07904">
        <w:t xml:space="preserve">its calculation of </w:t>
      </w:r>
      <w:r w:rsidRPr="007E4B31">
        <w:t xml:space="preserve">the equi-effective doses. </w:t>
      </w:r>
      <w:r w:rsidR="007D11DD" w:rsidRPr="007E4B31">
        <w:t>This resulted in</w:t>
      </w:r>
      <w:r w:rsidR="002C1A6C" w:rsidRPr="007E4B31">
        <w:t xml:space="preserve"> the weekly dose relativity </w:t>
      </w:r>
      <w:r w:rsidR="00CB7501" w:rsidRPr="007E4B31">
        <w:t>as</w:t>
      </w:r>
      <w:r w:rsidR="002C1A6C" w:rsidRPr="007E4B31">
        <w:t xml:space="preserve"> 1 mg somatrogon</w:t>
      </w:r>
      <w:r w:rsidR="00DC4AEA">
        <w:t xml:space="preserve"> (0.655 mg/kg/week)</w:t>
      </w:r>
      <w:r w:rsidR="002C1A6C" w:rsidRPr="007E4B31">
        <w:t xml:space="preserve"> being equal to 0.240 mg of somapacitan</w:t>
      </w:r>
      <w:r w:rsidR="00DC4AEA">
        <w:t xml:space="preserve"> (0.157 mg/kg/week)</w:t>
      </w:r>
      <w:r w:rsidR="002C1A6C" w:rsidRPr="007E4B31">
        <w:t xml:space="preserve"> and 1</w:t>
      </w:r>
      <w:r w:rsidR="00C07904">
        <w:t xml:space="preserve"> </w:t>
      </w:r>
      <w:r w:rsidR="002C1A6C" w:rsidRPr="007E4B31">
        <w:t>mg somatropin</w:t>
      </w:r>
      <w:r w:rsidR="00DC4AEA">
        <w:t xml:space="preserve"> (0.239 mg/kg/week)</w:t>
      </w:r>
      <w:r w:rsidR="002C1A6C" w:rsidRPr="007E4B31">
        <w:t xml:space="preserve"> </w:t>
      </w:r>
      <w:r w:rsidR="007D11DD" w:rsidRPr="007E4B31">
        <w:t>being equivalent to</w:t>
      </w:r>
      <w:r w:rsidR="002C1A6C" w:rsidRPr="007E4B31">
        <w:t xml:space="preserve"> 0.665 mg of somapacitan</w:t>
      </w:r>
      <w:r w:rsidR="00DC4AEA">
        <w:t xml:space="preserve"> (0.159 mg/kg/week)</w:t>
      </w:r>
      <w:r w:rsidR="002C1A6C" w:rsidRPr="007E4B31">
        <w:t xml:space="preserve"> respectively</w:t>
      </w:r>
      <w:proofErr w:type="gramStart"/>
      <w:r w:rsidR="002C1A6C" w:rsidRPr="007E4B31">
        <w:t xml:space="preserve">.  </w:t>
      </w:r>
      <w:proofErr w:type="gramEnd"/>
      <w:r w:rsidRPr="007E4B31">
        <w:t xml:space="preserve">The PBAC </w:t>
      </w:r>
      <w:r w:rsidR="00C07904">
        <w:t>considered that</w:t>
      </w:r>
      <w:r w:rsidR="002C1A6C" w:rsidRPr="007E4B31">
        <w:t xml:space="preserve"> </w:t>
      </w:r>
      <w:r w:rsidR="00C07904">
        <w:t xml:space="preserve">the </w:t>
      </w:r>
      <w:r w:rsidR="008D0572">
        <w:t>submission’s approach was reasonable.</w:t>
      </w:r>
    </w:p>
    <w:p w14:paraId="781B6740" w14:textId="2966A30B" w:rsidR="002C1A6C" w:rsidRPr="007E4B31" w:rsidRDefault="002C1A6C" w:rsidP="00655C13">
      <w:pPr>
        <w:pStyle w:val="3-BodyText"/>
      </w:pPr>
      <w:r w:rsidRPr="007E4B31">
        <w:t xml:space="preserve">The PBAC </w:t>
      </w:r>
      <w:r w:rsidR="007C0364">
        <w:t>considered that the</w:t>
      </w:r>
      <w:r w:rsidR="00655C13" w:rsidRPr="007E4B31">
        <w:t xml:space="preserve"> 5 mg </w:t>
      </w:r>
      <w:r w:rsidR="007C0364">
        <w:t xml:space="preserve">strength for somatropin should </w:t>
      </w:r>
      <w:proofErr w:type="gramStart"/>
      <w:r w:rsidR="007C0364">
        <w:t>be included</w:t>
      </w:r>
      <w:proofErr w:type="gramEnd"/>
      <w:r w:rsidR="007C0364">
        <w:t xml:space="preserve"> </w:t>
      </w:r>
      <w:r w:rsidR="00655C13" w:rsidRPr="007E4B31">
        <w:t xml:space="preserve">in the </w:t>
      </w:r>
      <w:r w:rsidR="007C0364">
        <w:t>CMA</w:t>
      </w:r>
      <w:r w:rsidR="00AF3C16">
        <w:t>.</w:t>
      </w:r>
      <w:r w:rsidRPr="007E4B31">
        <w:t xml:space="preserve"> </w:t>
      </w:r>
    </w:p>
    <w:p w14:paraId="7EF02B0E" w14:textId="77777777" w:rsidR="00CE595F" w:rsidRPr="00CE595F" w:rsidRDefault="00CE595F" w:rsidP="00CE595F">
      <w:pPr>
        <w:pStyle w:val="3-BodyText"/>
      </w:pPr>
      <w:r w:rsidRPr="00CE595F">
        <w:t xml:space="preserve">The PBAC considered the market share approach used to derive the utilisation and financial estimates and the structure of the estimates model were </w:t>
      </w:r>
      <w:proofErr w:type="gramStart"/>
      <w:r w:rsidRPr="00CE595F">
        <w:t>reliable</w:t>
      </w:r>
      <w:proofErr w:type="gramEnd"/>
      <w:r w:rsidRPr="00CE595F">
        <w:t xml:space="preserve"> for decision-making. </w:t>
      </w:r>
    </w:p>
    <w:p w14:paraId="49064A3D" w14:textId="618999C3" w:rsidR="00061F29" w:rsidRPr="007E4B31" w:rsidRDefault="00061F29" w:rsidP="00061F29">
      <w:pPr>
        <w:pStyle w:val="3-BodyText"/>
      </w:pPr>
      <w:r w:rsidRPr="007E4B31">
        <w:t xml:space="preserve">The PBAC considered </w:t>
      </w:r>
      <w:r w:rsidR="008F0A8C" w:rsidRPr="007E4B31">
        <w:t xml:space="preserve">it was reasonable for </w:t>
      </w:r>
      <w:r w:rsidR="000D7CDF">
        <w:t xml:space="preserve">the </w:t>
      </w:r>
      <w:r w:rsidR="008F0A8C" w:rsidRPr="007E4B31">
        <w:t>somapacitan</w:t>
      </w:r>
      <w:r w:rsidR="00237FA3">
        <w:t>’s</w:t>
      </w:r>
      <w:r w:rsidR="008F0A8C" w:rsidRPr="007E4B31">
        <w:t xml:space="preserve"> </w:t>
      </w:r>
      <w:r w:rsidR="00237FA3">
        <w:t xml:space="preserve">PBS eligibility criteria </w:t>
      </w:r>
      <w:r w:rsidR="008F0A8C" w:rsidRPr="007E4B31">
        <w:t xml:space="preserve">to be </w:t>
      </w:r>
      <w:r w:rsidRPr="007E4B31">
        <w:t>identical to th</w:t>
      </w:r>
      <w:r w:rsidR="000D7CDF">
        <w:t>e listings</w:t>
      </w:r>
      <w:r w:rsidRPr="007E4B31">
        <w:t xml:space="preserve"> for somatrogon, for initial, continuing, grandfathering treatment, as well as recommencement of treatment, recommencement of treatment </w:t>
      </w:r>
      <w:r w:rsidRPr="007E4B31">
        <w:lastRenderedPageBreak/>
        <w:t>as a reclassified patient, change of drug and continuing treatment as a reclassified patient</w:t>
      </w:r>
      <w:r w:rsidR="008F0A8C" w:rsidRPr="007E4B31">
        <w:t>.</w:t>
      </w:r>
    </w:p>
    <w:p w14:paraId="30018140" w14:textId="08194C49" w:rsidR="00901564" w:rsidRPr="006C5A0B" w:rsidRDefault="00061F29" w:rsidP="006C5A0B">
      <w:pPr>
        <w:pStyle w:val="3-BodyText"/>
      </w:pPr>
      <w:r w:rsidRPr="007E4B31">
        <w:t xml:space="preserve">The PBAC considered that </w:t>
      </w:r>
      <w:r w:rsidR="00590B41">
        <w:t>specification of</w:t>
      </w:r>
      <w:r w:rsidRPr="007E4B31">
        <w:t xml:space="preserve"> a minimum age restriction in the requested restriction for somapacitan</w:t>
      </w:r>
      <w:r w:rsidR="00590B41">
        <w:t xml:space="preserve"> </w:t>
      </w:r>
      <w:proofErr w:type="gramStart"/>
      <w:r w:rsidR="00590B41">
        <w:t>was not required</w:t>
      </w:r>
      <w:proofErr w:type="gramEnd"/>
      <w:r w:rsidRPr="007E4B31">
        <w:t xml:space="preserve">, </w:t>
      </w:r>
      <w:r w:rsidR="00590B41">
        <w:t>and that this would be</w:t>
      </w:r>
      <w:r w:rsidRPr="007E4B31">
        <w:t xml:space="preserve"> consistent with the </w:t>
      </w:r>
      <w:r w:rsidR="00590B41">
        <w:t xml:space="preserve">listing for </w:t>
      </w:r>
      <w:r w:rsidRPr="007E4B31">
        <w:t>somatrogon.</w:t>
      </w:r>
    </w:p>
    <w:p w14:paraId="534710C8" w14:textId="21ABAD7C" w:rsidR="00E4154F" w:rsidRPr="007E4B31" w:rsidRDefault="00E4154F" w:rsidP="000F52F0">
      <w:pPr>
        <w:pStyle w:val="3-BodyText"/>
      </w:pPr>
      <w:r w:rsidRPr="007E4B31">
        <w:t>The PBAC noted that its recommendation was on a cost-minimisation basis and advised that, because somapacitan is not expected to provide a substantial and clinically relevant improvement in efficacy, or reduction of toxicity, over somatropin and somatrogon, or not expected to address a high and urgent unmet clinical need given the presence of an alternative therapy, the criteria prescribed by the National Health (Pharmaceuticals and Vaccines – Cost Recovery) Regulations 2022 for Pricing Pathway A were not met.</w:t>
      </w:r>
    </w:p>
    <w:p w14:paraId="60522E11" w14:textId="77777777" w:rsidR="007E4B31" w:rsidRPr="007E4B31" w:rsidRDefault="007E4B31" w:rsidP="007E4B31">
      <w:pPr>
        <w:pStyle w:val="3-BodyText"/>
        <w:rPr>
          <w:lang w:val="en-GB"/>
        </w:rPr>
      </w:pPr>
      <w:r w:rsidRPr="007E4B31">
        <w:t>The PBAC noted that this submission is not eligible for an Independent Review, as it received a positive recommendation.</w:t>
      </w:r>
      <w:r w:rsidRPr="007E4B31">
        <w:rPr>
          <w:lang w:val="en-GB"/>
        </w:rPr>
        <w:t xml:space="preserve"> </w:t>
      </w:r>
    </w:p>
    <w:p w14:paraId="522B4064" w14:textId="77777777" w:rsidR="007E4B31" w:rsidRPr="007E4B31" w:rsidRDefault="007E4B31" w:rsidP="007E4B31">
      <w:pPr>
        <w:pStyle w:val="3-BodyText"/>
        <w:numPr>
          <w:ilvl w:val="0"/>
          <w:numId w:val="0"/>
        </w:numPr>
        <w:ind w:left="720"/>
      </w:pPr>
    </w:p>
    <w:p w14:paraId="4BA050A8" w14:textId="59B095AB" w:rsidR="00061F29" w:rsidRPr="007E4B31" w:rsidRDefault="00651884" w:rsidP="008F5B58">
      <w:pPr>
        <w:pStyle w:val="3-BodyText"/>
        <w:numPr>
          <w:ilvl w:val="0"/>
          <w:numId w:val="0"/>
        </w:numPr>
        <w:rPr>
          <w:b/>
          <w:bCs/>
        </w:rPr>
      </w:pPr>
      <w:r w:rsidRPr="007E4B31">
        <w:rPr>
          <w:b/>
          <w:bCs/>
        </w:rPr>
        <w:t>Outcome:</w:t>
      </w:r>
    </w:p>
    <w:p w14:paraId="5C665129" w14:textId="6E5E4451" w:rsidR="00651884" w:rsidRPr="007E4B31" w:rsidRDefault="0037065A" w:rsidP="00651884">
      <w:pPr>
        <w:pStyle w:val="3-BodyText"/>
        <w:numPr>
          <w:ilvl w:val="0"/>
          <w:numId w:val="0"/>
        </w:numPr>
      </w:pPr>
      <w:r w:rsidRPr="007E4B31">
        <w:t>Recommended</w:t>
      </w:r>
    </w:p>
    <w:p w14:paraId="2337D404" w14:textId="32087A67" w:rsidR="000F52F0" w:rsidRPr="007E4B31" w:rsidRDefault="000F52F0" w:rsidP="007E4B31">
      <w:pPr>
        <w:pStyle w:val="2-SectionHeading"/>
      </w:pPr>
      <w:bookmarkStart w:id="54" w:name="_Toc134493595"/>
      <w:r w:rsidRPr="007E4B31">
        <w:t xml:space="preserve">Recommended </w:t>
      </w:r>
      <w:proofErr w:type="gramStart"/>
      <w:r w:rsidRPr="007E4B31">
        <w:t>listing</w:t>
      </w:r>
      <w:proofErr w:type="gramEnd"/>
      <w:r w:rsidRPr="007E4B31">
        <w:t xml:space="preserve"> </w:t>
      </w:r>
    </w:p>
    <w:p w14:paraId="0BA18DCA" w14:textId="7BE4F7B4" w:rsidR="00685ED6" w:rsidRDefault="00685ED6" w:rsidP="00685ED6">
      <w:pPr>
        <w:pStyle w:val="3-BodyText"/>
        <w:rPr>
          <w:shd w:val="clear" w:color="auto" w:fill="FFFFFF"/>
        </w:rPr>
      </w:pPr>
      <w:bookmarkStart w:id="55" w:name="_Ref120818688"/>
      <w:bookmarkStart w:id="56" w:name="_Toc127344362"/>
      <w:bookmarkEnd w:id="54"/>
      <w:r w:rsidRPr="009E6DE3">
        <w:rPr>
          <w:shd w:val="clear" w:color="auto" w:fill="FFFFFF"/>
        </w:rPr>
        <w:t>Add new medicinal product (somapacitan) as follows:</w:t>
      </w:r>
    </w:p>
    <w:p w14:paraId="6B5D7882" w14:textId="77777777" w:rsidR="00685ED6" w:rsidRPr="009E6DE3" w:rsidRDefault="00685ED6" w:rsidP="00685ED6">
      <w:pPr>
        <w:pStyle w:val="3-BodyText"/>
        <w:numPr>
          <w:ilvl w:val="0"/>
          <w:numId w:val="0"/>
        </w:numPr>
        <w:ind w:left="720"/>
        <w:rPr>
          <w:shd w:val="clear" w:color="auto" w:fill="FFFFFF"/>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418"/>
        <w:gridCol w:w="992"/>
        <w:gridCol w:w="851"/>
        <w:gridCol w:w="992"/>
        <w:gridCol w:w="992"/>
      </w:tblGrid>
      <w:tr w:rsidR="00685ED6" w14:paraId="58B16222" w14:textId="77777777" w:rsidTr="008A5ACA">
        <w:trPr>
          <w:cantSplit/>
          <w:trHeight w:val="471"/>
        </w:trPr>
        <w:tc>
          <w:tcPr>
            <w:tcW w:w="9209" w:type="dxa"/>
            <w:gridSpan w:val="6"/>
          </w:tcPr>
          <w:p w14:paraId="4FC92738" w14:textId="77777777" w:rsidR="00685ED6" w:rsidRPr="003D201F" w:rsidRDefault="00685ED6" w:rsidP="008A5ACA">
            <w:pPr>
              <w:ind w:left="-57"/>
              <w:rPr>
                <w:rFonts w:ascii="Arial Narrow" w:hAnsi="Arial Narrow"/>
                <w:sz w:val="18"/>
                <w:szCs w:val="18"/>
              </w:rPr>
            </w:pPr>
            <w:bookmarkStart w:id="57" w:name="_Hlk140502853"/>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Section 100 – </w:t>
            </w:r>
            <w:r>
              <w:rPr>
                <w:rFonts w:ascii="Arial Narrow" w:hAnsi="Arial Narrow"/>
                <w:sz w:val="18"/>
                <w:szCs w:val="18"/>
              </w:rPr>
              <w:t>Growth Hormone Program</w:t>
            </w:r>
          </w:p>
          <w:p w14:paraId="72F268F5" w14:textId="77777777" w:rsidR="00685ED6" w:rsidRDefault="00685ED6" w:rsidP="008A5ACA">
            <w:pPr>
              <w:keepNext/>
              <w:rPr>
                <w:rFonts w:ascii="Arial Narrow" w:hAnsi="Arial Narrow"/>
                <w:b/>
                <w:sz w:val="18"/>
                <w:szCs w:val="18"/>
              </w:rPr>
            </w:pPr>
          </w:p>
        </w:tc>
      </w:tr>
      <w:tr w:rsidR="00685ED6" w:rsidRPr="009A610D" w14:paraId="30804B21" w14:textId="77777777" w:rsidTr="008A5ACA">
        <w:trPr>
          <w:cantSplit/>
          <w:trHeight w:val="471"/>
        </w:trPr>
        <w:tc>
          <w:tcPr>
            <w:tcW w:w="3964" w:type="dxa"/>
          </w:tcPr>
          <w:p w14:paraId="280E982E" w14:textId="77777777" w:rsidR="00685ED6" w:rsidRDefault="00685ED6" w:rsidP="008A5ACA">
            <w:pPr>
              <w:keepNext/>
              <w:ind w:left="-57"/>
              <w:rPr>
                <w:rFonts w:ascii="Arial Narrow" w:hAnsi="Arial Narrow"/>
                <w:b/>
                <w:bCs/>
                <w:sz w:val="18"/>
                <w:szCs w:val="18"/>
              </w:rPr>
            </w:pPr>
            <w:r>
              <w:rPr>
                <w:rFonts w:ascii="Arial Narrow" w:hAnsi="Arial Narrow"/>
                <w:b/>
                <w:bCs/>
                <w:sz w:val="18"/>
                <w:szCs w:val="18"/>
              </w:rPr>
              <w:t>MEDICINAL PRODUCT</w:t>
            </w:r>
          </w:p>
          <w:p w14:paraId="52F0F0C8" w14:textId="77777777" w:rsidR="00685ED6" w:rsidRPr="009A610D" w:rsidRDefault="00685ED6" w:rsidP="008A5ACA">
            <w:pPr>
              <w:keepNext/>
              <w:ind w:left="-57"/>
              <w:rPr>
                <w:rFonts w:ascii="Arial Narrow" w:hAnsi="Arial Narrow"/>
                <w:b/>
                <w:sz w:val="18"/>
                <w:szCs w:val="18"/>
              </w:rPr>
            </w:pPr>
            <w:r>
              <w:rPr>
                <w:rFonts w:ascii="Arial Narrow" w:hAnsi="Arial Narrow"/>
                <w:b/>
                <w:bCs/>
                <w:sz w:val="18"/>
                <w:szCs w:val="18"/>
              </w:rPr>
              <w:t>medicinal product p</w:t>
            </w:r>
            <w:r w:rsidRPr="003A5B23">
              <w:rPr>
                <w:rFonts w:ascii="Arial Narrow" w:hAnsi="Arial Narrow"/>
                <w:b/>
                <w:bCs/>
                <w:sz w:val="18"/>
                <w:szCs w:val="18"/>
              </w:rPr>
              <w:t>ack</w:t>
            </w:r>
          </w:p>
        </w:tc>
        <w:tc>
          <w:tcPr>
            <w:tcW w:w="1418" w:type="dxa"/>
          </w:tcPr>
          <w:p w14:paraId="0051FADB" w14:textId="77777777" w:rsidR="00685ED6" w:rsidRPr="009A610D" w:rsidRDefault="00685ED6" w:rsidP="008A5ACA">
            <w:pPr>
              <w:keepNext/>
              <w:ind w:left="-108"/>
              <w:jc w:val="center"/>
              <w:rPr>
                <w:rFonts w:ascii="Arial Narrow" w:hAnsi="Arial Narrow"/>
                <w:b/>
                <w:sz w:val="18"/>
                <w:szCs w:val="18"/>
              </w:rPr>
            </w:pPr>
            <w:r>
              <w:rPr>
                <w:rFonts w:ascii="Arial Narrow" w:hAnsi="Arial Narrow"/>
                <w:b/>
                <w:sz w:val="18"/>
                <w:szCs w:val="18"/>
              </w:rPr>
              <w:t>PBS item code</w:t>
            </w:r>
          </w:p>
        </w:tc>
        <w:tc>
          <w:tcPr>
            <w:tcW w:w="992" w:type="dxa"/>
          </w:tcPr>
          <w:p w14:paraId="641160FF" w14:textId="77777777" w:rsidR="00685ED6" w:rsidRPr="009A610D" w:rsidRDefault="00685ED6" w:rsidP="008A5ACA">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851" w:type="dxa"/>
          </w:tcPr>
          <w:p w14:paraId="09C314BF" w14:textId="77777777" w:rsidR="00685ED6" w:rsidRPr="009A610D" w:rsidRDefault="00685ED6" w:rsidP="008A5ACA">
            <w:pPr>
              <w:keepNext/>
              <w:ind w:left="-108"/>
              <w:jc w:val="center"/>
              <w:rPr>
                <w:rFonts w:ascii="Arial Narrow" w:hAnsi="Arial Narrow"/>
                <w:b/>
                <w:sz w:val="18"/>
                <w:szCs w:val="18"/>
              </w:rPr>
            </w:pPr>
            <w:r>
              <w:rPr>
                <w:rFonts w:ascii="Arial Narrow" w:hAnsi="Arial Narrow"/>
                <w:b/>
                <w:sz w:val="18"/>
                <w:szCs w:val="18"/>
              </w:rPr>
              <w:t>Max. qty units</w:t>
            </w:r>
          </w:p>
        </w:tc>
        <w:tc>
          <w:tcPr>
            <w:tcW w:w="992" w:type="dxa"/>
          </w:tcPr>
          <w:p w14:paraId="1BFF99CA" w14:textId="77777777" w:rsidR="00685ED6" w:rsidRPr="009A610D" w:rsidRDefault="00685ED6" w:rsidP="008A5ACA">
            <w:pPr>
              <w:keepNext/>
              <w:ind w:left="-108"/>
              <w:jc w:val="center"/>
              <w:rPr>
                <w:rFonts w:ascii="Arial Narrow" w:hAnsi="Arial Narrow"/>
                <w:b/>
                <w:sz w:val="18"/>
                <w:szCs w:val="18"/>
              </w:rPr>
            </w:pPr>
            <w:proofErr w:type="gramStart"/>
            <w:r w:rsidRPr="009A610D">
              <w:rPr>
                <w:rFonts w:ascii="Arial Narrow" w:hAnsi="Arial Narrow"/>
                <w:b/>
                <w:sz w:val="18"/>
                <w:szCs w:val="18"/>
              </w:rPr>
              <w:t>№.of</w:t>
            </w:r>
            <w:proofErr w:type="gramEnd"/>
            <w:r>
              <w:rPr>
                <w:rFonts w:ascii="Arial Narrow" w:hAnsi="Arial Narrow"/>
                <w:b/>
                <w:sz w:val="18"/>
                <w:szCs w:val="18"/>
              </w:rPr>
              <w:t xml:space="preserve"> </w:t>
            </w:r>
            <w:r w:rsidRPr="009A610D">
              <w:rPr>
                <w:rFonts w:ascii="Arial Narrow" w:hAnsi="Arial Narrow"/>
                <w:b/>
                <w:sz w:val="18"/>
                <w:szCs w:val="18"/>
              </w:rPr>
              <w:t>Rpts</w:t>
            </w:r>
          </w:p>
        </w:tc>
        <w:tc>
          <w:tcPr>
            <w:tcW w:w="992" w:type="dxa"/>
          </w:tcPr>
          <w:p w14:paraId="37BB88EA" w14:textId="77777777" w:rsidR="00685ED6" w:rsidRPr="009A610D" w:rsidRDefault="00685ED6" w:rsidP="008A5ACA">
            <w:pPr>
              <w:keepNext/>
              <w:rPr>
                <w:rFonts w:ascii="Arial Narrow" w:hAnsi="Arial Narrow"/>
                <w:b/>
                <w:sz w:val="18"/>
                <w:szCs w:val="18"/>
                <w:lang w:val="fr-FR"/>
              </w:rPr>
            </w:pPr>
            <w:r>
              <w:rPr>
                <w:rFonts w:ascii="Arial Narrow" w:hAnsi="Arial Narrow"/>
                <w:b/>
                <w:sz w:val="18"/>
                <w:szCs w:val="18"/>
              </w:rPr>
              <w:t>Available brands</w:t>
            </w:r>
          </w:p>
        </w:tc>
      </w:tr>
      <w:tr w:rsidR="00685ED6" w:rsidRPr="001A5667" w14:paraId="56523383" w14:textId="77777777" w:rsidTr="008A5ACA">
        <w:trPr>
          <w:cantSplit/>
          <w:trHeight w:val="224"/>
        </w:trPr>
        <w:tc>
          <w:tcPr>
            <w:tcW w:w="9209" w:type="dxa"/>
            <w:gridSpan w:val="6"/>
          </w:tcPr>
          <w:p w14:paraId="44CF0DD3" w14:textId="77777777" w:rsidR="00685ED6" w:rsidRPr="001A5667" w:rsidRDefault="00685ED6" w:rsidP="008A5ACA">
            <w:pPr>
              <w:keepNext/>
              <w:ind w:left="-57"/>
              <w:rPr>
                <w:rFonts w:ascii="Arial Narrow" w:hAnsi="Arial Narrow"/>
                <w:sz w:val="18"/>
                <w:szCs w:val="18"/>
              </w:rPr>
            </w:pPr>
            <w:r>
              <w:rPr>
                <w:rFonts w:ascii="Arial Narrow" w:hAnsi="Arial Narrow"/>
                <w:sz w:val="18"/>
                <w:szCs w:val="18"/>
              </w:rPr>
              <w:t xml:space="preserve">SOMAPACITAN </w:t>
            </w:r>
          </w:p>
        </w:tc>
      </w:tr>
      <w:tr w:rsidR="00685ED6" w:rsidRPr="009A610D" w14:paraId="1A187149" w14:textId="77777777" w:rsidTr="008A5ACA">
        <w:trPr>
          <w:cantSplit/>
          <w:trHeight w:val="553"/>
        </w:trPr>
        <w:tc>
          <w:tcPr>
            <w:tcW w:w="3964" w:type="dxa"/>
          </w:tcPr>
          <w:p w14:paraId="2A8F1CF5" w14:textId="77777777" w:rsidR="00685ED6" w:rsidRPr="003803A0" w:rsidRDefault="00685ED6" w:rsidP="008A5ACA">
            <w:pPr>
              <w:keepNext/>
              <w:ind w:left="-57"/>
              <w:rPr>
                <w:rFonts w:ascii="Arial Narrow" w:hAnsi="Arial Narrow"/>
                <w:sz w:val="18"/>
                <w:szCs w:val="18"/>
              </w:rPr>
            </w:pPr>
            <w:r>
              <w:rPr>
                <w:rFonts w:ascii="Arial Narrow" w:hAnsi="Arial Narrow"/>
                <w:sz w:val="18"/>
                <w:szCs w:val="18"/>
              </w:rPr>
              <w:t>sompacitan 5 mg/1.5 mL injection, 1.5 mL pen device</w:t>
            </w:r>
          </w:p>
        </w:tc>
        <w:tc>
          <w:tcPr>
            <w:tcW w:w="1418" w:type="dxa"/>
          </w:tcPr>
          <w:p w14:paraId="4F5699DA" w14:textId="77777777" w:rsidR="00685ED6" w:rsidRDefault="00685ED6" w:rsidP="008A5ACA">
            <w:pPr>
              <w:keepNext/>
              <w:jc w:val="center"/>
              <w:rPr>
                <w:rFonts w:ascii="Arial Narrow" w:hAnsi="Arial Narrow"/>
                <w:sz w:val="18"/>
                <w:szCs w:val="18"/>
              </w:rPr>
            </w:pPr>
            <w:r>
              <w:rPr>
                <w:rFonts w:ascii="Arial Narrow" w:hAnsi="Arial Narrow"/>
                <w:sz w:val="18"/>
                <w:szCs w:val="18"/>
              </w:rPr>
              <w:t>NEW 1</w:t>
            </w:r>
          </w:p>
          <w:p w14:paraId="48591889" w14:textId="77777777" w:rsidR="00685ED6" w:rsidRPr="00D52B40" w:rsidRDefault="00685ED6" w:rsidP="008A5ACA">
            <w:pPr>
              <w:keepNext/>
              <w:jc w:val="center"/>
              <w:rPr>
                <w:rFonts w:ascii="Arial Narrow" w:hAnsi="Arial Narrow"/>
                <w:sz w:val="18"/>
                <w:szCs w:val="18"/>
                <w:vertAlign w:val="subscript"/>
              </w:rPr>
            </w:pPr>
            <w:r>
              <w:rPr>
                <w:rFonts w:ascii="Arial Narrow" w:hAnsi="Arial Narrow"/>
                <w:sz w:val="18"/>
                <w:szCs w:val="18"/>
                <w:vertAlign w:val="subscript"/>
              </w:rPr>
              <w:t xml:space="preserve">MP </w:t>
            </w:r>
          </w:p>
        </w:tc>
        <w:tc>
          <w:tcPr>
            <w:tcW w:w="992" w:type="dxa"/>
          </w:tcPr>
          <w:p w14:paraId="1D0F1F88" w14:textId="77777777" w:rsidR="00685ED6" w:rsidRPr="009A610D" w:rsidRDefault="00685ED6" w:rsidP="008A5ACA">
            <w:pPr>
              <w:keepNext/>
              <w:jc w:val="center"/>
              <w:rPr>
                <w:rFonts w:ascii="Arial Narrow" w:hAnsi="Arial Narrow"/>
                <w:sz w:val="18"/>
                <w:szCs w:val="18"/>
              </w:rPr>
            </w:pPr>
            <w:r>
              <w:rPr>
                <w:rFonts w:ascii="Arial Narrow" w:hAnsi="Arial Narrow"/>
                <w:sz w:val="18"/>
                <w:szCs w:val="18"/>
              </w:rPr>
              <w:t>8</w:t>
            </w:r>
          </w:p>
        </w:tc>
        <w:tc>
          <w:tcPr>
            <w:tcW w:w="851" w:type="dxa"/>
          </w:tcPr>
          <w:p w14:paraId="68395D20" w14:textId="77777777" w:rsidR="00685ED6" w:rsidRPr="009A610D" w:rsidRDefault="00685ED6" w:rsidP="008A5ACA">
            <w:pPr>
              <w:keepNext/>
              <w:jc w:val="center"/>
              <w:rPr>
                <w:rFonts w:ascii="Arial Narrow" w:hAnsi="Arial Narrow"/>
                <w:sz w:val="18"/>
                <w:szCs w:val="18"/>
              </w:rPr>
            </w:pPr>
            <w:r>
              <w:rPr>
                <w:rFonts w:ascii="Arial Narrow" w:hAnsi="Arial Narrow"/>
                <w:sz w:val="18"/>
                <w:szCs w:val="18"/>
              </w:rPr>
              <w:t>8</w:t>
            </w:r>
          </w:p>
        </w:tc>
        <w:tc>
          <w:tcPr>
            <w:tcW w:w="992" w:type="dxa"/>
          </w:tcPr>
          <w:p w14:paraId="7BB681B8" w14:textId="77777777" w:rsidR="00685ED6" w:rsidRPr="009A610D" w:rsidRDefault="00685ED6" w:rsidP="008A5ACA">
            <w:pPr>
              <w:keepNext/>
              <w:jc w:val="center"/>
              <w:rPr>
                <w:rFonts w:ascii="Arial Narrow" w:hAnsi="Arial Narrow"/>
                <w:sz w:val="18"/>
                <w:szCs w:val="18"/>
              </w:rPr>
            </w:pPr>
            <w:r>
              <w:rPr>
                <w:rFonts w:ascii="Arial Narrow" w:hAnsi="Arial Narrow"/>
                <w:sz w:val="18"/>
                <w:szCs w:val="18"/>
              </w:rPr>
              <w:t>1</w:t>
            </w:r>
          </w:p>
        </w:tc>
        <w:tc>
          <w:tcPr>
            <w:tcW w:w="992" w:type="dxa"/>
          </w:tcPr>
          <w:p w14:paraId="239B5BAB" w14:textId="77777777" w:rsidR="00685ED6" w:rsidRPr="009A610D" w:rsidRDefault="00685ED6" w:rsidP="008A5ACA">
            <w:pPr>
              <w:keepNext/>
              <w:rPr>
                <w:rFonts w:ascii="Arial Narrow" w:hAnsi="Arial Narrow"/>
                <w:sz w:val="18"/>
                <w:szCs w:val="18"/>
              </w:rPr>
            </w:pPr>
            <w:r>
              <w:rPr>
                <w:rFonts w:ascii="Arial Narrow" w:hAnsi="Arial Narrow"/>
                <w:sz w:val="18"/>
                <w:szCs w:val="18"/>
              </w:rPr>
              <w:t>Sogroya</w:t>
            </w:r>
          </w:p>
        </w:tc>
      </w:tr>
      <w:tr w:rsidR="00685ED6" w14:paraId="5FE2CF05" w14:textId="77777777" w:rsidTr="008A5ACA">
        <w:trPr>
          <w:cantSplit/>
          <w:trHeight w:val="553"/>
        </w:trPr>
        <w:tc>
          <w:tcPr>
            <w:tcW w:w="3964" w:type="dxa"/>
          </w:tcPr>
          <w:p w14:paraId="36BEBFE8" w14:textId="77777777" w:rsidR="00685ED6" w:rsidRDefault="00685ED6" w:rsidP="008A5ACA">
            <w:pPr>
              <w:keepNext/>
              <w:ind w:left="-57"/>
              <w:rPr>
                <w:rFonts w:ascii="Arial Narrow" w:hAnsi="Arial Narrow"/>
                <w:sz w:val="18"/>
                <w:szCs w:val="18"/>
              </w:rPr>
            </w:pPr>
            <w:r>
              <w:rPr>
                <w:rFonts w:ascii="Arial Narrow" w:hAnsi="Arial Narrow"/>
                <w:sz w:val="18"/>
                <w:szCs w:val="18"/>
              </w:rPr>
              <w:t>somapacitan 10 mg/1.5 mL injection, 1.5 mL pen device</w:t>
            </w:r>
          </w:p>
        </w:tc>
        <w:tc>
          <w:tcPr>
            <w:tcW w:w="1418" w:type="dxa"/>
          </w:tcPr>
          <w:p w14:paraId="4ED4FE92" w14:textId="77777777" w:rsidR="00685ED6" w:rsidRDefault="00685ED6" w:rsidP="008A5ACA">
            <w:pPr>
              <w:keepNext/>
              <w:jc w:val="center"/>
              <w:rPr>
                <w:rFonts w:ascii="Arial Narrow" w:hAnsi="Arial Narrow"/>
                <w:sz w:val="18"/>
                <w:szCs w:val="18"/>
              </w:rPr>
            </w:pPr>
            <w:r>
              <w:rPr>
                <w:rFonts w:ascii="Arial Narrow" w:hAnsi="Arial Narrow"/>
                <w:sz w:val="18"/>
                <w:szCs w:val="18"/>
              </w:rPr>
              <w:t>NEW 2</w:t>
            </w:r>
          </w:p>
          <w:p w14:paraId="5C371854" w14:textId="77777777" w:rsidR="00685ED6" w:rsidRPr="00D52B40" w:rsidRDefault="00685ED6" w:rsidP="008A5ACA">
            <w:pPr>
              <w:keepNext/>
              <w:jc w:val="center"/>
              <w:rPr>
                <w:rFonts w:ascii="Arial Narrow" w:hAnsi="Arial Narrow"/>
                <w:sz w:val="18"/>
                <w:szCs w:val="18"/>
                <w:vertAlign w:val="subscript"/>
              </w:rPr>
            </w:pPr>
            <w:r w:rsidRPr="00D52B40">
              <w:rPr>
                <w:rFonts w:ascii="Arial Narrow" w:hAnsi="Arial Narrow"/>
                <w:sz w:val="18"/>
                <w:szCs w:val="18"/>
                <w:vertAlign w:val="subscript"/>
              </w:rPr>
              <w:t xml:space="preserve">MP </w:t>
            </w:r>
          </w:p>
        </w:tc>
        <w:tc>
          <w:tcPr>
            <w:tcW w:w="992" w:type="dxa"/>
          </w:tcPr>
          <w:p w14:paraId="48AD40EE" w14:textId="77777777" w:rsidR="00685ED6" w:rsidRDefault="00685ED6" w:rsidP="008A5ACA">
            <w:pPr>
              <w:keepNext/>
              <w:jc w:val="center"/>
              <w:rPr>
                <w:rFonts w:ascii="Arial Narrow" w:hAnsi="Arial Narrow"/>
                <w:sz w:val="18"/>
                <w:szCs w:val="18"/>
              </w:rPr>
            </w:pPr>
            <w:r>
              <w:rPr>
                <w:rFonts w:ascii="Arial Narrow" w:hAnsi="Arial Narrow"/>
                <w:sz w:val="18"/>
                <w:szCs w:val="18"/>
              </w:rPr>
              <w:t>8</w:t>
            </w:r>
          </w:p>
        </w:tc>
        <w:tc>
          <w:tcPr>
            <w:tcW w:w="851" w:type="dxa"/>
          </w:tcPr>
          <w:p w14:paraId="39A0D250" w14:textId="77777777" w:rsidR="00685ED6" w:rsidRDefault="00685ED6" w:rsidP="008A5ACA">
            <w:pPr>
              <w:keepNext/>
              <w:jc w:val="center"/>
              <w:rPr>
                <w:rFonts w:ascii="Arial Narrow" w:hAnsi="Arial Narrow"/>
                <w:sz w:val="18"/>
                <w:szCs w:val="18"/>
              </w:rPr>
            </w:pPr>
            <w:r>
              <w:rPr>
                <w:rFonts w:ascii="Arial Narrow" w:hAnsi="Arial Narrow"/>
                <w:sz w:val="18"/>
                <w:szCs w:val="18"/>
              </w:rPr>
              <w:t>8</w:t>
            </w:r>
          </w:p>
        </w:tc>
        <w:tc>
          <w:tcPr>
            <w:tcW w:w="992" w:type="dxa"/>
          </w:tcPr>
          <w:p w14:paraId="69B11775" w14:textId="77777777" w:rsidR="00685ED6" w:rsidRPr="009A610D" w:rsidRDefault="00685ED6" w:rsidP="008A5ACA">
            <w:pPr>
              <w:keepNext/>
              <w:jc w:val="center"/>
              <w:rPr>
                <w:rFonts w:ascii="Arial Narrow" w:hAnsi="Arial Narrow"/>
                <w:sz w:val="18"/>
                <w:szCs w:val="18"/>
              </w:rPr>
            </w:pPr>
            <w:r>
              <w:rPr>
                <w:rFonts w:ascii="Arial Narrow" w:hAnsi="Arial Narrow"/>
                <w:sz w:val="18"/>
                <w:szCs w:val="18"/>
              </w:rPr>
              <w:t>1</w:t>
            </w:r>
          </w:p>
        </w:tc>
        <w:tc>
          <w:tcPr>
            <w:tcW w:w="992" w:type="dxa"/>
          </w:tcPr>
          <w:p w14:paraId="49DDDFE2" w14:textId="77777777" w:rsidR="00685ED6" w:rsidRDefault="00685ED6" w:rsidP="008A5ACA">
            <w:pPr>
              <w:keepNext/>
              <w:rPr>
                <w:rFonts w:ascii="Arial Narrow" w:hAnsi="Arial Narrow"/>
                <w:sz w:val="18"/>
                <w:szCs w:val="18"/>
              </w:rPr>
            </w:pPr>
            <w:r>
              <w:rPr>
                <w:rFonts w:ascii="Arial Narrow" w:hAnsi="Arial Narrow"/>
                <w:sz w:val="18"/>
                <w:szCs w:val="18"/>
              </w:rPr>
              <w:t>Sogroya</w:t>
            </w:r>
          </w:p>
        </w:tc>
      </w:tr>
      <w:tr w:rsidR="00685ED6" w14:paraId="39207BEC" w14:textId="77777777" w:rsidTr="008A5ACA">
        <w:trPr>
          <w:cantSplit/>
          <w:trHeight w:val="347"/>
        </w:trPr>
        <w:tc>
          <w:tcPr>
            <w:tcW w:w="3964" w:type="dxa"/>
          </w:tcPr>
          <w:p w14:paraId="1B2CDE91" w14:textId="77777777" w:rsidR="00685ED6" w:rsidRPr="003803A0" w:rsidRDefault="00685ED6" w:rsidP="008A5ACA">
            <w:pPr>
              <w:keepNext/>
              <w:ind w:left="-57"/>
              <w:rPr>
                <w:rFonts w:ascii="Arial Narrow" w:hAnsi="Arial Narrow"/>
                <w:sz w:val="18"/>
                <w:szCs w:val="18"/>
              </w:rPr>
            </w:pPr>
            <w:r>
              <w:rPr>
                <w:rFonts w:ascii="Arial Narrow" w:hAnsi="Arial Narrow"/>
                <w:sz w:val="18"/>
                <w:szCs w:val="18"/>
              </w:rPr>
              <w:t>somapacitan 15 mg/1.5 mL injection, 1.5 mL pen device</w:t>
            </w:r>
          </w:p>
        </w:tc>
        <w:tc>
          <w:tcPr>
            <w:tcW w:w="1418" w:type="dxa"/>
          </w:tcPr>
          <w:p w14:paraId="23631BCC" w14:textId="77777777" w:rsidR="00685ED6" w:rsidRDefault="00685ED6" w:rsidP="008A5ACA">
            <w:pPr>
              <w:keepNext/>
              <w:jc w:val="center"/>
              <w:rPr>
                <w:rFonts w:ascii="Arial Narrow" w:hAnsi="Arial Narrow"/>
                <w:sz w:val="18"/>
                <w:szCs w:val="18"/>
              </w:rPr>
            </w:pPr>
            <w:r>
              <w:rPr>
                <w:rFonts w:ascii="Arial Narrow" w:hAnsi="Arial Narrow"/>
                <w:sz w:val="18"/>
                <w:szCs w:val="18"/>
              </w:rPr>
              <w:t>NEW 3</w:t>
            </w:r>
          </w:p>
          <w:p w14:paraId="2C2E20A6" w14:textId="77777777" w:rsidR="00685ED6" w:rsidRDefault="00685ED6" w:rsidP="008A5ACA">
            <w:pPr>
              <w:keepNext/>
              <w:jc w:val="center"/>
              <w:rPr>
                <w:rFonts w:ascii="Arial Narrow" w:hAnsi="Arial Narrow"/>
                <w:sz w:val="18"/>
                <w:szCs w:val="18"/>
              </w:rPr>
            </w:pPr>
            <w:r w:rsidRPr="00D52B40">
              <w:rPr>
                <w:rFonts w:ascii="Arial Narrow" w:hAnsi="Arial Narrow"/>
                <w:sz w:val="18"/>
                <w:szCs w:val="18"/>
                <w:vertAlign w:val="subscript"/>
              </w:rPr>
              <w:t xml:space="preserve">MP </w:t>
            </w:r>
          </w:p>
        </w:tc>
        <w:tc>
          <w:tcPr>
            <w:tcW w:w="992" w:type="dxa"/>
          </w:tcPr>
          <w:p w14:paraId="00A75B59" w14:textId="77777777" w:rsidR="00685ED6" w:rsidRDefault="00685ED6" w:rsidP="008A5ACA">
            <w:pPr>
              <w:keepNext/>
              <w:jc w:val="center"/>
              <w:rPr>
                <w:rFonts w:ascii="Arial Narrow" w:hAnsi="Arial Narrow"/>
                <w:sz w:val="18"/>
                <w:szCs w:val="18"/>
              </w:rPr>
            </w:pPr>
            <w:r>
              <w:rPr>
                <w:rFonts w:ascii="Arial Narrow" w:hAnsi="Arial Narrow"/>
                <w:sz w:val="18"/>
                <w:szCs w:val="18"/>
              </w:rPr>
              <w:t>8</w:t>
            </w:r>
          </w:p>
        </w:tc>
        <w:tc>
          <w:tcPr>
            <w:tcW w:w="851" w:type="dxa"/>
          </w:tcPr>
          <w:p w14:paraId="2F680D0C" w14:textId="77777777" w:rsidR="00685ED6" w:rsidRDefault="00685ED6" w:rsidP="008A5ACA">
            <w:pPr>
              <w:keepNext/>
              <w:jc w:val="center"/>
              <w:rPr>
                <w:rFonts w:ascii="Arial Narrow" w:hAnsi="Arial Narrow"/>
                <w:sz w:val="18"/>
                <w:szCs w:val="18"/>
              </w:rPr>
            </w:pPr>
            <w:r>
              <w:rPr>
                <w:rFonts w:ascii="Arial Narrow" w:hAnsi="Arial Narrow"/>
                <w:sz w:val="18"/>
                <w:szCs w:val="18"/>
              </w:rPr>
              <w:t>8</w:t>
            </w:r>
          </w:p>
        </w:tc>
        <w:tc>
          <w:tcPr>
            <w:tcW w:w="992" w:type="dxa"/>
          </w:tcPr>
          <w:p w14:paraId="45C9432D" w14:textId="77777777" w:rsidR="00685ED6" w:rsidRDefault="00685ED6" w:rsidP="008A5ACA">
            <w:pPr>
              <w:keepNext/>
              <w:jc w:val="center"/>
              <w:rPr>
                <w:rFonts w:ascii="Arial Narrow" w:hAnsi="Arial Narrow"/>
                <w:sz w:val="18"/>
                <w:szCs w:val="18"/>
              </w:rPr>
            </w:pPr>
            <w:r>
              <w:rPr>
                <w:rFonts w:ascii="Arial Narrow" w:hAnsi="Arial Narrow"/>
                <w:sz w:val="18"/>
                <w:szCs w:val="18"/>
              </w:rPr>
              <w:t>1</w:t>
            </w:r>
          </w:p>
        </w:tc>
        <w:tc>
          <w:tcPr>
            <w:tcW w:w="992" w:type="dxa"/>
          </w:tcPr>
          <w:p w14:paraId="5522F511" w14:textId="77777777" w:rsidR="00685ED6" w:rsidRDefault="00685ED6" w:rsidP="008A5ACA">
            <w:pPr>
              <w:keepNext/>
              <w:rPr>
                <w:rFonts w:ascii="Arial Narrow" w:hAnsi="Arial Narrow"/>
                <w:sz w:val="18"/>
                <w:szCs w:val="18"/>
              </w:rPr>
            </w:pPr>
            <w:r>
              <w:rPr>
                <w:rFonts w:ascii="Arial Narrow" w:hAnsi="Arial Narrow"/>
                <w:sz w:val="18"/>
                <w:szCs w:val="18"/>
              </w:rPr>
              <w:t>Sogroya</w:t>
            </w:r>
          </w:p>
        </w:tc>
      </w:tr>
      <w:tr w:rsidR="00685ED6" w:rsidRPr="0020649C" w14:paraId="3B0CCA83" w14:textId="77777777" w:rsidTr="008A5ACA">
        <w:tblPrEx>
          <w:tblCellMar>
            <w:top w:w="15" w:type="dxa"/>
            <w:left w:w="15" w:type="dxa"/>
            <w:bottom w:w="15" w:type="dxa"/>
            <w:right w:w="15" w:type="dxa"/>
          </w:tblCellMar>
          <w:tblLook w:val="04A0" w:firstRow="1" w:lastRow="0" w:firstColumn="1" w:lastColumn="0" w:noHBand="0" w:noVBand="1"/>
        </w:tblPrEx>
        <w:tc>
          <w:tcPr>
            <w:tcW w:w="9209" w:type="dxa"/>
            <w:gridSpan w:val="6"/>
            <w:tcBorders>
              <w:top w:val="single" w:sz="4" w:space="0" w:color="auto"/>
              <w:left w:val="single" w:sz="4" w:space="0" w:color="auto"/>
              <w:right w:val="single" w:sz="4" w:space="0" w:color="auto"/>
            </w:tcBorders>
          </w:tcPr>
          <w:p w14:paraId="2E3ED20B" w14:textId="77777777" w:rsidR="00685ED6" w:rsidRPr="0020649C" w:rsidRDefault="00685ED6" w:rsidP="008A5ACA">
            <w:pPr>
              <w:rPr>
                <w:rFonts w:ascii="Arial Narrow" w:hAnsi="Arial Narrow"/>
                <w:b/>
                <w:sz w:val="18"/>
                <w:szCs w:val="18"/>
              </w:rPr>
            </w:pPr>
          </w:p>
        </w:tc>
      </w:tr>
    </w:tbl>
    <w:tbl>
      <w:tblPr>
        <w:tblStyle w:val="TableGrid"/>
        <w:tblW w:w="9209" w:type="dxa"/>
        <w:tblLook w:val="04A0" w:firstRow="1" w:lastRow="0" w:firstColumn="1" w:lastColumn="0" w:noHBand="0" w:noVBand="1"/>
      </w:tblPr>
      <w:tblGrid>
        <w:gridCol w:w="988"/>
        <w:gridCol w:w="8221"/>
      </w:tblGrid>
      <w:tr w:rsidR="00685ED6" w:rsidRPr="00BF0D46" w14:paraId="4905BCEA" w14:textId="77777777" w:rsidTr="008A5ACA">
        <w:tc>
          <w:tcPr>
            <w:tcW w:w="9209" w:type="dxa"/>
            <w:gridSpan w:val="2"/>
          </w:tcPr>
          <w:bookmarkEnd w:id="57"/>
          <w:p w14:paraId="74C1C73F" w14:textId="77777777" w:rsidR="00685ED6" w:rsidRPr="006B55C0" w:rsidRDefault="00685ED6" w:rsidP="008A5ACA">
            <w:pPr>
              <w:textAlignment w:val="baseline"/>
              <w:rPr>
                <w:rFonts w:ascii="Arial Narrow" w:hAnsi="Arial Narrow" w:cs="Open Sans"/>
                <w:i/>
                <w:iCs/>
                <w:color w:val="333333"/>
                <w:sz w:val="18"/>
                <w:szCs w:val="18"/>
                <w:bdr w:val="none" w:sz="0" w:space="0" w:color="auto" w:frame="1"/>
              </w:rPr>
            </w:pPr>
            <w:r w:rsidRPr="006B55C0">
              <w:rPr>
                <w:rFonts w:ascii="Arial Narrow" w:hAnsi="Arial Narrow" w:cs="Open Sans"/>
                <w:i/>
                <w:iCs/>
                <w:color w:val="333333"/>
                <w:sz w:val="18"/>
                <w:szCs w:val="18"/>
                <w:bdr w:val="none" w:sz="0" w:space="0" w:color="auto" w:frame="1"/>
              </w:rPr>
              <w:t>Common Administrative Advice that applies to each restriction summary within this prescribing rule</w:t>
            </w:r>
            <w:r>
              <w:rPr>
                <w:rFonts w:ascii="Arial Narrow" w:hAnsi="Arial Narrow" w:cs="Open Sans"/>
                <w:i/>
                <w:iCs/>
                <w:color w:val="333333"/>
                <w:sz w:val="18"/>
                <w:szCs w:val="18"/>
                <w:bdr w:val="none" w:sz="0" w:space="0" w:color="auto" w:frame="1"/>
              </w:rPr>
              <w:t>:</w:t>
            </w:r>
          </w:p>
        </w:tc>
      </w:tr>
      <w:tr w:rsidR="00685ED6" w:rsidRPr="00BF0D46" w14:paraId="3D79C168" w14:textId="77777777" w:rsidTr="008A5ACA">
        <w:tc>
          <w:tcPr>
            <w:tcW w:w="988" w:type="dxa"/>
            <w:hideMark/>
          </w:tcPr>
          <w:p w14:paraId="7C2D2EC0" w14:textId="77777777" w:rsidR="00685ED6" w:rsidRDefault="00685ED6" w:rsidP="008A5ACA">
            <w:pPr>
              <w:jc w:val="center"/>
              <w:textAlignment w:val="baseline"/>
              <w:rPr>
                <w:rFonts w:ascii="Arial Narrow" w:hAnsi="Arial Narrow" w:cs="Open Sans"/>
                <w:color w:val="333333"/>
                <w:sz w:val="18"/>
                <w:szCs w:val="18"/>
              </w:rPr>
            </w:pPr>
          </w:p>
          <w:p w14:paraId="6C678278" w14:textId="77777777" w:rsidR="00685ED6" w:rsidRDefault="00685ED6" w:rsidP="008A5ACA">
            <w:pPr>
              <w:jc w:val="center"/>
              <w:textAlignment w:val="baseline"/>
              <w:rPr>
                <w:rFonts w:ascii="Arial Narrow" w:hAnsi="Arial Narrow" w:cs="Open Sans"/>
                <w:color w:val="333333"/>
                <w:sz w:val="18"/>
                <w:szCs w:val="18"/>
              </w:rPr>
            </w:pPr>
          </w:p>
          <w:p w14:paraId="5A052636" w14:textId="77777777" w:rsidR="00685ED6" w:rsidRDefault="00685ED6" w:rsidP="008A5ACA">
            <w:pPr>
              <w:jc w:val="center"/>
              <w:textAlignment w:val="baseline"/>
              <w:rPr>
                <w:rFonts w:ascii="Arial Narrow" w:hAnsi="Arial Narrow" w:cs="Open Sans"/>
                <w:color w:val="333333"/>
                <w:sz w:val="18"/>
                <w:szCs w:val="18"/>
              </w:rPr>
            </w:pPr>
          </w:p>
          <w:p w14:paraId="1297BFC2" w14:textId="77777777" w:rsidR="00685ED6" w:rsidRDefault="00685ED6" w:rsidP="008A5ACA">
            <w:pPr>
              <w:jc w:val="center"/>
              <w:textAlignment w:val="baseline"/>
              <w:rPr>
                <w:rFonts w:ascii="Arial Narrow" w:hAnsi="Arial Narrow" w:cs="Open Sans"/>
                <w:color w:val="333333"/>
                <w:sz w:val="18"/>
                <w:szCs w:val="18"/>
              </w:rPr>
            </w:pPr>
          </w:p>
          <w:p w14:paraId="62A43CA8" w14:textId="77777777" w:rsidR="00685ED6" w:rsidRDefault="00685ED6" w:rsidP="008A5ACA">
            <w:pPr>
              <w:jc w:val="center"/>
              <w:textAlignment w:val="baseline"/>
              <w:rPr>
                <w:rFonts w:ascii="Arial Narrow" w:hAnsi="Arial Narrow" w:cs="Open Sans"/>
                <w:color w:val="333333"/>
                <w:sz w:val="18"/>
                <w:szCs w:val="18"/>
              </w:rPr>
            </w:pPr>
          </w:p>
          <w:p w14:paraId="51B7E84D" w14:textId="77777777" w:rsidR="00685ED6" w:rsidRDefault="00685ED6" w:rsidP="008A5ACA">
            <w:pPr>
              <w:jc w:val="center"/>
              <w:textAlignment w:val="baseline"/>
              <w:rPr>
                <w:rFonts w:ascii="Arial Narrow" w:hAnsi="Arial Narrow" w:cs="Open Sans"/>
                <w:color w:val="333333"/>
                <w:sz w:val="18"/>
                <w:szCs w:val="18"/>
              </w:rPr>
            </w:pPr>
          </w:p>
          <w:p w14:paraId="1757A1B3" w14:textId="77777777" w:rsidR="00685ED6" w:rsidRDefault="00685ED6" w:rsidP="008A5ACA">
            <w:pPr>
              <w:jc w:val="center"/>
              <w:textAlignment w:val="baseline"/>
              <w:rPr>
                <w:rFonts w:ascii="Arial Narrow" w:hAnsi="Arial Narrow" w:cs="Open Sans"/>
                <w:color w:val="333333"/>
                <w:sz w:val="18"/>
                <w:szCs w:val="18"/>
              </w:rPr>
            </w:pPr>
          </w:p>
          <w:p w14:paraId="7C912BF2" w14:textId="30B6F29D"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684FCB49" w14:textId="77777777" w:rsidR="00685ED6" w:rsidRPr="00BF0D46" w:rsidRDefault="00685ED6" w:rsidP="008A5ACA">
            <w:pPr>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Administrative Advice:</w:t>
            </w:r>
          </w:p>
          <w:p w14:paraId="5836B0C5" w14:textId="77777777" w:rsidR="00685ED6" w:rsidRDefault="00685ED6" w:rsidP="008A5ACA">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 xml:space="preserve">Any queries concerning the arrangements to prescribe may </w:t>
            </w:r>
            <w:proofErr w:type="gramStart"/>
            <w:r w:rsidRPr="00BF0D46">
              <w:rPr>
                <w:rFonts w:ascii="Arial Narrow" w:hAnsi="Arial Narrow" w:cs="Open Sans"/>
                <w:color w:val="333333"/>
                <w:sz w:val="18"/>
                <w:szCs w:val="18"/>
              </w:rPr>
              <w:t>be directed</w:t>
            </w:r>
            <w:proofErr w:type="gramEnd"/>
            <w:r w:rsidRPr="00BF0D46">
              <w:rPr>
                <w:rFonts w:ascii="Arial Narrow" w:hAnsi="Arial Narrow" w:cs="Open Sans"/>
                <w:color w:val="333333"/>
                <w:sz w:val="18"/>
                <w:szCs w:val="18"/>
              </w:rPr>
              <w:t xml:space="preserve"> to Services Australia on 1800 700 270 (hours of operation 8 a.m. to 5 p.m. Monday to Friday).</w:t>
            </w:r>
          </w:p>
          <w:p w14:paraId="45285C11" w14:textId="77777777" w:rsidR="00685ED6" w:rsidRPr="00BF0D46" w:rsidRDefault="00685ED6" w:rsidP="008A5ACA">
            <w:pPr>
              <w:textAlignment w:val="baseline"/>
              <w:rPr>
                <w:rFonts w:ascii="Arial Narrow" w:hAnsi="Arial Narrow" w:cs="Open Sans"/>
                <w:color w:val="333333"/>
                <w:sz w:val="18"/>
                <w:szCs w:val="18"/>
              </w:rPr>
            </w:pPr>
          </w:p>
          <w:p w14:paraId="3860E499" w14:textId="77777777" w:rsidR="00685ED6" w:rsidRDefault="00685ED6" w:rsidP="008A5ACA">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 xml:space="preserve">Prescribing information (including Authority Application forms and other relevant documentation as applicable) is available on the Services Australia website at </w:t>
            </w:r>
            <w:proofErr w:type="gramStart"/>
            <w:r w:rsidRPr="00BF0D46">
              <w:rPr>
                <w:rFonts w:ascii="Arial Narrow" w:hAnsi="Arial Narrow" w:cs="Open Sans"/>
                <w:color w:val="333333"/>
                <w:sz w:val="18"/>
                <w:szCs w:val="18"/>
              </w:rPr>
              <w:t>www.servicesaustralia.gov.au</w:t>
            </w:r>
            <w:proofErr w:type="gramEnd"/>
          </w:p>
          <w:p w14:paraId="782E950D" w14:textId="77777777" w:rsidR="00685ED6" w:rsidRPr="00BF0D46" w:rsidRDefault="00685ED6" w:rsidP="008A5ACA">
            <w:pPr>
              <w:textAlignment w:val="baseline"/>
              <w:rPr>
                <w:rFonts w:ascii="Arial Narrow" w:hAnsi="Arial Narrow" w:cs="Open Sans"/>
                <w:color w:val="333333"/>
                <w:sz w:val="18"/>
                <w:szCs w:val="18"/>
              </w:rPr>
            </w:pPr>
          </w:p>
          <w:p w14:paraId="2E18FAE6" w14:textId="77777777" w:rsidR="00685ED6" w:rsidRDefault="00685ED6" w:rsidP="008A5ACA">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 xml:space="preserve">Applications for authorisation under this restriction should </w:t>
            </w:r>
            <w:proofErr w:type="gramStart"/>
            <w:r w:rsidRPr="00BF0D46">
              <w:rPr>
                <w:rFonts w:ascii="Arial Narrow" w:hAnsi="Arial Narrow" w:cs="Open Sans"/>
                <w:color w:val="333333"/>
                <w:sz w:val="18"/>
                <w:szCs w:val="18"/>
              </w:rPr>
              <w:t>be made</w:t>
            </w:r>
            <w:proofErr w:type="gramEnd"/>
            <w:r w:rsidRPr="00BF0D46">
              <w:rPr>
                <w:rFonts w:ascii="Arial Narrow" w:hAnsi="Arial Narrow" w:cs="Open Sans"/>
                <w:color w:val="333333"/>
                <w:sz w:val="18"/>
                <w:szCs w:val="18"/>
              </w:rPr>
              <w:t xml:space="preserve"> in real time using the Online PBS Authorities system (see www.servicesaustralia.gov.au/hpos)</w:t>
            </w:r>
          </w:p>
          <w:p w14:paraId="0F5E280B" w14:textId="77777777" w:rsidR="00685ED6" w:rsidRPr="00BF0D46" w:rsidRDefault="00685ED6" w:rsidP="008A5ACA">
            <w:pPr>
              <w:textAlignment w:val="baseline"/>
              <w:rPr>
                <w:rFonts w:ascii="Arial Narrow" w:hAnsi="Arial Narrow" w:cs="Open Sans"/>
                <w:color w:val="333333"/>
                <w:sz w:val="18"/>
                <w:szCs w:val="18"/>
              </w:rPr>
            </w:pPr>
          </w:p>
          <w:p w14:paraId="2A32E359" w14:textId="77777777" w:rsidR="00685ED6" w:rsidRPr="00BF0D46" w:rsidRDefault="00685ED6" w:rsidP="008A5ACA">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 xml:space="preserve">Alternatively, applications for authority to prescribe can be submitted online using the form upload facility in Health Professional Online Services (HPOS) at </w:t>
            </w:r>
            <w:proofErr w:type="gramStart"/>
            <w:r w:rsidRPr="00BF0D46">
              <w:rPr>
                <w:rFonts w:ascii="Arial Narrow" w:hAnsi="Arial Narrow" w:cs="Open Sans"/>
                <w:color w:val="333333"/>
                <w:sz w:val="18"/>
                <w:szCs w:val="18"/>
              </w:rPr>
              <w:t>www.servicesaustralia.gov.au/hpos</w:t>
            </w:r>
            <w:proofErr w:type="gramEnd"/>
          </w:p>
          <w:p w14:paraId="7D488D64" w14:textId="77777777" w:rsidR="00685ED6" w:rsidRPr="00BF0D46" w:rsidRDefault="00685ED6" w:rsidP="008A5ACA">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Or mailed to:</w:t>
            </w:r>
          </w:p>
          <w:p w14:paraId="63654124" w14:textId="77777777" w:rsidR="00685ED6" w:rsidRPr="00BF0D46" w:rsidRDefault="00685ED6" w:rsidP="008A5ACA">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Services Australia</w:t>
            </w:r>
          </w:p>
          <w:p w14:paraId="3E81002F" w14:textId="77777777" w:rsidR="00685ED6" w:rsidRPr="00BF0D46" w:rsidRDefault="00685ED6" w:rsidP="008A5ACA">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Complex Drugs</w:t>
            </w:r>
          </w:p>
          <w:p w14:paraId="75F0D972" w14:textId="77777777" w:rsidR="00685ED6" w:rsidRPr="00BF0D46" w:rsidRDefault="00685ED6" w:rsidP="008A5ACA">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Reply Paid 9826</w:t>
            </w:r>
          </w:p>
          <w:p w14:paraId="33D2EA78" w14:textId="0BD9BADC" w:rsidR="00057FEC" w:rsidRPr="00BF0D46" w:rsidRDefault="00685ED6" w:rsidP="00057FEC">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HOBART TAS 7001</w:t>
            </w:r>
          </w:p>
        </w:tc>
      </w:tr>
      <w:tr w:rsidR="00685ED6" w:rsidRPr="00BF0D46" w14:paraId="28137E78" w14:textId="77777777" w:rsidTr="008A5ACA">
        <w:tc>
          <w:tcPr>
            <w:tcW w:w="988" w:type="dxa"/>
            <w:shd w:val="clear" w:color="auto" w:fill="auto"/>
            <w:hideMark/>
          </w:tcPr>
          <w:p w14:paraId="02FD7506" w14:textId="77777777" w:rsidR="00685ED6" w:rsidRDefault="00685ED6" w:rsidP="008A5ACA">
            <w:pPr>
              <w:jc w:val="center"/>
              <w:textAlignment w:val="baseline"/>
              <w:rPr>
                <w:rFonts w:ascii="Arial Narrow" w:hAnsi="Arial Narrow" w:cs="Open Sans"/>
                <w:color w:val="333333"/>
                <w:sz w:val="18"/>
                <w:szCs w:val="18"/>
              </w:rPr>
            </w:pPr>
          </w:p>
          <w:p w14:paraId="507F0A2C" w14:textId="77777777" w:rsidR="00685ED6" w:rsidRDefault="00685ED6" w:rsidP="008A5ACA">
            <w:pPr>
              <w:jc w:val="center"/>
              <w:textAlignment w:val="baseline"/>
              <w:rPr>
                <w:rFonts w:ascii="Arial Narrow" w:hAnsi="Arial Narrow" w:cs="Open Sans"/>
                <w:color w:val="333333"/>
                <w:sz w:val="18"/>
                <w:szCs w:val="18"/>
              </w:rPr>
            </w:pPr>
          </w:p>
          <w:p w14:paraId="34B60D28" w14:textId="77777777" w:rsidR="00685ED6" w:rsidRDefault="00685ED6" w:rsidP="008A5ACA">
            <w:pPr>
              <w:jc w:val="center"/>
              <w:textAlignment w:val="baseline"/>
              <w:rPr>
                <w:rFonts w:ascii="Arial Narrow" w:hAnsi="Arial Narrow" w:cs="Open Sans"/>
                <w:color w:val="333333"/>
                <w:sz w:val="18"/>
                <w:szCs w:val="18"/>
              </w:rPr>
            </w:pPr>
          </w:p>
          <w:p w14:paraId="472399D6" w14:textId="77777777" w:rsidR="00685ED6" w:rsidRDefault="00685ED6" w:rsidP="008A5ACA">
            <w:pPr>
              <w:jc w:val="center"/>
              <w:textAlignment w:val="baseline"/>
              <w:rPr>
                <w:rFonts w:ascii="Arial Narrow" w:hAnsi="Arial Narrow" w:cs="Open Sans"/>
                <w:color w:val="333333"/>
                <w:sz w:val="18"/>
                <w:szCs w:val="18"/>
              </w:rPr>
            </w:pPr>
          </w:p>
          <w:p w14:paraId="3BD18C92" w14:textId="77777777" w:rsidR="00685ED6" w:rsidRDefault="00685ED6" w:rsidP="008A5ACA">
            <w:pPr>
              <w:jc w:val="center"/>
              <w:textAlignment w:val="baseline"/>
              <w:rPr>
                <w:rFonts w:ascii="Arial Narrow" w:hAnsi="Arial Narrow" w:cs="Open Sans"/>
                <w:color w:val="333333"/>
                <w:sz w:val="18"/>
                <w:szCs w:val="18"/>
              </w:rPr>
            </w:pPr>
          </w:p>
          <w:p w14:paraId="710A911B" w14:textId="77777777" w:rsidR="00685ED6" w:rsidRDefault="00685ED6" w:rsidP="008A5ACA">
            <w:pPr>
              <w:jc w:val="center"/>
              <w:textAlignment w:val="baseline"/>
              <w:rPr>
                <w:rFonts w:ascii="Arial Narrow" w:hAnsi="Arial Narrow" w:cs="Open Sans"/>
                <w:color w:val="333333"/>
                <w:sz w:val="18"/>
                <w:szCs w:val="18"/>
              </w:rPr>
            </w:pPr>
          </w:p>
          <w:p w14:paraId="3D6DB15E" w14:textId="77777777" w:rsidR="00685ED6" w:rsidRDefault="00685ED6" w:rsidP="008A5ACA">
            <w:pPr>
              <w:jc w:val="center"/>
              <w:textAlignment w:val="baseline"/>
              <w:rPr>
                <w:rFonts w:ascii="Arial Narrow" w:hAnsi="Arial Narrow" w:cs="Open Sans"/>
                <w:color w:val="333333"/>
                <w:sz w:val="18"/>
                <w:szCs w:val="18"/>
              </w:rPr>
            </w:pPr>
          </w:p>
          <w:p w14:paraId="343A4707" w14:textId="77777777" w:rsidR="00685ED6" w:rsidRDefault="00685ED6" w:rsidP="008A5ACA">
            <w:pPr>
              <w:jc w:val="center"/>
              <w:textAlignment w:val="baseline"/>
              <w:rPr>
                <w:rFonts w:ascii="Arial Narrow" w:hAnsi="Arial Narrow" w:cs="Open Sans"/>
                <w:color w:val="333333"/>
                <w:sz w:val="18"/>
                <w:szCs w:val="18"/>
              </w:rPr>
            </w:pPr>
          </w:p>
          <w:p w14:paraId="3AC3B641" w14:textId="77777777" w:rsidR="00685ED6" w:rsidRDefault="00685ED6" w:rsidP="008A5ACA">
            <w:pPr>
              <w:jc w:val="center"/>
              <w:textAlignment w:val="baseline"/>
              <w:rPr>
                <w:rFonts w:ascii="Arial Narrow" w:hAnsi="Arial Narrow" w:cs="Open Sans"/>
                <w:color w:val="333333"/>
                <w:sz w:val="18"/>
                <w:szCs w:val="18"/>
              </w:rPr>
            </w:pPr>
          </w:p>
          <w:p w14:paraId="0133A5DF" w14:textId="1D64DC60" w:rsidR="00685ED6" w:rsidRPr="00BF0D46" w:rsidRDefault="00685ED6" w:rsidP="008A5ACA">
            <w:pPr>
              <w:jc w:val="center"/>
              <w:textAlignment w:val="baseline"/>
              <w:rPr>
                <w:rFonts w:ascii="Arial Narrow" w:hAnsi="Arial Narrow" w:cs="Open Sans"/>
                <w:color w:val="333333"/>
                <w:sz w:val="18"/>
                <w:szCs w:val="18"/>
              </w:rPr>
            </w:pPr>
          </w:p>
        </w:tc>
        <w:tc>
          <w:tcPr>
            <w:tcW w:w="8221" w:type="dxa"/>
            <w:shd w:val="clear" w:color="auto" w:fill="auto"/>
            <w:hideMark/>
          </w:tcPr>
          <w:p w14:paraId="356F0FB7" w14:textId="77777777" w:rsidR="00685ED6" w:rsidRPr="00BF0D46" w:rsidRDefault="00685ED6" w:rsidP="008A5ACA">
            <w:pPr>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Administrative Advice:</w:t>
            </w:r>
          </w:p>
          <w:p w14:paraId="00BA9FB3" w14:textId="611EED8D" w:rsidR="00685ED6" w:rsidRDefault="00685ED6" w:rsidP="008A5ACA">
            <w:pPr>
              <w:textAlignment w:val="baseline"/>
              <w:rPr>
                <w:rFonts w:ascii="Arial Narrow" w:hAnsi="Arial Narrow" w:cs="Open Sans"/>
                <w:color w:val="333333"/>
                <w:sz w:val="18"/>
                <w:szCs w:val="18"/>
              </w:rPr>
            </w:pPr>
            <w:r w:rsidRPr="00BF0D46">
              <w:rPr>
                <w:rFonts w:ascii="Arial Narrow" w:hAnsi="Arial Narrow" w:cs="Open Sans"/>
                <w:color w:val="333333"/>
                <w:sz w:val="18"/>
                <w:szCs w:val="18"/>
              </w:rPr>
              <w:t>An appropriate amount of drug (maximum quantity in units)</w:t>
            </w:r>
            <w:r>
              <w:rPr>
                <w:rFonts w:ascii="Arial Narrow" w:hAnsi="Arial Narrow" w:cs="Open Sans"/>
                <w:color w:val="333333"/>
                <w:sz w:val="18"/>
                <w:szCs w:val="18"/>
              </w:rPr>
              <w:t xml:space="preserve"> for this treatment phase listing (approximately 16 weeks of treatment, which equates to at least </w:t>
            </w:r>
            <w:proofErr w:type="gramStart"/>
            <w:r>
              <w:rPr>
                <w:rFonts w:ascii="Arial Narrow" w:hAnsi="Arial Narrow" w:cs="Open Sans"/>
                <w:color w:val="333333"/>
                <w:sz w:val="18"/>
                <w:szCs w:val="18"/>
              </w:rPr>
              <w:t>15</w:t>
            </w:r>
            <w:proofErr w:type="gramEnd"/>
            <w:r>
              <w:rPr>
                <w:rFonts w:ascii="Arial Narrow" w:hAnsi="Arial Narrow" w:cs="Open Sans"/>
                <w:color w:val="333333"/>
                <w:sz w:val="18"/>
                <w:szCs w:val="18"/>
              </w:rPr>
              <w:t xml:space="preserve"> doses) per dispensing for various patient weight ranges, is outlined below:</w:t>
            </w:r>
          </w:p>
          <w:p w14:paraId="128D4828" w14:textId="77777777" w:rsidR="00685ED6" w:rsidRDefault="00685ED6" w:rsidP="008A5ACA">
            <w:pPr>
              <w:textAlignment w:val="baseline"/>
              <w:rPr>
                <w:rFonts w:ascii="Arial Narrow" w:hAnsi="Arial Narrow" w:cs="Open Sans"/>
                <w:color w:val="333333"/>
                <w:sz w:val="18"/>
                <w:szCs w:val="18"/>
              </w:rPr>
            </w:pPr>
          </w:p>
          <w:p w14:paraId="5115EDDD" w14:textId="77777777"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5 mg strength presentation:</w:t>
            </w:r>
          </w:p>
          <w:p w14:paraId="515319A1" w14:textId="42A60D57"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Below 11 kg: up to </w:t>
            </w:r>
            <w:proofErr w:type="gramStart"/>
            <w:r>
              <w:rPr>
                <w:rFonts w:ascii="Arial Narrow" w:hAnsi="Arial Narrow" w:cs="Open Sans"/>
                <w:color w:val="333333"/>
                <w:sz w:val="18"/>
                <w:szCs w:val="18"/>
              </w:rPr>
              <w:t>5</w:t>
            </w:r>
            <w:proofErr w:type="gramEnd"/>
            <w:r>
              <w:rPr>
                <w:rFonts w:ascii="Arial Narrow" w:hAnsi="Arial Narrow" w:cs="Open Sans"/>
                <w:color w:val="333333"/>
                <w:sz w:val="18"/>
                <w:szCs w:val="18"/>
              </w:rPr>
              <w:t xml:space="preserve"> units</w:t>
            </w:r>
          </w:p>
          <w:p w14:paraId="7C0B0BA7" w14:textId="4577D4FB"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11 to 13 kg: up to </w:t>
            </w:r>
            <w:proofErr w:type="gramStart"/>
            <w:r>
              <w:rPr>
                <w:rFonts w:ascii="Arial Narrow" w:hAnsi="Arial Narrow" w:cs="Open Sans"/>
                <w:color w:val="333333"/>
                <w:sz w:val="18"/>
                <w:szCs w:val="18"/>
              </w:rPr>
              <w:t>8</w:t>
            </w:r>
            <w:proofErr w:type="gramEnd"/>
            <w:r>
              <w:rPr>
                <w:rFonts w:ascii="Arial Narrow" w:hAnsi="Arial Narrow" w:cs="Open Sans"/>
                <w:color w:val="333333"/>
                <w:sz w:val="18"/>
                <w:szCs w:val="18"/>
              </w:rPr>
              <w:t xml:space="preserve"> units</w:t>
            </w:r>
          </w:p>
          <w:p w14:paraId="4ECB0186" w14:textId="77777777" w:rsidR="00685ED6" w:rsidRDefault="00685ED6" w:rsidP="008A5ACA">
            <w:pPr>
              <w:textAlignment w:val="baseline"/>
              <w:rPr>
                <w:rFonts w:ascii="Arial Narrow" w:hAnsi="Arial Narrow" w:cs="Open Sans"/>
                <w:color w:val="333333"/>
                <w:sz w:val="18"/>
                <w:szCs w:val="18"/>
              </w:rPr>
            </w:pPr>
          </w:p>
          <w:p w14:paraId="5D065542" w14:textId="77777777"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10 mg strength presentation:</w:t>
            </w:r>
          </w:p>
          <w:p w14:paraId="5701AE2D" w14:textId="5EB5AD67"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Below 13 kg: up to </w:t>
            </w:r>
            <w:proofErr w:type="gramStart"/>
            <w:r>
              <w:rPr>
                <w:rFonts w:ascii="Arial Narrow" w:hAnsi="Arial Narrow" w:cs="Open Sans"/>
                <w:color w:val="333333"/>
                <w:sz w:val="18"/>
                <w:szCs w:val="18"/>
              </w:rPr>
              <w:t>3</w:t>
            </w:r>
            <w:proofErr w:type="gramEnd"/>
            <w:r>
              <w:rPr>
                <w:rFonts w:ascii="Arial Narrow" w:hAnsi="Arial Narrow" w:cs="Open Sans"/>
                <w:color w:val="333333"/>
                <w:sz w:val="18"/>
                <w:szCs w:val="18"/>
              </w:rPr>
              <w:t xml:space="preserve"> units</w:t>
            </w:r>
          </w:p>
          <w:p w14:paraId="7683CF15" w14:textId="618DD1AB"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13 to 16 kg: up to </w:t>
            </w:r>
            <w:proofErr w:type="gramStart"/>
            <w:r>
              <w:rPr>
                <w:rFonts w:ascii="Arial Narrow" w:hAnsi="Arial Narrow" w:cs="Open Sans"/>
                <w:color w:val="333333"/>
                <w:sz w:val="18"/>
                <w:szCs w:val="18"/>
              </w:rPr>
              <w:t>4</w:t>
            </w:r>
            <w:proofErr w:type="gramEnd"/>
            <w:r>
              <w:rPr>
                <w:rFonts w:ascii="Arial Narrow" w:hAnsi="Arial Narrow" w:cs="Open Sans"/>
                <w:color w:val="333333"/>
                <w:sz w:val="18"/>
                <w:szCs w:val="18"/>
              </w:rPr>
              <w:t xml:space="preserve"> units</w:t>
            </w:r>
          </w:p>
          <w:p w14:paraId="39AC578F" w14:textId="6996B3BA"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16 to 21 kg: up to </w:t>
            </w:r>
            <w:proofErr w:type="gramStart"/>
            <w:r>
              <w:rPr>
                <w:rFonts w:ascii="Arial Narrow" w:hAnsi="Arial Narrow" w:cs="Open Sans"/>
                <w:color w:val="333333"/>
                <w:sz w:val="18"/>
                <w:szCs w:val="18"/>
              </w:rPr>
              <w:t>5</w:t>
            </w:r>
            <w:proofErr w:type="gramEnd"/>
            <w:r>
              <w:rPr>
                <w:rFonts w:ascii="Arial Narrow" w:hAnsi="Arial Narrow" w:cs="Open Sans"/>
                <w:color w:val="333333"/>
                <w:sz w:val="18"/>
                <w:szCs w:val="18"/>
              </w:rPr>
              <w:t xml:space="preserve"> units</w:t>
            </w:r>
          </w:p>
          <w:p w14:paraId="23A7D767" w14:textId="3C4CFD01"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21 to 25 kg: up to </w:t>
            </w:r>
            <w:proofErr w:type="gramStart"/>
            <w:r>
              <w:rPr>
                <w:rFonts w:ascii="Arial Narrow" w:hAnsi="Arial Narrow" w:cs="Open Sans"/>
                <w:color w:val="333333"/>
                <w:sz w:val="18"/>
                <w:szCs w:val="18"/>
              </w:rPr>
              <w:t>8</w:t>
            </w:r>
            <w:proofErr w:type="gramEnd"/>
            <w:r>
              <w:rPr>
                <w:rFonts w:ascii="Arial Narrow" w:hAnsi="Arial Narrow" w:cs="Open Sans"/>
                <w:color w:val="333333"/>
                <w:sz w:val="18"/>
                <w:szCs w:val="18"/>
              </w:rPr>
              <w:t xml:space="preserve"> units</w:t>
            </w:r>
          </w:p>
          <w:p w14:paraId="78FF44B6" w14:textId="77777777" w:rsidR="00685ED6" w:rsidRDefault="00685ED6" w:rsidP="008A5ACA">
            <w:pPr>
              <w:textAlignment w:val="baseline"/>
              <w:rPr>
                <w:rFonts w:ascii="Arial Narrow" w:hAnsi="Arial Narrow" w:cs="Open Sans"/>
                <w:color w:val="333333"/>
                <w:sz w:val="18"/>
                <w:szCs w:val="18"/>
              </w:rPr>
            </w:pPr>
          </w:p>
          <w:p w14:paraId="73FBE017" w14:textId="77777777"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15 mg strength presentation:</w:t>
            </w:r>
          </w:p>
          <w:p w14:paraId="20D0DACD" w14:textId="6B1A6322"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Below 19 kg: up to </w:t>
            </w:r>
            <w:proofErr w:type="gramStart"/>
            <w:r>
              <w:rPr>
                <w:rFonts w:ascii="Arial Narrow" w:hAnsi="Arial Narrow" w:cs="Open Sans"/>
                <w:color w:val="333333"/>
                <w:sz w:val="18"/>
                <w:szCs w:val="18"/>
              </w:rPr>
              <w:t>3</w:t>
            </w:r>
            <w:proofErr w:type="gramEnd"/>
            <w:r>
              <w:rPr>
                <w:rFonts w:ascii="Arial Narrow" w:hAnsi="Arial Narrow" w:cs="Open Sans"/>
                <w:color w:val="333333"/>
                <w:sz w:val="18"/>
                <w:szCs w:val="18"/>
              </w:rPr>
              <w:t xml:space="preserve"> units</w:t>
            </w:r>
          </w:p>
          <w:p w14:paraId="0766BB79" w14:textId="0CF4704A"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19 to 24 kg: up to </w:t>
            </w:r>
            <w:proofErr w:type="gramStart"/>
            <w:r>
              <w:rPr>
                <w:rFonts w:ascii="Arial Narrow" w:hAnsi="Arial Narrow" w:cs="Open Sans"/>
                <w:color w:val="333333"/>
                <w:sz w:val="18"/>
                <w:szCs w:val="18"/>
              </w:rPr>
              <w:t>4</w:t>
            </w:r>
            <w:proofErr w:type="gramEnd"/>
            <w:r>
              <w:rPr>
                <w:rFonts w:ascii="Arial Narrow" w:hAnsi="Arial Narrow" w:cs="Open Sans"/>
                <w:color w:val="333333"/>
                <w:sz w:val="18"/>
                <w:szCs w:val="18"/>
              </w:rPr>
              <w:t xml:space="preserve"> units</w:t>
            </w:r>
          </w:p>
          <w:p w14:paraId="0B32D200" w14:textId="2D8AAAC4"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24 to 32 kg: up to </w:t>
            </w:r>
            <w:proofErr w:type="gramStart"/>
            <w:r>
              <w:rPr>
                <w:rFonts w:ascii="Arial Narrow" w:hAnsi="Arial Narrow" w:cs="Open Sans"/>
                <w:color w:val="333333"/>
                <w:sz w:val="18"/>
                <w:szCs w:val="18"/>
              </w:rPr>
              <w:t>5</w:t>
            </w:r>
            <w:proofErr w:type="gramEnd"/>
            <w:r>
              <w:rPr>
                <w:rFonts w:ascii="Arial Narrow" w:hAnsi="Arial Narrow" w:cs="Open Sans"/>
                <w:color w:val="333333"/>
                <w:sz w:val="18"/>
                <w:szCs w:val="18"/>
              </w:rPr>
              <w:t xml:space="preserve"> units</w:t>
            </w:r>
          </w:p>
          <w:p w14:paraId="37AEF097" w14:textId="02865C74" w:rsidR="00685ED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32 to 47 kg: up to </w:t>
            </w:r>
            <w:proofErr w:type="gramStart"/>
            <w:r>
              <w:rPr>
                <w:rFonts w:ascii="Arial Narrow" w:hAnsi="Arial Narrow" w:cs="Open Sans"/>
                <w:color w:val="333333"/>
                <w:sz w:val="18"/>
                <w:szCs w:val="18"/>
              </w:rPr>
              <w:t>8</w:t>
            </w:r>
            <w:proofErr w:type="gramEnd"/>
            <w:r>
              <w:rPr>
                <w:rFonts w:ascii="Arial Narrow" w:hAnsi="Arial Narrow" w:cs="Open Sans"/>
                <w:color w:val="333333"/>
                <w:sz w:val="18"/>
                <w:szCs w:val="18"/>
              </w:rPr>
              <w:t xml:space="preserve"> units</w:t>
            </w:r>
          </w:p>
          <w:p w14:paraId="4D50993C" w14:textId="77777777" w:rsidR="00685ED6" w:rsidRPr="00BF0D46" w:rsidRDefault="00685ED6" w:rsidP="008A5ACA">
            <w:pPr>
              <w:textAlignment w:val="baseline"/>
              <w:rPr>
                <w:rFonts w:ascii="Arial Narrow" w:hAnsi="Arial Narrow" w:cs="Open Sans"/>
                <w:color w:val="333333"/>
                <w:sz w:val="18"/>
                <w:szCs w:val="18"/>
              </w:rPr>
            </w:pPr>
            <w:r>
              <w:rPr>
                <w:rFonts w:ascii="Arial Narrow" w:hAnsi="Arial Narrow" w:cs="Open Sans"/>
                <w:color w:val="333333"/>
                <w:sz w:val="18"/>
                <w:szCs w:val="18"/>
              </w:rPr>
              <w:t xml:space="preserve">47 kg and beyond: up to </w:t>
            </w:r>
            <w:proofErr w:type="gramStart"/>
            <w:r>
              <w:rPr>
                <w:rFonts w:ascii="Arial Narrow" w:hAnsi="Arial Narrow" w:cs="Open Sans"/>
                <w:color w:val="333333"/>
                <w:sz w:val="18"/>
                <w:szCs w:val="18"/>
              </w:rPr>
              <w:t>8</w:t>
            </w:r>
            <w:proofErr w:type="gramEnd"/>
            <w:r>
              <w:rPr>
                <w:rFonts w:ascii="Arial Narrow" w:hAnsi="Arial Narrow" w:cs="Open Sans"/>
                <w:color w:val="333333"/>
                <w:sz w:val="18"/>
                <w:szCs w:val="18"/>
              </w:rPr>
              <w:t xml:space="preserve"> units, plus up to 3 units of the 10 mg strength presentation </w:t>
            </w:r>
          </w:p>
        </w:tc>
      </w:tr>
    </w:tbl>
    <w:p w14:paraId="0EE79C1C" w14:textId="77777777" w:rsidR="00685ED6" w:rsidRPr="00BF0D46" w:rsidRDefault="00685ED6" w:rsidP="00685ED6">
      <w:pPr>
        <w:rPr>
          <w:vanish/>
        </w:rPr>
      </w:pPr>
    </w:p>
    <w:tbl>
      <w:tblPr>
        <w:tblStyle w:val="TableGrid"/>
        <w:tblW w:w="9209" w:type="dxa"/>
        <w:tblLook w:val="04A0" w:firstRow="1" w:lastRow="0" w:firstColumn="1" w:lastColumn="0" w:noHBand="0" w:noVBand="1"/>
      </w:tblPr>
      <w:tblGrid>
        <w:gridCol w:w="988"/>
        <w:gridCol w:w="8221"/>
      </w:tblGrid>
      <w:tr w:rsidR="00685ED6" w:rsidRPr="00BF0D46" w14:paraId="004DCE99" w14:textId="77777777" w:rsidTr="008A5ACA">
        <w:tc>
          <w:tcPr>
            <w:tcW w:w="988" w:type="dxa"/>
          </w:tcPr>
          <w:p w14:paraId="665CA1D5" w14:textId="77777777" w:rsidR="00685ED6" w:rsidRPr="00BF0D46" w:rsidRDefault="00685ED6" w:rsidP="008A5ACA">
            <w:pPr>
              <w:textAlignment w:val="baseline"/>
              <w:rPr>
                <w:rFonts w:ascii="Arial Narrow" w:hAnsi="Arial Narrow" w:cs="Open Sans"/>
                <w:color w:val="333333"/>
                <w:sz w:val="18"/>
                <w:szCs w:val="18"/>
              </w:rPr>
            </w:pPr>
          </w:p>
        </w:tc>
        <w:tc>
          <w:tcPr>
            <w:tcW w:w="8221" w:type="dxa"/>
          </w:tcPr>
          <w:p w14:paraId="0AB9430C" w14:textId="77777777" w:rsidR="00685ED6" w:rsidRPr="00BF0D46"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BF0D46" w14:paraId="572135DC" w14:textId="77777777" w:rsidTr="008A5ACA">
        <w:tc>
          <w:tcPr>
            <w:tcW w:w="9209" w:type="dxa"/>
            <w:gridSpan w:val="2"/>
          </w:tcPr>
          <w:p w14:paraId="43FB6FA4"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5C3A63">
              <w:rPr>
                <w:rFonts w:ascii="Arial Narrow" w:hAnsi="Arial Narrow" w:cs="Open Sans"/>
                <w:b/>
                <w:bCs/>
                <w:color w:val="333333"/>
                <w:sz w:val="18"/>
                <w:szCs w:val="18"/>
                <w:bdr w:val="none" w:sz="0" w:space="0" w:color="auto" w:frame="1"/>
              </w:rPr>
              <w:t>Restriction Summary 13314 / ToC: 13292: Authority Required</w:t>
            </w:r>
          </w:p>
          <w:p w14:paraId="1FF6B8EE" w14:textId="77777777" w:rsidR="00685ED6" w:rsidRPr="00BF0D4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BF0D46" w14:paraId="2D7A7916" w14:textId="77777777" w:rsidTr="00F527AB">
        <w:tc>
          <w:tcPr>
            <w:tcW w:w="988" w:type="dxa"/>
          </w:tcPr>
          <w:p w14:paraId="301C29FD" w14:textId="416722A5"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4383AC6C"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BF0D46">
              <w:rPr>
                <w:rFonts w:ascii="Arial Narrow" w:hAnsi="Arial Narrow" w:cs="Open Sans"/>
                <w:color w:val="333333"/>
                <w:sz w:val="18"/>
                <w:szCs w:val="18"/>
              </w:rPr>
              <w:t>Short stature associated with biochemical growth hormone deficiency</w:t>
            </w:r>
          </w:p>
        </w:tc>
      </w:tr>
      <w:tr w:rsidR="00685ED6" w:rsidRPr="00BF0D46" w14:paraId="747F8C87" w14:textId="77777777" w:rsidTr="008A5ACA">
        <w:tc>
          <w:tcPr>
            <w:tcW w:w="988" w:type="dxa"/>
          </w:tcPr>
          <w:p w14:paraId="4E841044" w14:textId="77777777" w:rsidR="00685ED6" w:rsidRPr="00BF0D46" w:rsidRDefault="00685ED6" w:rsidP="008A5ACA">
            <w:pPr>
              <w:jc w:val="center"/>
              <w:textAlignment w:val="baseline"/>
              <w:rPr>
                <w:rFonts w:ascii="Arial Narrow" w:hAnsi="Arial Narrow" w:cs="Open Sans"/>
                <w:color w:val="333333"/>
                <w:sz w:val="18"/>
                <w:szCs w:val="18"/>
              </w:rPr>
            </w:pPr>
          </w:p>
        </w:tc>
        <w:tc>
          <w:tcPr>
            <w:tcW w:w="8221" w:type="dxa"/>
          </w:tcPr>
          <w:p w14:paraId="3B70E149" w14:textId="77777777" w:rsidR="00685ED6" w:rsidRPr="00BF0D4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BF0D46" w14:paraId="02D33E43" w14:textId="77777777" w:rsidTr="00F527AB">
        <w:tc>
          <w:tcPr>
            <w:tcW w:w="988" w:type="dxa"/>
          </w:tcPr>
          <w:p w14:paraId="5C3EFD2B" w14:textId="77777777" w:rsidR="00685ED6" w:rsidRPr="00BF0D46" w:rsidRDefault="00685ED6" w:rsidP="008A5ACA">
            <w:pPr>
              <w:jc w:val="center"/>
              <w:rPr>
                <w:rFonts w:ascii="Arial Narrow" w:hAnsi="Arial Narrow" w:cs="Open Sans"/>
                <w:color w:val="333333"/>
                <w:sz w:val="18"/>
                <w:szCs w:val="18"/>
              </w:rPr>
            </w:pPr>
          </w:p>
        </w:tc>
        <w:tc>
          <w:tcPr>
            <w:tcW w:w="8221" w:type="dxa"/>
            <w:hideMark/>
          </w:tcPr>
          <w:p w14:paraId="77834AA3"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BF0D46">
              <w:rPr>
                <w:rFonts w:ascii="Arial Narrow" w:hAnsi="Arial Narrow" w:cs="Open Sans"/>
                <w:color w:val="333333"/>
                <w:sz w:val="18"/>
                <w:szCs w:val="18"/>
              </w:rPr>
              <w:t>Initial treatment</w:t>
            </w:r>
          </w:p>
        </w:tc>
      </w:tr>
      <w:tr w:rsidR="00685ED6" w:rsidRPr="00BF0D46" w14:paraId="5CD38D1D" w14:textId="77777777" w:rsidTr="008A5ACA">
        <w:tc>
          <w:tcPr>
            <w:tcW w:w="988" w:type="dxa"/>
          </w:tcPr>
          <w:p w14:paraId="7D084B4E" w14:textId="77777777" w:rsidR="00685ED6" w:rsidRPr="00BF0D46" w:rsidRDefault="00685ED6" w:rsidP="008A5ACA">
            <w:pPr>
              <w:jc w:val="center"/>
              <w:rPr>
                <w:rFonts w:ascii="Arial Narrow" w:hAnsi="Arial Narrow" w:cs="Open Sans"/>
                <w:color w:val="333333"/>
                <w:sz w:val="18"/>
                <w:szCs w:val="18"/>
              </w:rPr>
            </w:pPr>
          </w:p>
        </w:tc>
        <w:tc>
          <w:tcPr>
            <w:tcW w:w="8221" w:type="dxa"/>
          </w:tcPr>
          <w:p w14:paraId="423DEDAB" w14:textId="77777777" w:rsidR="00685ED6" w:rsidRPr="00BF0D4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BF0D46" w14:paraId="18A0DA97" w14:textId="77777777" w:rsidTr="00F527AB">
        <w:tc>
          <w:tcPr>
            <w:tcW w:w="988" w:type="dxa"/>
          </w:tcPr>
          <w:p w14:paraId="3AD98321" w14:textId="2CA8F0A1"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45884A8D"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Clinical criteria:</w:t>
            </w:r>
          </w:p>
        </w:tc>
      </w:tr>
      <w:tr w:rsidR="00685ED6" w:rsidRPr="00BF0D46" w14:paraId="43DE75A9" w14:textId="77777777" w:rsidTr="00F527AB">
        <w:tc>
          <w:tcPr>
            <w:tcW w:w="988" w:type="dxa"/>
          </w:tcPr>
          <w:p w14:paraId="7733480B" w14:textId="68241E69"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055FB63A"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2 pharmacological growth hormone stimulation tests (</w:t>
            </w:r>
            <w:proofErr w:type="gramStart"/>
            <w:r w:rsidRPr="00BF0D46">
              <w:rPr>
                <w:rFonts w:ascii="Arial Narrow" w:hAnsi="Arial Narrow" w:cs="Open Sans"/>
                <w:color w:val="333333"/>
                <w:sz w:val="18"/>
                <w:szCs w:val="18"/>
              </w:rPr>
              <w:t>e.g.</w:t>
            </w:r>
            <w:proofErr w:type="gramEnd"/>
            <w:r w:rsidRPr="00BF0D46">
              <w:rPr>
                <w:rFonts w:ascii="Arial Narrow" w:hAnsi="Arial Narrow" w:cs="Open Sans"/>
                <w:color w:val="333333"/>
                <w:sz w:val="18"/>
                <w:szCs w:val="18"/>
              </w:rPr>
              <w:t xml:space="preserve"> arginine, clonidine, glucagon, insulin); or</w:t>
            </w:r>
          </w:p>
        </w:tc>
      </w:tr>
      <w:tr w:rsidR="00685ED6" w:rsidRPr="00BF0D46" w14:paraId="52F28387" w14:textId="77777777" w:rsidTr="00F527AB">
        <w:tc>
          <w:tcPr>
            <w:tcW w:w="988" w:type="dxa"/>
          </w:tcPr>
          <w:p w14:paraId="710F4399" w14:textId="4CAF9EC0"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71A14575"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tc>
      </w:tr>
      <w:tr w:rsidR="00685ED6" w:rsidRPr="00BF0D46" w14:paraId="71D8301B" w14:textId="77777777" w:rsidTr="00F527AB">
        <w:tc>
          <w:tcPr>
            <w:tcW w:w="988" w:type="dxa"/>
          </w:tcPr>
          <w:p w14:paraId="56AEE972" w14:textId="086A0837"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0F3EA8A3"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tc>
      </w:tr>
      <w:tr w:rsidR="00685ED6" w:rsidRPr="00BF0D46" w14:paraId="0F4671A0" w14:textId="77777777" w:rsidTr="00F527AB">
        <w:tc>
          <w:tcPr>
            <w:tcW w:w="988" w:type="dxa"/>
          </w:tcPr>
          <w:p w14:paraId="44E12019" w14:textId="66C9DF00"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0B993301"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tc>
      </w:tr>
      <w:tr w:rsidR="00685ED6" w:rsidRPr="00BF0D46" w14:paraId="64DC51E1" w14:textId="77777777" w:rsidTr="00F527AB">
        <w:tc>
          <w:tcPr>
            <w:tcW w:w="988" w:type="dxa"/>
          </w:tcPr>
          <w:p w14:paraId="3A9AF831" w14:textId="697CE59A"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66304538"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w:t>
            </w:r>
            <w:proofErr w:type="gramStart"/>
            <w:r w:rsidRPr="00BF0D46">
              <w:rPr>
                <w:rFonts w:ascii="Arial Narrow" w:hAnsi="Arial Narrow" w:cs="Open Sans"/>
                <w:color w:val="333333"/>
                <w:sz w:val="18"/>
                <w:szCs w:val="18"/>
              </w:rPr>
              <w:t>e.g.</w:t>
            </w:r>
            <w:proofErr w:type="gramEnd"/>
            <w:r w:rsidRPr="00BF0D46">
              <w:rPr>
                <w:rFonts w:ascii="Arial Narrow" w:hAnsi="Arial Narrow" w:cs="Open Sans"/>
                <w:color w:val="333333"/>
                <w:sz w:val="18"/>
                <w:szCs w:val="18"/>
              </w:rPr>
              <w:t xml:space="preserve"> arginine, clonidine, glucagon, insulin, sleep, exercise) and low plasma IGFBP-3 levels</w:t>
            </w:r>
          </w:p>
        </w:tc>
      </w:tr>
      <w:tr w:rsidR="00685ED6" w:rsidRPr="00BF0D46" w14:paraId="5ACFC6E4" w14:textId="77777777" w:rsidTr="00F527AB">
        <w:tc>
          <w:tcPr>
            <w:tcW w:w="988" w:type="dxa"/>
          </w:tcPr>
          <w:p w14:paraId="733E0B16" w14:textId="77777777" w:rsidR="00685ED6" w:rsidRPr="00BF0D46" w:rsidRDefault="00685ED6" w:rsidP="008A5ACA">
            <w:pPr>
              <w:jc w:val="center"/>
              <w:rPr>
                <w:rFonts w:ascii="Arial Narrow" w:hAnsi="Arial Narrow" w:cs="Open Sans"/>
                <w:color w:val="333333"/>
                <w:sz w:val="18"/>
                <w:szCs w:val="18"/>
              </w:rPr>
            </w:pPr>
          </w:p>
        </w:tc>
        <w:tc>
          <w:tcPr>
            <w:tcW w:w="8221" w:type="dxa"/>
            <w:hideMark/>
          </w:tcPr>
          <w:p w14:paraId="2E3C4FD7"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AND</w:t>
            </w:r>
          </w:p>
        </w:tc>
      </w:tr>
      <w:tr w:rsidR="00685ED6" w:rsidRPr="00BF0D46" w14:paraId="6F4F49AC" w14:textId="77777777" w:rsidTr="00F527AB">
        <w:tc>
          <w:tcPr>
            <w:tcW w:w="988" w:type="dxa"/>
          </w:tcPr>
          <w:p w14:paraId="700E0639" w14:textId="778146A5"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65119A09"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Clinical criteria:</w:t>
            </w:r>
          </w:p>
        </w:tc>
      </w:tr>
      <w:tr w:rsidR="00685ED6" w:rsidRPr="00BF0D46" w14:paraId="074977D8" w14:textId="77777777" w:rsidTr="00F527AB">
        <w:tc>
          <w:tcPr>
            <w:tcW w:w="988" w:type="dxa"/>
          </w:tcPr>
          <w:p w14:paraId="4FCA35BB" w14:textId="358011E4"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1B7C36A7"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 xml:space="preserve">Patient must have a current height at or below the </w:t>
            </w:r>
            <w:proofErr w:type="gramStart"/>
            <w:r w:rsidRPr="00BF0D46">
              <w:rPr>
                <w:rFonts w:ascii="Arial Narrow" w:hAnsi="Arial Narrow" w:cs="Open Sans"/>
                <w:color w:val="333333"/>
                <w:sz w:val="18"/>
                <w:szCs w:val="18"/>
              </w:rPr>
              <w:t>1st</w:t>
            </w:r>
            <w:proofErr w:type="gramEnd"/>
            <w:r w:rsidRPr="00BF0D46">
              <w:rPr>
                <w:rFonts w:ascii="Arial Narrow" w:hAnsi="Arial Narrow" w:cs="Open Sans"/>
                <w:color w:val="333333"/>
                <w:sz w:val="18"/>
                <w:szCs w:val="18"/>
              </w:rPr>
              <w:t xml:space="preserve"> percentile for age and sex; or</w:t>
            </w:r>
          </w:p>
        </w:tc>
      </w:tr>
      <w:tr w:rsidR="00685ED6" w:rsidRPr="00BF0D46" w14:paraId="189004FE" w14:textId="77777777" w:rsidTr="00F527AB">
        <w:tc>
          <w:tcPr>
            <w:tcW w:w="988" w:type="dxa"/>
          </w:tcPr>
          <w:p w14:paraId="67720AAC" w14:textId="0D3B2BAD"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1D106218"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 xml:space="preserve">Patient must have a current height above the 1st and at or below the 25th percentiles for age and sex and a growth velocity below the 25th percentile for bone age and sex measured over a </w:t>
            </w:r>
            <w:proofErr w:type="gramStart"/>
            <w:r w:rsidRPr="00BF0D46">
              <w:rPr>
                <w:rFonts w:ascii="Arial Narrow" w:hAnsi="Arial Narrow" w:cs="Open Sans"/>
                <w:color w:val="333333"/>
                <w:sz w:val="18"/>
                <w:szCs w:val="18"/>
              </w:rPr>
              <w:t>12 month</w:t>
            </w:r>
            <w:proofErr w:type="gramEnd"/>
            <w:r w:rsidRPr="00BF0D46">
              <w:rPr>
                <w:rFonts w:ascii="Arial Narrow" w:hAnsi="Arial Narrow" w:cs="Open Sans"/>
                <w:color w:val="333333"/>
                <w:sz w:val="18"/>
                <w:szCs w:val="18"/>
              </w:rPr>
              <w:t xml:space="preserve"> interval (or a 6 month interval for an older child); or</w:t>
            </w:r>
          </w:p>
        </w:tc>
      </w:tr>
      <w:tr w:rsidR="00685ED6" w:rsidRPr="00BF0D46" w14:paraId="1B8E8DEB" w14:textId="77777777" w:rsidTr="00F527AB">
        <w:tc>
          <w:tcPr>
            <w:tcW w:w="988" w:type="dxa"/>
          </w:tcPr>
          <w:p w14:paraId="681C48AE" w14:textId="32074924"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201D3532"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 xml:space="preserve">Patient must have a current height above the 1st and at or below the 25th percentiles for age and sex and an annual growth velocity of 14 cm per year or less if the patient has a chronological age of 2 years or </w:t>
            </w:r>
            <w:proofErr w:type="gramStart"/>
            <w:r w:rsidRPr="00BF0D46">
              <w:rPr>
                <w:rFonts w:ascii="Arial Narrow" w:hAnsi="Arial Narrow" w:cs="Open Sans"/>
                <w:color w:val="333333"/>
                <w:sz w:val="18"/>
                <w:szCs w:val="18"/>
              </w:rPr>
              <w:t>less;</w:t>
            </w:r>
            <w:proofErr w:type="gramEnd"/>
            <w:r w:rsidRPr="00BF0D46">
              <w:rPr>
                <w:rFonts w:ascii="Arial Narrow" w:hAnsi="Arial Narrow" w:cs="Open Sans"/>
                <w:color w:val="333333"/>
                <w:sz w:val="18"/>
                <w:szCs w:val="18"/>
              </w:rPr>
              <w:t xml:space="preserve"> or</w:t>
            </w:r>
          </w:p>
        </w:tc>
      </w:tr>
      <w:tr w:rsidR="00685ED6" w:rsidRPr="00BF0D46" w14:paraId="0733A29D" w14:textId="77777777" w:rsidTr="00F527AB">
        <w:tc>
          <w:tcPr>
            <w:tcW w:w="988" w:type="dxa"/>
          </w:tcPr>
          <w:p w14:paraId="46E7202D" w14:textId="5C8DB3E2"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2BCA33D8"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 xml:space="preserve">Patient must have a current height above the </w:t>
            </w:r>
            <w:proofErr w:type="gramStart"/>
            <w:r w:rsidRPr="00BF0D46">
              <w:rPr>
                <w:rFonts w:ascii="Arial Narrow" w:hAnsi="Arial Narrow" w:cs="Open Sans"/>
                <w:color w:val="333333"/>
                <w:sz w:val="18"/>
                <w:szCs w:val="18"/>
              </w:rPr>
              <w:t>1st</w:t>
            </w:r>
            <w:proofErr w:type="gramEnd"/>
            <w:r w:rsidRPr="00BF0D46">
              <w:rPr>
                <w:rFonts w:ascii="Arial Narrow" w:hAnsi="Arial Narrow" w:cs="Open Sans"/>
                <w:color w:val="333333"/>
                <w:sz w:val="18"/>
                <w:szCs w:val="18"/>
              </w:rPr>
              <w:t xml:space="preserve"> and at or below the 25th percentiles for age and sex and an annual growth velocity of 8 cm per year or less if the patient has a bone or chronological age of 2.5 years or less</w:t>
            </w:r>
          </w:p>
        </w:tc>
      </w:tr>
      <w:tr w:rsidR="00685ED6" w:rsidRPr="00BF0D46" w14:paraId="5A96B27B" w14:textId="77777777" w:rsidTr="00F527AB">
        <w:tc>
          <w:tcPr>
            <w:tcW w:w="988" w:type="dxa"/>
          </w:tcPr>
          <w:p w14:paraId="62F21CE7" w14:textId="77777777" w:rsidR="00685ED6" w:rsidRPr="00BF0D46" w:rsidRDefault="00685ED6" w:rsidP="008A5ACA">
            <w:pPr>
              <w:jc w:val="center"/>
              <w:rPr>
                <w:rFonts w:ascii="Arial Narrow" w:hAnsi="Arial Narrow" w:cs="Open Sans"/>
                <w:color w:val="333333"/>
                <w:sz w:val="18"/>
                <w:szCs w:val="18"/>
              </w:rPr>
            </w:pPr>
          </w:p>
        </w:tc>
        <w:tc>
          <w:tcPr>
            <w:tcW w:w="8221" w:type="dxa"/>
            <w:hideMark/>
          </w:tcPr>
          <w:p w14:paraId="7D4BA8C6"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AND</w:t>
            </w:r>
          </w:p>
        </w:tc>
      </w:tr>
      <w:tr w:rsidR="00685ED6" w:rsidRPr="00BF0D46" w14:paraId="0D96D5B3" w14:textId="77777777" w:rsidTr="00F527AB">
        <w:tc>
          <w:tcPr>
            <w:tcW w:w="988" w:type="dxa"/>
          </w:tcPr>
          <w:p w14:paraId="624A10F1" w14:textId="433ABBB8"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4E78DBD8"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Clinical criteria:</w:t>
            </w:r>
          </w:p>
        </w:tc>
      </w:tr>
      <w:tr w:rsidR="00685ED6" w:rsidRPr="00BF0D46" w14:paraId="592DFF26" w14:textId="77777777" w:rsidTr="00F527AB">
        <w:tc>
          <w:tcPr>
            <w:tcW w:w="988" w:type="dxa"/>
          </w:tcPr>
          <w:p w14:paraId="6E90DA8A" w14:textId="3F405AC9"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461CC7E9"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BF0D46" w14:paraId="54641CD1" w14:textId="77777777" w:rsidTr="00F527AB">
        <w:tc>
          <w:tcPr>
            <w:tcW w:w="988" w:type="dxa"/>
          </w:tcPr>
          <w:p w14:paraId="54A235E9" w14:textId="77777777" w:rsidR="00685ED6" w:rsidRPr="00BF0D46" w:rsidRDefault="00685ED6" w:rsidP="008A5ACA">
            <w:pPr>
              <w:jc w:val="center"/>
              <w:rPr>
                <w:rFonts w:ascii="Arial Narrow" w:hAnsi="Arial Narrow" w:cs="Open Sans"/>
                <w:color w:val="333333"/>
                <w:sz w:val="18"/>
                <w:szCs w:val="18"/>
              </w:rPr>
            </w:pPr>
          </w:p>
        </w:tc>
        <w:tc>
          <w:tcPr>
            <w:tcW w:w="8221" w:type="dxa"/>
            <w:hideMark/>
          </w:tcPr>
          <w:p w14:paraId="6DFB1511"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AND</w:t>
            </w:r>
          </w:p>
        </w:tc>
      </w:tr>
      <w:tr w:rsidR="00685ED6" w:rsidRPr="00BF0D46" w14:paraId="36347D77" w14:textId="77777777" w:rsidTr="00F527AB">
        <w:tc>
          <w:tcPr>
            <w:tcW w:w="988" w:type="dxa"/>
          </w:tcPr>
          <w:p w14:paraId="1FB270A5" w14:textId="22E79BCD"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1B9820F1"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Clinical criteria:</w:t>
            </w:r>
          </w:p>
        </w:tc>
      </w:tr>
      <w:tr w:rsidR="00685ED6" w:rsidRPr="00BF0D46" w14:paraId="7DC1EA65" w14:textId="77777777" w:rsidTr="00F527AB">
        <w:tc>
          <w:tcPr>
            <w:tcW w:w="988" w:type="dxa"/>
          </w:tcPr>
          <w:p w14:paraId="16BE15C0" w14:textId="2A50C597"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15552039"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not have an active tumour or evidence of tumour growth or activity</w:t>
            </w:r>
          </w:p>
        </w:tc>
      </w:tr>
      <w:tr w:rsidR="00685ED6" w:rsidRPr="00BF0D46" w14:paraId="2EE23B71" w14:textId="77777777" w:rsidTr="00F527AB">
        <w:tc>
          <w:tcPr>
            <w:tcW w:w="988" w:type="dxa"/>
          </w:tcPr>
          <w:p w14:paraId="134A0DAB" w14:textId="77777777" w:rsidR="00685ED6" w:rsidRPr="00BF0D46" w:rsidRDefault="00685ED6" w:rsidP="008A5ACA">
            <w:pPr>
              <w:jc w:val="center"/>
              <w:rPr>
                <w:rFonts w:ascii="Arial Narrow" w:hAnsi="Arial Narrow" w:cs="Open Sans"/>
                <w:color w:val="333333"/>
                <w:sz w:val="18"/>
                <w:szCs w:val="18"/>
              </w:rPr>
            </w:pPr>
          </w:p>
        </w:tc>
        <w:tc>
          <w:tcPr>
            <w:tcW w:w="8221" w:type="dxa"/>
            <w:hideMark/>
          </w:tcPr>
          <w:p w14:paraId="1AFB1F08"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AND</w:t>
            </w:r>
          </w:p>
        </w:tc>
      </w:tr>
      <w:tr w:rsidR="00685ED6" w:rsidRPr="00BF0D46" w14:paraId="3F8A1B62" w14:textId="77777777" w:rsidTr="00F527AB">
        <w:tc>
          <w:tcPr>
            <w:tcW w:w="988" w:type="dxa"/>
          </w:tcPr>
          <w:p w14:paraId="380F271B" w14:textId="77B8FB95"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385C1478"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Clinical criteria:</w:t>
            </w:r>
          </w:p>
        </w:tc>
      </w:tr>
      <w:tr w:rsidR="00685ED6" w:rsidRPr="00BF0D46" w14:paraId="77FB9809" w14:textId="77777777" w:rsidTr="00F527AB">
        <w:tc>
          <w:tcPr>
            <w:tcW w:w="988" w:type="dxa"/>
          </w:tcPr>
          <w:p w14:paraId="304945A3" w14:textId="0E987925"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06013930"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not have previously received treatment under the PBS S100 Growth Hormone Program</w:t>
            </w:r>
          </w:p>
        </w:tc>
      </w:tr>
      <w:tr w:rsidR="00685ED6" w:rsidRPr="00BF0D46" w14:paraId="3FC317F9" w14:textId="77777777" w:rsidTr="00F527AB">
        <w:tc>
          <w:tcPr>
            <w:tcW w:w="988" w:type="dxa"/>
          </w:tcPr>
          <w:p w14:paraId="0A049AEB" w14:textId="77777777" w:rsidR="00685ED6" w:rsidRPr="00BF0D46" w:rsidRDefault="00685ED6" w:rsidP="008A5ACA">
            <w:pPr>
              <w:jc w:val="center"/>
              <w:rPr>
                <w:rFonts w:ascii="Arial Narrow" w:hAnsi="Arial Narrow" w:cs="Open Sans"/>
                <w:color w:val="333333"/>
                <w:sz w:val="18"/>
                <w:szCs w:val="18"/>
              </w:rPr>
            </w:pPr>
          </w:p>
        </w:tc>
        <w:tc>
          <w:tcPr>
            <w:tcW w:w="8221" w:type="dxa"/>
            <w:hideMark/>
          </w:tcPr>
          <w:p w14:paraId="6DB7D068"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AND</w:t>
            </w:r>
          </w:p>
        </w:tc>
      </w:tr>
      <w:tr w:rsidR="00685ED6" w:rsidRPr="00BF0D46" w14:paraId="409F439B" w14:textId="77777777" w:rsidTr="00F527AB">
        <w:tc>
          <w:tcPr>
            <w:tcW w:w="988" w:type="dxa"/>
          </w:tcPr>
          <w:p w14:paraId="3A7B7E67" w14:textId="0A6C3738"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2EAD122E"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Clinical criteria:</w:t>
            </w:r>
          </w:p>
        </w:tc>
      </w:tr>
      <w:tr w:rsidR="00685ED6" w:rsidRPr="00BF0D46" w14:paraId="188220F9" w14:textId="77777777" w:rsidTr="00F527AB">
        <w:tc>
          <w:tcPr>
            <w:tcW w:w="988" w:type="dxa"/>
          </w:tcPr>
          <w:p w14:paraId="38F1636E" w14:textId="748F0A5A"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1F804FCD"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be male and must not have a bone age of 15.5 years or more; or</w:t>
            </w:r>
          </w:p>
        </w:tc>
      </w:tr>
      <w:tr w:rsidR="00685ED6" w:rsidRPr="00BF0D46" w14:paraId="383B23D2" w14:textId="77777777" w:rsidTr="00F527AB">
        <w:tc>
          <w:tcPr>
            <w:tcW w:w="988" w:type="dxa"/>
          </w:tcPr>
          <w:p w14:paraId="5337BE75" w14:textId="2E8D0293"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1C926BB8"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be female and must not have a bone age of 13.5 years or more</w:t>
            </w:r>
          </w:p>
        </w:tc>
      </w:tr>
      <w:tr w:rsidR="00685ED6" w:rsidRPr="00BF0D46" w14:paraId="7D1CC225" w14:textId="77777777" w:rsidTr="008A5ACA">
        <w:tc>
          <w:tcPr>
            <w:tcW w:w="988" w:type="dxa"/>
          </w:tcPr>
          <w:p w14:paraId="4FDA0F0C" w14:textId="77777777" w:rsidR="00685ED6" w:rsidRPr="00BF0D46" w:rsidRDefault="00685ED6" w:rsidP="008A5ACA">
            <w:pPr>
              <w:jc w:val="center"/>
              <w:textAlignment w:val="baseline"/>
              <w:rPr>
                <w:rFonts w:ascii="Arial Narrow" w:hAnsi="Arial Narrow" w:cs="Open Sans"/>
                <w:color w:val="333333"/>
                <w:sz w:val="18"/>
                <w:szCs w:val="18"/>
              </w:rPr>
            </w:pPr>
          </w:p>
        </w:tc>
        <w:tc>
          <w:tcPr>
            <w:tcW w:w="8221" w:type="dxa"/>
          </w:tcPr>
          <w:p w14:paraId="7B801E71" w14:textId="77777777" w:rsidR="00685ED6" w:rsidRPr="00BF0D46" w:rsidRDefault="00685ED6" w:rsidP="008A5ACA">
            <w:pPr>
              <w:ind w:left="-57"/>
              <w:rPr>
                <w:rFonts w:ascii="Arial Narrow" w:hAnsi="Arial Narrow" w:cs="Open Sans"/>
                <w:color w:val="333333"/>
                <w:sz w:val="18"/>
                <w:szCs w:val="18"/>
              </w:rPr>
            </w:pPr>
          </w:p>
        </w:tc>
      </w:tr>
      <w:tr w:rsidR="00685ED6" w:rsidRPr="00BF0D46" w14:paraId="55EA2A09" w14:textId="77777777" w:rsidTr="00F527AB">
        <w:tc>
          <w:tcPr>
            <w:tcW w:w="988" w:type="dxa"/>
          </w:tcPr>
          <w:p w14:paraId="5350F143" w14:textId="72A8A02F"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63447FDD"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Treatment criteria:</w:t>
            </w:r>
          </w:p>
        </w:tc>
      </w:tr>
      <w:tr w:rsidR="00685ED6" w:rsidRPr="00BF0D46" w14:paraId="54A31B93" w14:textId="77777777" w:rsidTr="00F527AB">
        <w:tc>
          <w:tcPr>
            <w:tcW w:w="988" w:type="dxa"/>
          </w:tcPr>
          <w:p w14:paraId="135B7290" w14:textId="4A1622A9"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3646C93E"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 xml:space="preserve">Must </w:t>
            </w:r>
            <w:proofErr w:type="gramStart"/>
            <w:r w:rsidRPr="00BF0D46">
              <w:rPr>
                <w:rFonts w:ascii="Arial Narrow" w:hAnsi="Arial Narrow" w:cs="Open Sans"/>
                <w:color w:val="333333"/>
                <w:sz w:val="18"/>
                <w:szCs w:val="18"/>
              </w:rPr>
              <w:t>be treated</w:t>
            </w:r>
            <w:proofErr w:type="gramEnd"/>
            <w:r w:rsidRPr="00BF0D46">
              <w:rPr>
                <w:rFonts w:ascii="Arial Narrow" w:hAnsi="Arial Narrow" w:cs="Open Sans"/>
                <w:color w:val="333333"/>
                <w:sz w:val="18"/>
                <w:szCs w:val="18"/>
              </w:rPr>
              <w:t xml:space="preserve"> by a specialist or consultant physician in paediatric endocrinology; or</w:t>
            </w:r>
          </w:p>
        </w:tc>
      </w:tr>
      <w:tr w:rsidR="00685ED6" w:rsidRPr="00BF0D46" w14:paraId="0A7B0D1C" w14:textId="77777777" w:rsidTr="00F527AB">
        <w:tc>
          <w:tcPr>
            <w:tcW w:w="988" w:type="dxa"/>
          </w:tcPr>
          <w:p w14:paraId="1065BE42" w14:textId="4E3C8356"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2A409403"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 xml:space="preserve">Must </w:t>
            </w:r>
            <w:proofErr w:type="gramStart"/>
            <w:r w:rsidRPr="00BF0D46">
              <w:rPr>
                <w:rFonts w:ascii="Arial Narrow" w:hAnsi="Arial Narrow" w:cs="Open Sans"/>
                <w:color w:val="333333"/>
                <w:sz w:val="18"/>
                <w:szCs w:val="18"/>
              </w:rPr>
              <w:t>be treated</w:t>
            </w:r>
            <w:proofErr w:type="gramEnd"/>
            <w:r w:rsidRPr="00BF0D46">
              <w:rPr>
                <w:rFonts w:ascii="Arial Narrow" w:hAnsi="Arial Narrow" w:cs="Open Sans"/>
                <w:color w:val="333333"/>
                <w:sz w:val="18"/>
                <w:szCs w:val="18"/>
              </w:rPr>
              <w:t xml:space="preserve"> by a specialist or consultant physician in general paediatrics in consultation with a nominated specialist or consultant physician in paediatric endocrinology</w:t>
            </w:r>
          </w:p>
        </w:tc>
      </w:tr>
      <w:tr w:rsidR="00685ED6" w:rsidRPr="00BF0D46" w14:paraId="23C485E9" w14:textId="77777777" w:rsidTr="00F527AB">
        <w:tc>
          <w:tcPr>
            <w:tcW w:w="988" w:type="dxa"/>
          </w:tcPr>
          <w:p w14:paraId="2DB2B2BB" w14:textId="77777777" w:rsidR="00685ED6" w:rsidRPr="00BF0D46" w:rsidRDefault="00685ED6" w:rsidP="008A5ACA">
            <w:pPr>
              <w:jc w:val="center"/>
              <w:rPr>
                <w:rFonts w:ascii="Arial Narrow" w:hAnsi="Arial Narrow" w:cs="Open Sans"/>
                <w:color w:val="333333"/>
                <w:sz w:val="18"/>
                <w:szCs w:val="18"/>
              </w:rPr>
            </w:pPr>
          </w:p>
        </w:tc>
        <w:tc>
          <w:tcPr>
            <w:tcW w:w="8221" w:type="dxa"/>
            <w:hideMark/>
          </w:tcPr>
          <w:p w14:paraId="3B7F7551"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AND</w:t>
            </w:r>
          </w:p>
        </w:tc>
      </w:tr>
      <w:tr w:rsidR="00685ED6" w:rsidRPr="00BF0D46" w14:paraId="1E1CC79D" w14:textId="77777777" w:rsidTr="00F527AB">
        <w:tc>
          <w:tcPr>
            <w:tcW w:w="988" w:type="dxa"/>
          </w:tcPr>
          <w:p w14:paraId="4551FB2F" w14:textId="02876133"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751E151C"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Treatment criteria:</w:t>
            </w:r>
          </w:p>
        </w:tc>
      </w:tr>
      <w:tr w:rsidR="00685ED6" w:rsidRPr="00BF0D46" w14:paraId="00C0006D" w14:textId="77777777" w:rsidTr="00F527AB">
        <w:tc>
          <w:tcPr>
            <w:tcW w:w="988" w:type="dxa"/>
          </w:tcPr>
          <w:p w14:paraId="51229000" w14:textId="1EA884AC"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35FB3228" w14:textId="77777777" w:rsidR="00685ED6" w:rsidRPr="00BF0D46" w:rsidRDefault="00685ED6" w:rsidP="008A5ACA">
            <w:pPr>
              <w:ind w:left="-57"/>
              <w:rPr>
                <w:rFonts w:ascii="Arial Narrow" w:hAnsi="Arial Narrow" w:cs="Open Sans"/>
                <w:color w:val="333333"/>
                <w:sz w:val="18"/>
                <w:szCs w:val="18"/>
              </w:rPr>
            </w:pPr>
            <w:r w:rsidRPr="00BF0D46">
              <w:rPr>
                <w:rFonts w:ascii="Arial Narrow" w:hAnsi="Arial Narrow" w:cs="Open Sans"/>
                <w:color w:val="333333"/>
                <w:sz w:val="18"/>
                <w:szCs w:val="18"/>
              </w:rPr>
              <w:t>Patient must be undergoing treatment for the stated indication with only one growth hormone at any given time</w:t>
            </w:r>
          </w:p>
        </w:tc>
      </w:tr>
      <w:tr w:rsidR="00685ED6" w:rsidRPr="00BF0D46" w14:paraId="6E5465A5" w14:textId="77777777" w:rsidTr="008A5ACA">
        <w:tc>
          <w:tcPr>
            <w:tcW w:w="988" w:type="dxa"/>
          </w:tcPr>
          <w:p w14:paraId="60DD0B8B" w14:textId="77777777" w:rsidR="00685ED6" w:rsidRPr="00BF0D46" w:rsidRDefault="00685ED6" w:rsidP="008A5ACA">
            <w:pPr>
              <w:jc w:val="center"/>
              <w:textAlignment w:val="baseline"/>
              <w:rPr>
                <w:rFonts w:ascii="Arial Narrow" w:hAnsi="Arial Narrow" w:cs="Open Sans"/>
                <w:color w:val="333333"/>
                <w:sz w:val="18"/>
                <w:szCs w:val="18"/>
              </w:rPr>
            </w:pPr>
          </w:p>
        </w:tc>
        <w:tc>
          <w:tcPr>
            <w:tcW w:w="8221" w:type="dxa"/>
          </w:tcPr>
          <w:p w14:paraId="1B10CB4F" w14:textId="77777777" w:rsidR="00685ED6" w:rsidRPr="00BF0D46" w:rsidRDefault="00685ED6" w:rsidP="008A5ACA">
            <w:pPr>
              <w:ind w:left="-57"/>
              <w:rPr>
                <w:rFonts w:ascii="Arial Narrow" w:hAnsi="Arial Narrow" w:cs="Open Sans"/>
                <w:color w:val="333333"/>
                <w:sz w:val="18"/>
                <w:szCs w:val="18"/>
              </w:rPr>
            </w:pPr>
          </w:p>
        </w:tc>
      </w:tr>
      <w:tr w:rsidR="00685ED6" w:rsidRPr="00BF0D46" w14:paraId="0F1AB085" w14:textId="77777777" w:rsidTr="00F527AB">
        <w:tc>
          <w:tcPr>
            <w:tcW w:w="988" w:type="dxa"/>
          </w:tcPr>
          <w:p w14:paraId="5A2068CE" w14:textId="41F6753B"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28619E46"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Prescribing Instructions:</w:t>
            </w:r>
          </w:p>
          <w:p w14:paraId="4401AB70"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 xml:space="preserve">An older child </w:t>
            </w:r>
            <w:proofErr w:type="gramStart"/>
            <w:r w:rsidRPr="00BF0D46">
              <w:rPr>
                <w:rFonts w:ascii="Arial Narrow" w:hAnsi="Arial Narrow" w:cs="Open Sans"/>
                <w:color w:val="333333"/>
                <w:sz w:val="18"/>
                <w:szCs w:val="18"/>
              </w:rPr>
              <w:t>is defined</w:t>
            </w:r>
            <w:proofErr w:type="gramEnd"/>
            <w:r w:rsidRPr="00BF0D46">
              <w:rPr>
                <w:rFonts w:ascii="Arial Narrow" w:hAnsi="Arial Narrow" w:cs="Open Sans"/>
                <w:color w:val="333333"/>
                <w:sz w:val="18"/>
                <w:szCs w:val="18"/>
              </w:rPr>
              <w:t xml:space="preserve"> as a male with a chronological age of at least 12 years or a bone age of at least 10 years, or a female with a chronological age of at least 10 years or a bone age of at least 8 years.</w:t>
            </w:r>
          </w:p>
        </w:tc>
      </w:tr>
      <w:tr w:rsidR="00685ED6" w:rsidRPr="00BF0D46" w14:paraId="50FA0FE4" w14:textId="77777777" w:rsidTr="00F527AB">
        <w:trPr>
          <w:trHeight w:val="2258"/>
        </w:trPr>
        <w:tc>
          <w:tcPr>
            <w:tcW w:w="988" w:type="dxa"/>
          </w:tcPr>
          <w:p w14:paraId="5E6A3B71" w14:textId="26FC3280"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2C7740CF"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Prescribing Instructions:</w:t>
            </w:r>
          </w:p>
          <w:p w14:paraId="75FE081B"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 xml:space="preserve">Applications for authorisation under this treatment phase must </w:t>
            </w:r>
            <w:proofErr w:type="gramStart"/>
            <w:r w:rsidRPr="00BF0D46">
              <w:rPr>
                <w:rFonts w:ascii="Arial Narrow" w:hAnsi="Arial Narrow" w:cs="Open Sans"/>
                <w:color w:val="333333"/>
                <w:sz w:val="18"/>
                <w:szCs w:val="18"/>
              </w:rPr>
              <w:t>be made</w:t>
            </w:r>
            <w:proofErr w:type="gramEnd"/>
            <w:r w:rsidRPr="00BF0D46">
              <w:rPr>
                <w:rFonts w:ascii="Arial Narrow" w:hAnsi="Arial Narrow" w:cs="Open Sans"/>
                <w:color w:val="333333"/>
                <w:sz w:val="18"/>
                <w:szCs w:val="18"/>
              </w:rPr>
              <w:t xml:space="preserve"> via the Online PBS Authorities System (real time assessment) or in writing via HPOS form upload or mail and must include:</w:t>
            </w:r>
          </w:p>
          <w:p w14:paraId="2D89FBE1"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1. (a) A minimum of 12 months of recent growth data (height and weight measurements) or a minimum of 6 months of recent growth data for an older child. The most recent data must not be more than three months old at the time of application; or</w:t>
            </w:r>
          </w:p>
          <w:p w14:paraId="2190BB2F"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 xml:space="preserve">(b) Height and weight measurements, not more than three months old at the time of application, for a patient whose current height is at or below the </w:t>
            </w:r>
            <w:proofErr w:type="gramStart"/>
            <w:r w:rsidRPr="00BF0D46">
              <w:rPr>
                <w:rFonts w:ascii="Arial Narrow" w:hAnsi="Arial Narrow" w:cs="Open Sans"/>
                <w:color w:val="333333"/>
                <w:sz w:val="18"/>
                <w:szCs w:val="18"/>
              </w:rPr>
              <w:t>1</w:t>
            </w:r>
            <w:r w:rsidRPr="00BF0D46">
              <w:rPr>
                <w:rFonts w:ascii="Arial Narrow" w:hAnsi="Arial Narrow" w:cs="Open Sans"/>
                <w:color w:val="333333"/>
                <w:sz w:val="18"/>
                <w:szCs w:val="18"/>
                <w:bdr w:val="none" w:sz="0" w:space="0" w:color="auto" w:frame="1"/>
                <w:vertAlign w:val="superscript"/>
              </w:rPr>
              <w:t>st</w:t>
            </w:r>
            <w:proofErr w:type="gramEnd"/>
            <w:r w:rsidRPr="00BF0D46">
              <w:rPr>
                <w:rFonts w:ascii="Arial Narrow" w:hAnsi="Arial Narrow" w:cs="Open Sans"/>
                <w:color w:val="333333"/>
                <w:sz w:val="18"/>
                <w:szCs w:val="18"/>
              </w:rPr>
              <w:t> percentile for age and sex.</w:t>
            </w:r>
          </w:p>
          <w:p w14:paraId="4869C8C0"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2. A bone age result performed within the last 12 months where the patient has a chronological age greater than 2.5 years.</w:t>
            </w:r>
          </w:p>
          <w:p w14:paraId="1D473CF4" w14:textId="77777777" w:rsidR="00685ED6" w:rsidRPr="00BF0D46" w:rsidRDefault="00685ED6" w:rsidP="008A5ACA">
            <w:pPr>
              <w:spacing w:after="240"/>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3. Evidence of biochemical growth hormone deficiency, including the type of tests performed and peak growth hormone concentrations.</w:t>
            </w:r>
          </w:p>
        </w:tc>
      </w:tr>
      <w:tr w:rsidR="00685ED6" w:rsidRPr="00BF0D46" w14:paraId="4C3F85E6" w14:textId="77777777" w:rsidTr="00F527AB">
        <w:tc>
          <w:tcPr>
            <w:tcW w:w="988" w:type="dxa"/>
          </w:tcPr>
          <w:p w14:paraId="6E7C0B93" w14:textId="342A18B7"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27D50316"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Prescribing Instructions:</w:t>
            </w:r>
          </w:p>
          <w:p w14:paraId="31E4200F"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 xml:space="preserve">If the application </w:t>
            </w:r>
            <w:proofErr w:type="gramStart"/>
            <w:r w:rsidRPr="00BF0D46">
              <w:rPr>
                <w:rFonts w:ascii="Arial Narrow" w:hAnsi="Arial Narrow" w:cs="Open Sans"/>
                <w:color w:val="333333"/>
                <w:sz w:val="18"/>
                <w:szCs w:val="18"/>
              </w:rPr>
              <w:t>is submitted</w:t>
            </w:r>
            <w:proofErr w:type="gramEnd"/>
            <w:r w:rsidRPr="00BF0D46">
              <w:rPr>
                <w:rFonts w:ascii="Arial Narrow" w:hAnsi="Arial Narrow" w:cs="Open Sans"/>
                <w:color w:val="333333"/>
                <w:sz w:val="18"/>
                <w:szCs w:val="18"/>
              </w:rPr>
              <w:t xml:space="preserve"> through HPOS form upload or mail, it must include:</w:t>
            </w:r>
          </w:p>
          <w:p w14:paraId="17AEBAB7"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(i) A completed authority prescription form; and</w:t>
            </w:r>
          </w:p>
          <w:p w14:paraId="253DBB19"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BF0D46" w14:paraId="506B837B" w14:textId="77777777" w:rsidTr="00F527AB">
        <w:tc>
          <w:tcPr>
            <w:tcW w:w="988" w:type="dxa"/>
          </w:tcPr>
          <w:p w14:paraId="3C009DE6" w14:textId="4E02F182"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7EB6561F"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Prescribing Instructions:</w:t>
            </w:r>
          </w:p>
          <w:p w14:paraId="3412CDBC"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Prescribe an appropriate amount of drug (maximum quantity in units) outlined within the 'Notes' section of this restriction.</w:t>
            </w:r>
          </w:p>
        </w:tc>
      </w:tr>
      <w:tr w:rsidR="00685ED6" w:rsidRPr="00BF0D46" w14:paraId="763384FA" w14:textId="77777777" w:rsidTr="00F527AB">
        <w:tc>
          <w:tcPr>
            <w:tcW w:w="988" w:type="dxa"/>
          </w:tcPr>
          <w:p w14:paraId="5D293403" w14:textId="61F7D793"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10BD3B0C"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Prescribing Instructions:</w:t>
            </w:r>
          </w:p>
          <w:p w14:paraId="468EFAAC"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BF0D46">
              <w:rPr>
                <w:rFonts w:ascii="Arial Narrow" w:hAnsi="Arial Narrow" w:cs="Open Sans"/>
                <w:color w:val="333333"/>
                <w:sz w:val="18"/>
                <w:szCs w:val="18"/>
              </w:rPr>
              <w:t>was written</w:t>
            </w:r>
            <w:proofErr w:type="gramEnd"/>
            <w:r w:rsidRPr="00BF0D46">
              <w:rPr>
                <w:rFonts w:ascii="Arial Narrow" w:hAnsi="Arial Narrow" w:cs="Open Sans"/>
                <w:color w:val="333333"/>
                <w:sz w:val="18"/>
                <w:szCs w:val="18"/>
              </w:rPr>
              <w:t xml:space="preserve"> in compliance with any relevant circumstances and/or purposes. These records must </w:t>
            </w:r>
            <w:proofErr w:type="gramStart"/>
            <w:r w:rsidRPr="00BF0D46">
              <w:rPr>
                <w:rFonts w:ascii="Arial Narrow" w:hAnsi="Arial Narrow" w:cs="Open Sans"/>
                <w:color w:val="333333"/>
                <w:sz w:val="18"/>
                <w:szCs w:val="18"/>
              </w:rPr>
              <w:t>be kept</w:t>
            </w:r>
            <w:proofErr w:type="gramEnd"/>
            <w:r w:rsidRPr="00BF0D46">
              <w:rPr>
                <w:rFonts w:ascii="Arial Narrow" w:hAnsi="Arial Narrow" w:cs="Open Sans"/>
                <w:color w:val="333333"/>
                <w:sz w:val="18"/>
                <w:szCs w:val="18"/>
              </w:rPr>
              <w:t xml:space="preserve"> for 2 years after the date the prescription to which the records relate is written.</w:t>
            </w:r>
          </w:p>
        </w:tc>
      </w:tr>
      <w:tr w:rsidR="00685ED6" w:rsidRPr="00BF0D46" w14:paraId="491F23C0" w14:textId="77777777" w:rsidTr="00F527AB">
        <w:tc>
          <w:tcPr>
            <w:tcW w:w="988" w:type="dxa"/>
          </w:tcPr>
          <w:p w14:paraId="4D0A95E4" w14:textId="7C1609F3"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2A253195"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Prescribing Instructions:</w:t>
            </w:r>
          </w:p>
          <w:p w14:paraId="6FEBEE3A"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lastRenderedPageBreak/>
              <w:t>Biochemical growth hormone deficiency should not be secondary to an intracranial lesion or cranial irradiation for applications under this category.</w:t>
            </w:r>
          </w:p>
        </w:tc>
      </w:tr>
      <w:tr w:rsidR="00685ED6" w:rsidRPr="00BF0D46" w14:paraId="1CD87036" w14:textId="77777777" w:rsidTr="00F527AB">
        <w:tc>
          <w:tcPr>
            <w:tcW w:w="988" w:type="dxa"/>
          </w:tcPr>
          <w:p w14:paraId="2B959FFA" w14:textId="7488B087" w:rsidR="00685ED6" w:rsidRPr="00BF0D46" w:rsidRDefault="00685ED6" w:rsidP="008A5ACA">
            <w:pPr>
              <w:jc w:val="center"/>
              <w:textAlignment w:val="baseline"/>
              <w:rPr>
                <w:rFonts w:ascii="Arial Narrow" w:hAnsi="Arial Narrow" w:cs="Open Sans"/>
                <w:color w:val="333333"/>
                <w:sz w:val="18"/>
                <w:szCs w:val="18"/>
              </w:rPr>
            </w:pPr>
          </w:p>
        </w:tc>
        <w:tc>
          <w:tcPr>
            <w:tcW w:w="8221" w:type="dxa"/>
            <w:hideMark/>
          </w:tcPr>
          <w:p w14:paraId="2626F670"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Prescribing Instructions:</w:t>
            </w:r>
          </w:p>
          <w:p w14:paraId="3FC8FE81"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5C3A63" w14:paraId="5C0D56F3" w14:textId="77777777" w:rsidTr="008A5ACA">
        <w:tc>
          <w:tcPr>
            <w:tcW w:w="9209" w:type="dxa"/>
            <w:gridSpan w:val="2"/>
          </w:tcPr>
          <w:p w14:paraId="365576D3"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p>
          <w:p w14:paraId="07BC40C4" w14:textId="77777777" w:rsidR="00685ED6" w:rsidRPr="005C3A63"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5C3A63" w14:paraId="146FA48F" w14:textId="77777777" w:rsidTr="008A5ACA">
        <w:tc>
          <w:tcPr>
            <w:tcW w:w="9209" w:type="dxa"/>
            <w:gridSpan w:val="2"/>
          </w:tcPr>
          <w:p w14:paraId="06CD8784"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5C3A63">
              <w:rPr>
                <w:rFonts w:ascii="Arial Narrow" w:hAnsi="Arial Narrow" w:cs="Open Sans"/>
                <w:b/>
                <w:bCs/>
                <w:color w:val="333333"/>
                <w:sz w:val="18"/>
                <w:szCs w:val="18"/>
                <w:bdr w:val="none" w:sz="0" w:space="0" w:color="auto" w:frame="1"/>
              </w:rPr>
              <w:t>Restriction Summary 13319 / ToC: 13297: Authority Required</w:t>
            </w:r>
          </w:p>
          <w:p w14:paraId="15D48143" w14:textId="77777777" w:rsidR="00685ED6" w:rsidRPr="005C3A63"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5C3A63" w14:paraId="0052440C" w14:textId="77777777" w:rsidTr="00F527AB">
        <w:tc>
          <w:tcPr>
            <w:tcW w:w="988" w:type="dxa"/>
          </w:tcPr>
          <w:p w14:paraId="1A08C4CA" w14:textId="3AE9119F"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5D722DC2"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5C3A63">
              <w:rPr>
                <w:rFonts w:ascii="Arial Narrow" w:hAnsi="Arial Narrow" w:cs="Open Sans"/>
                <w:color w:val="333333"/>
                <w:sz w:val="18"/>
                <w:szCs w:val="18"/>
              </w:rPr>
              <w:t>Short stature associated with biochemical growth hormone deficiency</w:t>
            </w:r>
          </w:p>
        </w:tc>
      </w:tr>
      <w:tr w:rsidR="00685ED6" w:rsidRPr="005C3A63" w14:paraId="53A1991F" w14:textId="77777777" w:rsidTr="008A5ACA">
        <w:tc>
          <w:tcPr>
            <w:tcW w:w="988" w:type="dxa"/>
          </w:tcPr>
          <w:p w14:paraId="6F09284B" w14:textId="77777777" w:rsidR="00685ED6" w:rsidRPr="005C3A63" w:rsidRDefault="00685ED6" w:rsidP="008A5ACA">
            <w:pPr>
              <w:jc w:val="center"/>
              <w:textAlignment w:val="baseline"/>
              <w:rPr>
                <w:rFonts w:ascii="Arial Narrow" w:hAnsi="Arial Narrow" w:cs="Open Sans"/>
                <w:color w:val="333333"/>
                <w:sz w:val="18"/>
                <w:szCs w:val="18"/>
              </w:rPr>
            </w:pPr>
          </w:p>
        </w:tc>
        <w:tc>
          <w:tcPr>
            <w:tcW w:w="8221" w:type="dxa"/>
          </w:tcPr>
          <w:p w14:paraId="4D5BBE55" w14:textId="77777777" w:rsidR="00685ED6" w:rsidRPr="005C3A63"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5C3A63" w14:paraId="681E0189" w14:textId="77777777" w:rsidTr="00F527AB">
        <w:tc>
          <w:tcPr>
            <w:tcW w:w="988" w:type="dxa"/>
          </w:tcPr>
          <w:p w14:paraId="797C16B8" w14:textId="77777777" w:rsidR="00685ED6" w:rsidRPr="005C3A63" w:rsidRDefault="00685ED6" w:rsidP="008A5ACA">
            <w:pPr>
              <w:jc w:val="center"/>
              <w:rPr>
                <w:rFonts w:ascii="Arial Narrow" w:hAnsi="Arial Narrow" w:cs="Open Sans"/>
                <w:color w:val="333333"/>
                <w:sz w:val="18"/>
                <w:szCs w:val="18"/>
              </w:rPr>
            </w:pPr>
          </w:p>
        </w:tc>
        <w:tc>
          <w:tcPr>
            <w:tcW w:w="8221" w:type="dxa"/>
            <w:hideMark/>
          </w:tcPr>
          <w:p w14:paraId="28809698"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5C3A63">
              <w:rPr>
                <w:rFonts w:ascii="Arial Narrow" w:hAnsi="Arial Narrow" w:cs="Open Sans"/>
                <w:color w:val="333333"/>
                <w:sz w:val="18"/>
                <w:szCs w:val="18"/>
              </w:rPr>
              <w:t>Recommencement of treatment</w:t>
            </w:r>
          </w:p>
        </w:tc>
      </w:tr>
      <w:tr w:rsidR="00685ED6" w:rsidRPr="005C3A63" w14:paraId="20F11F01" w14:textId="77777777" w:rsidTr="008A5ACA">
        <w:tc>
          <w:tcPr>
            <w:tcW w:w="988" w:type="dxa"/>
          </w:tcPr>
          <w:p w14:paraId="622DC713" w14:textId="77777777" w:rsidR="00685ED6" w:rsidRPr="005C3A63" w:rsidRDefault="00685ED6" w:rsidP="008A5ACA">
            <w:pPr>
              <w:jc w:val="center"/>
              <w:rPr>
                <w:rFonts w:ascii="Arial Narrow" w:hAnsi="Arial Narrow" w:cs="Open Sans"/>
                <w:color w:val="333333"/>
                <w:sz w:val="18"/>
                <w:szCs w:val="18"/>
              </w:rPr>
            </w:pPr>
          </w:p>
        </w:tc>
        <w:tc>
          <w:tcPr>
            <w:tcW w:w="8221" w:type="dxa"/>
          </w:tcPr>
          <w:p w14:paraId="113B09BC" w14:textId="77777777" w:rsidR="00685ED6" w:rsidRPr="005C3A63"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5C3A63" w14:paraId="78DB83DA" w14:textId="77777777" w:rsidTr="00F527AB">
        <w:tc>
          <w:tcPr>
            <w:tcW w:w="988" w:type="dxa"/>
          </w:tcPr>
          <w:p w14:paraId="5D3F3B8F" w14:textId="1A55CDDE"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5DDCC0C1"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Treatment criteria:</w:t>
            </w:r>
          </w:p>
        </w:tc>
      </w:tr>
      <w:tr w:rsidR="00685ED6" w:rsidRPr="005C3A63" w14:paraId="59E71C80" w14:textId="77777777" w:rsidTr="00F527AB">
        <w:tc>
          <w:tcPr>
            <w:tcW w:w="988" w:type="dxa"/>
          </w:tcPr>
          <w:p w14:paraId="716E48A9" w14:textId="68C76D9A"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2EE6736E"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Patient must be undergoing recommencing treatment following a temporary treatment break (</w:t>
            </w:r>
            <w:proofErr w:type="gramStart"/>
            <w:r w:rsidRPr="005C3A63">
              <w:rPr>
                <w:rFonts w:ascii="Arial Narrow" w:hAnsi="Arial Narrow" w:cs="Open Sans"/>
                <w:color w:val="333333"/>
                <w:sz w:val="18"/>
                <w:szCs w:val="18"/>
              </w:rPr>
              <w:t>i.e.</w:t>
            </w:r>
            <w:proofErr w:type="gramEnd"/>
            <w:r w:rsidRPr="005C3A63">
              <w:rPr>
                <w:rFonts w:ascii="Arial Narrow" w:hAnsi="Arial Narrow" w:cs="Open Sans"/>
                <w:color w:val="333333"/>
                <w:sz w:val="18"/>
                <w:szCs w:val="18"/>
              </w:rPr>
              <w:t xml:space="preserve"> a lapse) from this drug for the stated indication above - subsidy through this treatment phase must not: (i) initiate treatment, (ii) change the prescribed drug, (iii) reclassify the PBS indication</w:t>
            </w:r>
          </w:p>
        </w:tc>
      </w:tr>
      <w:tr w:rsidR="00685ED6" w:rsidRPr="005C3A63" w14:paraId="71F6B2CA" w14:textId="77777777" w:rsidTr="008A5ACA">
        <w:tc>
          <w:tcPr>
            <w:tcW w:w="988" w:type="dxa"/>
          </w:tcPr>
          <w:p w14:paraId="123D36AA" w14:textId="77777777" w:rsidR="00685ED6" w:rsidRPr="005C3A63" w:rsidRDefault="00685ED6" w:rsidP="008A5ACA">
            <w:pPr>
              <w:jc w:val="center"/>
              <w:textAlignment w:val="baseline"/>
              <w:rPr>
                <w:rFonts w:ascii="Arial Narrow" w:hAnsi="Arial Narrow" w:cs="Open Sans"/>
                <w:color w:val="333333"/>
                <w:sz w:val="18"/>
                <w:szCs w:val="18"/>
              </w:rPr>
            </w:pPr>
          </w:p>
        </w:tc>
        <w:tc>
          <w:tcPr>
            <w:tcW w:w="8221" w:type="dxa"/>
          </w:tcPr>
          <w:p w14:paraId="5166DB44" w14:textId="77777777" w:rsidR="00685ED6" w:rsidRPr="005C3A63" w:rsidRDefault="00685ED6" w:rsidP="008A5ACA">
            <w:pPr>
              <w:ind w:left="-57"/>
              <w:rPr>
                <w:rFonts w:ascii="Arial Narrow" w:hAnsi="Arial Narrow" w:cs="Open Sans"/>
                <w:color w:val="333333"/>
                <w:sz w:val="18"/>
                <w:szCs w:val="18"/>
              </w:rPr>
            </w:pPr>
          </w:p>
        </w:tc>
      </w:tr>
      <w:tr w:rsidR="00685ED6" w:rsidRPr="005C3A63" w14:paraId="20FC4785" w14:textId="77777777" w:rsidTr="00F527AB">
        <w:tc>
          <w:tcPr>
            <w:tcW w:w="988" w:type="dxa"/>
          </w:tcPr>
          <w:p w14:paraId="2035EF96" w14:textId="45C49060"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50351F3D"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Clinical criteria:</w:t>
            </w:r>
          </w:p>
        </w:tc>
      </w:tr>
      <w:tr w:rsidR="00685ED6" w:rsidRPr="005C3A63" w14:paraId="3FD1C23E" w14:textId="77777777" w:rsidTr="00F527AB">
        <w:tc>
          <w:tcPr>
            <w:tcW w:w="988" w:type="dxa"/>
          </w:tcPr>
          <w:p w14:paraId="0950836D" w14:textId="20E38E24"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70CE925C"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Patient must have had a lapse in growth hormone treatment</w:t>
            </w:r>
          </w:p>
        </w:tc>
      </w:tr>
      <w:tr w:rsidR="00685ED6" w:rsidRPr="005C3A63" w14:paraId="609918B9" w14:textId="77777777" w:rsidTr="00F527AB">
        <w:tc>
          <w:tcPr>
            <w:tcW w:w="988" w:type="dxa"/>
          </w:tcPr>
          <w:p w14:paraId="6D1590DF" w14:textId="77777777" w:rsidR="00685ED6" w:rsidRPr="005C3A63" w:rsidRDefault="00685ED6" w:rsidP="008A5ACA">
            <w:pPr>
              <w:jc w:val="center"/>
              <w:rPr>
                <w:rFonts w:ascii="Arial Narrow" w:hAnsi="Arial Narrow" w:cs="Open Sans"/>
                <w:color w:val="333333"/>
                <w:sz w:val="18"/>
                <w:szCs w:val="18"/>
              </w:rPr>
            </w:pPr>
          </w:p>
        </w:tc>
        <w:tc>
          <w:tcPr>
            <w:tcW w:w="8221" w:type="dxa"/>
            <w:hideMark/>
          </w:tcPr>
          <w:p w14:paraId="6F63BEBC"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AND</w:t>
            </w:r>
          </w:p>
        </w:tc>
      </w:tr>
      <w:tr w:rsidR="00685ED6" w:rsidRPr="005C3A63" w14:paraId="07D9DC65" w14:textId="77777777" w:rsidTr="00F527AB">
        <w:tc>
          <w:tcPr>
            <w:tcW w:w="988" w:type="dxa"/>
          </w:tcPr>
          <w:p w14:paraId="6C5656BC" w14:textId="54D0B7B2"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474A48DB"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Clinical criteria:</w:t>
            </w:r>
          </w:p>
        </w:tc>
      </w:tr>
      <w:tr w:rsidR="00685ED6" w:rsidRPr="005C3A63" w14:paraId="1E86EF36" w14:textId="77777777" w:rsidTr="00F527AB">
        <w:tc>
          <w:tcPr>
            <w:tcW w:w="988" w:type="dxa"/>
          </w:tcPr>
          <w:p w14:paraId="3B6DA4ED" w14:textId="6623FF7A"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785CE33F"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The treatment must not be for the purposes of resuming treatment that is known to be non-efficacious for the patient - where an inadequate response has been observed for the most recent supply of this drug, it must have been confounded by at least one of the following: (i) a significant medical illness, (ii) major surgery (e.g. renal transplant), (iii) an adverse reaction to growth hormone, (iv) non-compliance due to social/family problems, (v) a lower than recommended (as specified by this drug</w:t>
            </w:r>
            <w:r>
              <w:rPr>
                <w:rFonts w:ascii="Arial Narrow" w:hAnsi="Arial Narrow" w:cs="Open Sans"/>
                <w:color w:val="333333"/>
                <w:sz w:val="18"/>
                <w:szCs w:val="18"/>
              </w:rPr>
              <w:t>’</w:t>
            </w:r>
            <w:r w:rsidRPr="005C3A63">
              <w:rPr>
                <w:rFonts w:ascii="Arial Narrow" w:hAnsi="Arial Narrow" w:cs="Open Sans"/>
                <w:color w:val="333333"/>
                <w:sz w:val="18"/>
                <w:szCs w:val="18"/>
              </w:rPr>
              <w:t>s approved Product Information) dose</w:t>
            </w:r>
          </w:p>
        </w:tc>
      </w:tr>
      <w:tr w:rsidR="00685ED6" w:rsidRPr="005C3A63" w14:paraId="48F55318" w14:textId="77777777" w:rsidTr="00F527AB">
        <w:tc>
          <w:tcPr>
            <w:tcW w:w="988" w:type="dxa"/>
          </w:tcPr>
          <w:p w14:paraId="39939FE4" w14:textId="77777777" w:rsidR="00685ED6" w:rsidRPr="005C3A63" w:rsidRDefault="00685ED6" w:rsidP="008A5ACA">
            <w:pPr>
              <w:jc w:val="center"/>
              <w:rPr>
                <w:rFonts w:ascii="Arial Narrow" w:hAnsi="Arial Narrow" w:cs="Open Sans"/>
                <w:color w:val="333333"/>
                <w:sz w:val="18"/>
                <w:szCs w:val="18"/>
              </w:rPr>
            </w:pPr>
          </w:p>
        </w:tc>
        <w:tc>
          <w:tcPr>
            <w:tcW w:w="8221" w:type="dxa"/>
            <w:hideMark/>
          </w:tcPr>
          <w:p w14:paraId="6F69CD49"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AND</w:t>
            </w:r>
          </w:p>
        </w:tc>
      </w:tr>
      <w:tr w:rsidR="00685ED6" w:rsidRPr="005C3A63" w14:paraId="574BA0DE" w14:textId="77777777" w:rsidTr="00F527AB">
        <w:tc>
          <w:tcPr>
            <w:tcW w:w="988" w:type="dxa"/>
          </w:tcPr>
          <w:p w14:paraId="06819704" w14:textId="0E0CE708"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348B1905"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Clinical criteria:</w:t>
            </w:r>
          </w:p>
        </w:tc>
      </w:tr>
      <w:tr w:rsidR="00685ED6" w:rsidRPr="005C3A63" w14:paraId="20B93F93" w14:textId="77777777" w:rsidTr="00F527AB">
        <w:tc>
          <w:tcPr>
            <w:tcW w:w="988" w:type="dxa"/>
          </w:tcPr>
          <w:p w14:paraId="0B674C81" w14:textId="2007CD1D"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14EE9AE7"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5C3A63" w14:paraId="567D7A61" w14:textId="77777777" w:rsidTr="00F527AB">
        <w:tc>
          <w:tcPr>
            <w:tcW w:w="988" w:type="dxa"/>
          </w:tcPr>
          <w:p w14:paraId="7DC8B1F5" w14:textId="77777777" w:rsidR="00685ED6" w:rsidRPr="005C3A63" w:rsidRDefault="00685ED6" w:rsidP="008A5ACA">
            <w:pPr>
              <w:jc w:val="center"/>
              <w:rPr>
                <w:rFonts w:ascii="Arial Narrow" w:hAnsi="Arial Narrow" w:cs="Open Sans"/>
                <w:color w:val="333333"/>
                <w:sz w:val="18"/>
                <w:szCs w:val="18"/>
              </w:rPr>
            </w:pPr>
          </w:p>
        </w:tc>
        <w:tc>
          <w:tcPr>
            <w:tcW w:w="8221" w:type="dxa"/>
            <w:hideMark/>
          </w:tcPr>
          <w:p w14:paraId="175FEFC1"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AND</w:t>
            </w:r>
          </w:p>
        </w:tc>
      </w:tr>
      <w:tr w:rsidR="00685ED6" w:rsidRPr="005C3A63" w14:paraId="659C05A3" w14:textId="77777777" w:rsidTr="00F527AB">
        <w:tc>
          <w:tcPr>
            <w:tcW w:w="988" w:type="dxa"/>
          </w:tcPr>
          <w:p w14:paraId="26CCCF14" w14:textId="665495A5"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1A310510"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Clinical criteria:</w:t>
            </w:r>
          </w:p>
        </w:tc>
      </w:tr>
      <w:tr w:rsidR="00685ED6" w:rsidRPr="005C3A63" w14:paraId="680EF90E" w14:textId="77777777" w:rsidTr="00F527AB">
        <w:tc>
          <w:tcPr>
            <w:tcW w:w="988" w:type="dxa"/>
          </w:tcPr>
          <w:p w14:paraId="2D911B5A" w14:textId="55FDB90D"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32D31D12"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Patient must not have an active tumour or evidence of tumour growth or activity</w:t>
            </w:r>
          </w:p>
        </w:tc>
      </w:tr>
      <w:tr w:rsidR="00685ED6" w:rsidRPr="005C3A63" w14:paraId="737101D9" w14:textId="77777777" w:rsidTr="00F527AB">
        <w:tc>
          <w:tcPr>
            <w:tcW w:w="988" w:type="dxa"/>
          </w:tcPr>
          <w:p w14:paraId="21756CCC" w14:textId="77777777" w:rsidR="00685ED6" w:rsidRPr="005C3A63" w:rsidRDefault="00685ED6" w:rsidP="008A5ACA">
            <w:pPr>
              <w:jc w:val="center"/>
              <w:rPr>
                <w:rFonts w:ascii="Arial Narrow" w:hAnsi="Arial Narrow" w:cs="Open Sans"/>
                <w:color w:val="333333"/>
                <w:sz w:val="18"/>
                <w:szCs w:val="18"/>
              </w:rPr>
            </w:pPr>
          </w:p>
        </w:tc>
        <w:tc>
          <w:tcPr>
            <w:tcW w:w="8221" w:type="dxa"/>
            <w:hideMark/>
          </w:tcPr>
          <w:p w14:paraId="30DB985D"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AND</w:t>
            </w:r>
          </w:p>
        </w:tc>
      </w:tr>
      <w:tr w:rsidR="00685ED6" w:rsidRPr="005C3A63" w14:paraId="416F1434" w14:textId="77777777" w:rsidTr="00F527AB">
        <w:tc>
          <w:tcPr>
            <w:tcW w:w="988" w:type="dxa"/>
          </w:tcPr>
          <w:p w14:paraId="5160C868" w14:textId="01B106F6"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08F53140"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Clinical criteria:</w:t>
            </w:r>
          </w:p>
        </w:tc>
      </w:tr>
      <w:tr w:rsidR="00685ED6" w:rsidRPr="005C3A63" w14:paraId="132D48B5" w14:textId="77777777" w:rsidTr="00F527AB">
        <w:tc>
          <w:tcPr>
            <w:tcW w:w="988" w:type="dxa"/>
          </w:tcPr>
          <w:p w14:paraId="5D66F252" w14:textId="7F64B9AB"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516B0F0D"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Patient must be male and must not have a bone age of 15.5 years or more; or</w:t>
            </w:r>
          </w:p>
        </w:tc>
      </w:tr>
      <w:tr w:rsidR="00685ED6" w:rsidRPr="005C3A63" w14:paraId="45C63226" w14:textId="77777777" w:rsidTr="00F527AB">
        <w:tc>
          <w:tcPr>
            <w:tcW w:w="988" w:type="dxa"/>
          </w:tcPr>
          <w:p w14:paraId="4B4AF935" w14:textId="5633DF11"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16473B9A"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Patient must be female and must not have a bone age of 13.5 years or more</w:t>
            </w:r>
          </w:p>
        </w:tc>
      </w:tr>
      <w:tr w:rsidR="00685ED6" w:rsidRPr="005C3A63" w14:paraId="3C96D027" w14:textId="77777777" w:rsidTr="008A5ACA">
        <w:tc>
          <w:tcPr>
            <w:tcW w:w="988" w:type="dxa"/>
          </w:tcPr>
          <w:p w14:paraId="5F7EC647" w14:textId="77777777" w:rsidR="00685ED6" w:rsidRPr="005C3A63" w:rsidRDefault="00685ED6" w:rsidP="008A5ACA">
            <w:pPr>
              <w:jc w:val="center"/>
              <w:textAlignment w:val="baseline"/>
              <w:rPr>
                <w:rFonts w:ascii="Arial Narrow" w:hAnsi="Arial Narrow" w:cs="Open Sans"/>
                <w:color w:val="333333"/>
                <w:sz w:val="18"/>
                <w:szCs w:val="18"/>
              </w:rPr>
            </w:pPr>
          </w:p>
        </w:tc>
        <w:tc>
          <w:tcPr>
            <w:tcW w:w="8221" w:type="dxa"/>
          </w:tcPr>
          <w:p w14:paraId="1D896FE8" w14:textId="77777777" w:rsidR="00685ED6" w:rsidRPr="005C3A63" w:rsidRDefault="00685ED6" w:rsidP="008A5ACA">
            <w:pPr>
              <w:ind w:left="-57"/>
              <w:rPr>
                <w:rFonts w:ascii="Arial Narrow" w:hAnsi="Arial Narrow" w:cs="Open Sans"/>
                <w:color w:val="333333"/>
                <w:sz w:val="18"/>
                <w:szCs w:val="18"/>
              </w:rPr>
            </w:pPr>
          </w:p>
        </w:tc>
      </w:tr>
      <w:tr w:rsidR="00685ED6" w:rsidRPr="005C3A63" w14:paraId="76E34FFD" w14:textId="77777777" w:rsidTr="00F527AB">
        <w:tc>
          <w:tcPr>
            <w:tcW w:w="988" w:type="dxa"/>
          </w:tcPr>
          <w:p w14:paraId="00BC3CD7" w14:textId="1F016904"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5076C152"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Treatment criteria:</w:t>
            </w:r>
          </w:p>
        </w:tc>
      </w:tr>
      <w:tr w:rsidR="00685ED6" w:rsidRPr="005C3A63" w14:paraId="0FFFC996" w14:textId="77777777" w:rsidTr="00F527AB">
        <w:tc>
          <w:tcPr>
            <w:tcW w:w="988" w:type="dxa"/>
          </w:tcPr>
          <w:p w14:paraId="0980831E" w14:textId="14269021"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2232C016"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 xml:space="preserve">Must </w:t>
            </w:r>
            <w:proofErr w:type="gramStart"/>
            <w:r w:rsidRPr="005C3A63">
              <w:rPr>
                <w:rFonts w:ascii="Arial Narrow" w:hAnsi="Arial Narrow" w:cs="Open Sans"/>
                <w:color w:val="333333"/>
                <w:sz w:val="18"/>
                <w:szCs w:val="18"/>
              </w:rPr>
              <w:t>be treated</w:t>
            </w:r>
            <w:proofErr w:type="gramEnd"/>
            <w:r w:rsidRPr="005C3A63">
              <w:rPr>
                <w:rFonts w:ascii="Arial Narrow" w:hAnsi="Arial Narrow" w:cs="Open Sans"/>
                <w:color w:val="333333"/>
                <w:sz w:val="18"/>
                <w:szCs w:val="18"/>
              </w:rPr>
              <w:t xml:space="preserve"> by a medical practitioner in consultation with a nominated specialist or consultant physician in paediatric endocrinology; or</w:t>
            </w:r>
          </w:p>
        </w:tc>
      </w:tr>
      <w:tr w:rsidR="00685ED6" w:rsidRPr="005C3A63" w14:paraId="20E80452" w14:textId="77777777" w:rsidTr="00F527AB">
        <w:tc>
          <w:tcPr>
            <w:tcW w:w="988" w:type="dxa"/>
          </w:tcPr>
          <w:p w14:paraId="62E53ECE" w14:textId="2673F504"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0FA75156"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 xml:space="preserve">Must </w:t>
            </w:r>
            <w:proofErr w:type="gramStart"/>
            <w:r w:rsidRPr="005C3A63">
              <w:rPr>
                <w:rFonts w:ascii="Arial Narrow" w:hAnsi="Arial Narrow" w:cs="Open Sans"/>
                <w:color w:val="333333"/>
                <w:sz w:val="18"/>
                <w:szCs w:val="18"/>
              </w:rPr>
              <w:t>be treated</w:t>
            </w:r>
            <w:proofErr w:type="gramEnd"/>
            <w:r w:rsidRPr="005C3A63">
              <w:rPr>
                <w:rFonts w:ascii="Arial Narrow" w:hAnsi="Arial Narrow" w:cs="Open Sans"/>
                <w:color w:val="333333"/>
                <w:sz w:val="18"/>
                <w:szCs w:val="18"/>
              </w:rPr>
              <w:t xml:space="preserve"> by a medical practitioner in consultation with a nominated specialist or consultant physician in general paediatrics</w:t>
            </w:r>
          </w:p>
        </w:tc>
      </w:tr>
      <w:tr w:rsidR="00685ED6" w:rsidRPr="005C3A63" w14:paraId="08A78FE5" w14:textId="77777777" w:rsidTr="00F527AB">
        <w:tc>
          <w:tcPr>
            <w:tcW w:w="988" w:type="dxa"/>
          </w:tcPr>
          <w:p w14:paraId="7FFA7A7A" w14:textId="77777777" w:rsidR="00685ED6" w:rsidRPr="005C3A63" w:rsidRDefault="00685ED6" w:rsidP="008A5ACA">
            <w:pPr>
              <w:jc w:val="center"/>
              <w:rPr>
                <w:rFonts w:ascii="Arial Narrow" w:hAnsi="Arial Narrow" w:cs="Open Sans"/>
                <w:color w:val="333333"/>
                <w:sz w:val="18"/>
                <w:szCs w:val="18"/>
              </w:rPr>
            </w:pPr>
          </w:p>
        </w:tc>
        <w:tc>
          <w:tcPr>
            <w:tcW w:w="8221" w:type="dxa"/>
            <w:hideMark/>
          </w:tcPr>
          <w:p w14:paraId="47399F78"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AND</w:t>
            </w:r>
          </w:p>
        </w:tc>
      </w:tr>
      <w:tr w:rsidR="00685ED6" w:rsidRPr="005C3A63" w14:paraId="500B36A7" w14:textId="77777777" w:rsidTr="00F527AB">
        <w:tc>
          <w:tcPr>
            <w:tcW w:w="988" w:type="dxa"/>
          </w:tcPr>
          <w:p w14:paraId="1F47FABE" w14:textId="498B68AE"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276B077E"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Treatment criteria:</w:t>
            </w:r>
          </w:p>
        </w:tc>
      </w:tr>
      <w:tr w:rsidR="00685ED6" w:rsidRPr="005C3A63" w14:paraId="0678897B" w14:textId="77777777" w:rsidTr="00F527AB">
        <w:tc>
          <w:tcPr>
            <w:tcW w:w="988" w:type="dxa"/>
          </w:tcPr>
          <w:p w14:paraId="593C8241" w14:textId="043BA6F8"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015DCC70" w14:textId="77777777" w:rsidR="00685ED6" w:rsidRPr="005C3A63" w:rsidRDefault="00685ED6" w:rsidP="008A5ACA">
            <w:pPr>
              <w:ind w:left="-57"/>
              <w:rPr>
                <w:rFonts w:ascii="Arial Narrow" w:hAnsi="Arial Narrow" w:cs="Open Sans"/>
                <w:color w:val="333333"/>
                <w:sz w:val="18"/>
                <w:szCs w:val="18"/>
              </w:rPr>
            </w:pPr>
            <w:r w:rsidRPr="005C3A63">
              <w:rPr>
                <w:rFonts w:ascii="Arial Narrow" w:hAnsi="Arial Narrow" w:cs="Open Sans"/>
                <w:color w:val="333333"/>
                <w:sz w:val="18"/>
                <w:szCs w:val="18"/>
              </w:rPr>
              <w:t>Patient must be undergoing treatment for the stated indication with only one growth hormone at any given time</w:t>
            </w:r>
          </w:p>
        </w:tc>
      </w:tr>
      <w:tr w:rsidR="00685ED6" w:rsidRPr="005C3A63" w14:paraId="0B52AADD" w14:textId="77777777" w:rsidTr="008A5ACA">
        <w:tc>
          <w:tcPr>
            <w:tcW w:w="988" w:type="dxa"/>
          </w:tcPr>
          <w:p w14:paraId="593EEE47" w14:textId="77777777" w:rsidR="00685ED6" w:rsidRPr="005C3A63" w:rsidRDefault="00685ED6" w:rsidP="008A5ACA">
            <w:pPr>
              <w:jc w:val="center"/>
              <w:textAlignment w:val="baseline"/>
              <w:rPr>
                <w:rFonts w:ascii="Arial Narrow" w:hAnsi="Arial Narrow" w:cs="Open Sans"/>
                <w:color w:val="333333"/>
                <w:sz w:val="18"/>
                <w:szCs w:val="18"/>
              </w:rPr>
            </w:pPr>
          </w:p>
        </w:tc>
        <w:tc>
          <w:tcPr>
            <w:tcW w:w="8221" w:type="dxa"/>
          </w:tcPr>
          <w:p w14:paraId="5E4800C7" w14:textId="77777777" w:rsidR="00685ED6" w:rsidRPr="005C3A63" w:rsidRDefault="00685ED6" w:rsidP="008A5ACA">
            <w:pPr>
              <w:ind w:left="-57"/>
              <w:rPr>
                <w:rFonts w:ascii="Arial Narrow" w:hAnsi="Arial Narrow" w:cs="Open Sans"/>
                <w:color w:val="333333"/>
                <w:sz w:val="18"/>
                <w:szCs w:val="18"/>
              </w:rPr>
            </w:pPr>
          </w:p>
        </w:tc>
      </w:tr>
      <w:tr w:rsidR="00685ED6" w:rsidRPr="005C3A63" w14:paraId="1432DD23" w14:textId="77777777" w:rsidTr="00F527AB">
        <w:tc>
          <w:tcPr>
            <w:tcW w:w="988" w:type="dxa"/>
          </w:tcPr>
          <w:p w14:paraId="6539D4D1" w14:textId="7F811DB4"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76A6372E"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Prescribing Instructions:</w:t>
            </w:r>
          </w:p>
          <w:p w14:paraId="619FD712"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 xml:space="preserve">Applications for authorisation under this treatment phase must </w:t>
            </w:r>
            <w:proofErr w:type="gramStart"/>
            <w:r w:rsidRPr="005C3A63">
              <w:rPr>
                <w:rFonts w:ascii="Arial Narrow" w:hAnsi="Arial Narrow" w:cs="Open Sans"/>
                <w:color w:val="333333"/>
                <w:sz w:val="18"/>
                <w:szCs w:val="18"/>
              </w:rPr>
              <w:t>be made</w:t>
            </w:r>
            <w:proofErr w:type="gramEnd"/>
            <w:r w:rsidRPr="005C3A63">
              <w:rPr>
                <w:rFonts w:ascii="Arial Narrow" w:hAnsi="Arial Narrow" w:cs="Open Sans"/>
                <w:color w:val="333333"/>
                <w:sz w:val="18"/>
                <w:szCs w:val="18"/>
              </w:rPr>
              <w:t xml:space="preserve"> via the Online PBS Authorities System (real time assessment) or in writing via HPOS form upload or mail and must include:</w:t>
            </w:r>
          </w:p>
          <w:p w14:paraId="4C0AB504"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1. Recent growth data (height and weight, not older than three months).</w:t>
            </w:r>
          </w:p>
          <w:p w14:paraId="51CF2E5F"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2. A bone age result performed within the last 12 months where a patient has a chronological age greater than 2.5 years.</w:t>
            </w:r>
          </w:p>
        </w:tc>
      </w:tr>
      <w:tr w:rsidR="00685ED6" w:rsidRPr="005C3A63" w14:paraId="0CD506F3" w14:textId="77777777" w:rsidTr="00F527AB">
        <w:tc>
          <w:tcPr>
            <w:tcW w:w="988" w:type="dxa"/>
          </w:tcPr>
          <w:p w14:paraId="73C5B6DA" w14:textId="175D89A4"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0304ACB4"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Prescribing Instructions:</w:t>
            </w:r>
          </w:p>
          <w:p w14:paraId="65623142"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 xml:space="preserve">If the application </w:t>
            </w:r>
            <w:proofErr w:type="gramStart"/>
            <w:r w:rsidRPr="005C3A63">
              <w:rPr>
                <w:rFonts w:ascii="Arial Narrow" w:hAnsi="Arial Narrow" w:cs="Open Sans"/>
                <w:color w:val="333333"/>
                <w:sz w:val="18"/>
                <w:szCs w:val="18"/>
              </w:rPr>
              <w:t>is submitted</w:t>
            </w:r>
            <w:proofErr w:type="gramEnd"/>
            <w:r w:rsidRPr="005C3A63">
              <w:rPr>
                <w:rFonts w:ascii="Arial Narrow" w:hAnsi="Arial Narrow" w:cs="Open Sans"/>
                <w:color w:val="333333"/>
                <w:sz w:val="18"/>
                <w:szCs w:val="18"/>
              </w:rPr>
              <w:t xml:space="preserve"> through HPOS form upload or mail, it must include:</w:t>
            </w:r>
          </w:p>
          <w:p w14:paraId="03088FD8"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(i) A completed authority prescription form; and</w:t>
            </w:r>
          </w:p>
          <w:p w14:paraId="7A82F3EF"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5C3A63" w14:paraId="109C1B89" w14:textId="77777777" w:rsidTr="00F527AB">
        <w:tc>
          <w:tcPr>
            <w:tcW w:w="988" w:type="dxa"/>
          </w:tcPr>
          <w:p w14:paraId="63784AB4" w14:textId="7A7606CE"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18D6BE99"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Prescribing Instructions:</w:t>
            </w:r>
          </w:p>
          <w:p w14:paraId="015AB9F2"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Prescribe an appropriate amount of drug (maximum quantity in units) outlined within the 'Notes' section of this restriction.</w:t>
            </w:r>
          </w:p>
        </w:tc>
      </w:tr>
      <w:tr w:rsidR="00685ED6" w:rsidRPr="005C3A63" w14:paraId="5FC091D0" w14:textId="77777777" w:rsidTr="00F527AB">
        <w:tc>
          <w:tcPr>
            <w:tcW w:w="988" w:type="dxa"/>
          </w:tcPr>
          <w:p w14:paraId="53F2357E" w14:textId="1CF00FD0"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0DFAF80C"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Prescribing Instructions:</w:t>
            </w:r>
          </w:p>
          <w:p w14:paraId="700A8C98"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5C3A63">
              <w:rPr>
                <w:rFonts w:ascii="Arial Narrow" w:hAnsi="Arial Narrow" w:cs="Open Sans"/>
                <w:color w:val="333333"/>
                <w:sz w:val="18"/>
                <w:szCs w:val="18"/>
              </w:rPr>
              <w:t>was written</w:t>
            </w:r>
            <w:proofErr w:type="gramEnd"/>
            <w:r w:rsidRPr="005C3A63">
              <w:rPr>
                <w:rFonts w:ascii="Arial Narrow" w:hAnsi="Arial Narrow" w:cs="Open Sans"/>
                <w:color w:val="333333"/>
                <w:sz w:val="18"/>
                <w:szCs w:val="18"/>
              </w:rPr>
              <w:t xml:space="preserve"> in compliance with any relevant circumstances and/or purposes. These records must </w:t>
            </w:r>
            <w:proofErr w:type="gramStart"/>
            <w:r w:rsidRPr="005C3A63">
              <w:rPr>
                <w:rFonts w:ascii="Arial Narrow" w:hAnsi="Arial Narrow" w:cs="Open Sans"/>
                <w:color w:val="333333"/>
                <w:sz w:val="18"/>
                <w:szCs w:val="18"/>
              </w:rPr>
              <w:t>be kept</w:t>
            </w:r>
            <w:proofErr w:type="gramEnd"/>
            <w:r w:rsidRPr="005C3A63">
              <w:rPr>
                <w:rFonts w:ascii="Arial Narrow" w:hAnsi="Arial Narrow" w:cs="Open Sans"/>
                <w:color w:val="333333"/>
                <w:sz w:val="18"/>
                <w:szCs w:val="18"/>
              </w:rPr>
              <w:t xml:space="preserve"> for 2 years after the date the prescription to which the records relate is written.</w:t>
            </w:r>
          </w:p>
        </w:tc>
      </w:tr>
      <w:tr w:rsidR="00685ED6" w:rsidRPr="005C3A63" w14:paraId="60CBF8E8" w14:textId="77777777" w:rsidTr="00F527AB">
        <w:tc>
          <w:tcPr>
            <w:tcW w:w="988" w:type="dxa"/>
          </w:tcPr>
          <w:p w14:paraId="0BAC645E" w14:textId="409B6585"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6F932D35"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Prescribing Instructions:</w:t>
            </w:r>
          </w:p>
          <w:p w14:paraId="7C3A39E5"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5C3A63" w14:paraId="3D0548F7" w14:textId="77777777" w:rsidTr="008A5ACA">
        <w:tc>
          <w:tcPr>
            <w:tcW w:w="988" w:type="dxa"/>
          </w:tcPr>
          <w:p w14:paraId="0C18B9B8" w14:textId="77777777" w:rsidR="00685ED6" w:rsidRDefault="00685ED6" w:rsidP="008A5ACA">
            <w:pPr>
              <w:jc w:val="center"/>
              <w:textAlignment w:val="baseline"/>
              <w:rPr>
                <w:rFonts w:ascii="Arial Narrow" w:hAnsi="Arial Narrow" w:cs="Open Sans"/>
                <w:color w:val="333333"/>
                <w:sz w:val="18"/>
                <w:szCs w:val="18"/>
              </w:rPr>
            </w:pPr>
          </w:p>
        </w:tc>
        <w:tc>
          <w:tcPr>
            <w:tcW w:w="8221" w:type="dxa"/>
          </w:tcPr>
          <w:p w14:paraId="2B998EBA" w14:textId="77777777" w:rsidR="00685ED6" w:rsidRPr="005C3A63"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5C3A63" w14:paraId="11A0DB14" w14:textId="77777777" w:rsidTr="00F527AB">
        <w:tc>
          <w:tcPr>
            <w:tcW w:w="988" w:type="dxa"/>
          </w:tcPr>
          <w:p w14:paraId="6B4FD8B7" w14:textId="249279AF" w:rsidR="00685ED6" w:rsidRPr="005C3A63" w:rsidRDefault="00685ED6" w:rsidP="008A5ACA">
            <w:pPr>
              <w:jc w:val="center"/>
              <w:textAlignment w:val="baseline"/>
              <w:rPr>
                <w:rFonts w:ascii="Arial Narrow" w:hAnsi="Arial Narrow" w:cs="Open Sans"/>
                <w:color w:val="333333"/>
                <w:sz w:val="18"/>
                <w:szCs w:val="18"/>
              </w:rPr>
            </w:pPr>
          </w:p>
        </w:tc>
        <w:tc>
          <w:tcPr>
            <w:tcW w:w="8221" w:type="dxa"/>
            <w:hideMark/>
          </w:tcPr>
          <w:p w14:paraId="7139DF36"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b/>
                <w:bCs/>
                <w:color w:val="333333"/>
                <w:sz w:val="18"/>
                <w:szCs w:val="18"/>
                <w:bdr w:val="none" w:sz="0" w:space="0" w:color="auto" w:frame="1"/>
              </w:rPr>
              <w:t>Administrative Advice:</w:t>
            </w:r>
          </w:p>
          <w:p w14:paraId="543508D6" w14:textId="77777777" w:rsidR="00685ED6" w:rsidRPr="005C3A63" w:rsidRDefault="00685ED6" w:rsidP="008A5ACA">
            <w:pPr>
              <w:ind w:left="-57"/>
              <w:textAlignment w:val="baseline"/>
              <w:rPr>
                <w:rFonts w:ascii="Arial Narrow" w:hAnsi="Arial Narrow" w:cs="Open Sans"/>
                <w:color w:val="333333"/>
                <w:sz w:val="18"/>
                <w:szCs w:val="18"/>
              </w:rPr>
            </w:pPr>
            <w:r w:rsidRPr="005C3A63">
              <w:rPr>
                <w:rFonts w:ascii="Arial Narrow" w:hAnsi="Arial Narrow" w:cs="Open Sans"/>
                <w:color w:val="333333"/>
                <w:sz w:val="18"/>
                <w:szCs w:val="18"/>
              </w:rPr>
              <w:t xml:space="preserve">If recommencement of treatment </w:t>
            </w:r>
            <w:proofErr w:type="gramStart"/>
            <w:r w:rsidRPr="005C3A63">
              <w:rPr>
                <w:rFonts w:ascii="Arial Narrow" w:hAnsi="Arial Narrow" w:cs="Open Sans"/>
                <w:color w:val="333333"/>
                <w:sz w:val="18"/>
                <w:szCs w:val="18"/>
              </w:rPr>
              <w:t>is sought</w:t>
            </w:r>
            <w:proofErr w:type="gramEnd"/>
            <w:r w:rsidRPr="005C3A63">
              <w:rPr>
                <w:rFonts w:ascii="Arial Narrow" w:hAnsi="Arial Narrow" w:cs="Open Sans"/>
                <w:color w:val="333333"/>
                <w:sz w:val="18"/>
                <w:szCs w:val="18"/>
              </w:rPr>
              <w:t xml:space="preserve"> under a different indication than that under which the patient was previously receiving treatment an application for</w:t>
            </w:r>
            <w:r w:rsidRPr="005C3A63">
              <w:rPr>
                <w:rFonts w:ascii="Arial Narrow" w:hAnsi="Arial Narrow" w:cs="Open Sans"/>
                <w:i/>
                <w:iCs/>
                <w:color w:val="333333"/>
                <w:sz w:val="18"/>
                <w:szCs w:val="18"/>
                <w:bdr w:val="none" w:sz="0" w:space="0" w:color="auto" w:frame="1"/>
              </w:rPr>
              <w:t> recommencement of treatment as a reclassified patient </w:t>
            </w:r>
            <w:r w:rsidRPr="005C3A63">
              <w:rPr>
                <w:rFonts w:ascii="Arial Narrow" w:hAnsi="Arial Narrow" w:cs="Open Sans"/>
                <w:color w:val="333333"/>
                <w:sz w:val="18"/>
                <w:szCs w:val="18"/>
              </w:rPr>
              <w:t>should be submitted</w:t>
            </w:r>
            <w:r w:rsidRPr="005C3A63">
              <w:rPr>
                <w:rFonts w:ascii="Arial Narrow" w:hAnsi="Arial Narrow" w:cs="Open Sans"/>
                <w:i/>
                <w:iCs/>
                <w:color w:val="333333"/>
                <w:sz w:val="18"/>
                <w:szCs w:val="18"/>
                <w:bdr w:val="none" w:sz="0" w:space="0" w:color="auto" w:frame="1"/>
              </w:rPr>
              <w:t>.</w:t>
            </w:r>
          </w:p>
        </w:tc>
      </w:tr>
      <w:tr w:rsidR="00685ED6" w:rsidRPr="00A82F1F" w14:paraId="7D3C19C9" w14:textId="77777777" w:rsidTr="008A5ACA">
        <w:tc>
          <w:tcPr>
            <w:tcW w:w="9209" w:type="dxa"/>
            <w:gridSpan w:val="2"/>
          </w:tcPr>
          <w:p w14:paraId="63013FDE" w14:textId="77777777" w:rsidR="00685ED6" w:rsidRDefault="00685ED6" w:rsidP="008A5ACA">
            <w:pPr>
              <w:textAlignment w:val="baseline"/>
              <w:rPr>
                <w:rFonts w:ascii="Arial Narrow" w:hAnsi="Arial Narrow" w:cs="Open Sans"/>
                <w:b/>
                <w:bCs/>
                <w:color w:val="333333"/>
                <w:sz w:val="18"/>
                <w:szCs w:val="18"/>
                <w:bdr w:val="none" w:sz="0" w:space="0" w:color="auto" w:frame="1"/>
              </w:rPr>
            </w:pPr>
          </w:p>
          <w:p w14:paraId="41FC0AEE" w14:textId="77777777" w:rsidR="00685ED6" w:rsidRPr="00A82F1F"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A82F1F" w14:paraId="4CF7B11D" w14:textId="77777777" w:rsidTr="008A5ACA">
        <w:tc>
          <w:tcPr>
            <w:tcW w:w="9209" w:type="dxa"/>
            <w:gridSpan w:val="2"/>
          </w:tcPr>
          <w:p w14:paraId="05B61F3F" w14:textId="77777777" w:rsidR="00685ED6" w:rsidRDefault="00685ED6" w:rsidP="008A5ACA">
            <w:pPr>
              <w:textAlignment w:val="baseline"/>
              <w:rPr>
                <w:rFonts w:ascii="Arial Narrow" w:hAnsi="Arial Narrow" w:cs="Open Sans"/>
                <w:b/>
                <w:bCs/>
                <w:color w:val="333333"/>
                <w:sz w:val="18"/>
                <w:szCs w:val="18"/>
                <w:bdr w:val="none" w:sz="0" w:space="0" w:color="auto" w:frame="1"/>
              </w:rPr>
            </w:pPr>
            <w:r w:rsidRPr="00966886">
              <w:rPr>
                <w:rFonts w:ascii="Arial Narrow" w:hAnsi="Arial Narrow" w:cs="Open Sans"/>
                <w:b/>
                <w:bCs/>
                <w:color w:val="333333"/>
                <w:sz w:val="18"/>
                <w:szCs w:val="18"/>
                <w:bdr w:val="none" w:sz="0" w:space="0" w:color="auto" w:frame="1"/>
              </w:rPr>
              <w:t>Restriction Summary 13305 / ToC: 13298: Authority Required</w:t>
            </w:r>
          </w:p>
          <w:p w14:paraId="36D964AA" w14:textId="77777777" w:rsidR="00685ED6" w:rsidRPr="00A82F1F"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A82F1F" w14:paraId="43E9D357" w14:textId="77777777" w:rsidTr="00F527AB">
        <w:tc>
          <w:tcPr>
            <w:tcW w:w="988" w:type="dxa"/>
          </w:tcPr>
          <w:p w14:paraId="555279D4" w14:textId="2252E44D"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5818A11E"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A82F1F">
              <w:rPr>
                <w:rFonts w:ascii="Arial Narrow" w:hAnsi="Arial Narrow" w:cs="Open Sans"/>
                <w:color w:val="333333"/>
                <w:sz w:val="18"/>
                <w:szCs w:val="18"/>
              </w:rPr>
              <w:t>Short stature associated with biochemical growth hormone deficiency</w:t>
            </w:r>
          </w:p>
        </w:tc>
      </w:tr>
      <w:tr w:rsidR="00685ED6" w:rsidRPr="00A82F1F" w14:paraId="75F709E0" w14:textId="77777777" w:rsidTr="008A5ACA">
        <w:tc>
          <w:tcPr>
            <w:tcW w:w="988" w:type="dxa"/>
          </w:tcPr>
          <w:p w14:paraId="7C5D8978" w14:textId="77777777" w:rsidR="00685ED6" w:rsidRPr="00A82F1F" w:rsidRDefault="00685ED6" w:rsidP="008A5ACA">
            <w:pPr>
              <w:jc w:val="center"/>
              <w:textAlignment w:val="baseline"/>
              <w:rPr>
                <w:rFonts w:ascii="Arial Narrow" w:hAnsi="Arial Narrow" w:cs="Open Sans"/>
                <w:color w:val="333333"/>
                <w:sz w:val="18"/>
                <w:szCs w:val="18"/>
              </w:rPr>
            </w:pPr>
          </w:p>
        </w:tc>
        <w:tc>
          <w:tcPr>
            <w:tcW w:w="8221" w:type="dxa"/>
          </w:tcPr>
          <w:p w14:paraId="2B6FAAC5" w14:textId="77777777" w:rsidR="00685ED6" w:rsidRPr="00A82F1F"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A82F1F" w14:paraId="1337C2F7" w14:textId="77777777" w:rsidTr="00F527AB">
        <w:tc>
          <w:tcPr>
            <w:tcW w:w="988" w:type="dxa"/>
          </w:tcPr>
          <w:p w14:paraId="2142CD10" w14:textId="77777777" w:rsidR="00685ED6" w:rsidRPr="00A82F1F" w:rsidRDefault="00685ED6" w:rsidP="008A5ACA">
            <w:pPr>
              <w:jc w:val="center"/>
              <w:rPr>
                <w:rFonts w:ascii="Arial Narrow" w:hAnsi="Arial Narrow" w:cs="Open Sans"/>
                <w:color w:val="333333"/>
                <w:sz w:val="18"/>
                <w:szCs w:val="18"/>
              </w:rPr>
            </w:pPr>
          </w:p>
        </w:tc>
        <w:tc>
          <w:tcPr>
            <w:tcW w:w="8221" w:type="dxa"/>
            <w:hideMark/>
          </w:tcPr>
          <w:p w14:paraId="1AC1ADDD"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A82F1F">
              <w:rPr>
                <w:rFonts w:ascii="Arial Narrow" w:hAnsi="Arial Narrow" w:cs="Open Sans"/>
                <w:color w:val="333333"/>
                <w:sz w:val="18"/>
                <w:szCs w:val="18"/>
              </w:rPr>
              <w:t>Recommencement of treatment as a reclassified patient</w:t>
            </w:r>
          </w:p>
        </w:tc>
      </w:tr>
      <w:tr w:rsidR="00685ED6" w:rsidRPr="00A82F1F" w14:paraId="3FAE1AE7" w14:textId="77777777" w:rsidTr="008A5ACA">
        <w:tc>
          <w:tcPr>
            <w:tcW w:w="988" w:type="dxa"/>
          </w:tcPr>
          <w:p w14:paraId="5D3F42BD" w14:textId="77777777" w:rsidR="00685ED6" w:rsidRPr="00A82F1F" w:rsidRDefault="00685ED6" w:rsidP="008A5ACA">
            <w:pPr>
              <w:jc w:val="center"/>
              <w:rPr>
                <w:rFonts w:ascii="Arial Narrow" w:hAnsi="Arial Narrow" w:cs="Open Sans"/>
                <w:color w:val="333333"/>
                <w:sz w:val="18"/>
                <w:szCs w:val="18"/>
              </w:rPr>
            </w:pPr>
          </w:p>
        </w:tc>
        <w:tc>
          <w:tcPr>
            <w:tcW w:w="8221" w:type="dxa"/>
          </w:tcPr>
          <w:p w14:paraId="5EF031A9" w14:textId="77777777" w:rsidR="00685ED6" w:rsidRPr="00A82F1F"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A82F1F" w14:paraId="2D7E972E" w14:textId="77777777" w:rsidTr="00F527AB">
        <w:tc>
          <w:tcPr>
            <w:tcW w:w="988" w:type="dxa"/>
          </w:tcPr>
          <w:p w14:paraId="154AE916" w14:textId="610D1A83"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75DCAA4F"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Treatment criteria:</w:t>
            </w:r>
          </w:p>
        </w:tc>
      </w:tr>
      <w:tr w:rsidR="00685ED6" w:rsidRPr="00A82F1F" w14:paraId="54267A8B" w14:textId="77777777" w:rsidTr="00F527AB">
        <w:tc>
          <w:tcPr>
            <w:tcW w:w="988" w:type="dxa"/>
          </w:tcPr>
          <w:p w14:paraId="3422A1C3" w14:textId="4EBF0ACD"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2FA47B99"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be undergoing treatment that is simultaneously: (a) recommencing treatment following a temporary break in treatment (i.e. a lapse), plus (b) reclassifying the PBS indication whilst continuing with the same growth hormone; subsidy through this treatment phase must not: (i) initiate treatment, (ii) change the prescribed drug, (iii) reclassify the PBS indication where the most recent authority approval was for a different growth hormone</w:t>
            </w:r>
          </w:p>
        </w:tc>
      </w:tr>
      <w:tr w:rsidR="00685ED6" w:rsidRPr="00A82F1F" w14:paraId="67DB26DC" w14:textId="77777777" w:rsidTr="008A5ACA">
        <w:tc>
          <w:tcPr>
            <w:tcW w:w="988" w:type="dxa"/>
          </w:tcPr>
          <w:p w14:paraId="6337F7CB" w14:textId="77777777" w:rsidR="00685ED6" w:rsidRDefault="00685ED6" w:rsidP="008A5ACA">
            <w:pPr>
              <w:jc w:val="center"/>
              <w:textAlignment w:val="baseline"/>
              <w:rPr>
                <w:rFonts w:ascii="Arial Narrow" w:hAnsi="Arial Narrow" w:cs="Open Sans"/>
                <w:color w:val="333333"/>
                <w:sz w:val="18"/>
                <w:szCs w:val="18"/>
              </w:rPr>
            </w:pPr>
          </w:p>
        </w:tc>
        <w:tc>
          <w:tcPr>
            <w:tcW w:w="8221" w:type="dxa"/>
          </w:tcPr>
          <w:p w14:paraId="752A03A7" w14:textId="77777777" w:rsidR="00685ED6" w:rsidRPr="00A82F1F" w:rsidRDefault="00685ED6" w:rsidP="008A5ACA">
            <w:pPr>
              <w:ind w:left="-57"/>
              <w:rPr>
                <w:rFonts w:ascii="Arial Narrow" w:hAnsi="Arial Narrow" w:cs="Open Sans"/>
                <w:color w:val="333333"/>
                <w:sz w:val="18"/>
                <w:szCs w:val="18"/>
              </w:rPr>
            </w:pPr>
          </w:p>
        </w:tc>
      </w:tr>
      <w:tr w:rsidR="00685ED6" w:rsidRPr="00A82F1F" w14:paraId="19A40B2E" w14:textId="77777777" w:rsidTr="00F527AB">
        <w:tc>
          <w:tcPr>
            <w:tcW w:w="988" w:type="dxa"/>
          </w:tcPr>
          <w:p w14:paraId="5D6EB63D" w14:textId="120E33F1"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7B5226B6"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Clinical criteria:</w:t>
            </w:r>
          </w:p>
        </w:tc>
      </w:tr>
      <w:tr w:rsidR="00685ED6" w:rsidRPr="00A82F1F" w14:paraId="79BFE25A" w14:textId="77777777" w:rsidTr="00F527AB">
        <w:tc>
          <w:tcPr>
            <w:tcW w:w="988" w:type="dxa"/>
          </w:tcPr>
          <w:p w14:paraId="454DAF50" w14:textId="45EB5362"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504B7477"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have had a lapse in growth hormone treatment</w:t>
            </w:r>
          </w:p>
        </w:tc>
      </w:tr>
      <w:tr w:rsidR="00685ED6" w:rsidRPr="00A82F1F" w14:paraId="047E1410" w14:textId="77777777" w:rsidTr="00F527AB">
        <w:tc>
          <w:tcPr>
            <w:tcW w:w="988" w:type="dxa"/>
          </w:tcPr>
          <w:p w14:paraId="515B90D4" w14:textId="77777777" w:rsidR="00685ED6" w:rsidRPr="00A82F1F" w:rsidRDefault="00685ED6" w:rsidP="008A5ACA">
            <w:pPr>
              <w:jc w:val="center"/>
              <w:rPr>
                <w:rFonts w:ascii="Arial Narrow" w:hAnsi="Arial Narrow" w:cs="Open Sans"/>
                <w:color w:val="333333"/>
                <w:sz w:val="18"/>
                <w:szCs w:val="18"/>
              </w:rPr>
            </w:pPr>
          </w:p>
        </w:tc>
        <w:tc>
          <w:tcPr>
            <w:tcW w:w="8221" w:type="dxa"/>
            <w:hideMark/>
          </w:tcPr>
          <w:p w14:paraId="40CFF1DA"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AND</w:t>
            </w:r>
          </w:p>
        </w:tc>
      </w:tr>
      <w:tr w:rsidR="00685ED6" w:rsidRPr="00A82F1F" w14:paraId="0D321341" w14:textId="77777777" w:rsidTr="00F527AB">
        <w:tc>
          <w:tcPr>
            <w:tcW w:w="988" w:type="dxa"/>
          </w:tcPr>
          <w:p w14:paraId="73D45172" w14:textId="6FEA9E3B"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334585FD"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Clinical criteria:</w:t>
            </w:r>
          </w:p>
        </w:tc>
      </w:tr>
      <w:tr w:rsidR="00685ED6" w:rsidRPr="00A82F1F" w14:paraId="0E78F0A1" w14:textId="77777777" w:rsidTr="00F527AB">
        <w:tc>
          <w:tcPr>
            <w:tcW w:w="988" w:type="dxa"/>
          </w:tcPr>
          <w:p w14:paraId="10A75F4C" w14:textId="16C53027"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7FFFAC10"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The treatment must not be for the purposes of continuing treatment that is known to be non-efficacious for the patient - where an inadequate response has been observed for the most recent supply of this drug, it must have been confounded by at least one of the following: (i) a significant medical illness, (ii) major surgery (e.g. renal transplant), (iii) an adverse reaction to growth hormone, (iv) non-compliance due to social/family problems, (v) a lower than recommended (as specified by this drug</w:t>
            </w:r>
            <w:r>
              <w:rPr>
                <w:rFonts w:ascii="Arial Narrow" w:hAnsi="Arial Narrow" w:cs="Open Sans"/>
                <w:color w:val="333333"/>
                <w:sz w:val="18"/>
                <w:szCs w:val="18"/>
              </w:rPr>
              <w:t>’</w:t>
            </w:r>
            <w:r w:rsidRPr="00A82F1F">
              <w:rPr>
                <w:rFonts w:ascii="Arial Narrow" w:hAnsi="Arial Narrow" w:cs="Open Sans"/>
                <w:color w:val="333333"/>
                <w:sz w:val="18"/>
                <w:szCs w:val="18"/>
              </w:rPr>
              <w:t>s approved Product Information) dose</w:t>
            </w:r>
          </w:p>
        </w:tc>
      </w:tr>
      <w:tr w:rsidR="00685ED6" w:rsidRPr="00A82F1F" w14:paraId="6816B0FF" w14:textId="77777777" w:rsidTr="00F527AB">
        <w:tc>
          <w:tcPr>
            <w:tcW w:w="988" w:type="dxa"/>
          </w:tcPr>
          <w:p w14:paraId="50B40C0E" w14:textId="77777777" w:rsidR="00685ED6" w:rsidRPr="00A82F1F" w:rsidRDefault="00685ED6" w:rsidP="008A5ACA">
            <w:pPr>
              <w:jc w:val="center"/>
              <w:rPr>
                <w:rFonts w:ascii="Arial Narrow" w:hAnsi="Arial Narrow" w:cs="Open Sans"/>
                <w:color w:val="333333"/>
                <w:sz w:val="18"/>
                <w:szCs w:val="18"/>
              </w:rPr>
            </w:pPr>
          </w:p>
        </w:tc>
        <w:tc>
          <w:tcPr>
            <w:tcW w:w="8221" w:type="dxa"/>
            <w:hideMark/>
          </w:tcPr>
          <w:p w14:paraId="263F5E70"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AND</w:t>
            </w:r>
          </w:p>
        </w:tc>
      </w:tr>
      <w:tr w:rsidR="00685ED6" w:rsidRPr="00A82F1F" w14:paraId="3AF33E92" w14:textId="77777777" w:rsidTr="00F527AB">
        <w:tc>
          <w:tcPr>
            <w:tcW w:w="988" w:type="dxa"/>
          </w:tcPr>
          <w:p w14:paraId="49911D53" w14:textId="25D4FF3E"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5F1EC833"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Clinical criteria:</w:t>
            </w:r>
          </w:p>
        </w:tc>
      </w:tr>
      <w:tr w:rsidR="00685ED6" w:rsidRPr="00A82F1F" w14:paraId="23A99CEF" w14:textId="77777777" w:rsidTr="00F527AB">
        <w:tc>
          <w:tcPr>
            <w:tcW w:w="988" w:type="dxa"/>
          </w:tcPr>
          <w:p w14:paraId="20B42C0D" w14:textId="7750B467"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3B0AAD5D"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 xml:space="preserve">Patient must have had a height at or below the </w:t>
            </w:r>
            <w:proofErr w:type="gramStart"/>
            <w:r w:rsidRPr="00A82F1F">
              <w:rPr>
                <w:rFonts w:ascii="Arial Narrow" w:hAnsi="Arial Narrow" w:cs="Open Sans"/>
                <w:color w:val="333333"/>
                <w:sz w:val="18"/>
                <w:szCs w:val="18"/>
              </w:rPr>
              <w:t>1st</w:t>
            </w:r>
            <w:proofErr w:type="gramEnd"/>
            <w:r w:rsidRPr="00A82F1F">
              <w:rPr>
                <w:rFonts w:ascii="Arial Narrow" w:hAnsi="Arial Narrow" w:cs="Open Sans"/>
                <w:color w:val="333333"/>
                <w:sz w:val="18"/>
                <w:szCs w:val="18"/>
              </w:rPr>
              <w:t xml:space="preserve"> percentile for age and sex immediately prior to commencing treatment; or</w:t>
            </w:r>
          </w:p>
        </w:tc>
      </w:tr>
      <w:tr w:rsidR="00685ED6" w:rsidRPr="00A82F1F" w14:paraId="2A808348" w14:textId="77777777" w:rsidTr="00F527AB">
        <w:tc>
          <w:tcPr>
            <w:tcW w:w="988" w:type="dxa"/>
          </w:tcPr>
          <w:p w14:paraId="4B8DECCF" w14:textId="6E25CD2D"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1EC29951"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have had both a height above the 1st and at or below the 25th percentiles for age and sex immediately prior to commencing treatment and a growth velocity below the 25th percentile for bone age and sex measured over the 12</w:t>
            </w:r>
            <w:r>
              <w:rPr>
                <w:rFonts w:ascii="Arial Narrow" w:hAnsi="Arial Narrow" w:cs="Open Sans"/>
                <w:color w:val="333333"/>
                <w:sz w:val="18"/>
                <w:szCs w:val="18"/>
              </w:rPr>
              <w:t> </w:t>
            </w:r>
            <w:r w:rsidRPr="00A82F1F">
              <w:rPr>
                <w:rFonts w:ascii="Arial Narrow" w:hAnsi="Arial Narrow" w:cs="Open Sans"/>
                <w:color w:val="333333"/>
                <w:sz w:val="18"/>
                <w:szCs w:val="18"/>
              </w:rPr>
              <w:t>month interval immediately prior to commencement of treatment (or the 6 month interval immediately prior to commencement of treatment if the patient was an older child at commencement of treatment); or</w:t>
            </w:r>
          </w:p>
        </w:tc>
      </w:tr>
      <w:tr w:rsidR="00685ED6" w:rsidRPr="00A82F1F" w14:paraId="2AFCD26A" w14:textId="77777777" w:rsidTr="00F527AB">
        <w:tc>
          <w:tcPr>
            <w:tcW w:w="988" w:type="dxa"/>
          </w:tcPr>
          <w:p w14:paraId="6E7CDE21" w14:textId="3B3D17A2"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47628E60"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tc>
      </w:tr>
      <w:tr w:rsidR="00685ED6" w:rsidRPr="00A82F1F" w14:paraId="316099A0" w14:textId="77777777" w:rsidTr="00F527AB">
        <w:tc>
          <w:tcPr>
            <w:tcW w:w="988" w:type="dxa"/>
          </w:tcPr>
          <w:p w14:paraId="4E5671FF" w14:textId="31C06510"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6560105D"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w:t>
            </w:r>
          </w:p>
        </w:tc>
      </w:tr>
      <w:tr w:rsidR="00685ED6" w:rsidRPr="00A82F1F" w14:paraId="63F53BB9" w14:textId="77777777" w:rsidTr="00F527AB">
        <w:tc>
          <w:tcPr>
            <w:tcW w:w="988" w:type="dxa"/>
          </w:tcPr>
          <w:p w14:paraId="61F260CC" w14:textId="77777777" w:rsidR="00685ED6" w:rsidRPr="00A82F1F" w:rsidRDefault="00685ED6" w:rsidP="008A5ACA">
            <w:pPr>
              <w:jc w:val="center"/>
              <w:rPr>
                <w:rFonts w:ascii="Arial Narrow" w:hAnsi="Arial Narrow" w:cs="Open Sans"/>
                <w:color w:val="333333"/>
                <w:sz w:val="18"/>
                <w:szCs w:val="18"/>
              </w:rPr>
            </w:pPr>
          </w:p>
        </w:tc>
        <w:tc>
          <w:tcPr>
            <w:tcW w:w="8221" w:type="dxa"/>
            <w:hideMark/>
          </w:tcPr>
          <w:p w14:paraId="2A784B80"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AND</w:t>
            </w:r>
          </w:p>
        </w:tc>
      </w:tr>
      <w:tr w:rsidR="00685ED6" w:rsidRPr="00A82F1F" w14:paraId="4B3408DF" w14:textId="77777777" w:rsidTr="00F527AB">
        <w:tc>
          <w:tcPr>
            <w:tcW w:w="988" w:type="dxa"/>
          </w:tcPr>
          <w:p w14:paraId="52011A52" w14:textId="3CF1EE08"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0F5BAE22"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Clinical criteria:</w:t>
            </w:r>
          </w:p>
        </w:tc>
      </w:tr>
      <w:tr w:rsidR="00685ED6" w:rsidRPr="00A82F1F" w14:paraId="66152D76" w14:textId="77777777" w:rsidTr="00F527AB">
        <w:tc>
          <w:tcPr>
            <w:tcW w:w="988" w:type="dxa"/>
          </w:tcPr>
          <w:p w14:paraId="460A620D" w14:textId="28456CDE"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176057CE"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2 pharmacological growth hormone stimulation tests (</w:t>
            </w:r>
            <w:proofErr w:type="gramStart"/>
            <w:r w:rsidRPr="00A82F1F">
              <w:rPr>
                <w:rFonts w:ascii="Arial Narrow" w:hAnsi="Arial Narrow" w:cs="Open Sans"/>
                <w:color w:val="333333"/>
                <w:sz w:val="18"/>
                <w:szCs w:val="18"/>
              </w:rPr>
              <w:t>e.g.</w:t>
            </w:r>
            <w:proofErr w:type="gramEnd"/>
            <w:r w:rsidRPr="00A82F1F">
              <w:rPr>
                <w:rFonts w:ascii="Arial Narrow" w:hAnsi="Arial Narrow" w:cs="Open Sans"/>
                <w:color w:val="333333"/>
                <w:sz w:val="18"/>
                <w:szCs w:val="18"/>
              </w:rPr>
              <w:t xml:space="preserve"> arginine, clonidine, glucagon, insulin); or</w:t>
            </w:r>
          </w:p>
        </w:tc>
      </w:tr>
      <w:tr w:rsidR="00685ED6" w:rsidRPr="00A82F1F" w14:paraId="5C1B2BBF" w14:textId="77777777" w:rsidTr="00F527AB">
        <w:tc>
          <w:tcPr>
            <w:tcW w:w="988" w:type="dxa"/>
          </w:tcPr>
          <w:p w14:paraId="5A260477" w14:textId="0A6E50D3"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7F863E91"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tc>
      </w:tr>
      <w:tr w:rsidR="00685ED6" w:rsidRPr="00A82F1F" w14:paraId="03A2C592" w14:textId="77777777" w:rsidTr="00F527AB">
        <w:tc>
          <w:tcPr>
            <w:tcW w:w="988" w:type="dxa"/>
          </w:tcPr>
          <w:p w14:paraId="246DDF8A" w14:textId="451F6FC4"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2625650F"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tc>
      </w:tr>
      <w:tr w:rsidR="00685ED6" w:rsidRPr="00A82F1F" w14:paraId="544A3ADD" w14:textId="77777777" w:rsidTr="00F527AB">
        <w:tc>
          <w:tcPr>
            <w:tcW w:w="988" w:type="dxa"/>
          </w:tcPr>
          <w:p w14:paraId="1BDFF3DE" w14:textId="620F861F"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799B4245"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tc>
      </w:tr>
      <w:tr w:rsidR="00685ED6" w:rsidRPr="00A82F1F" w14:paraId="5CF7DFB3" w14:textId="77777777" w:rsidTr="00F527AB">
        <w:tc>
          <w:tcPr>
            <w:tcW w:w="988" w:type="dxa"/>
          </w:tcPr>
          <w:p w14:paraId="116B9FBF" w14:textId="08993DE3"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68DC0D52"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w:t>
            </w:r>
            <w:proofErr w:type="gramStart"/>
            <w:r w:rsidRPr="00A82F1F">
              <w:rPr>
                <w:rFonts w:ascii="Arial Narrow" w:hAnsi="Arial Narrow" w:cs="Open Sans"/>
                <w:color w:val="333333"/>
                <w:sz w:val="18"/>
                <w:szCs w:val="18"/>
              </w:rPr>
              <w:t>e.g.</w:t>
            </w:r>
            <w:proofErr w:type="gramEnd"/>
            <w:r w:rsidRPr="00A82F1F">
              <w:rPr>
                <w:rFonts w:ascii="Arial Narrow" w:hAnsi="Arial Narrow" w:cs="Open Sans"/>
                <w:color w:val="333333"/>
                <w:sz w:val="18"/>
                <w:szCs w:val="18"/>
              </w:rPr>
              <w:t xml:space="preserve"> arginine, clonidine, glucagon, insulin, sleep, exercise) and low plasma IGFBP-3 levels</w:t>
            </w:r>
          </w:p>
        </w:tc>
      </w:tr>
      <w:tr w:rsidR="00685ED6" w:rsidRPr="00A82F1F" w14:paraId="374E2B0F" w14:textId="77777777" w:rsidTr="00F527AB">
        <w:tc>
          <w:tcPr>
            <w:tcW w:w="988" w:type="dxa"/>
          </w:tcPr>
          <w:p w14:paraId="2C4DB8DC" w14:textId="77777777" w:rsidR="00685ED6" w:rsidRPr="00A82F1F" w:rsidRDefault="00685ED6" w:rsidP="008A5ACA">
            <w:pPr>
              <w:jc w:val="center"/>
              <w:rPr>
                <w:rFonts w:ascii="Arial Narrow" w:hAnsi="Arial Narrow" w:cs="Open Sans"/>
                <w:color w:val="333333"/>
                <w:sz w:val="18"/>
                <w:szCs w:val="18"/>
              </w:rPr>
            </w:pPr>
          </w:p>
        </w:tc>
        <w:tc>
          <w:tcPr>
            <w:tcW w:w="8221" w:type="dxa"/>
            <w:hideMark/>
          </w:tcPr>
          <w:p w14:paraId="3CB999CD"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AND</w:t>
            </w:r>
          </w:p>
        </w:tc>
      </w:tr>
      <w:tr w:rsidR="00685ED6" w:rsidRPr="00A82F1F" w14:paraId="45422A4D" w14:textId="77777777" w:rsidTr="00F527AB">
        <w:tc>
          <w:tcPr>
            <w:tcW w:w="988" w:type="dxa"/>
          </w:tcPr>
          <w:p w14:paraId="4CD6B345" w14:textId="79E7F325"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63A82938"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Clinical criteria:</w:t>
            </w:r>
          </w:p>
        </w:tc>
      </w:tr>
      <w:tr w:rsidR="00685ED6" w:rsidRPr="00A82F1F" w14:paraId="490366C8" w14:textId="77777777" w:rsidTr="00F527AB">
        <w:tc>
          <w:tcPr>
            <w:tcW w:w="988" w:type="dxa"/>
          </w:tcPr>
          <w:p w14:paraId="165DA777" w14:textId="5267CFCC"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21EE2B64"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A82F1F" w14:paraId="13FCF683" w14:textId="77777777" w:rsidTr="00F527AB">
        <w:tc>
          <w:tcPr>
            <w:tcW w:w="988" w:type="dxa"/>
          </w:tcPr>
          <w:p w14:paraId="228ADD20" w14:textId="77777777" w:rsidR="00685ED6" w:rsidRPr="00A82F1F" w:rsidRDefault="00685ED6" w:rsidP="008A5ACA">
            <w:pPr>
              <w:jc w:val="center"/>
              <w:rPr>
                <w:rFonts w:ascii="Arial Narrow" w:hAnsi="Arial Narrow" w:cs="Open Sans"/>
                <w:color w:val="333333"/>
                <w:sz w:val="18"/>
                <w:szCs w:val="18"/>
              </w:rPr>
            </w:pPr>
          </w:p>
        </w:tc>
        <w:tc>
          <w:tcPr>
            <w:tcW w:w="8221" w:type="dxa"/>
            <w:hideMark/>
          </w:tcPr>
          <w:p w14:paraId="4451DFA1"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AND</w:t>
            </w:r>
          </w:p>
        </w:tc>
      </w:tr>
      <w:tr w:rsidR="00685ED6" w:rsidRPr="00A82F1F" w14:paraId="70234BC9" w14:textId="77777777" w:rsidTr="00F527AB">
        <w:tc>
          <w:tcPr>
            <w:tcW w:w="988" w:type="dxa"/>
          </w:tcPr>
          <w:p w14:paraId="6A89BCF4" w14:textId="739B9A9A"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4122D3C7"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Clinical criteria:</w:t>
            </w:r>
          </w:p>
        </w:tc>
      </w:tr>
      <w:tr w:rsidR="00685ED6" w:rsidRPr="00A82F1F" w14:paraId="799FB764" w14:textId="77777777" w:rsidTr="00F527AB">
        <w:tc>
          <w:tcPr>
            <w:tcW w:w="988" w:type="dxa"/>
          </w:tcPr>
          <w:p w14:paraId="151F5DB3" w14:textId="3386E973"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6F5A6348"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not have an active tumour or evidence of tumour growth or activity</w:t>
            </w:r>
          </w:p>
        </w:tc>
      </w:tr>
      <w:tr w:rsidR="00685ED6" w:rsidRPr="00A82F1F" w14:paraId="5A19EB28" w14:textId="77777777" w:rsidTr="00F527AB">
        <w:tc>
          <w:tcPr>
            <w:tcW w:w="988" w:type="dxa"/>
          </w:tcPr>
          <w:p w14:paraId="7F4B6971" w14:textId="77777777" w:rsidR="00685ED6" w:rsidRPr="00A82F1F" w:rsidRDefault="00685ED6" w:rsidP="008A5ACA">
            <w:pPr>
              <w:jc w:val="center"/>
              <w:rPr>
                <w:rFonts w:ascii="Arial Narrow" w:hAnsi="Arial Narrow" w:cs="Open Sans"/>
                <w:color w:val="333333"/>
                <w:sz w:val="18"/>
                <w:szCs w:val="18"/>
              </w:rPr>
            </w:pPr>
          </w:p>
        </w:tc>
        <w:tc>
          <w:tcPr>
            <w:tcW w:w="8221" w:type="dxa"/>
            <w:hideMark/>
          </w:tcPr>
          <w:p w14:paraId="0B190678"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AND</w:t>
            </w:r>
          </w:p>
        </w:tc>
      </w:tr>
      <w:tr w:rsidR="00685ED6" w:rsidRPr="00A82F1F" w14:paraId="47458312" w14:textId="77777777" w:rsidTr="00F527AB">
        <w:tc>
          <w:tcPr>
            <w:tcW w:w="988" w:type="dxa"/>
          </w:tcPr>
          <w:p w14:paraId="2F5F34E6" w14:textId="59B6C302"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727D2D73"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Clinical criteria:</w:t>
            </w:r>
          </w:p>
        </w:tc>
      </w:tr>
      <w:tr w:rsidR="00685ED6" w:rsidRPr="00A82F1F" w14:paraId="118F5C0B" w14:textId="77777777" w:rsidTr="00F527AB">
        <w:tc>
          <w:tcPr>
            <w:tcW w:w="988" w:type="dxa"/>
          </w:tcPr>
          <w:p w14:paraId="50C231C3" w14:textId="53640296"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44FBF914"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be male and must not have a bone age of 15.5 years or more; or</w:t>
            </w:r>
          </w:p>
        </w:tc>
      </w:tr>
      <w:tr w:rsidR="00685ED6" w:rsidRPr="00A82F1F" w14:paraId="2CB21FD8" w14:textId="77777777" w:rsidTr="00F527AB">
        <w:tc>
          <w:tcPr>
            <w:tcW w:w="988" w:type="dxa"/>
          </w:tcPr>
          <w:p w14:paraId="43CADB6D" w14:textId="3EC40CAF"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5850BEBC"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be female and must not have a bone age of 13.5 years or more</w:t>
            </w:r>
          </w:p>
        </w:tc>
      </w:tr>
      <w:tr w:rsidR="00685ED6" w:rsidRPr="00A82F1F" w14:paraId="5762359C" w14:textId="77777777" w:rsidTr="008A5ACA">
        <w:tc>
          <w:tcPr>
            <w:tcW w:w="988" w:type="dxa"/>
          </w:tcPr>
          <w:p w14:paraId="487C6A60" w14:textId="77777777" w:rsidR="00685ED6" w:rsidRPr="00A82F1F" w:rsidRDefault="00685ED6" w:rsidP="008A5ACA">
            <w:pPr>
              <w:jc w:val="center"/>
              <w:textAlignment w:val="baseline"/>
              <w:rPr>
                <w:rFonts w:ascii="Arial Narrow" w:hAnsi="Arial Narrow" w:cs="Open Sans"/>
                <w:color w:val="333333"/>
                <w:sz w:val="18"/>
                <w:szCs w:val="18"/>
              </w:rPr>
            </w:pPr>
          </w:p>
        </w:tc>
        <w:tc>
          <w:tcPr>
            <w:tcW w:w="8221" w:type="dxa"/>
          </w:tcPr>
          <w:p w14:paraId="6809B499" w14:textId="77777777" w:rsidR="00685ED6" w:rsidRPr="00A82F1F" w:rsidRDefault="00685ED6" w:rsidP="008A5ACA">
            <w:pPr>
              <w:ind w:left="-57"/>
              <w:rPr>
                <w:rFonts w:ascii="Arial Narrow" w:hAnsi="Arial Narrow" w:cs="Open Sans"/>
                <w:color w:val="333333"/>
                <w:sz w:val="18"/>
                <w:szCs w:val="18"/>
              </w:rPr>
            </w:pPr>
          </w:p>
        </w:tc>
      </w:tr>
      <w:tr w:rsidR="00685ED6" w:rsidRPr="00A82F1F" w14:paraId="5793105C" w14:textId="77777777" w:rsidTr="00F527AB">
        <w:tc>
          <w:tcPr>
            <w:tcW w:w="988" w:type="dxa"/>
          </w:tcPr>
          <w:p w14:paraId="6DAF8E51" w14:textId="02276766"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02F3A1CE"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Treatment criteria:</w:t>
            </w:r>
          </w:p>
        </w:tc>
      </w:tr>
      <w:tr w:rsidR="00685ED6" w:rsidRPr="00A82F1F" w14:paraId="0091E34D" w14:textId="77777777" w:rsidTr="00F527AB">
        <w:tc>
          <w:tcPr>
            <w:tcW w:w="988" w:type="dxa"/>
          </w:tcPr>
          <w:p w14:paraId="3FE77FED" w14:textId="3CB67505"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2F238429"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 xml:space="preserve">Must </w:t>
            </w:r>
            <w:proofErr w:type="gramStart"/>
            <w:r w:rsidRPr="00A82F1F">
              <w:rPr>
                <w:rFonts w:ascii="Arial Narrow" w:hAnsi="Arial Narrow" w:cs="Open Sans"/>
                <w:color w:val="333333"/>
                <w:sz w:val="18"/>
                <w:szCs w:val="18"/>
              </w:rPr>
              <w:t>be treated</w:t>
            </w:r>
            <w:proofErr w:type="gramEnd"/>
            <w:r w:rsidRPr="00A82F1F">
              <w:rPr>
                <w:rFonts w:ascii="Arial Narrow" w:hAnsi="Arial Narrow" w:cs="Open Sans"/>
                <w:color w:val="333333"/>
                <w:sz w:val="18"/>
                <w:szCs w:val="18"/>
              </w:rPr>
              <w:t xml:space="preserve"> by a medical practitioner in consultation with a nominated specialist or consultant physician in paediatric endocrinology; or</w:t>
            </w:r>
          </w:p>
        </w:tc>
      </w:tr>
      <w:tr w:rsidR="00685ED6" w:rsidRPr="00A82F1F" w14:paraId="18355B1E" w14:textId="77777777" w:rsidTr="00F527AB">
        <w:tc>
          <w:tcPr>
            <w:tcW w:w="988" w:type="dxa"/>
          </w:tcPr>
          <w:p w14:paraId="77C9C29B" w14:textId="3EB406CD"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123BB903"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 xml:space="preserve">Must </w:t>
            </w:r>
            <w:proofErr w:type="gramStart"/>
            <w:r w:rsidRPr="00A82F1F">
              <w:rPr>
                <w:rFonts w:ascii="Arial Narrow" w:hAnsi="Arial Narrow" w:cs="Open Sans"/>
                <w:color w:val="333333"/>
                <w:sz w:val="18"/>
                <w:szCs w:val="18"/>
              </w:rPr>
              <w:t>be treated</w:t>
            </w:r>
            <w:proofErr w:type="gramEnd"/>
            <w:r w:rsidRPr="00A82F1F">
              <w:rPr>
                <w:rFonts w:ascii="Arial Narrow" w:hAnsi="Arial Narrow" w:cs="Open Sans"/>
                <w:color w:val="333333"/>
                <w:sz w:val="18"/>
                <w:szCs w:val="18"/>
              </w:rPr>
              <w:t xml:space="preserve"> by a medical practitioner in consultation with a nominated specialist or consultant physician in general paediatrics</w:t>
            </w:r>
          </w:p>
        </w:tc>
      </w:tr>
      <w:tr w:rsidR="00685ED6" w:rsidRPr="00A82F1F" w14:paraId="2F7A6C38" w14:textId="77777777" w:rsidTr="00F527AB">
        <w:tc>
          <w:tcPr>
            <w:tcW w:w="988" w:type="dxa"/>
          </w:tcPr>
          <w:p w14:paraId="51F55C1F" w14:textId="77777777" w:rsidR="00685ED6" w:rsidRPr="00A82F1F" w:rsidRDefault="00685ED6" w:rsidP="008A5ACA">
            <w:pPr>
              <w:jc w:val="center"/>
              <w:rPr>
                <w:rFonts w:ascii="Arial Narrow" w:hAnsi="Arial Narrow" w:cs="Open Sans"/>
                <w:color w:val="333333"/>
                <w:sz w:val="18"/>
                <w:szCs w:val="18"/>
              </w:rPr>
            </w:pPr>
          </w:p>
        </w:tc>
        <w:tc>
          <w:tcPr>
            <w:tcW w:w="8221" w:type="dxa"/>
            <w:hideMark/>
          </w:tcPr>
          <w:p w14:paraId="4CDC0361"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AND</w:t>
            </w:r>
          </w:p>
        </w:tc>
      </w:tr>
      <w:tr w:rsidR="00685ED6" w:rsidRPr="00A82F1F" w14:paraId="1F47487B" w14:textId="77777777" w:rsidTr="00F527AB">
        <w:tc>
          <w:tcPr>
            <w:tcW w:w="988" w:type="dxa"/>
          </w:tcPr>
          <w:p w14:paraId="06965ADE" w14:textId="1B75C9FB"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5128A4CE"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Treatment criteria:</w:t>
            </w:r>
          </w:p>
        </w:tc>
      </w:tr>
      <w:tr w:rsidR="00685ED6" w:rsidRPr="00A82F1F" w14:paraId="3C5E57A0" w14:textId="77777777" w:rsidTr="00F527AB">
        <w:tc>
          <w:tcPr>
            <w:tcW w:w="988" w:type="dxa"/>
          </w:tcPr>
          <w:p w14:paraId="0CB461C4" w14:textId="10D25E0E"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7F174FD3" w14:textId="77777777" w:rsidR="00685ED6" w:rsidRPr="00A82F1F" w:rsidRDefault="00685ED6" w:rsidP="008A5ACA">
            <w:pPr>
              <w:ind w:left="-57"/>
              <w:rPr>
                <w:rFonts w:ascii="Arial Narrow" w:hAnsi="Arial Narrow" w:cs="Open Sans"/>
                <w:color w:val="333333"/>
                <w:sz w:val="18"/>
                <w:szCs w:val="18"/>
              </w:rPr>
            </w:pPr>
            <w:r w:rsidRPr="00A82F1F">
              <w:rPr>
                <w:rFonts w:ascii="Arial Narrow" w:hAnsi="Arial Narrow" w:cs="Open Sans"/>
                <w:color w:val="333333"/>
                <w:sz w:val="18"/>
                <w:szCs w:val="18"/>
              </w:rPr>
              <w:t>Patient must be undergoing treatment for the stated indication with only one growth hormone at any given time</w:t>
            </w:r>
          </w:p>
        </w:tc>
      </w:tr>
      <w:tr w:rsidR="00685ED6" w:rsidRPr="00A82F1F" w14:paraId="6D6D0C7D" w14:textId="77777777" w:rsidTr="008A5ACA">
        <w:tc>
          <w:tcPr>
            <w:tcW w:w="988" w:type="dxa"/>
          </w:tcPr>
          <w:p w14:paraId="0A546647" w14:textId="77777777" w:rsidR="00685ED6" w:rsidRPr="00A82F1F" w:rsidRDefault="00685ED6" w:rsidP="008A5ACA">
            <w:pPr>
              <w:jc w:val="center"/>
              <w:textAlignment w:val="baseline"/>
              <w:rPr>
                <w:rFonts w:ascii="Arial Narrow" w:hAnsi="Arial Narrow" w:cs="Open Sans"/>
                <w:color w:val="333333"/>
                <w:sz w:val="18"/>
                <w:szCs w:val="18"/>
              </w:rPr>
            </w:pPr>
          </w:p>
        </w:tc>
        <w:tc>
          <w:tcPr>
            <w:tcW w:w="8221" w:type="dxa"/>
          </w:tcPr>
          <w:p w14:paraId="62E45A67" w14:textId="77777777" w:rsidR="00685ED6" w:rsidRPr="00A82F1F" w:rsidRDefault="00685ED6" w:rsidP="008A5ACA">
            <w:pPr>
              <w:ind w:left="-57"/>
              <w:rPr>
                <w:rFonts w:ascii="Arial Narrow" w:hAnsi="Arial Narrow" w:cs="Open Sans"/>
                <w:color w:val="333333"/>
                <w:sz w:val="18"/>
                <w:szCs w:val="18"/>
              </w:rPr>
            </w:pPr>
          </w:p>
        </w:tc>
      </w:tr>
      <w:tr w:rsidR="00685ED6" w:rsidRPr="00A82F1F" w14:paraId="48812596" w14:textId="77777777" w:rsidTr="00F527AB">
        <w:tc>
          <w:tcPr>
            <w:tcW w:w="988" w:type="dxa"/>
          </w:tcPr>
          <w:p w14:paraId="0966B08D" w14:textId="716EF794"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438FC287"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Prescribing Instructions:</w:t>
            </w:r>
          </w:p>
          <w:p w14:paraId="7D267C72"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 xml:space="preserve">An older child </w:t>
            </w:r>
            <w:proofErr w:type="gramStart"/>
            <w:r w:rsidRPr="00A82F1F">
              <w:rPr>
                <w:rFonts w:ascii="Arial Narrow" w:hAnsi="Arial Narrow" w:cs="Open Sans"/>
                <w:color w:val="333333"/>
                <w:sz w:val="18"/>
                <w:szCs w:val="18"/>
              </w:rPr>
              <w:t>is defined</w:t>
            </w:r>
            <w:proofErr w:type="gramEnd"/>
            <w:r w:rsidRPr="00A82F1F">
              <w:rPr>
                <w:rFonts w:ascii="Arial Narrow" w:hAnsi="Arial Narrow" w:cs="Open Sans"/>
                <w:color w:val="333333"/>
                <w:sz w:val="18"/>
                <w:szCs w:val="18"/>
              </w:rPr>
              <w:t xml:space="preserve"> as a male with a chronological age of at least 12 years or a bone age of at least 10 years, or a female with a chronological age of at least 10 years or a bone age of at least 8 years.</w:t>
            </w:r>
          </w:p>
        </w:tc>
      </w:tr>
      <w:tr w:rsidR="00685ED6" w:rsidRPr="00A82F1F" w14:paraId="145E0222" w14:textId="77777777" w:rsidTr="00F527AB">
        <w:tc>
          <w:tcPr>
            <w:tcW w:w="988" w:type="dxa"/>
          </w:tcPr>
          <w:p w14:paraId="062178F1" w14:textId="491CE752"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4D295E29"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Prescribing Instructions:</w:t>
            </w:r>
          </w:p>
          <w:p w14:paraId="470E35F8"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 xml:space="preserve">Applications for authorisation under this treatment phase must </w:t>
            </w:r>
            <w:proofErr w:type="gramStart"/>
            <w:r w:rsidRPr="00A82F1F">
              <w:rPr>
                <w:rFonts w:ascii="Arial Narrow" w:hAnsi="Arial Narrow" w:cs="Open Sans"/>
                <w:color w:val="333333"/>
                <w:sz w:val="18"/>
                <w:szCs w:val="18"/>
              </w:rPr>
              <w:t>be made</w:t>
            </w:r>
            <w:proofErr w:type="gramEnd"/>
            <w:r w:rsidRPr="00A82F1F">
              <w:rPr>
                <w:rFonts w:ascii="Arial Narrow" w:hAnsi="Arial Narrow" w:cs="Open Sans"/>
                <w:color w:val="333333"/>
                <w:sz w:val="18"/>
                <w:szCs w:val="18"/>
              </w:rPr>
              <w:t xml:space="preserve"> via the Online PBS Authorities System (real time assessment) or in writing via HPOS form upload or mail and must include:</w:t>
            </w:r>
          </w:p>
          <w:p w14:paraId="0739343A"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1.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a patient had a chronological age greater than 2.5 years at commencement of treatment); OR</w:t>
            </w:r>
          </w:p>
          <w:p w14:paraId="38955356"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 xml:space="preserve">(b) Height and weight measurements from within three months prior to commencement of treatment for a patient whose height was at or below the </w:t>
            </w:r>
            <w:proofErr w:type="gramStart"/>
            <w:r w:rsidRPr="00A82F1F">
              <w:rPr>
                <w:rFonts w:ascii="Arial Narrow" w:hAnsi="Arial Narrow" w:cs="Open Sans"/>
                <w:color w:val="333333"/>
                <w:sz w:val="18"/>
                <w:szCs w:val="18"/>
              </w:rPr>
              <w:t>1</w:t>
            </w:r>
            <w:r w:rsidRPr="00A82F1F">
              <w:rPr>
                <w:rFonts w:ascii="Arial Narrow" w:hAnsi="Arial Narrow" w:cs="Open Sans"/>
                <w:color w:val="333333"/>
                <w:sz w:val="18"/>
                <w:szCs w:val="18"/>
                <w:bdr w:val="none" w:sz="0" w:space="0" w:color="auto" w:frame="1"/>
                <w:vertAlign w:val="superscript"/>
              </w:rPr>
              <w:t>st</w:t>
            </w:r>
            <w:proofErr w:type="gramEnd"/>
            <w:r w:rsidRPr="00A82F1F">
              <w:rPr>
                <w:rFonts w:ascii="Arial Narrow" w:hAnsi="Arial Narrow" w:cs="Open Sans"/>
                <w:color w:val="333333"/>
                <w:sz w:val="18"/>
                <w:szCs w:val="18"/>
              </w:rPr>
              <w:t> percentile for age plus sex immediately prior to commencing treatment.</w:t>
            </w:r>
          </w:p>
          <w:p w14:paraId="53AAE1E8"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2. Evidence of biochemical growth hormone deficiency, including the type of tests performed and peak growth hormone concentrations.</w:t>
            </w:r>
          </w:p>
          <w:p w14:paraId="5DA96F0D"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 xml:space="preserve">3. Growth data (height and weight) for the most recent </w:t>
            </w:r>
            <w:proofErr w:type="gramStart"/>
            <w:r w:rsidRPr="00A82F1F">
              <w:rPr>
                <w:rFonts w:ascii="Arial Narrow" w:hAnsi="Arial Narrow" w:cs="Open Sans"/>
                <w:color w:val="333333"/>
                <w:sz w:val="18"/>
                <w:szCs w:val="18"/>
              </w:rPr>
              <w:t>6 month</w:t>
            </w:r>
            <w:proofErr w:type="gramEnd"/>
            <w:r w:rsidRPr="00A82F1F">
              <w:rPr>
                <w:rFonts w:ascii="Arial Narrow" w:hAnsi="Arial Narrow" w:cs="Open Sans"/>
                <w:color w:val="333333"/>
                <w:sz w:val="18"/>
                <w:szCs w:val="18"/>
              </w:rPr>
              <w:t xml:space="preserve"> treatment period, including data at both the start and end of the treatment period. The most recent data must not be older than three months.</w:t>
            </w:r>
          </w:p>
          <w:p w14:paraId="48162388"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4. A bone age result performed within the last 12 months where a patient has a chronological age greater than 2.5 years.</w:t>
            </w:r>
          </w:p>
        </w:tc>
      </w:tr>
      <w:tr w:rsidR="00685ED6" w:rsidRPr="00A82F1F" w14:paraId="59ADFDBD" w14:textId="77777777" w:rsidTr="00F527AB">
        <w:tc>
          <w:tcPr>
            <w:tcW w:w="988" w:type="dxa"/>
          </w:tcPr>
          <w:p w14:paraId="7A6399E4" w14:textId="74E306AF"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5A13A74E"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Prescribing Instructions:</w:t>
            </w:r>
          </w:p>
          <w:p w14:paraId="3F062F55"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 xml:space="preserve">If the application </w:t>
            </w:r>
            <w:proofErr w:type="gramStart"/>
            <w:r w:rsidRPr="00A82F1F">
              <w:rPr>
                <w:rFonts w:ascii="Arial Narrow" w:hAnsi="Arial Narrow" w:cs="Open Sans"/>
                <w:color w:val="333333"/>
                <w:sz w:val="18"/>
                <w:szCs w:val="18"/>
              </w:rPr>
              <w:t>is submitted</w:t>
            </w:r>
            <w:proofErr w:type="gramEnd"/>
            <w:r w:rsidRPr="00A82F1F">
              <w:rPr>
                <w:rFonts w:ascii="Arial Narrow" w:hAnsi="Arial Narrow" w:cs="Open Sans"/>
                <w:color w:val="333333"/>
                <w:sz w:val="18"/>
                <w:szCs w:val="18"/>
              </w:rPr>
              <w:t xml:space="preserve"> through HPOS form upload or mail, it must include:</w:t>
            </w:r>
          </w:p>
          <w:p w14:paraId="6B529B1B"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(i) A completed authority prescription form; and</w:t>
            </w:r>
          </w:p>
          <w:p w14:paraId="5B1542BC"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A82F1F" w14:paraId="6335AB77" w14:textId="77777777" w:rsidTr="00F527AB">
        <w:tc>
          <w:tcPr>
            <w:tcW w:w="988" w:type="dxa"/>
          </w:tcPr>
          <w:p w14:paraId="02EC1487" w14:textId="448455DE"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35DC42DB"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Prescribing Instructions:</w:t>
            </w:r>
          </w:p>
          <w:p w14:paraId="5DFD8DCC"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lastRenderedPageBreak/>
              <w:t>Prescribe an appropriate amount of drug (maximum quantity in units) outlined within the 'Notes' section of this restriction.</w:t>
            </w:r>
          </w:p>
        </w:tc>
      </w:tr>
      <w:tr w:rsidR="00685ED6" w:rsidRPr="00A82F1F" w14:paraId="0612DAD5" w14:textId="77777777" w:rsidTr="00F527AB">
        <w:tc>
          <w:tcPr>
            <w:tcW w:w="988" w:type="dxa"/>
          </w:tcPr>
          <w:p w14:paraId="1FF57328" w14:textId="23DF0DE0"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264F8DFD"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Prescribing Instructions:</w:t>
            </w:r>
          </w:p>
          <w:p w14:paraId="5506EF30"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A82F1F">
              <w:rPr>
                <w:rFonts w:ascii="Arial Narrow" w:hAnsi="Arial Narrow" w:cs="Open Sans"/>
                <w:color w:val="333333"/>
                <w:sz w:val="18"/>
                <w:szCs w:val="18"/>
              </w:rPr>
              <w:t>was written</w:t>
            </w:r>
            <w:proofErr w:type="gramEnd"/>
            <w:r w:rsidRPr="00A82F1F">
              <w:rPr>
                <w:rFonts w:ascii="Arial Narrow" w:hAnsi="Arial Narrow" w:cs="Open Sans"/>
                <w:color w:val="333333"/>
                <w:sz w:val="18"/>
                <w:szCs w:val="18"/>
              </w:rPr>
              <w:t xml:space="preserve"> in compliance with any relevant circumstances and/or purposes. These records must </w:t>
            </w:r>
            <w:proofErr w:type="gramStart"/>
            <w:r w:rsidRPr="00A82F1F">
              <w:rPr>
                <w:rFonts w:ascii="Arial Narrow" w:hAnsi="Arial Narrow" w:cs="Open Sans"/>
                <w:color w:val="333333"/>
                <w:sz w:val="18"/>
                <w:szCs w:val="18"/>
              </w:rPr>
              <w:t>be kept</w:t>
            </w:r>
            <w:proofErr w:type="gramEnd"/>
            <w:r w:rsidRPr="00A82F1F">
              <w:rPr>
                <w:rFonts w:ascii="Arial Narrow" w:hAnsi="Arial Narrow" w:cs="Open Sans"/>
                <w:color w:val="333333"/>
                <w:sz w:val="18"/>
                <w:szCs w:val="18"/>
              </w:rPr>
              <w:t xml:space="preserve"> for 2 years after the date the prescription to which the records relate is written.</w:t>
            </w:r>
          </w:p>
        </w:tc>
      </w:tr>
      <w:tr w:rsidR="00685ED6" w:rsidRPr="00A82F1F" w14:paraId="70F79AC7" w14:textId="77777777" w:rsidTr="00F527AB">
        <w:tc>
          <w:tcPr>
            <w:tcW w:w="988" w:type="dxa"/>
          </w:tcPr>
          <w:p w14:paraId="721176A6" w14:textId="3F241740"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2301A1A9"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Prescribing Instructions:</w:t>
            </w:r>
          </w:p>
          <w:p w14:paraId="10A3A4D8"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Biochemical growth hormone deficiency should not be secondary to an intracranial lesion or cranial irradiation for applications under this category.</w:t>
            </w:r>
          </w:p>
        </w:tc>
      </w:tr>
      <w:tr w:rsidR="00685ED6" w:rsidRPr="00A82F1F" w14:paraId="6CC1AD2F" w14:textId="77777777" w:rsidTr="00F527AB">
        <w:tc>
          <w:tcPr>
            <w:tcW w:w="988" w:type="dxa"/>
          </w:tcPr>
          <w:p w14:paraId="385BE040" w14:textId="669CDA06" w:rsidR="00685ED6" w:rsidRPr="00A82F1F" w:rsidRDefault="00685ED6" w:rsidP="008A5ACA">
            <w:pPr>
              <w:jc w:val="center"/>
              <w:textAlignment w:val="baseline"/>
              <w:rPr>
                <w:rFonts w:ascii="Arial Narrow" w:hAnsi="Arial Narrow" w:cs="Open Sans"/>
                <w:color w:val="333333"/>
                <w:sz w:val="18"/>
                <w:szCs w:val="18"/>
              </w:rPr>
            </w:pPr>
          </w:p>
        </w:tc>
        <w:tc>
          <w:tcPr>
            <w:tcW w:w="8221" w:type="dxa"/>
            <w:hideMark/>
          </w:tcPr>
          <w:p w14:paraId="37B6BAFC"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b/>
                <w:bCs/>
                <w:color w:val="333333"/>
                <w:sz w:val="18"/>
                <w:szCs w:val="18"/>
                <w:bdr w:val="none" w:sz="0" w:space="0" w:color="auto" w:frame="1"/>
              </w:rPr>
              <w:t>Prescribing Instructions:</w:t>
            </w:r>
          </w:p>
          <w:p w14:paraId="7830372D" w14:textId="77777777" w:rsidR="00685ED6" w:rsidRPr="00A82F1F" w:rsidRDefault="00685ED6" w:rsidP="008A5ACA">
            <w:pPr>
              <w:ind w:left="-57"/>
              <w:textAlignment w:val="baseline"/>
              <w:rPr>
                <w:rFonts w:ascii="Arial Narrow" w:hAnsi="Arial Narrow" w:cs="Open Sans"/>
                <w:color w:val="333333"/>
                <w:sz w:val="18"/>
                <w:szCs w:val="18"/>
              </w:rPr>
            </w:pPr>
            <w:r w:rsidRPr="00A82F1F">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A82F1F" w14:paraId="5DC2D570" w14:textId="77777777" w:rsidTr="008A5ACA">
        <w:tc>
          <w:tcPr>
            <w:tcW w:w="9209" w:type="dxa"/>
            <w:gridSpan w:val="2"/>
          </w:tcPr>
          <w:p w14:paraId="5D1DDD62" w14:textId="77777777" w:rsidR="00685ED6" w:rsidRPr="00A82F1F" w:rsidRDefault="00685ED6" w:rsidP="008A5ACA">
            <w:pPr>
              <w:ind w:left="-57"/>
              <w:textAlignment w:val="baseline"/>
              <w:rPr>
                <w:rFonts w:ascii="Arial Narrow" w:hAnsi="Arial Narrow" w:cs="Open Sans"/>
                <w:b/>
                <w:bCs/>
                <w:color w:val="333333"/>
                <w:sz w:val="18"/>
                <w:szCs w:val="18"/>
                <w:bdr w:val="none" w:sz="0" w:space="0" w:color="auto" w:frame="1"/>
              </w:rPr>
            </w:pPr>
            <w:r>
              <w:rPr>
                <w:rFonts w:ascii="Arial Narrow" w:hAnsi="Arial Narrow" w:cs="Open Sans"/>
                <w:b/>
                <w:bCs/>
                <w:color w:val="333333"/>
                <w:sz w:val="18"/>
                <w:szCs w:val="18"/>
                <w:bdr w:val="none" w:sz="0" w:space="0" w:color="auto" w:frame="1"/>
              </w:rPr>
              <w:br/>
            </w:r>
          </w:p>
        </w:tc>
      </w:tr>
      <w:tr w:rsidR="00685ED6" w:rsidRPr="00A82F1F" w14:paraId="227327EC" w14:textId="77777777" w:rsidTr="008A5ACA">
        <w:tc>
          <w:tcPr>
            <w:tcW w:w="9209" w:type="dxa"/>
            <w:gridSpan w:val="2"/>
          </w:tcPr>
          <w:p w14:paraId="1683058D"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966886">
              <w:rPr>
                <w:rFonts w:ascii="Arial Narrow" w:hAnsi="Arial Narrow" w:cs="Open Sans"/>
                <w:b/>
                <w:bCs/>
                <w:color w:val="333333"/>
                <w:sz w:val="18"/>
                <w:szCs w:val="18"/>
                <w:bdr w:val="none" w:sz="0" w:space="0" w:color="auto" w:frame="1"/>
              </w:rPr>
              <w:t>Restriction Summary 13291 / ToC: 13284: Authority Required</w:t>
            </w:r>
          </w:p>
          <w:p w14:paraId="3B78C039" w14:textId="77777777" w:rsidR="00685ED6" w:rsidRPr="00A82F1F"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3AC86B76" w14:textId="77777777" w:rsidTr="00F527AB">
        <w:tc>
          <w:tcPr>
            <w:tcW w:w="988" w:type="dxa"/>
          </w:tcPr>
          <w:p w14:paraId="36CF3AB6" w14:textId="2A6507F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470C37E0"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966886">
              <w:rPr>
                <w:rFonts w:ascii="Arial Narrow" w:hAnsi="Arial Narrow" w:cs="Open Sans"/>
                <w:color w:val="333333"/>
                <w:sz w:val="18"/>
                <w:szCs w:val="18"/>
              </w:rPr>
              <w:t>Short stature and slow growth</w:t>
            </w:r>
          </w:p>
        </w:tc>
      </w:tr>
      <w:tr w:rsidR="00685ED6" w:rsidRPr="00966886" w14:paraId="462520DE" w14:textId="77777777" w:rsidTr="008A5ACA">
        <w:tc>
          <w:tcPr>
            <w:tcW w:w="988" w:type="dxa"/>
          </w:tcPr>
          <w:p w14:paraId="35CF549A"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6DED5D67" w14:textId="77777777" w:rsidR="00685ED6" w:rsidRPr="0096688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2F3E1236" w14:textId="77777777" w:rsidTr="00F527AB">
        <w:tc>
          <w:tcPr>
            <w:tcW w:w="988" w:type="dxa"/>
          </w:tcPr>
          <w:p w14:paraId="196AC695"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3051051E"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966886">
              <w:rPr>
                <w:rFonts w:ascii="Arial Narrow" w:hAnsi="Arial Narrow" w:cs="Open Sans"/>
                <w:color w:val="333333"/>
                <w:sz w:val="18"/>
                <w:szCs w:val="18"/>
              </w:rPr>
              <w:t>Initial treatment</w:t>
            </w:r>
          </w:p>
        </w:tc>
      </w:tr>
      <w:tr w:rsidR="00685ED6" w:rsidRPr="00966886" w14:paraId="0A2C54B4" w14:textId="77777777" w:rsidTr="008A5ACA">
        <w:tc>
          <w:tcPr>
            <w:tcW w:w="988" w:type="dxa"/>
          </w:tcPr>
          <w:p w14:paraId="7B4D71F0" w14:textId="77777777" w:rsidR="00685ED6" w:rsidRPr="00966886" w:rsidRDefault="00685ED6" w:rsidP="008A5ACA">
            <w:pPr>
              <w:jc w:val="center"/>
              <w:rPr>
                <w:rFonts w:ascii="Arial Narrow" w:hAnsi="Arial Narrow" w:cs="Open Sans"/>
                <w:color w:val="333333"/>
                <w:sz w:val="18"/>
                <w:szCs w:val="18"/>
              </w:rPr>
            </w:pPr>
          </w:p>
        </w:tc>
        <w:tc>
          <w:tcPr>
            <w:tcW w:w="8221" w:type="dxa"/>
          </w:tcPr>
          <w:p w14:paraId="6518F999" w14:textId="77777777" w:rsidR="00685ED6" w:rsidRPr="0096688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21D84B68" w14:textId="77777777" w:rsidTr="00F527AB">
        <w:tc>
          <w:tcPr>
            <w:tcW w:w="988" w:type="dxa"/>
          </w:tcPr>
          <w:p w14:paraId="61BA2301" w14:textId="00EFB59A"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CDDBE3F"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559BE0D6" w14:textId="77777777" w:rsidTr="00F527AB">
        <w:tc>
          <w:tcPr>
            <w:tcW w:w="988" w:type="dxa"/>
          </w:tcPr>
          <w:p w14:paraId="01D1AA6E" w14:textId="071675C5"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383E2AD"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Patient must have a current height at or below the </w:t>
            </w:r>
            <w:proofErr w:type="gramStart"/>
            <w:r w:rsidRPr="00966886">
              <w:rPr>
                <w:rFonts w:ascii="Arial Narrow" w:hAnsi="Arial Narrow" w:cs="Open Sans"/>
                <w:color w:val="333333"/>
                <w:sz w:val="18"/>
                <w:szCs w:val="18"/>
              </w:rPr>
              <w:t>1st</w:t>
            </w:r>
            <w:proofErr w:type="gramEnd"/>
            <w:r w:rsidRPr="00966886">
              <w:rPr>
                <w:rFonts w:ascii="Arial Narrow" w:hAnsi="Arial Narrow" w:cs="Open Sans"/>
                <w:color w:val="333333"/>
                <w:sz w:val="18"/>
                <w:szCs w:val="18"/>
              </w:rPr>
              <w:t xml:space="preserve"> percentile for age and sex</w:t>
            </w:r>
          </w:p>
        </w:tc>
      </w:tr>
      <w:tr w:rsidR="00685ED6" w:rsidRPr="00966886" w14:paraId="7FDBBBE0" w14:textId="77777777" w:rsidTr="00F527AB">
        <w:tc>
          <w:tcPr>
            <w:tcW w:w="988" w:type="dxa"/>
          </w:tcPr>
          <w:p w14:paraId="580D685A"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15693324"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72D6B604" w14:textId="77777777" w:rsidTr="00F527AB">
        <w:tc>
          <w:tcPr>
            <w:tcW w:w="988" w:type="dxa"/>
          </w:tcPr>
          <w:p w14:paraId="2BC36B60" w14:textId="03B0A91D"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02FB040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66C52FCB" w14:textId="77777777" w:rsidTr="00F527AB">
        <w:tc>
          <w:tcPr>
            <w:tcW w:w="988" w:type="dxa"/>
          </w:tcPr>
          <w:p w14:paraId="3211B51D" w14:textId="2B547266"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C5DD51A"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Patient must have a growth velocity below the 25th percentile for bone age and sex measured over a </w:t>
            </w:r>
            <w:proofErr w:type="gramStart"/>
            <w:r w:rsidRPr="00966886">
              <w:rPr>
                <w:rFonts w:ascii="Arial Narrow" w:hAnsi="Arial Narrow" w:cs="Open Sans"/>
                <w:color w:val="333333"/>
                <w:sz w:val="18"/>
                <w:szCs w:val="18"/>
              </w:rPr>
              <w:t>12 month</w:t>
            </w:r>
            <w:proofErr w:type="gramEnd"/>
            <w:r w:rsidRPr="00966886">
              <w:rPr>
                <w:rFonts w:ascii="Arial Narrow" w:hAnsi="Arial Narrow" w:cs="Open Sans"/>
                <w:color w:val="333333"/>
                <w:sz w:val="18"/>
                <w:szCs w:val="18"/>
              </w:rPr>
              <w:t xml:space="preserve"> interval (or a 6 month interval for an older child); or</w:t>
            </w:r>
          </w:p>
        </w:tc>
      </w:tr>
      <w:tr w:rsidR="00685ED6" w:rsidRPr="00966886" w14:paraId="68AC92C7" w14:textId="77777777" w:rsidTr="00F527AB">
        <w:tc>
          <w:tcPr>
            <w:tcW w:w="988" w:type="dxa"/>
          </w:tcPr>
          <w:p w14:paraId="35C76792" w14:textId="61B57F5E"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DDD2A4D"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have an annual growth velocity of 8 cm per year or less if the patient has a bone or chronological age of 2.5 years or less</w:t>
            </w:r>
          </w:p>
        </w:tc>
      </w:tr>
      <w:tr w:rsidR="00685ED6" w:rsidRPr="00966886" w14:paraId="67CF6528" w14:textId="77777777" w:rsidTr="00F527AB">
        <w:tc>
          <w:tcPr>
            <w:tcW w:w="988" w:type="dxa"/>
          </w:tcPr>
          <w:p w14:paraId="3F87CF15"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58203CF5"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71E19253" w14:textId="77777777" w:rsidTr="00F527AB">
        <w:tc>
          <w:tcPr>
            <w:tcW w:w="988" w:type="dxa"/>
          </w:tcPr>
          <w:p w14:paraId="1A68ADCA" w14:textId="0AE42636"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CDFD455"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04BFAA4E" w14:textId="77777777" w:rsidTr="00F527AB">
        <w:tc>
          <w:tcPr>
            <w:tcW w:w="988" w:type="dxa"/>
          </w:tcPr>
          <w:p w14:paraId="75B764FF" w14:textId="6D9A945F"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7AA8BBE"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966886" w14:paraId="51A291DB" w14:textId="77777777" w:rsidTr="00F527AB">
        <w:tc>
          <w:tcPr>
            <w:tcW w:w="988" w:type="dxa"/>
          </w:tcPr>
          <w:p w14:paraId="47F5213E"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22091620"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4616C546" w14:textId="77777777" w:rsidTr="00F527AB">
        <w:tc>
          <w:tcPr>
            <w:tcW w:w="988" w:type="dxa"/>
          </w:tcPr>
          <w:p w14:paraId="64C25C4B" w14:textId="5E3AE78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0F5B8C01"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0E4C4AA6" w14:textId="77777777" w:rsidTr="00F527AB">
        <w:tc>
          <w:tcPr>
            <w:tcW w:w="988" w:type="dxa"/>
          </w:tcPr>
          <w:p w14:paraId="729AF022" w14:textId="14D169AF"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CFB4329"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not have an active tumour or evidence of tumour growth or activity</w:t>
            </w:r>
          </w:p>
        </w:tc>
      </w:tr>
      <w:tr w:rsidR="00685ED6" w:rsidRPr="00966886" w14:paraId="527B6A43" w14:textId="77777777" w:rsidTr="00F527AB">
        <w:tc>
          <w:tcPr>
            <w:tcW w:w="988" w:type="dxa"/>
          </w:tcPr>
          <w:p w14:paraId="1FD8721C"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4D9E71AA"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499D10BF" w14:textId="77777777" w:rsidTr="00F527AB">
        <w:tc>
          <w:tcPr>
            <w:tcW w:w="988" w:type="dxa"/>
          </w:tcPr>
          <w:p w14:paraId="63A86E92" w14:textId="40D01C2A"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4FA6B5E6"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194D9B1D" w14:textId="77777777" w:rsidTr="00F527AB">
        <w:tc>
          <w:tcPr>
            <w:tcW w:w="988" w:type="dxa"/>
          </w:tcPr>
          <w:p w14:paraId="29984136" w14:textId="0AD55CF0"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10A7594"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not have previously received treatment under the PBS S100 Growth Hormone Program</w:t>
            </w:r>
          </w:p>
        </w:tc>
      </w:tr>
      <w:tr w:rsidR="00685ED6" w:rsidRPr="00966886" w14:paraId="71CC60B5" w14:textId="77777777" w:rsidTr="00F527AB">
        <w:tc>
          <w:tcPr>
            <w:tcW w:w="988" w:type="dxa"/>
          </w:tcPr>
          <w:p w14:paraId="51447409"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4A246891"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60F57546" w14:textId="77777777" w:rsidTr="00F527AB">
        <w:tc>
          <w:tcPr>
            <w:tcW w:w="988" w:type="dxa"/>
          </w:tcPr>
          <w:p w14:paraId="48A6FE62" w14:textId="365B2952"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4979CE8B"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0E530887" w14:textId="77777777" w:rsidTr="00F527AB">
        <w:tc>
          <w:tcPr>
            <w:tcW w:w="988" w:type="dxa"/>
          </w:tcPr>
          <w:p w14:paraId="43A0E2E9" w14:textId="624D093A"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0E2DCE61"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male and must not have a bone age of 15.5 years or more; or</w:t>
            </w:r>
          </w:p>
        </w:tc>
      </w:tr>
      <w:tr w:rsidR="00685ED6" w:rsidRPr="00966886" w14:paraId="44B5F599" w14:textId="77777777" w:rsidTr="00F527AB">
        <w:tc>
          <w:tcPr>
            <w:tcW w:w="988" w:type="dxa"/>
          </w:tcPr>
          <w:p w14:paraId="227AD9BE" w14:textId="4067D920"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E00186D"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female and must not have a bone age of 13.5 years or more</w:t>
            </w:r>
          </w:p>
        </w:tc>
      </w:tr>
      <w:tr w:rsidR="00685ED6" w:rsidRPr="00966886" w14:paraId="3B31771C" w14:textId="77777777" w:rsidTr="00F527AB">
        <w:tc>
          <w:tcPr>
            <w:tcW w:w="988" w:type="dxa"/>
          </w:tcPr>
          <w:p w14:paraId="139BCCEB"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5B112125"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09237F74" w14:textId="77777777" w:rsidTr="00F527AB">
        <w:tc>
          <w:tcPr>
            <w:tcW w:w="988" w:type="dxa"/>
          </w:tcPr>
          <w:p w14:paraId="73B351DF" w14:textId="6B017F68"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4158DD02"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2EBD1C6C" w14:textId="77777777" w:rsidTr="00F527AB">
        <w:tc>
          <w:tcPr>
            <w:tcW w:w="988" w:type="dxa"/>
          </w:tcPr>
          <w:p w14:paraId="31DD43EF" w14:textId="3381B05E"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083E38C"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Patient must be male and must not have a height greater than or equal to 167.7 </w:t>
            </w:r>
            <w:proofErr w:type="gramStart"/>
            <w:r w:rsidRPr="00966886">
              <w:rPr>
                <w:rFonts w:ascii="Arial Narrow" w:hAnsi="Arial Narrow" w:cs="Open Sans"/>
                <w:color w:val="333333"/>
                <w:sz w:val="18"/>
                <w:szCs w:val="18"/>
              </w:rPr>
              <w:t>cm;</w:t>
            </w:r>
            <w:proofErr w:type="gramEnd"/>
            <w:r w:rsidRPr="00966886">
              <w:rPr>
                <w:rFonts w:ascii="Arial Narrow" w:hAnsi="Arial Narrow" w:cs="Open Sans"/>
                <w:color w:val="333333"/>
                <w:sz w:val="18"/>
                <w:szCs w:val="18"/>
              </w:rPr>
              <w:t xml:space="preserve"> or</w:t>
            </w:r>
          </w:p>
        </w:tc>
      </w:tr>
      <w:tr w:rsidR="00685ED6" w:rsidRPr="00966886" w14:paraId="4A72DE26" w14:textId="77777777" w:rsidTr="00F527AB">
        <w:tc>
          <w:tcPr>
            <w:tcW w:w="988" w:type="dxa"/>
          </w:tcPr>
          <w:p w14:paraId="27F8154E" w14:textId="1157DC18"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73562268"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female and must not have a height greater than or equal to 155.0 cm</w:t>
            </w:r>
          </w:p>
        </w:tc>
      </w:tr>
      <w:tr w:rsidR="00685ED6" w:rsidRPr="00966886" w14:paraId="0FF0A528" w14:textId="77777777" w:rsidTr="00F527AB">
        <w:tc>
          <w:tcPr>
            <w:tcW w:w="988" w:type="dxa"/>
          </w:tcPr>
          <w:p w14:paraId="33C14713"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18D073A1"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2D10D601" w14:textId="77777777" w:rsidTr="00F527AB">
        <w:tc>
          <w:tcPr>
            <w:tcW w:w="988" w:type="dxa"/>
          </w:tcPr>
          <w:p w14:paraId="1DFCB5D1" w14:textId="72A3454E"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02D7D4F1"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750667BE" w14:textId="77777777" w:rsidTr="00F527AB">
        <w:tc>
          <w:tcPr>
            <w:tcW w:w="988" w:type="dxa"/>
          </w:tcPr>
          <w:p w14:paraId="79EE9D88" w14:textId="7CA6B133"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21E71F3"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Patient must be male and must not have maturational or constitutional delay in combination with an estimated mature height equal to or above 160.1 </w:t>
            </w:r>
            <w:proofErr w:type="gramStart"/>
            <w:r w:rsidRPr="00966886">
              <w:rPr>
                <w:rFonts w:ascii="Arial Narrow" w:hAnsi="Arial Narrow" w:cs="Open Sans"/>
                <w:color w:val="333333"/>
                <w:sz w:val="18"/>
                <w:szCs w:val="18"/>
              </w:rPr>
              <w:t>cm;</w:t>
            </w:r>
            <w:proofErr w:type="gramEnd"/>
            <w:r w:rsidRPr="00966886">
              <w:rPr>
                <w:rFonts w:ascii="Arial Narrow" w:hAnsi="Arial Narrow" w:cs="Open Sans"/>
                <w:color w:val="333333"/>
                <w:sz w:val="18"/>
                <w:szCs w:val="18"/>
              </w:rPr>
              <w:t xml:space="preserve"> or</w:t>
            </w:r>
          </w:p>
        </w:tc>
      </w:tr>
      <w:tr w:rsidR="00685ED6" w:rsidRPr="00966886" w14:paraId="366CDE6C" w14:textId="77777777" w:rsidTr="00F527AB">
        <w:tc>
          <w:tcPr>
            <w:tcW w:w="988" w:type="dxa"/>
          </w:tcPr>
          <w:p w14:paraId="11C6D684" w14:textId="21E8F913"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4204E69"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female and must not have maturational or constitutional delay in combination with an estimated mature height equal to or above 148.0 cm</w:t>
            </w:r>
          </w:p>
        </w:tc>
      </w:tr>
      <w:tr w:rsidR="00685ED6" w:rsidRPr="00966886" w14:paraId="7A6A02D1" w14:textId="77777777" w:rsidTr="008A5ACA">
        <w:tc>
          <w:tcPr>
            <w:tcW w:w="988" w:type="dxa"/>
          </w:tcPr>
          <w:p w14:paraId="099DABA1"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00CE0387" w14:textId="77777777" w:rsidR="00685ED6" w:rsidRPr="00966886" w:rsidRDefault="00685ED6" w:rsidP="008A5ACA">
            <w:pPr>
              <w:ind w:left="-57"/>
              <w:rPr>
                <w:rFonts w:ascii="Arial Narrow" w:hAnsi="Arial Narrow" w:cs="Open Sans"/>
                <w:color w:val="333333"/>
                <w:sz w:val="18"/>
                <w:szCs w:val="18"/>
              </w:rPr>
            </w:pPr>
          </w:p>
        </w:tc>
      </w:tr>
      <w:tr w:rsidR="00685ED6" w:rsidRPr="00966886" w14:paraId="622DA3FB" w14:textId="77777777" w:rsidTr="00F527AB">
        <w:tc>
          <w:tcPr>
            <w:tcW w:w="988" w:type="dxa"/>
          </w:tcPr>
          <w:p w14:paraId="4FFB15A5" w14:textId="01A81803"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E7A3AC6"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criteria:</w:t>
            </w:r>
          </w:p>
        </w:tc>
      </w:tr>
      <w:tr w:rsidR="00685ED6" w:rsidRPr="00966886" w14:paraId="2925FF48" w14:textId="77777777" w:rsidTr="00F527AB">
        <w:tc>
          <w:tcPr>
            <w:tcW w:w="988" w:type="dxa"/>
          </w:tcPr>
          <w:p w14:paraId="0BF8BD50" w14:textId="28ADD0DB"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0835378"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Must </w:t>
            </w:r>
            <w:proofErr w:type="gramStart"/>
            <w:r w:rsidRPr="00966886">
              <w:rPr>
                <w:rFonts w:ascii="Arial Narrow" w:hAnsi="Arial Narrow" w:cs="Open Sans"/>
                <w:color w:val="333333"/>
                <w:sz w:val="18"/>
                <w:szCs w:val="18"/>
              </w:rPr>
              <w:t>be treated</w:t>
            </w:r>
            <w:proofErr w:type="gramEnd"/>
            <w:r w:rsidRPr="00966886">
              <w:rPr>
                <w:rFonts w:ascii="Arial Narrow" w:hAnsi="Arial Narrow" w:cs="Open Sans"/>
                <w:color w:val="333333"/>
                <w:sz w:val="18"/>
                <w:szCs w:val="18"/>
              </w:rPr>
              <w:t xml:space="preserve"> by a specialist or consultant physician in paediatric endocrinology; or</w:t>
            </w:r>
          </w:p>
        </w:tc>
      </w:tr>
      <w:tr w:rsidR="00685ED6" w:rsidRPr="00966886" w14:paraId="11F2C97A" w14:textId="77777777" w:rsidTr="00F527AB">
        <w:tc>
          <w:tcPr>
            <w:tcW w:w="988" w:type="dxa"/>
          </w:tcPr>
          <w:p w14:paraId="31BF3B15" w14:textId="2F322A04"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04A6AE0"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Must </w:t>
            </w:r>
            <w:proofErr w:type="gramStart"/>
            <w:r w:rsidRPr="00966886">
              <w:rPr>
                <w:rFonts w:ascii="Arial Narrow" w:hAnsi="Arial Narrow" w:cs="Open Sans"/>
                <w:color w:val="333333"/>
                <w:sz w:val="18"/>
                <w:szCs w:val="18"/>
              </w:rPr>
              <w:t>be treated</w:t>
            </w:r>
            <w:proofErr w:type="gramEnd"/>
            <w:r w:rsidRPr="00966886">
              <w:rPr>
                <w:rFonts w:ascii="Arial Narrow" w:hAnsi="Arial Narrow" w:cs="Open Sans"/>
                <w:color w:val="333333"/>
                <w:sz w:val="18"/>
                <w:szCs w:val="18"/>
              </w:rPr>
              <w:t xml:space="preserve"> by a specialist or consultant physician in general paediatrics in consultation with a nominated specialist or consultant physician in paediatric endocrinology</w:t>
            </w:r>
          </w:p>
        </w:tc>
      </w:tr>
      <w:tr w:rsidR="00685ED6" w:rsidRPr="00966886" w14:paraId="6C6264F4" w14:textId="77777777" w:rsidTr="00F527AB">
        <w:tc>
          <w:tcPr>
            <w:tcW w:w="988" w:type="dxa"/>
          </w:tcPr>
          <w:p w14:paraId="2A280658"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5C881A36"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093798B0" w14:textId="77777777" w:rsidTr="00F527AB">
        <w:tc>
          <w:tcPr>
            <w:tcW w:w="988" w:type="dxa"/>
          </w:tcPr>
          <w:p w14:paraId="15C7CE98" w14:textId="3282B33C"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D4D4AB4"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criteria:</w:t>
            </w:r>
          </w:p>
        </w:tc>
      </w:tr>
      <w:tr w:rsidR="00685ED6" w:rsidRPr="00966886" w14:paraId="44E78080" w14:textId="77777777" w:rsidTr="00F527AB">
        <w:tc>
          <w:tcPr>
            <w:tcW w:w="988" w:type="dxa"/>
          </w:tcPr>
          <w:p w14:paraId="34E93B61" w14:textId="5B22C37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7297CEDA"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undergoing treatment for the stated indication with only one growth hormone at any given time</w:t>
            </w:r>
          </w:p>
        </w:tc>
      </w:tr>
      <w:tr w:rsidR="00685ED6" w:rsidRPr="00966886" w14:paraId="418F1A0D" w14:textId="77777777" w:rsidTr="008A5ACA">
        <w:tc>
          <w:tcPr>
            <w:tcW w:w="988" w:type="dxa"/>
          </w:tcPr>
          <w:p w14:paraId="0039795C"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37F15D25" w14:textId="77777777" w:rsidR="00685ED6" w:rsidRPr="00966886" w:rsidRDefault="00685ED6" w:rsidP="008A5ACA">
            <w:pPr>
              <w:ind w:left="-57"/>
              <w:rPr>
                <w:rFonts w:ascii="Arial Narrow" w:hAnsi="Arial Narrow" w:cs="Open Sans"/>
                <w:color w:val="333333"/>
                <w:sz w:val="18"/>
                <w:szCs w:val="18"/>
              </w:rPr>
            </w:pPr>
          </w:p>
        </w:tc>
      </w:tr>
      <w:tr w:rsidR="00685ED6" w:rsidRPr="00966886" w14:paraId="0E9DA3C6" w14:textId="77777777" w:rsidTr="00F527AB">
        <w:tc>
          <w:tcPr>
            <w:tcW w:w="988" w:type="dxa"/>
          </w:tcPr>
          <w:p w14:paraId="28074419" w14:textId="5FB1E3C4"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9CC3744"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6A7110C7"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An older child </w:t>
            </w:r>
            <w:proofErr w:type="gramStart"/>
            <w:r w:rsidRPr="00966886">
              <w:rPr>
                <w:rFonts w:ascii="Arial Narrow" w:hAnsi="Arial Narrow" w:cs="Open Sans"/>
                <w:color w:val="333333"/>
                <w:sz w:val="18"/>
                <w:szCs w:val="18"/>
              </w:rPr>
              <w:t>is defined</w:t>
            </w:r>
            <w:proofErr w:type="gramEnd"/>
            <w:r w:rsidRPr="00966886">
              <w:rPr>
                <w:rFonts w:ascii="Arial Narrow" w:hAnsi="Arial Narrow" w:cs="Open Sans"/>
                <w:color w:val="333333"/>
                <w:sz w:val="18"/>
                <w:szCs w:val="18"/>
              </w:rPr>
              <w:t xml:space="preserve"> as a male with a chronological age of at least 12 years or a bone age of at least 10 years, or a female with a chronological age of at least 10 years or a bone age of at least 8 years.</w:t>
            </w:r>
          </w:p>
        </w:tc>
      </w:tr>
      <w:tr w:rsidR="00685ED6" w:rsidRPr="00966886" w14:paraId="397BC361" w14:textId="77777777" w:rsidTr="00F527AB">
        <w:trPr>
          <w:trHeight w:val="1890"/>
        </w:trPr>
        <w:tc>
          <w:tcPr>
            <w:tcW w:w="988" w:type="dxa"/>
          </w:tcPr>
          <w:p w14:paraId="63755EA7" w14:textId="467BC074"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8BD19FD"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799AD945"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Applications for authorisation under this treatment phase must </w:t>
            </w:r>
            <w:proofErr w:type="gramStart"/>
            <w:r w:rsidRPr="00966886">
              <w:rPr>
                <w:rFonts w:ascii="Arial Narrow" w:hAnsi="Arial Narrow" w:cs="Open Sans"/>
                <w:color w:val="333333"/>
                <w:sz w:val="18"/>
                <w:szCs w:val="18"/>
              </w:rPr>
              <w:t>be made</w:t>
            </w:r>
            <w:proofErr w:type="gramEnd"/>
            <w:r w:rsidRPr="00966886">
              <w:rPr>
                <w:rFonts w:ascii="Arial Narrow" w:hAnsi="Arial Narrow" w:cs="Open Sans"/>
                <w:color w:val="333333"/>
                <w:sz w:val="18"/>
                <w:szCs w:val="18"/>
              </w:rPr>
              <w:t xml:space="preserve"> via the Online PBS Authorities System (real time assessment) or in writing via HPOS form upload or mail and must include:</w:t>
            </w:r>
          </w:p>
          <w:p w14:paraId="448E2E84"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1. A minimum of 12 months of recent growth data (height and weight measurements) or a minimum of 6 months of recent growth data for an older child. The most recent data must not be more than three months old at the time of application.</w:t>
            </w:r>
          </w:p>
          <w:p w14:paraId="1D9B60F0"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2. A bone age result performed within the last 12 months where the patient has a chronological age greater than 2.5 years.</w:t>
            </w:r>
          </w:p>
          <w:p w14:paraId="6CE288A3"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3. Confirmation of the patient's maturational or constitutional delay status.</w:t>
            </w:r>
          </w:p>
          <w:p w14:paraId="49A0D0EC" w14:textId="77777777" w:rsidR="00685ED6" w:rsidRPr="00966886" w:rsidRDefault="00685ED6" w:rsidP="008A5ACA">
            <w:pPr>
              <w:spacing w:after="240"/>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4. If the patient has maturational or constitutional delay, confirmation that the patient has an estimated mature height below the </w:t>
            </w:r>
            <w:proofErr w:type="gramStart"/>
            <w:r w:rsidRPr="00966886">
              <w:rPr>
                <w:rFonts w:ascii="Arial Narrow" w:hAnsi="Arial Narrow" w:cs="Open Sans"/>
                <w:color w:val="333333"/>
                <w:sz w:val="18"/>
                <w:szCs w:val="18"/>
              </w:rPr>
              <w:t>1</w:t>
            </w:r>
            <w:r w:rsidRPr="00966886">
              <w:rPr>
                <w:rFonts w:ascii="Arial Narrow" w:hAnsi="Arial Narrow" w:cs="Open Sans"/>
                <w:color w:val="333333"/>
                <w:sz w:val="18"/>
                <w:szCs w:val="18"/>
                <w:bdr w:val="none" w:sz="0" w:space="0" w:color="auto" w:frame="1"/>
                <w:vertAlign w:val="superscript"/>
              </w:rPr>
              <w:t>st</w:t>
            </w:r>
            <w:proofErr w:type="gramEnd"/>
            <w:r w:rsidRPr="00966886">
              <w:rPr>
                <w:rFonts w:ascii="Arial Narrow" w:hAnsi="Arial Narrow" w:cs="Open Sans"/>
                <w:color w:val="333333"/>
                <w:sz w:val="18"/>
                <w:szCs w:val="18"/>
              </w:rPr>
              <w:t> adult height percentile.</w:t>
            </w:r>
          </w:p>
        </w:tc>
      </w:tr>
      <w:tr w:rsidR="00685ED6" w:rsidRPr="00966886" w14:paraId="46F2641C" w14:textId="77777777" w:rsidTr="00F527AB">
        <w:tc>
          <w:tcPr>
            <w:tcW w:w="988" w:type="dxa"/>
          </w:tcPr>
          <w:p w14:paraId="52FA6E1E" w14:textId="1492EB5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C5F460B"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1E0F14CD"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If the application </w:t>
            </w:r>
            <w:proofErr w:type="gramStart"/>
            <w:r w:rsidRPr="00966886">
              <w:rPr>
                <w:rFonts w:ascii="Arial Narrow" w:hAnsi="Arial Narrow" w:cs="Open Sans"/>
                <w:color w:val="333333"/>
                <w:sz w:val="18"/>
                <w:szCs w:val="18"/>
              </w:rPr>
              <w:t>is submitted</w:t>
            </w:r>
            <w:proofErr w:type="gramEnd"/>
            <w:r w:rsidRPr="00966886">
              <w:rPr>
                <w:rFonts w:ascii="Arial Narrow" w:hAnsi="Arial Narrow" w:cs="Open Sans"/>
                <w:color w:val="333333"/>
                <w:sz w:val="18"/>
                <w:szCs w:val="18"/>
              </w:rPr>
              <w:t xml:space="preserve"> through HPOS form upload or mail, it must include:</w:t>
            </w:r>
          </w:p>
          <w:p w14:paraId="439DB93D"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(i) A completed authority prescription form; and</w:t>
            </w:r>
          </w:p>
          <w:p w14:paraId="14D83EE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966886" w14:paraId="107ABA22" w14:textId="77777777" w:rsidTr="00F527AB">
        <w:tc>
          <w:tcPr>
            <w:tcW w:w="988" w:type="dxa"/>
          </w:tcPr>
          <w:p w14:paraId="5BF75C7D" w14:textId="635B7A90"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BA40AD7"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1F40B55F"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Prescribe an appropriate amount of drug (maximum quantity in units) outlined within the 'Notes' section of this restriction.</w:t>
            </w:r>
          </w:p>
        </w:tc>
      </w:tr>
      <w:tr w:rsidR="00685ED6" w:rsidRPr="00966886" w14:paraId="429D7DD0" w14:textId="77777777" w:rsidTr="00F527AB">
        <w:tc>
          <w:tcPr>
            <w:tcW w:w="988" w:type="dxa"/>
          </w:tcPr>
          <w:p w14:paraId="6625C32D" w14:textId="4779E038"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1BD9147"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707B3B43"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966886">
              <w:rPr>
                <w:rFonts w:ascii="Arial Narrow" w:hAnsi="Arial Narrow" w:cs="Open Sans"/>
                <w:color w:val="333333"/>
                <w:sz w:val="18"/>
                <w:szCs w:val="18"/>
              </w:rPr>
              <w:t>was written</w:t>
            </w:r>
            <w:proofErr w:type="gramEnd"/>
            <w:r w:rsidRPr="00966886">
              <w:rPr>
                <w:rFonts w:ascii="Arial Narrow" w:hAnsi="Arial Narrow" w:cs="Open Sans"/>
                <w:color w:val="333333"/>
                <w:sz w:val="18"/>
                <w:szCs w:val="18"/>
              </w:rPr>
              <w:t xml:space="preserve"> in compliance with any relevant circumstances and/or purposes. These records must </w:t>
            </w:r>
            <w:proofErr w:type="gramStart"/>
            <w:r w:rsidRPr="00966886">
              <w:rPr>
                <w:rFonts w:ascii="Arial Narrow" w:hAnsi="Arial Narrow" w:cs="Open Sans"/>
                <w:color w:val="333333"/>
                <w:sz w:val="18"/>
                <w:szCs w:val="18"/>
              </w:rPr>
              <w:t>be kept</w:t>
            </w:r>
            <w:proofErr w:type="gramEnd"/>
            <w:r w:rsidRPr="00966886">
              <w:rPr>
                <w:rFonts w:ascii="Arial Narrow" w:hAnsi="Arial Narrow" w:cs="Open Sans"/>
                <w:color w:val="333333"/>
                <w:sz w:val="18"/>
                <w:szCs w:val="18"/>
              </w:rPr>
              <w:t xml:space="preserve"> for 2 years after the date the prescription to which the records relate is written.</w:t>
            </w:r>
          </w:p>
        </w:tc>
      </w:tr>
      <w:tr w:rsidR="00685ED6" w:rsidRPr="00966886" w14:paraId="577B6A36" w14:textId="77777777" w:rsidTr="00F527AB">
        <w:tc>
          <w:tcPr>
            <w:tcW w:w="988" w:type="dxa"/>
          </w:tcPr>
          <w:p w14:paraId="2EF073CC" w14:textId="299BB27D"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9972DC7"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17C40EE0"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966886" w14:paraId="285A8B6D" w14:textId="77777777" w:rsidTr="008A5ACA">
        <w:tc>
          <w:tcPr>
            <w:tcW w:w="9209" w:type="dxa"/>
            <w:gridSpan w:val="2"/>
          </w:tcPr>
          <w:p w14:paraId="34A6745B" w14:textId="77777777" w:rsidR="00685ED6" w:rsidRDefault="00685ED6" w:rsidP="008A5ACA">
            <w:pPr>
              <w:textAlignment w:val="baseline"/>
              <w:rPr>
                <w:rFonts w:ascii="Arial Narrow" w:hAnsi="Arial Narrow" w:cs="Open Sans"/>
                <w:b/>
                <w:bCs/>
                <w:color w:val="333333"/>
                <w:sz w:val="18"/>
                <w:szCs w:val="18"/>
                <w:bdr w:val="none" w:sz="0" w:space="0" w:color="auto" w:frame="1"/>
              </w:rPr>
            </w:pPr>
          </w:p>
          <w:p w14:paraId="70CA9F9F" w14:textId="77777777" w:rsidR="00685ED6" w:rsidRPr="00966886"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966886" w14:paraId="59D65116" w14:textId="77777777" w:rsidTr="008A5ACA">
        <w:tc>
          <w:tcPr>
            <w:tcW w:w="9209" w:type="dxa"/>
            <w:gridSpan w:val="2"/>
          </w:tcPr>
          <w:p w14:paraId="34A3A765"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966886">
              <w:rPr>
                <w:rFonts w:ascii="Arial Narrow" w:hAnsi="Arial Narrow" w:cs="Open Sans"/>
                <w:b/>
                <w:bCs/>
                <w:color w:val="333333"/>
                <w:sz w:val="18"/>
                <w:szCs w:val="18"/>
                <w:bdr w:val="none" w:sz="0" w:space="0" w:color="auto" w:frame="1"/>
              </w:rPr>
              <w:t>Restriction Summary 13281 / ToC: 13304: Authority Required</w:t>
            </w:r>
          </w:p>
          <w:p w14:paraId="05599C85" w14:textId="77777777" w:rsidR="00685ED6" w:rsidRPr="0096688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3792217D" w14:textId="77777777" w:rsidTr="00F527AB">
        <w:tc>
          <w:tcPr>
            <w:tcW w:w="988" w:type="dxa"/>
          </w:tcPr>
          <w:p w14:paraId="0DF1B0BB" w14:textId="551B3FB3"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0C15B374"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Indication:</w:t>
            </w:r>
            <w:r>
              <w:rPr>
                <w:rFonts w:ascii="Arial Narrow" w:hAnsi="Arial Narrow" w:cs="Open Sans"/>
                <w:color w:val="333333"/>
                <w:sz w:val="18"/>
                <w:szCs w:val="18"/>
              </w:rPr>
              <w:t xml:space="preserve"> </w:t>
            </w:r>
            <w:r w:rsidRPr="00966886">
              <w:rPr>
                <w:rFonts w:ascii="Arial Narrow" w:hAnsi="Arial Narrow" w:cs="Open Sans"/>
                <w:color w:val="333333"/>
                <w:sz w:val="18"/>
                <w:szCs w:val="18"/>
              </w:rPr>
              <w:t>Short stature and slow growth</w:t>
            </w:r>
          </w:p>
        </w:tc>
      </w:tr>
      <w:tr w:rsidR="00685ED6" w:rsidRPr="00966886" w14:paraId="66FD9804" w14:textId="77777777" w:rsidTr="008A5ACA">
        <w:tc>
          <w:tcPr>
            <w:tcW w:w="988" w:type="dxa"/>
          </w:tcPr>
          <w:p w14:paraId="7C1B82A9"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46708DD2" w14:textId="77777777" w:rsidR="00685ED6" w:rsidRPr="0096688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5D4B9E1E" w14:textId="77777777" w:rsidTr="00F527AB">
        <w:tc>
          <w:tcPr>
            <w:tcW w:w="988" w:type="dxa"/>
          </w:tcPr>
          <w:p w14:paraId="29BDAC6B"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6C8C4BF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966886">
              <w:rPr>
                <w:rFonts w:ascii="Arial Narrow" w:hAnsi="Arial Narrow" w:cs="Open Sans"/>
                <w:color w:val="333333"/>
                <w:sz w:val="18"/>
                <w:szCs w:val="18"/>
              </w:rPr>
              <w:t>Recommencement of treatment</w:t>
            </w:r>
          </w:p>
        </w:tc>
      </w:tr>
      <w:tr w:rsidR="00685ED6" w:rsidRPr="00966886" w14:paraId="01B6890A" w14:textId="77777777" w:rsidTr="008A5ACA">
        <w:tc>
          <w:tcPr>
            <w:tcW w:w="988" w:type="dxa"/>
          </w:tcPr>
          <w:p w14:paraId="38FDDF1B" w14:textId="77777777" w:rsidR="00685ED6" w:rsidRPr="00966886" w:rsidRDefault="00685ED6" w:rsidP="008A5ACA">
            <w:pPr>
              <w:jc w:val="center"/>
              <w:rPr>
                <w:rFonts w:ascii="Arial Narrow" w:hAnsi="Arial Narrow" w:cs="Open Sans"/>
                <w:color w:val="333333"/>
                <w:sz w:val="18"/>
                <w:szCs w:val="18"/>
              </w:rPr>
            </w:pPr>
          </w:p>
        </w:tc>
        <w:tc>
          <w:tcPr>
            <w:tcW w:w="8221" w:type="dxa"/>
          </w:tcPr>
          <w:p w14:paraId="7E64F276" w14:textId="77777777" w:rsidR="00685ED6" w:rsidRPr="0096688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34A5BE74" w14:textId="77777777" w:rsidTr="00F527AB">
        <w:tc>
          <w:tcPr>
            <w:tcW w:w="988" w:type="dxa"/>
          </w:tcPr>
          <w:p w14:paraId="52B3F4F6" w14:textId="11678B26"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CC96147"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criteria:</w:t>
            </w:r>
          </w:p>
        </w:tc>
      </w:tr>
      <w:tr w:rsidR="00685ED6" w:rsidRPr="00966886" w14:paraId="7103C2C6" w14:textId="77777777" w:rsidTr="00F527AB">
        <w:tc>
          <w:tcPr>
            <w:tcW w:w="988" w:type="dxa"/>
          </w:tcPr>
          <w:p w14:paraId="67A2C87E" w14:textId="4C51F178"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AF26B1A"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undergoing recommencing treatment following a temporary treatment break (</w:t>
            </w:r>
            <w:proofErr w:type="gramStart"/>
            <w:r w:rsidRPr="00966886">
              <w:rPr>
                <w:rFonts w:ascii="Arial Narrow" w:hAnsi="Arial Narrow" w:cs="Open Sans"/>
                <w:color w:val="333333"/>
                <w:sz w:val="18"/>
                <w:szCs w:val="18"/>
              </w:rPr>
              <w:t>i.e.</w:t>
            </w:r>
            <w:proofErr w:type="gramEnd"/>
            <w:r w:rsidRPr="00966886">
              <w:rPr>
                <w:rFonts w:ascii="Arial Narrow" w:hAnsi="Arial Narrow" w:cs="Open Sans"/>
                <w:color w:val="333333"/>
                <w:sz w:val="18"/>
                <w:szCs w:val="18"/>
              </w:rPr>
              <w:t xml:space="preserve"> a lapse) from this drug for the stated indication above - subsidy through this treatment phase must not: (i) initiate treatment, (ii) change the prescribed drug, (iii) reclassify the PBS indication</w:t>
            </w:r>
          </w:p>
        </w:tc>
      </w:tr>
      <w:tr w:rsidR="00685ED6" w:rsidRPr="00966886" w14:paraId="63CFA16C" w14:textId="77777777" w:rsidTr="008A5ACA">
        <w:tc>
          <w:tcPr>
            <w:tcW w:w="988" w:type="dxa"/>
          </w:tcPr>
          <w:p w14:paraId="3854095C"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0AF7E9C3" w14:textId="77777777" w:rsidR="00685ED6" w:rsidRPr="00966886" w:rsidRDefault="00685ED6" w:rsidP="008A5ACA">
            <w:pPr>
              <w:ind w:left="-57"/>
              <w:rPr>
                <w:rFonts w:ascii="Arial Narrow" w:hAnsi="Arial Narrow" w:cs="Open Sans"/>
                <w:color w:val="333333"/>
                <w:sz w:val="18"/>
                <w:szCs w:val="18"/>
              </w:rPr>
            </w:pPr>
          </w:p>
        </w:tc>
      </w:tr>
      <w:tr w:rsidR="00685ED6" w:rsidRPr="00966886" w14:paraId="499CB5C7" w14:textId="77777777" w:rsidTr="00F527AB">
        <w:tc>
          <w:tcPr>
            <w:tcW w:w="988" w:type="dxa"/>
          </w:tcPr>
          <w:p w14:paraId="2F70A64B" w14:textId="7EA95910"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0FA860F8"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7AAC6A5C" w14:textId="77777777" w:rsidTr="00F527AB">
        <w:tc>
          <w:tcPr>
            <w:tcW w:w="988" w:type="dxa"/>
          </w:tcPr>
          <w:p w14:paraId="1BF6692A" w14:textId="41CABE2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72D29E0"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have had a lapse in growth hormone treatment</w:t>
            </w:r>
          </w:p>
        </w:tc>
      </w:tr>
      <w:tr w:rsidR="00685ED6" w:rsidRPr="00966886" w14:paraId="0A96FB50" w14:textId="77777777" w:rsidTr="00F527AB">
        <w:tc>
          <w:tcPr>
            <w:tcW w:w="988" w:type="dxa"/>
          </w:tcPr>
          <w:p w14:paraId="43795285"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205F7EFA"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7A515AE3" w14:textId="77777777" w:rsidTr="00F527AB">
        <w:tc>
          <w:tcPr>
            <w:tcW w:w="988" w:type="dxa"/>
          </w:tcPr>
          <w:p w14:paraId="5D33F245" w14:textId="19EE14C5"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CE2227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1506771F" w14:textId="77777777" w:rsidTr="00F527AB">
        <w:tc>
          <w:tcPr>
            <w:tcW w:w="988" w:type="dxa"/>
          </w:tcPr>
          <w:p w14:paraId="35F0A6C3" w14:textId="5D9F964B"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C3A561D"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The treatment must not be for the purposes of resuming treatment that is known to be non-efficacious for the patient - where an inadequate response has been observed for the most recent supply of this drug, it must have been confounded by at least one of the following: (i) a significant medical illness, (ii) major surgery (e.g. renal transplant), (iii) an adverse reaction to growth hormone, (iv) non-compliance due to social/family problems, (v) a lower than recommended (as specified by this drug</w:t>
            </w:r>
            <w:r>
              <w:rPr>
                <w:rFonts w:ascii="Arial Narrow" w:hAnsi="Arial Narrow" w:cs="Open Sans"/>
                <w:color w:val="333333"/>
                <w:sz w:val="18"/>
                <w:szCs w:val="18"/>
              </w:rPr>
              <w:t>’</w:t>
            </w:r>
            <w:r w:rsidRPr="00966886">
              <w:rPr>
                <w:rFonts w:ascii="Arial Narrow" w:hAnsi="Arial Narrow" w:cs="Open Sans"/>
                <w:color w:val="333333"/>
                <w:sz w:val="18"/>
                <w:szCs w:val="18"/>
              </w:rPr>
              <w:t>s approved Product Information) dose</w:t>
            </w:r>
          </w:p>
        </w:tc>
      </w:tr>
      <w:tr w:rsidR="00685ED6" w:rsidRPr="00966886" w14:paraId="7D53099D" w14:textId="77777777" w:rsidTr="00F527AB">
        <w:tc>
          <w:tcPr>
            <w:tcW w:w="988" w:type="dxa"/>
          </w:tcPr>
          <w:p w14:paraId="341498FC"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153DC248"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6459923E" w14:textId="77777777" w:rsidTr="00F527AB">
        <w:tc>
          <w:tcPr>
            <w:tcW w:w="988" w:type="dxa"/>
          </w:tcPr>
          <w:p w14:paraId="75A4B47B" w14:textId="4E559516"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4AACDAF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054CFB15" w14:textId="77777777" w:rsidTr="00F527AB">
        <w:tc>
          <w:tcPr>
            <w:tcW w:w="988" w:type="dxa"/>
          </w:tcPr>
          <w:p w14:paraId="5B4C442A" w14:textId="44453EAA"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7DFF1D3"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966886" w14:paraId="41633B07" w14:textId="77777777" w:rsidTr="00F527AB">
        <w:tc>
          <w:tcPr>
            <w:tcW w:w="988" w:type="dxa"/>
          </w:tcPr>
          <w:p w14:paraId="7548F66B"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0B226401"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39993C7D" w14:textId="77777777" w:rsidTr="00F527AB">
        <w:tc>
          <w:tcPr>
            <w:tcW w:w="988" w:type="dxa"/>
          </w:tcPr>
          <w:p w14:paraId="16DC4C05" w14:textId="2F81D926"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C5D1271"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66B84D6D" w14:textId="77777777" w:rsidTr="00F527AB">
        <w:tc>
          <w:tcPr>
            <w:tcW w:w="988" w:type="dxa"/>
          </w:tcPr>
          <w:p w14:paraId="46B24D2B" w14:textId="23745508"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41474895"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not have an active tumour or evidence of tumour growth or activity</w:t>
            </w:r>
          </w:p>
        </w:tc>
      </w:tr>
      <w:tr w:rsidR="00685ED6" w:rsidRPr="00966886" w14:paraId="5E5CF254" w14:textId="77777777" w:rsidTr="00F527AB">
        <w:tc>
          <w:tcPr>
            <w:tcW w:w="988" w:type="dxa"/>
          </w:tcPr>
          <w:p w14:paraId="477F2B82"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74B4FD0E"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50D42FA3" w14:textId="77777777" w:rsidTr="00F527AB">
        <w:tc>
          <w:tcPr>
            <w:tcW w:w="988" w:type="dxa"/>
          </w:tcPr>
          <w:p w14:paraId="2EC95E41" w14:textId="40EEDFA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7E31A001"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34057047" w14:textId="77777777" w:rsidTr="00F527AB">
        <w:tc>
          <w:tcPr>
            <w:tcW w:w="988" w:type="dxa"/>
          </w:tcPr>
          <w:p w14:paraId="773461FE" w14:textId="27072260"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FA04F0D"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male and must not have a bone age of 15.5 years or more; or</w:t>
            </w:r>
          </w:p>
        </w:tc>
      </w:tr>
      <w:tr w:rsidR="00685ED6" w:rsidRPr="00966886" w14:paraId="68D1500C" w14:textId="77777777" w:rsidTr="00F527AB">
        <w:tc>
          <w:tcPr>
            <w:tcW w:w="988" w:type="dxa"/>
          </w:tcPr>
          <w:p w14:paraId="4FB1235E" w14:textId="57BE7765"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9A6A33D"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female and must not have a bone age of 13.5 years or more</w:t>
            </w:r>
          </w:p>
        </w:tc>
      </w:tr>
      <w:tr w:rsidR="00685ED6" w:rsidRPr="00966886" w14:paraId="29485DCD" w14:textId="77777777" w:rsidTr="00F527AB">
        <w:tc>
          <w:tcPr>
            <w:tcW w:w="988" w:type="dxa"/>
          </w:tcPr>
          <w:p w14:paraId="40F8C3FC"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22837C68"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7C942D00" w14:textId="77777777" w:rsidTr="00F527AB">
        <w:tc>
          <w:tcPr>
            <w:tcW w:w="988" w:type="dxa"/>
          </w:tcPr>
          <w:p w14:paraId="584347E7" w14:textId="40F73236"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82A5F3B"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2BB36D2C" w14:textId="77777777" w:rsidTr="00F527AB">
        <w:tc>
          <w:tcPr>
            <w:tcW w:w="988" w:type="dxa"/>
          </w:tcPr>
          <w:p w14:paraId="5B8F5FA5" w14:textId="664E1742"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6552684"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male and must not have a height greater than or equal to 167.7cm; or</w:t>
            </w:r>
          </w:p>
        </w:tc>
      </w:tr>
      <w:tr w:rsidR="00685ED6" w:rsidRPr="00966886" w14:paraId="14E70B79" w14:textId="77777777" w:rsidTr="00F527AB">
        <w:tc>
          <w:tcPr>
            <w:tcW w:w="988" w:type="dxa"/>
          </w:tcPr>
          <w:p w14:paraId="1D6FF4F2" w14:textId="5CDF306B"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B14B816"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female and must not have a height greater than or equal to 155.0cm</w:t>
            </w:r>
          </w:p>
        </w:tc>
      </w:tr>
      <w:tr w:rsidR="00685ED6" w:rsidRPr="00966886" w14:paraId="2E15078E" w14:textId="77777777" w:rsidTr="008A5ACA">
        <w:tc>
          <w:tcPr>
            <w:tcW w:w="988" w:type="dxa"/>
          </w:tcPr>
          <w:p w14:paraId="7EAFCE96"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39954216" w14:textId="77777777" w:rsidR="00685ED6" w:rsidRPr="00966886" w:rsidRDefault="00685ED6" w:rsidP="008A5ACA">
            <w:pPr>
              <w:ind w:left="-57"/>
              <w:rPr>
                <w:rFonts w:ascii="Arial Narrow" w:hAnsi="Arial Narrow" w:cs="Open Sans"/>
                <w:color w:val="333333"/>
                <w:sz w:val="18"/>
                <w:szCs w:val="18"/>
              </w:rPr>
            </w:pPr>
          </w:p>
        </w:tc>
      </w:tr>
      <w:tr w:rsidR="00685ED6" w:rsidRPr="00966886" w14:paraId="496EC123" w14:textId="77777777" w:rsidTr="00F527AB">
        <w:tc>
          <w:tcPr>
            <w:tcW w:w="988" w:type="dxa"/>
          </w:tcPr>
          <w:p w14:paraId="77CFA9F3" w14:textId="795152DB"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74B7C789"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criteria:</w:t>
            </w:r>
          </w:p>
        </w:tc>
      </w:tr>
      <w:tr w:rsidR="00685ED6" w:rsidRPr="00966886" w14:paraId="46B8BC18" w14:textId="77777777" w:rsidTr="00F527AB">
        <w:tc>
          <w:tcPr>
            <w:tcW w:w="988" w:type="dxa"/>
          </w:tcPr>
          <w:p w14:paraId="38F44AFC" w14:textId="3FE4A188"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0EED7546"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Must </w:t>
            </w:r>
            <w:proofErr w:type="gramStart"/>
            <w:r w:rsidRPr="00966886">
              <w:rPr>
                <w:rFonts w:ascii="Arial Narrow" w:hAnsi="Arial Narrow" w:cs="Open Sans"/>
                <w:color w:val="333333"/>
                <w:sz w:val="18"/>
                <w:szCs w:val="18"/>
              </w:rPr>
              <w:t>be treated</w:t>
            </w:r>
            <w:proofErr w:type="gramEnd"/>
            <w:r w:rsidRPr="00966886">
              <w:rPr>
                <w:rFonts w:ascii="Arial Narrow" w:hAnsi="Arial Narrow" w:cs="Open Sans"/>
                <w:color w:val="333333"/>
                <w:sz w:val="18"/>
                <w:szCs w:val="18"/>
              </w:rPr>
              <w:t xml:space="preserve"> by a medical practitioner in consultation with a nominated specialist or consultant physician in paediatric endocrinology; or</w:t>
            </w:r>
          </w:p>
        </w:tc>
      </w:tr>
      <w:tr w:rsidR="00685ED6" w:rsidRPr="00966886" w14:paraId="458890B5" w14:textId="77777777" w:rsidTr="00F527AB">
        <w:tc>
          <w:tcPr>
            <w:tcW w:w="988" w:type="dxa"/>
          </w:tcPr>
          <w:p w14:paraId="3814D15E" w14:textId="4115AF8E"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1B0C52A"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Must </w:t>
            </w:r>
            <w:proofErr w:type="gramStart"/>
            <w:r w:rsidRPr="00966886">
              <w:rPr>
                <w:rFonts w:ascii="Arial Narrow" w:hAnsi="Arial Narrow" w:cs="Open Sans"/>
                <w:color w:val="333333"/>
                <w:sz w:val="18"/>
                <w:szCs w:val="18"/>
              </w:rPr>
              <w:t>be treated</w:t>
            </w:r>
            <w:proofErr w:type="gramEnd"/>
            <w:r w:rsidRPr="00966886">
              <w:rPr>
                <w:rFonts w:ascii="Arial Narrow" w:hAnsi="Arial Narrow" w:cs="Open Sans"/>
                <w:color w:val="333333"/>
                <w:sz w:val="18"/>
                <w:szCs w:val="18"/>
              </w:rPr>
              <w:t xml:space="preserve"> by a medical practitioner in consultation with a nominated specialist or consultant physician in general paediatrics</w:t>
            </w:r>
          </w:p>
        </w:tc>
      </w:tr>
      <w:tr w:rsidR="00685ED6" w:rsidRPr="00966886" w14:paraId="54F6FCE8" w14:textId="77777777" w:rsidTr="00F527AB">
        <w:tc>
          <w:tcPr>
            <w:tcW w:w="988" w:type="dxa"/>
          </w:tcPr>
          <w:p w14:paraId="23244F4A"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43029410"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27AB939D" w14:textId="77777777" w:rsidTr="00F527AB">
        <w:tc>
          <w:tcPr>
            <w:tcW w:w="988" w:type="dxa"/>
          </w:tcPr>
          <w:p w14:paraId="22513AFB" w14:textId="77FCA98F"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1507BD6"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criteria:</w:t>
            </w:r>
          </w:p>
        </w:tc>
      </w:tr>
      <w:tr w:rsidR="00685ED6" w:rsidRPr="00966886" w14:paraId="5F6185A7" w14:textId="77777777" w:rsidTr="00F527AB">
        <w:tc>
          <w:tcPr>
            <w:tcW w:w="988" w:type="dxa"/>
          </w:tcPr>
          <w:p w14:paraId="7C4AC3D3" w14:textId="3301BE06"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B477507"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undergoing treatment for the stated indication with only one growth hormone at any given time</w:t>
            </w:r>
          </w:p>
        </w:tc>
      </w:tr>
      <w:tr w:rsidR="00685ED6" w:rsidRPr="00966886" w14:paraId="4E0D626E" w14:textId="77777777" w:rsidTr="008A5ACA">
        <w:tc>
          <w:tcPr>
            <w:tcW w:w="988" w:type="dxa"/>
          </w:tcPr>
          <w:p w14:paraId="3B513807"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35DF2EA6" w14:textId="77777777" w:rsidR="00685ED6" w:rsidRPr="00966886" w:rsidRDefault="00685ED6" w:rsidP="008A5ACA">
            <w:pPr>
              <w:ind w:left="-57"/>
              <w:rPr>
                <w:rFonts w:ascii="Arial Narrow" w:hAnsi="Arial Narrow" w:cs="Open Sans"/>
                <w:color w:val="333333"/>
                <w:sz w:val="18"/>
                <w:szCs w:val="18"/>
              </w:rPr>
            </w:pPr>
          </w:p>
        </w:tc>
      </w:tr>
      <w:tr w:rsidR="00685ED6" w:rsidRPr="00966886" w14:paraId="795EC481" w14:textId="77777777" w:rsidTr="00F527AB">
        <w:tc>
          <w:tcPr>
            <w:tcW w:w="988" w:type="dxa"/>
          </w:tcPr>
          <w:p w14:paraId="2AFEFF5E" w14:textId="64E3B562"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3978B1F"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37C0F329"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Applications for authorisation under this treatment phase must </w:t>
            </w:r>
            <w:proofErr w:type="gramStart"/>
            <w:r w:rsidRPr="00966886">
              <w:rPr>
                <w:rFonts w:ascii="Arial Narrow" w:hAnsi="Arial Narrow" w:cs="Open Sans"/>
                <w:color w:val="333333"/>
                <w:sz w:val="18"/>
                <w:szCs w:val="18"/>
              </w:rPr>
              <w:t>be made</w:t>
            </w:r>
            <w:proofErr w:type="gramEnd"/>
            <w:r w:rsidRPr="00966886">
              <w:rPr>
                <w:rFonts w:ascii="Arial Narrow" w:hAnsi="Arial Narrow" w:cs="Open Sans"/>
                <w:color w:val="333333"/>
                <w:sz w:val="18"/>
                <w:szCs w:val="18"/>
              </w:rPr>
              <w:t xml:space="preserve"> via the Online PBS Authorities System (real time assessment) or in writing via HPOS form upload or mail and must include:</w:t>
            </w:r>
          </w:p>
          <w:p w14:paraId="003D5001"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1. Recent growth data (height and weight, not older than three months).</w:t>
            </w:r>
          </w:p>
          <w:p w14:paraId="4B32DD40"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2. A bone age result performed within the last 12 months where a patient has a chronological age greater than 2.5 years.</w:t>
            </w:r>
          </w:p>
        </w:tc>
      </w:tr>
      <w:tr w:rsidR="00685ED6" w:rsidRPr="00966886" w14:paraId="1E1BCF2B" w14:textId="77777777" w:rsidTr="00F527AB">
        <w:tc>
          <w:tcPr>
            <w:tcW w:w="988" w:type="dxa"/>
          </w:tcPr>
          <w:p w14:paraId="3D2409FB" w14:textId="0EB25C34"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A9FAD1D"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4AC0FD96"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If the application </w:t>
            </w:r>
            <w:proofErr w:type="gramStart"/>
            <w:r w:rsidRPr="00966886">
              <w:rPr>
                <w:rFonts w:ascii="Arial Narrow" w:hAnsi="Arial Narrow" w:cs="Open Sans"/>
                <w:color w:val="333333"/>
                <w:sz w:val="18"/>
                <w:szCs w:val="18"/>
              </w:rPr>
              <w:t>is submitted</w:t>
            </w:r>
            <w:proofErr w:type="gramEnd"/>
            <w:r w:rsidRPr="00966886">
              <w:rPr>
                <w:rFonts w:ascii="Arial Narrow" w:hAnsi="Arial Narrow" w:cs="Open Sans"/>
                <w:color w:val="333333"/>
                <w:sz w:val="18"/>
                <w:szCs w:val="18"/>
              </w:rPr>
              <w:t xml:space="preserve"> through HPOS form upload or mail, it must include:</w:t>
            </w:r>
          </w:p>
          <w:p w14:paraId="68CD4B57"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(i) A completed authority prescription form; and</w:t>
            </w:r>
          </w:p>
          <w:p w14:paraId="26D03F5E"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966886" w14:paraId="2B04726E" w14:textId="77777777" w:rsidTr="00F527AB">
        <w:tc>
          <w:tcPr>
            <w:tcW w:w="988" w:type="dxa"/>
          </w:tcPr>
          <w:p w14:paraId="2BE76C2E" w14:textId="6B87E412"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82DE618"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43E10833"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Prescribe an appropriate amount of drug (maximum quantity in units) outlined within the 'Notes' section of this restriction.</w:t>
            </w:r>
          </w:p>
        </w:tc>
      </w:tr>
      <w:tr w:rsidR="00685ED6" w:rsidRPr="00966886" w14:paraId="65D2B5E9" w14:textId="77777777" w:rsidTr="00F527AB">
        <w:tc>
          <w:tcPr>
            <w:tcW w:w="988" w:type="dxa"/>
          </w:tcPr>
          <w:p w14:paraId="6C46EB13" w14:textId="574574AF"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77B51C14"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7A0325EC"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966886">
              <w:rPr>
                <w:rFonts w:ascii="Arial Narrow" w:hAnsi="Arial Narrow" w:cs="Open Sans"/>
                <w:color w:val="333333"/>
                <w:sz w:val="18"/>
                <w:szCs w:val="18"/>
              </w:rPr>
              <w:t>was written</w:t>
            </w:r>
            <w:proofErr w:type="gramEnd"/>
            <w:r w:rsidRPr="00966886">
              <w:rPr>
                <w:rFonts w:ascii="Arial Narrow" w:hAnsi="Arial Narrow" w:cs="Open Sans"/>
                <w:color w:val="333333"/>
                <w:sz w:val="18"/>
                <w:szCs w:val="18"/>
              </w:rPr>
              <w:t xml:space="preserve"> in compliance with any relevant circumstances and/or purposes. These records must </w:t>
            </w:r>
            <w:proofErr w:type="gramStart"/>
            <w:r w:rsidRPr="00966886">
              <w:rPr>
                <w:rFonts w:ascii="Arial Narrow" w:hAnsi="Arial Narrow" w:cs="Open Sans"/>
                <w:color w:val="333333"/>
                <w:sz w:val="18"/>
                <w:szCs w:val="18"/>
              </w:rPr>
              <w:t>be kept</w:t>
            </w:r>
            <w:proofErr w:type="gramEnd"/>
            <w:r w:rsidRPr="00966886">
              <w:rPr>
                <w:rFonts w:ascii="Arial Narrow" w:hAnsi="Arial Narrow" w:cs="Open Sans"/>
                <w:color w:val="333333"/>
                <w:sz w:val="18"/>
                <w:szCs w:val="18"/>
              </w:rPr>
              <w:t xml:space="preserve"> for 2 years after the date the prescription to which the records relate is written.</w:t>
            </w:r>
          </w:p>
        </w:tc>
      </w:tr>
      <w:tr w:rsidR="00685ED6" w:rsidRPr="00966886" w14:paraId="19D355F6" w14:textId="77777777" w:rsidTr="00F527AB">
        <w:tc>
          <w:tcPr>
            <w:tcW w:w="988" w:type="dxa"/>
          </w:tcPr>
          <w:p w14:paraId="2054EFB4" w14:textId="1E9A3804"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757C8C74"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46252398"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966886" w14:paraId="601DE637" w14:textId="77777777" w:rsidTr="008A5ACA">
        <w:tc>
          <w:tcPr>
            <w:tcW w:w="988" w:type="dxa"/>
          </w:tcPr>
          <w:p w14:paraId="5B958CBE" w14:textId="77777777" w:rsidR="00685ED6" w:rsidRDefault="00685ED6" w:rsidP="008A5ACA">
            <w:pPr>
              <w:jc w:val="center"/>
              <w:textAlignment w:val="baseline"/>
              <w:rPr>
                <w:rFonts w:ascii="Arial Narrow" w:hAnsi="Arial Narrow" w:cs="Open Sans"/>
                <w:color w:val="333333"/>
                <w:sz w:val="18"/>
                <w:szCs w:val="18"/>
              </w:rPr>
            </w:pPr>
          </w:p>
        </w:tc>
        <w:tc>
          <w:tcPr>
            <w:tcW w:w="8221" w:type="dxa"/>
          </w:tcPr>
          <w:p w14:paraId="13452EB7" w14:textId="77777777" w:rsidR="00685ED6" w:rsidRPr="0096688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1EDC7F4D" w14:textId="77777777" w:rsidTr="00F527AB">
        <w:tc>
          <w:tcPr>
            <w:tcW w:w="988" w:type="dxa"/>
          </w:tcPr>
          <w:p w14:paraId="38B22D83" w14:textId="1D63AE26"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688CD8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Administrative Advice:</w:t>
            </w:r>
          </w:p>
          <w:p w14:paraId="6941DD87"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If recommencement of treatment </w:t>
            </w:r>
            <w:proofErr w:type="gramStart"/>
            <w:r w:rsidRPr="00966886">
              <w:rPr>
                <w:rFonts w:ascii="Arial Narrow" w:hAnsi="Arial Narrow" w:cs="Open Sans"/>
                <w:color w:val="333333"/>
                <w:sz w:val="18"/>
                <w:szCs w:val="18"/>
              </w:rPr>
              <w:t>is sought</w:t>
            </w:r>
            <w:proofErr w:type="gramEnd"/>
            <w:r w:rsidRPr="00966886">
              <w:rPr>
                <w:rFonts w:ascii="Arial Narrow" w:hAnsi="Arial Narrow" w:cs="Open Sans"/>
                <w:color w:val="333333"/>
                <w:sz w:val="18"/>
                <w:szCs w:val="18"/>
              </w:rPr>
              <w:t xml:space="preserve"> under a different indication than that under which the patient was previously receiving treatment an application for</w:t>
            </w:r>
            <w:r w:rsidRPr="00966886">
              <w:rPr>
                <w:rFonts w:ascii="Arial Narrow" w:hAnsi="Arial Narrow" w:cs="Open Sans"/>
                <w:i/>
                <w:iCs/>
                <w:color w:val="333333"/>
                <w:sz w:val="18"/>
                <w:szCs w:val="18"/>
                <w:bdr w:val="none" w:sz="0" w:space="0" w:color="auto" w:frame="1"/>
              </w:rPr>
              <w:t> recommencement of treatment as a reclassified patient </w:t>
            </w:r>
            <w:r w:rsidRPr="00966886">
              <w:rPr>
                <w:rFonts w:ascii="Arial Narrow" w:hAnsi="Arial Narrow" w:cs="Open Sans"/>
                <w:color w:val="333333"/>
                <w:sz w:val="18"/>
                <w:szCs w:val="18"/>
              </w:rPr>
              <w:t>should be submitted</w:t>
            </w:r>
            <w:r w:rsidRPr="00966886">
              <w:rPr>
                <w:rFonts w:ascii="Arial Narrow" w:hAnsi="Arial Narrow" w:cs="Open Sans"/>
                <w:i/>
                <w:iCs/>
                <w:color w:val="333333"/>
                <w:sz w:val="18"/>
                <w:szCs w:val="18"/>
                <w:bdr w:val="none" w:sz="0" w:space="0" w:color="auto" w:frame="1"/>
              </w:rPr>
              <w:t>.</w:t>
            </w:r>
          </w:p>
        </w:tc>
      </w:tr>
      <w:tr w:rsidR="00685ED6" w:rsidRPr="00966886" w14:paraId="520D5B72" w14:textId="77777777" w:rsidTr="008A5ACA">
        <w:tc>
          <w:tcPr>
            <w:tcW w:w="9209" w:type="dxa"/>
            <w:gridSpan w:val="2"/>
          </w:tcPr>
          <w:p w14:paraId="0C0C7F19" w14:textId="77777777" w:rsidR="00685ED6" w:rsidRDefault="00685ED6" w:rsidP="008A5ACA">
            <w:pPr>
              <w:textAlignment w:val="baseline"/>
              <w:rPr>
                <w:rFonts w:ascii="Arial Narrow" w:hAnsi="Arial Narrow" w:cs="Open Sans"/>
                <w:b/>
                <w:bCs/>
                <w:color w:val="333333"/>
                <w:sz w:val="18"/>
                <w:szCs w:val="18"/>
                <w:bdr w:val="none" w:sz="0" w:space="0" w:color="auto" w:frame="1"/>
              </w:rPr>
            </w:pPr>
          </w:p>
          <w:p w14:paraId="5674988E" w14:textId="77777777" w:rsidR="00685ED6" w:rsidRPr="00966886"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966886" w14:paraId="08309835" w14:textId="77777777" w:rsidTr="008A5ACA">
        <w:tc>
          <w:tcPr>
            <w:tcW w:w="9209" w:type="dxa"/>
            <w:gridSpan w:val="2"/>
          </w:tcPr>
          <w:p w14:paraId="657A18C7"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966886">
              <w:rPr>
                <w:rFonts w:ascii="Arial Narrow" w:hAnsi="Arial Narrow" w:cs="Open Sans"/>
                <w:b/>
                <w:bCs/>
                <w:color w:val="333333"/>
                <w:sz w:val="18"/>
                <w:szCs w:val="18"/>
                <w:bdr w:val="none" w:sz="0" w:space="0" w:color="auto" w:frame="1"/>
              </w:rPr>
              <w:t>Restriction Summary 13283 / ToC: 13282: Authority Required</w:t>
            </w:r>
          </w:p>
          <w:p w14:paraId="18156782" w14:textId="77777777" w:rsidR="00685ED6" w:rsidRPr="0096688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549A980F" w14:textId="77777777" w:rsidTr="00F527AB">
        <w:tc>
          <w:tcPr>
            <w:tcW w:w="988" w:type="dxa"/>
          </w:tcPr>
          <w:p w14:paraId="4B4BE2A6" w14:textId="141CA03B"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942D964"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Indication:</w:t>
            </w:r>
            <w:r>
              <w:rPr>
                <w:rFonts w:ascii="Arial Narrow" w:hAnsi="Arial Narrow" w:cs="Open Sans"/>
                <w:color w:val="333333"/>
                <w:sz w:val="18"/>
                <w:szCs w:val="18"/>
              </w:rPr>
              <w:t xml:space="preserve"> </w:t>
            </w:r>
            <w:r w:rsidRPr="00966886">
              <w:rPr>
                <w:rFonts w:ascii="Arial Narrow" w:hAnsi="Arial Narrow" w:cs="Open Sans"/>
                <w:color w:val="333333"/>
                <w:sz w:val="18"/>
                <w:szCs w:val="18"/>
              </w:rPr>
              <w:t>Short stature and slow growth</w:t>
            </w:r>
          </w:p>
        </w:tc>
      </w:tr>
      <w:tr w:rsidR="00685ED6" w:rsidRPr="00966886" w14:paraId="225947BD" w14:textId="77777777" w:rsidTr="008A5ACA">
        <w:tc>
          <w:tcPr>
            <w:tcW w:w="988" w:type="dxa"/>
          </w:tcPr>
          <w:p w14:paraId="49C86345"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27953685" w14:textId="77777777" w:rsidR="00685ED6" w:rsidRPr="0096688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31AC480F" w14:textId="77777777" w:rsidTr="00F527AB">
        <w:tc>
          <w:tcPr>
            <w:tcW w:w="988" w:type="dxa"/>
          </w:tcPr>
          <w:p w14:paraId="5621D2B5"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6A9D5AAB"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966886">
              <w:rPr>
                <w:rFonts w:ascii="Arial Narrow" w:hAnsi="Arial Narrow" w:cs="Open Sans"/>
                <w:color w:val="333333"/>
                <w:sz w:val="18"/>
                <w:szCs w:val="18"/>
              </w:rPr>
              <w:t>Recommencement of treatment as a reclassified patient</w:t>
            </w:r>
          </w:p>
        </w:tc>
      </w:tr>
      <w:tr w:rsidR="00685ED6" w:rsidRPr="00966886" w14:paraId="696DC371" w14:textId="77777777" w:rsidTr="008A5ACA">
        <w:tc>
          <w:tcPr>
            <w:tcW w:w="988" w:type="dxa"/>
          </w:tcPr>
          <w:p w14:paraId="39553D8B" w14:textId="77777777" w:rsidR="00685ED6" w:rsidRPr="00966886" w:rsidRDefault="00685ED6" w:rsidP="008A5ACA">
            <w:pPr>
              <w:jc w:val="center"/>
              <w:rPr>
                <w:rFonts w:ascii="Arial Narrow" w:hAnsi="Arial Narrow" w:cs="Open Sans"/>
                <w:color w:val="333333"/>
                <w:sz w:val="18"/>
                <w:szCs w:val="18"/>
              </w:rPr>
            </w:pPr>
          </w:p>
        </w:tc>
        <w:tc>
          <w:tcPr>
            <w:tcW w:w="8221" w:type="dxa"/>
          </w:tcPr>
          <w:p w14:paraId="1626CC06" w14:textId="77777777" w:rsidR="00685ED6" w:rsidRPr="00966886"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966886" w14:paraId="138EAD32" w14:textId="77777777" w:rsidTr="00F527AB">
        <w:tc>
          <w:tcPr>
            <w:tcW w:w="988" w:type="dxa"/>
          </w:tcPr>
          <w:p w14:paraId="32EFA7E9" w14:textId="293BA24B"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F0951A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criteria:</w:t>
            </w:r>
          </w:p>
        </w:tc>
      </w:tr>
      <w:tr w:rsidR="00685ED6" w:rsidRPr="00966886" w14:paraId="52546212" w14:textId="77777777" w:rsidTr="00F527AB">
        <w:tc>
          <w:tcPr>
            <w:tcW w:w="988" w:type="dxa"/>
          </w:tcPr>
          <w:p w14:paraId="639700BF" w14:textId="6FCDED30"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3049852"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undergoing treatment that is simultaneously: (a) recommencing treatment following a temporary break in treatment (i.e. a lapse), plus (b) reclassifying the PBS indication whilst continuing with the same growth hormone; subsidy through this treatment phase must not: (i) initiate treatment, (ii) change the prescribed drug, (iii) reclassify the PBS indication where the most recent authority approval was for a different growth hormone</w:t>
            </w:r>
          </w:p>
        </w:tc>
      </w:tr>
      <w:tr w:rsidR="00685ED6" w:rsidRPr="00966886" w14:paraId="06BEBF30" w14:textId="77777777" w:rsidTr="008A5ACA">
        <w:tc>
          <w:tcPr>
            <w:tcW w:w="988" w:type="dxa"/>
          </w:tcPr>
          <w:p w14:paraId="0A43360B"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4F7CEDE1" w14:textId="77777777" w:rsidR="00685ED6" w:rsidRPr="00966886" w:rsidRDefault="00685ED6" w:rsidP="008A5ACA">
            <w:pPr>
              <w:ind w:left="-57"/>
              <w:rPr>
                <w:rFonts w:ascii="Arial Narrow" w:hAnsi="Arial Narrow" w:cs="Open Sans"/>
                <w:color w:val="333333"/>
                <w:sz w:val="18"/>
                <w:szCs w:val="18"/>
              </w:rPr>
            </w:pPr>
          </w:p>
        </w:tc>
      </w:tr>
      <w:tr w:rsidR="00685ED6" w:rsidRPr="00966886" w14:paraId="00205841" w14:textId="77777777" w:rsidTr="00F527AB">
        <w:tc>
          <w:tcPr>
            <w:tcW w:w="988" w:type="dxa"/>
          </w:tcPr>
          <w:p w14:paraId="5EB93DDF" w14:textId="4A113164"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03877F03"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053869A4" w14:textId="77777777" w:rsidTr="00F527AB">
        <w:tc>
          <w:tcPr>
            <w:tcW w:w="988" w:type="dxa"/>
          </w:tcPr>
          <w:p w14:paraId="73E677FF" w14:textId="10A092FC"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B966F4A"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have had a lapse in growth hormone treatment</w:t>
            </w:r>
          </w:p>
        </w:tc>
      </w:tr>
      <w:tr w:rsidR="00685ED6" w:rsidRPr="00966886" w14:paraId="55C706B4" w14:textId="77777777" w:rsidTr="00F527AB">
        <w:tc>
          <w:tcPr>
            <w:tcW w:w="988" w:type="dxa"/>
          </w:tcPr>
          <w:p w14:paraId="60396083"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14387AAD"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0FDF0661" w14:textId="77777777" w:rsidTr="00F527AB">
        <w:tc>
          <w:tcPr>
            <w:tcW w:w="988" w:type="dxa"/>
          </w:tcPr>
          <w:p w14:paraId="4F5908A6" w14:textId="7B33963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5AD994E"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004F4C84" w14:textId="77777777" w:rsidTr="00F527AB">
        <w:tc>
          <w:tcPr>
            <w:tcW w:w="988" w:type="dxa"/>
          </w:tcPr>
          <w:p w14:paraId="7A045DD3" w14:textId="05171042"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4905666"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The treatment must not be for the purposes of continuing treatment that is known to be non-efficacious for the patient - where an inadequate response has been observed for the most recent supply of this drug, it must have been confounded by at least one of the following: (i) a significant medical illness, (ii) major surgery (e.g. renal transplant), (iii) an adverse reaction to growth hormone, (iv) non-compliance due to social/family problems, (v) a lower than recommended (as specified by this drug</w:t>
            </w:r>
            <w:r>
              <w:rPr>
                <w:rFonts w:ascii="Arial Narrow" w:hAnsi="Arial Narrow" w:cs="Open Sans"/>
                <w:color w:val="333333"/>
                <w:sz w:val="18"/>
                <w:szCs w:val="18"/>
              </w:rPr>
              <w:t>’</w:t>
            </w:r>
            <w:r w:rsidRPr="00966886">
              <w:rPr>
                <w:rFonts w:ascii="Arial Narrow" w:hAnsi="Arial Narrow" w:cs="Open Sans"/>
                <w:color w:val="333333"/>
                <w:sz w:val="18"/>
                <w:szCs w:val="18"/>
              </w:rPr>
              <w:t>s approved Product Information) dose</w:t>
            </w:r>
          </w:p>
        </w:tc>
      </w:tr>
      <w:tr w:rsidR="00685ED6" w:rsidRPr="00966886" w14:paraId="7316DF61" w14:textId="77777777" w:rsidTr="00F527AB">
        <w:tc>
          <w:tcPr>
            <w:tcW w:w="988" w:type="dxa"/>
          </w:tcPr>
          <w:p w14:paraId="7D372609"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47BB2F6A"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3BC2DBBB" w14:textId="77777777" w:rsidTr="00F527AB">
        <w:tc>
          <w:tcPr>
            <w:tcW w:w="988" w:type="dxa"/>
          </w:tcPr>
          <w:p w14:paraId="4F847F54" w14:textId="60D757B7"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915935B"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7A1B38FD" w14:textId="77777777" w:rsidTr="00F527AB">
        <w:tc>
          <w:tcPr>
            <w:tcW w:w="988" w:type="dxa"/>
          </w:tcPr>
          <w:p w14:paraId="3D746E53" w14:textId="404CF9F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6B93461"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Patient must have had a height no higher than the </w:t>
            </w:r>
            <w:proofErr w:type="gramStart"/>
            <w:r w:rsidRPr="00966886">
              <w:rPr>
                <w:rFonts w:ascii="Arial Narrow" w:hAnsi="Arial Narrow" w:cs="Open Sans"/>
                <w:color w:val="333333"/>
                <w:sz w:val="18"/>
                <w:szCs w:val="18"/>
              </w:rPr>
              <w:t>1st</w:t>
            </w:r>
            <w:proofErr w:type="gramEnd"/>
            <w:r w:rsidRPr="00966886">
              <w:rPr>
                <w:rFonts w:ascii="Arial Narrow" w:hAnsi="Arial Narrow" w:cs="Open Sans"/>
                <w:color w:val="333333"/>
                <w:sz w:val="18"/>
                <w:szCs w:val="18"/>
              </w:rPr>
              <w:t xml:space="preserve"> percentile for age plus sex at the time treatment first commenced</w:t>
            </w:r>
          </w:p>
        </w:tc>
      </w:tr>
      <w:tr w:rsidR="00685ED6" w:rsidRPr="00966886" w14:paraId="21B4189E" w14:textId="77777777" w:rsidTr="00F527AB">
        <w:tc>
          <w:tcPr>
            <w:tcW w:w="988" w:type="dxa"/>
          </w:tcPr>
          <w:p w14:paraId="01663441"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48EF5C48"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31BB142C" w14:textId="77777777" w:rsidTr="00F527AB">
        <w:tc>
          <w:tcPr>
            <w:tcW w:w="988" w:type="dxa"/>
          </w:tcPr>
          <w:p w14:paraId="152117E7" w14:textId="641E8DE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19EBCBB"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565316BF" w14:textId="77777777" w:rsidTr="00F527AB">
        <w:tc>
          <w:tcPr>
            <w:tcW w:w="988" w:type="dxa"/>
          </w:tcPr>
          <w:p w14:paraId="7101A556" w14:textId="0337164A"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730CDC6"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Patient must have had a growth velocity below the 25th percentile for bone age plus sex measured over a </w:t>
            </w:r>
            <w:proofErr w:type="gramStart"/>
            <w:r w:rsidRPr="00966886">
              <w:rPr>
                <w:rFonts w:ascii="Arial Narrow" w:hAnsi="Arial Narrow" w:cs="Open Sans"/>
                <w:color w:val="333333"/>
                <w:sz w:val="18"/>
                <w:szCs w:val="18"/>
              </w:rPr>
              <w:t>12 month</w:t>
            </w:r>
            <w:proofErr w:type="gramEnd"/>
            <w:r w:rsidRPr="00966886">
              <w:rPr>
                <w:rFonts w:ascii="Arial Narrow" w:hAnsi="Arial Narrow" w:cs="Open Sans"/>
                <w:color w:val="333333"/>
                <w:sz w:val="18"/>
                <w:szCs w:val="18"/>
              </w:rPr>
              <w:t xml:space="preserve"> interval (or a 6 month interval for an older child) prior to having commenced treatment; or</w:t>
            </w:r>
          </w:p>
        </w:tc>
      </w:tr>
      <w:tr w:rsidR="00685ED6" w:rsidRPr="00966886" w14:paraId="34995E56" w14:textId="77777777" w:rsidTr="00F527AB">
        <w:tc>
          <w:tcPr>
            <w:tcW w:w="988" w:type="dxa"/>
          </w:tcPr>
          <w:p w14:paraId="4C9C73DB" w14:textId="735EC4E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9156390"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have had an annual growth velocity of no higher than 8 cm per year where the patient had either a bone/chronological age no higher than 2.5 years prior to having commenced treatment</w:t>
            </w:r>
          </w:p>
        </w:tc>
      </w:tr>
      <w:tr w:rsidR="00685ED6" w:rsidRPr="00966886" w14:paraId="3B372B10" w14:textId="77777777" w:rsidTr="00F527AB">
        <w:tc>
          <w:tcPr>
            <w:tcW w:w="988" w:type="dxa"/>
          </w:tcPr>
          <w:p w14:paraId="7AC4C69B"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6A041F71"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5878EB67" w14:textId="77777777" w:rsidTr="00F527AB">
        <w:tc>
          <w:tcPr>
            <w:tcW w:w="988" w:type="dxa"/>
          </w:tcPr>
          <w:p w14:paraId="4E7BC5B3" w14:textId="15B5090C"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7D5C4967"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0D08B1C5" w14:textId="77777777" w:rsidTr="00F527AB">
        <w:tc>
          <w:tcPr>
            <w:tcW w:w="988" w:type="dxa"/>
          </w:tcPr>
          <w:p w14:paraId="31EBB958" w14:textId="5D28D937"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B32202A"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966886" w14:paraId="3E06C8C6" w14:textId="77777777" w:rsidTr="00F527AB">
        <w:tc>
          <w:tcPr>
            <w:tcW w:w="988" w:type="dxa"/>
          </w:tcPr>
          <w:p w14:paraId="2198831F"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72EB0AB5"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3572C39F" w14:textId="77777777" w:rsidTr="00F527AB">
        <w:tc>
          <w:tcPr>
            <w:tcW w:w="988" w:type="dxa"/>
          </w:tcPr>
          <w:p w14:paraId="25513A0F" w14:textId="0321F43E"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82D1B08"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0988DD0B" w14:textId="77777777" w:rsidTr="00F527AB">
        <w:tc>
          <w:tcPr>
            <w:tcW w:w="988" w:type="dxa"/>
          </w:tcPr>
          <w:p w14:paraId="0EC769B4" w14:textId="48A39928"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32EE80C"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not have an active tumour or evidence of tumour growth or activity</w:t>
            </w:r>
          </w:p>
        </w:tc>
      </w:tr>
      <w:tr w:rsidR="00685ED6" w:rsidRPr="00966886" w14:paraId="44B6FC2A" w14:textId="77777777" w:rsidTr="00F527AB">
        <w:tc>
          <w:tcPr>
            <w:tcW w:w="988" w:type="dxa"/>
          </w:tcPr>
          <w:p w14:paraId="6294A9D0"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7C4380F4"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14F141C0" w14:textId="77777777" w:rsidTr="00F527AB">
        <w:tc>
          <w:tcPr>
            <w:tcW w:w="988" w:type="dxa"/>
          </w:tcPr>
          <w:p w14:paraId="3AF4A3E9" w14:textId="47377AEF"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640F484"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15A2459E" w14:textId="77777777" w:rsidTr="00F527AB">
        <w:tc>
          <w:tcPr>
            <w:tcW w:w="988" w:type="dxa"/>
          </w:tcPr>
          <w:p w14:paraId="06741568" w14:textId="367406C8"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E65E22B"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Patient must be male and must not have a height greater than or equal to 167.7 </w:t>
            </w:r>
            <w:proofErr w:type="gramStart"/>
            <w:r w:rsidRPr="00966886">
              <w:rPr>
                <w:rFonts w:ascii="Arial Narrow" w:hAnsi="Arial Narrow" w:cs="Open Sans"/>
                <w:color w:val="333333"/>
                <w:sz w:val="18"/>
                <w:szCs w:val="18"/>
              </w:rPr>
              <w:t>cm;</w:t>
            </w:r>
            <w:proofErr w:type="gramEnd"/>
            <w:r w:rsidRPr="00966886">
              <w:rPr>
                <w:rFonts w:ascii="Arial Narrow" w:hAnsi="Arial Narrow" w:cs="Open Sans"/>
                <w:color w:val="333333"/>
                <w:sz w:val="18"/>
                <w:szCs w:val="18"/>
              </w:rPr>
              <w:t xml:space="preserve"> or</w:t>
            </w:r>
          </w:p>
        </w:tc>
      </w:tr>
      <w:tr w:rsidR="00685ED6" w:rsidRPr="00966886" w14:paraId="502E40BA" w14:textId="77777777" w:rsidTr="00F527AB">
        <w:tc>
          <w:tcPr>
            <w:tcW w:w="988" w:type="dxa"/>
          </w:tcPr>
          <w:p w14:paraId="0D558882" w14:textId="1C34E5F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56288FE"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female and must not have a height greater than or equal to 155.0 cm</w:t>
            </w:r>
          </w:p>
        </w:tc>
      </w:tr>
      <w:tr w:rsidR="00685ED6" w:rsidRPr="00966886" w14:paraId="23F9CF20" w14:textId="77777777" w:rsidTr="00F527AB">
        <w:tc>
          <w:tcPr>
            <w:tcW w:w="988" w:type="dxa"/>
          </w:tcPr>
          <w:p w14:paraId="19761237"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61A57802"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5D53793E" w14:textId="77777777" w:rsidTr="00F527AB">
        <w:tc>
          <w:tcPr>
            <w:tcW w:w="988" w:type="dxa"/>
          </w:tcPr>
          <w:p w14:paraId="418BD5C4" w14:textId="34674797"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C94A38F"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Clinical criteria:</w:t>
            </w:r>
          </w:p>
        </w:tc>
      </w:tr>
      <w:tr w:rsidR="00685ED6" w:rsidRPr="00966886" w14:paraId="684B568A" w14:textId="77777777" w:rsidTr="00F527AB">
        <w:tc>
          <w:tcPr>
            <w:tcW w:w="988" w:type="dxa"/>
          </w:tcPr>
          <w:p w14:paraId="665F269F" w14:textId="7932464A"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B599F90"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male and must not have a bone age of 15.5 years or more; or</w:t>
            </w:r>
          </w:p>
        </w:tc>
      </w:tr>
      <w:tr w:rsidR="00685ED6" w:rsidRPr="00966886" w14:paraId="3F7DD253" w14:textId="77777777" w:rsidTr="00F527AB">
        <w:tc>
          <w:tcPr>
            <w:tcW w:w="988" w:type="dxa"/>
          </w:tcPr>
          <w:p w14:paraId="2D43D675" w14:textId="18BF8E4E"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E8716AE"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female and must not have a bone age of 13.5 years or more</w:t>
            </w:r>
          </w:p>
        </w:tc>
      </w:tr>
      <w:tr w:rsidR="00685ED6" w:rsidRPr="00966886" w14:paraId="0A9C97F2" w14:textId="77777777" w:rsidTr="008A5ACA">
        <w:tc>
          <w:tcPr>
            <w:tcW w:w="988" w:type="dxa"/>
          </w:tcPr>
          <w:p w14:paraId="58FA8E12"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1F29332A" w14:textId="77777777" w:rsidR="00685ED6" w:rsidRPr="00966886" w:rsidRDefault="00685ED6" w:rsidP="008A5ACA">
            <w:pPr>
              <w:ind w:left="-57"/>
              <w:rPr>
                <w:rFonts w:ascii="Arial Narrow" w:hAnsi="Arial Narrow" w:cs="Open Sans"/>
                <w:color w:val="333333"/>
                <w:sz w:val="18"/>
                <w:szCs w:val="18"/>
              </w:rPr>
            </w:pPr>
          </w:p>
        </w:tc>
      </w:tr>
      <w:tr w:rsidR="00685ED6" w:rsidRPr="00966886" w14:paraId="7F1AD98A" w14:textId="77777777" w:rsidTr="00F527AB">
        <w:tc>
          <w:tcPr>
            <w:tcW w:w="988" w:type="dxa"/>
          </w:tcPr>
          <w:p w14:paraId="347DCF8B" w14:textId="07C2FEE9"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98FDCE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criteria:</w:t>
            </w:r>
          </w:p>
        </w:tc>
      </w:tr>
      <w:tr w:rsidR="00685ED6" w:rsidRPr="00966886" w14:paraId="0128FCE2" w14:textId="77777777" w:rsidTr="00F527AB">
        <w:tc>
          <w:tcPr>
            <w:tcW w:w="988" w:type="dxa"/>
          </w:tcPr>
          <w:p w14:paraId="44188FD9" w14:textId="5EB9E970"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7D535677"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Must </w:t>
            </w:r>
            <w:proofErr w:type="gramStart"/>
            <w:r w:rsidRPr="00966886">
              <w:rPr>
                <w:rFonts w:ascii="Arial Narrow" w:hAnsi="Arial Narrow" w:cs="Open Sans"/>
                <w:color w:val="333333"/>
                <w:sz w:val="18"/>
                <w:szCs w:val="18"/>
              </w:rPr>
              <w:t>be treated</w:t>
            </w:r>
            <w:proofErr w:type="gramEnd"/>
            <w:r w:rsidRPr="00966886">
              <w:rPr>
                <w:rFonts w:ascii="Arial Narrow" w:hAnsi="Arial Narrow" w:cs="Open Sans"/>
                <w:color w:val="333333"/>
                <w:sz w:val="18"/>
                <w:szCs w:val="18"/>
              </w:rPr>
              <w:t xml:space="preserve"> by a medical practitioner in consultation with a nominated specialist or consultant physician in paediatric endocrinology; or</w:t>
            </w:r>
          </w:p>
        </w:tc>
      </w:tr>
      <w:tr w:rsidR="00685ED6" w:rsidRPr="00966886" w14:paraId="2778E705" w14:textId="77777777" w:rsidTr="00F527AB">
        <w:tc>
          <w:tcPr>
            <w:tcW w:w="988" w:type="dxa"/>
          </w:tcPr>
          <w:p w14:paraId="1C7A2213" w14:textId="1D3D61C1"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47A00AF"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 xml:space="preserve">Must </w:t>
            </w:r>
            <w:proofErr w:type="gramStart"/>
            <w:r w:rsidRPr="00966886">
              <w:rPr>
                <w:rFonts w:ascii="Arial Narrow" w:hAnsi="Arial Narrow" w:cs="Open Sans"/>
                <w:color w:val="333333"/>
                <w:sz w:val="18"/>
                <w:szCs w:val="18"/>
              </w:rPr>
              <w:t>be treated</w:t>
            </w:r>
            <w:proofErr w:type="gramEnd"/>
            <w:r w:rsidRPr="00966886">
              <w:rPr>
                <w:rFonts w:ascii="Arial Narrow" w:hAnsi="Arial Narrow" w:cs="Open Sans"/>
                <w:color w:val="333333"/>
                <w:sz w:val="18"/>
                <w:szCs w:val="18"/>
              </w:rPr>
              <w:t xml:space="preserve"> by a medical practitioner in consultation with a nominated specialist or consultant physician in general paediatrics</w:t>
            </w:r>
          </w:p>
        </w:tc>
      </w:tr>
      <w:tr w:rsidR="00685ED6" w:rsidRPr="00966886" w14:paraId="48F3CC92" w14:textId="77777777" w:rsidTr="00F527AB">
        <w:tc>
          <w:tcPr>
            <w:tcW w:w="988" w:type="dxa"/>
          </w:tcPr>
          <w:p w14:paraId="644377CE" w14:textId="77777777" w:rsidR="00685ED6" w:rsidRPr="00966886" w:rsidRDefault="00685ED6" w:rsidP="008A5ACA">
            <w:pPr>
              <w:jc w:val="center"/>
              <w:rPr>
                <w:rFonts w:ascii="Arial Narrow" w:hAnsi="Arial Narrow" w:cs="Open Sans"/>
                <w:color w:val="333333"/>
                <w:sz w:val="18"/>
                <w:szCs w:val="18"/>
              </w:rPr>
            </w:pPr>
          </w:p>
        </w:tc>
        <w:tc>
          <w:tcPr>
            <w:tcW w:w="8221" w:type="dxa"/>
            <w:hideMark/>
          </w:tcPr>
          <w:p w14:paraId="0B57F8E3"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AND</w:t>
            </w:r>
          </w:p>
        </w:tc>
      </w:tr>
      <w:tr w:rsidR="00685ED6" w:rsidRPr="00966886" w14:paraId="589D7A2E" w14:textId="77777777" w:rsidTr="00F527AB">
        <w:tc>
          <w:tcPr>
            <w:tcW w:w="988" w:type="dxa"/>
          </w:tcPr>
          <w:p w14:paraId="4BFBC80B" w14:textId="56DBEA73"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15362105"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Treatment criteria:</w:t>
            </w:r>
          </w:p>
        </w:tc>
      </w:tr>
      <w:tr w:rsidR="00685ED6" w:rsidRPr="00966886" w14:paraId="56255FD4" w14:textId="77777777" w:rsidTr="00F527AB">
        <w:tc>
          <w:tcPr>
            <w:tcW w:w="988" w:type="dxa"/>
          </w:tcPr>
          <w:p w14:paraId="2C652DD9" w14:textId="4DBE269A"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409CB054" w14:textId="77777777" w:rsidR="00685ED6" w:rsidRPr="00966886" w:rsidRDefault="00685ED6" w:rsidP="008A5ACA">
            <w:pPr>
              <w:ind w:left="-57"/>
              <w:rPr>
                <w:rFonts w:ascii="Arial Narrow" w:hAnsi="Arial Narrow" w:cs="Open Sans"/>
                <w:color w:val="333333"/>
                <w:sz w:val="18"/>
                <w:szCs w:val="18"/>
              </w:rPr>
            </w:pPr>
            <w:r w:rsidRPr="00966886">
              <w:rPr>
                <w:rFonts w:ascii="Arial Narrow" w:hAnsi="Arial Narrow" w:cs="Open Sans"/>
                <w:color w:val="333333"/>
                <w:sz w:val="18"/>
                <w:szCs w:val="18"/>
              </w:rPr>
              <w:t>Patient must be undergoing treatment for the stated indication with only one growth hormone at any given time</w:t>
            </w:r>
          </w:p>
        </w:tc>
      </w:tr>
      <w:tr w:rsidR="00685ED6" w:rsidRPr="00966886" w14:paraId="501A041B" w14:textId="77777777" w:rsidTr="008A5ACA">
        <w:tc>
          <w:tcPr>
            <w:tcW w:w="988" w:type="dxa"/>
          </w:tcPr>
          <w:p w14:paraId="72DA35A2" w14:textId="77777777" w:rsidR="00685ED6" w:rsidRPr="00966886" w:rsidRDefault="00685ED6" w:rsidP="008A5ACA">
            <w:pPr>
              <w:jc w:val="center"/>
              <w:textAlignment w:val="baseline"/>
              <w:rPr>
                <w:rFonts w:ascii="Arial Narrow" w:hAnsi="Arial Narrow" w:cs="Open Sans"/>
                <w:color w:val="333333"/>
                <w:sz w:val="18"/>
                <w:szCs w:val="18"/>
              </w:rPr>
            </w:pPr>
          </w:p>
        </w:tc>
        <w:tc>
          <w:tcPr>
            <w:tcW w:w="8221" w:type="dxa"/>
          </w:tcPr>
          <w:p w14:paraId="38487E17" w14:textId="77777777" w:rsidR="00685ED6" w:rsidRPr="00966886" w:rsidRDefault="00685ED6" w:rsidP="008A5ACA">
            <w:pPr>
              <w:ind w:left="-57"/>
              <w:rPr>
                <w:rFonts w:ascii="Arial Narrow" w:hAnsi="Arial Narrow" w:cs="Open Sans"/>
                <w:color w:val="333333"/>
                <w:sz w:val="18"/>
                <w:szCs w:val="18"/>
              </w:rPr>
            </w:pPr>
          </w:p>
        </w:tc>
      </w:tr>
      <w:tr w:rsidR="00685ED6" w:rsidRPr="00966886" w14:paraId="34111E26" w14:textId="77777777" w:rsidTr="00F527AB">
        <w:tc>
          <w:tcPr>
            <w:tcW w:w="988" w:type="dxa"/>
          </w:tcPr>
          <w:p w14:paraId="111C7227" w14:textId="12DBC035"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0B53FCB1"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3011C075"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An older child </w:t>
            </w:r>
            <w:proofErr w:type="gramStart"/>
            <w:r w:rsidRPr="00966886">
              <w:rPr>
                <w:rFonts w:ascii="Arial Narrow" w:hAnsi="Arial Narrow" w:cs="Open Sans"/>
                <w:color w:val="333333"/>
                <w:sz w:val="18"/>
                <w:szCs w:val="18"/>
              </w:rPr>
              <w:t>is defined</w:t>
            </w:r>
            <w:proofErr w:type="gramEnd"/>
            <w:r w:rsidRPr="00966886">
              <w:rPr>
                <w:rFonts w:ascii="Arial Narrow" w:hAnsi="Arial Narrow" w:cs="Open Sans"/>
                <w:color w:val="333333"/>
                <w:sz w:val="18"/>
                <w:szCs w:val="18"/>
              </w:rPr>
              <w:t xml:space="preserve"> as a male with a chronological age of at least 12 years or a bone age of at least 10 years, or a female with a chronological age of at least 10 years or a bone age of at least 8 years.</w:t>
            </w:r>
          </w:p>
        </w:tc>
      </w:tr>
      <w:tr w:rsidR="00685ED6" w:rsidRPr="00966886" w14:paraId="034753E7" w14:textId="77777777" w:rsidTr="00F527AB">
        <w:tc>
          <w:tcPr>
            <w:tcW w:w="988" w:type="dxa"/>
          </w:tcPr>
          <w:p w14:paraId="4AF3A3E1" w14:textId="13697810"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7FE2BDC9"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3897BA10"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Applications for authorisation under this treatment phase must </w:t>
            </w:r>
            <w:proofErr w:type="gramStart"/>
            <w:r w:rsidRPr="00966886">
              <w:rPr>
                <w:rFonts w:ascii="Arial Narrow" w:hAnsi="Arial Narrow" w:cs="Open Sans"/>
                <w:color w:val="333333"/>
                <w:sz w:val="18"/>
                <w:szCs w:val="18"/>
              </w:rPr>
              <w:t>be made</w:t>
            </w:r>
            <w:proofErr w:type="gramEnd"/>
            <w:r w:rsidRPr="00966886">
              <w:rPr>
                <w:rFonts w:ascii="Arial Narrow" w:hAnsi="Arial Narrow" w:cs="Open Sans"/>
                <w:color w:val="333333"/>
                <w:sz w:val="18"/>
                <w:szCs w:val="18"/>
              </w:rPr>
              <w:t xml:space="preserve"> via the Online PBS Authorities System (real time assessment) or in writing via HPOS form upload or mail and must include:</w:t>
            </w:r>
          </w:p>
          <w:p w14:paraId="2FC9BCF9"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1.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the patient had a chronological age greater than 2.5 years at commencement of treatment.</w:t>
            </w:r>
          </w:p>
          <w:p w14:paraId="69636908"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2. Recent growth data (height and weight, not older than three months).</w:t>
            </w:r>
          </w:p>
          <w:p w14:paraId="25C14A2C"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3. A bone age result performed within the last 12 months where a patient has a chronological age greater than 2.5 years.</w:t>
            </w:r>
          </w:p>
        </w:tc>
      </w:tr>
      <w:tr w:rsidR="00685ED6" w:rsidRPr="00966886" w14:paraId="48FAA633" w14:textId="77777777" w:rsidTr="00F527AB">
        <w:tc>
          <w:tcPr>
            <w:tcW w:w="988" w:type="dxa"/>
          </w:tcPr>
          <w:p w14:paraId="1E441DEE" w14:textId="502FCA3D"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363CF2A0"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5B34C2AF"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If the application </w:t>
            </w:r>
            <w:proofErr w:type="gramStart"/>
            <w:r w:rsidRPr="00966886">
              <w:rPr>
                <w:rFonts w:ascii="Arial Narrow" w:hAnsi="Arial Narrow" w:cs="Open Sans"/>
                <w:color w:val="333333"/>
                <w:sz w:val="18"/>
                <w:szCs w:val="18"/>
              </w:rPr>
              <w:t>is submitted</w:t>
            </w:r>
            <w:proofErr w:type="gramEnd"/>
            <w:r w:rsidRPr="00966886">
              <w:rPr>
                <w:rFonts w:ascii="Arial Narrow" w:hAnsi="Arial Narrow" w:cs="Open Sans"/>
                <w:color w:val="333333"/>
                <w:sz w:val="18"/>
                <w:szCs w:val="18"/>
              </w:rPr>
              <w:t xml:space="preserve"> through HPOS form upload or mail, it must include:</w:t>
            </w:r>
          </w:p>
          <w:p w14:paraId="121D9642"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(i) A completed authority prescription form; and</w:t>
            </w:r>
          </w:p>
          <w:p w14:paraId="141A1DEC"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966886" w14:paraId="1F3E89D3" w14:textId="77777777" w:rsidTr="00F527AB">
        <w:tc>
          <w:tcPr>
            <w:tcW w:w="988" w:type="dxa"/>
          </w:tcPr>
          <w:p w14:paraId="52C6C699" w14:textId="546E6A7D"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2EBDADC8"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3DC08F19"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Prescribe an appropriate amount of drug (maximum quantity in units) outlined within the 'Notes' section of this restriction.</w:t>
            </w:r>
          </w:p>
        </w:tc>
      </w:tr>
      <w:tr w:rsidR="00685ED6" w:rsidRPr="00966886" w14:paraId="543D7D1C" w14:textId="77777777" w:rsidTr="00F527AB">
        <w:tc>
          <w:tcPr>
            <w:tcW w:w="988" w:type="dxa"/>
          </w:tcPr>
          <w:p w14:paraId="7C9E103B" w14:textId="2AF81F91"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56E19188"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2698F00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966886">
              <w:rPr>
                <w:rFonts w:ascii="Arial Narrow" w:hAnsi="Arial Narrow" w:cs="Open Sans"/>
                <w:color w:val="333333"/>
                <w:sz w:val="18"/>
                <w:szCs w:val="18"/>
              </w:rPr>
              <w:t>was written</w:t>
            </w:r>
            <w:proofErr w:type="gramEnd"/>
            <w:r w:rsidRPr="00966886">
              <w:rPr>
                <w:rFonts w:ascii="Arial Narrow" w:hAnsi="Arial Narrow" w:cs="Open Sans"/>
                <w:color w:val="333333"/>
                <w:sz w:val="18"/>
                <w:szCs w:val="18"/>
              </w:rPr>
              <w:t xml:space="preserve"> in compliance with any relevant circumstances and/or purposes. These records must </w:t>
            </w:r>
            <w:proofErr w:type="gramStart"/>
            <w:r w:rsidRPr="00966886">
              <w:rPr>
                <w:rFonts w:ascii="Arial Narrow" w:hAnsi="Arial Narrow" w:cs="Open Sans"/>
                <w:color w:val="333333"/>
                <w:sz w:val="18"/>
                <w:szCs w:val="18"/>
              </w:rPr>
              <w:t>be kept</w:t>
            </w:r>
            <w:proofErr w:type="gramEnd"/>
            <w:r w:rsidRPr="00966886">
              <w:rPr>
                <w:rFonts w:ascii="Arial Narrow" w:hAnsi="Arial Narrow" w:cs="Open Sans"/>
                <w:color w:val="333333"/>
                <w:sz w:val="18"/>
                <w:szCs w:val="18"/>
              </w:rPr>
              <w:t xml:space="preserve"> for 2 years after the date the prescription to which the records relate is written.</w:t>
            </w:r>
          </w:p>
        </w:tc>
      </w:tr>
      <w:tr w:rsidR="00685ED6" w:rsidRPr="00966886" w14:paraId="0A9DF677" w14:textId="77777777" w:rsidTr="00F527AB">
        <w:tc>
          <w:tcPr>
            <w:tcW w:w="988" w:type="dxa"/>
          </w:tcPr>
          <w:p w14:paraId="438891EB" w14:textId="0BDFD592" w:rsidR="00685ED6" w:rsidRPr="00966886" w:rsidRDefault="00685ED6" w:rsidP="008A5ACA">
            <w:pPr>
              <w:jc w:val="center"/>
              <w:textAlignment w:val="baseline"/>
              <w:rPr>
                <w:rFonts w:ascii="Arial Narrow" w:hAnsi="Arial Narrow" w:cs="Open Sans"/>
                <w:color w:val="333333"/>
                <w:sz w:val="18"/>
                <w:szCs w:val="18"/>
              </w:rPr>
            </w:pPr>
          </w:p>
        </w:tc>
        <w:tc>
          <w:tcPr>
            <w:tcW w:w="8221" w:type="dxa"/>
            <w:hideMark/>
          </w:tcPr>
          <w:p w14:paraId="6952C181"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b/>
                <w:bCs/>
                <w:color w:val="333333"/>
                <w:sz w:val="18"/>
                <w:szCs w:val="18"/>
                <w:bdr w:val="none" w:sz="0" w:space="0" w:color="auto" w:frame="1"/>
              </w:rPr>
              <w:t>Prescribing Instructions:</w:t>
            </w:r>
          </w:p>
          <w:p w14:paraId="26D6699A" w14:textId="77777777" w:rsidR="00685ED6" w:rsidRPr="00966886" w:rsidRDefault="00685ED6" w:rsidP="008A5ACA">
            <w:pPr>
              <w:ind w:left="-57"/>
              <w:textAlignment w:val="baseline"/>
              <w:rPr>
                <w:rFonts w:ascii="Arial Narrow" w:hAnsi="Arial Narrow" w:cs="Open Sans"/>
                <w:color w:val="333333"/>
                <w:sz w:val="18"/>
                <w:szCs w:val="18"/>
              </w:rPr>
            </w:pPr>
            <w:r w:rsidRPr="00966886">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bl>
    <w:p w14:paraId="415B68DF" w14:textId="77777777" w:rsidR="00685ED6" w:rsidRDefault="00685ED6">
      <w:pPr>
        <w:jc w:val="left"/>
        <w:rPr>
          <w:rFonts w:asciiTheme="minorHAnsi" w:eastAsia="Calibri" w:hAnsiTheme="minorHAnsi"/>
          <w:b/>
          <w:bCs/>
          <w:snapToGrid w:val="0"/>
          <w:sz w:val="20"/>
          <w:szCs w:val="20"/>
        </w:rPr>
      </w:pPr>
      <w:r>
        <w:rPr>
          <w:rFonts w:eastAsia="Calibri"/>
          <w:b/>
          <w:bCs/>
          <w:sz w:val="20"/>
          <w:szCs w:val="20"/>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276"/>
        <w:gridCol w:w="992"/>
        <w:gridCol w:w="992"/>
        <w:gridCol w:w="851"/>
        <w:gridCol w:w="992"/>
      </w:tblGrid>
      <w:tr w:rsidR="00685ED6" w14:paraId="7A83DD9E" w14:textId="77777777" w:rsidTr="008A5ACA">
        <w:trPr>
          <w:cantSplit/>
          <w:trHeight w:val="471"/>
        </w:trPr>
        <w:tc>
          <w:tcPr>
            <w:tcW w:w="9209" w:type="dxa"/>
            <w:gridSpan w:val="6"/>
          </w:tcPr>
          <w:p w14:paraId="5E1B1DE3" w14:textId="77777777" w:rsidR="00685ED6" w:rsidRPr="003D201F" w:rsidRDefault="00685ED6" w:rsidP="008A5ACA">
            <w:pPr>
              <w:ind w:left="-57"/>
              <w:rPr>
                <w:rFonts w:ascii="Arial Narrow" w:hAnsi="Arial Narrow"/>
                <w:sz w:val="18"/>
                <w:szCs w:val="18"/>
              </w:rPr>
            </w:pPr>
            <w:r w:rsidRPr="0020649C">
              <w:rPr>
                <w:rFonts w:ascii="Arial Narrow" w:hAnsi="Arial Narrow"/>
                <w:b/>
                <w:sz w:val="18"/>
                <w:szCs w:val="18"/>
              </w:rPr>
              <w:lastRenderedPageBreak/>
              <w:t>Category / Program:</w:t>
            </w:r>
            <w:r>
              <w:rPr>
                <w:rFonts w:ascii="Arial Narrow" w:hAnsi="Arial Narrow"/>
                <w:b/>
                <w:sz w:val="18"/>
                <w:szCs w:val="18"/>
              </w:rPr>
              <w:t xml:space="preserve">   </w:t>
            </w:r>
            <w:r w:rsidRPr="003D201F">
              <w:rPr>
                <w:rFonts w:ascii="Arial Narrow" w:hAnsi="Arial Narrow"/>
                <w:sz w:val="18"/>
                <w:szCs w:val="18"/>
              </w:rPr>
              <w:t xml:space="preserve">Section 100 – </w:t>
            </w:r>
            <w:r>
              <w:rPr>
                <w:rFonts w:ascii="Arial Narrow" w:hAnsi="Arial Narrow"/>
                <w:sz w:val="18"/>
                <w:szCs w:val="18"/>
              </w:rPr>
              <w:t>Growth Hormone Program</w:t>
            </w:r>
          </w:p>
          <w:p w14:paraId="51566595" w14:textId="77777777" w:rsidR="00685ED6" w:rsidRDefault="00685ED6" w:rsidP="008A5ACA">
            <w:pPr>
              <w:keepNext/>
              <w:rPr>
                <w:rFonts w:ascii="Arial Narrow" w:hAnsi="Arial Narrow"/>
                <w:b/>
                <w:sz w:val="18"/>
                <w:szCs w:val="18"/>
              </w:rPr>
            </w:pPr>
          </w:p>
        </w:tc>
      </w:tr>
      <w:tr w:rsidR="00685ED6" w:rsidRPr="009A610D" w14:paraId="1817663D" w14:textId="77777777" w:rsidTr="008A5ACA">
        <w:trPr>
          <w:cantSplit/>
          <w:trHeight w:val="471"/>
        </w:trPr>
        <w:tc>
          <w:tcPr>
            <w:tcW w:w="4106" w:type="dxa"/>
          </w:tcPr>
          <w:p w14:paraId="2FD9E418" w14:textId="77777777" w:rsidR="00685ED6" w:rsidRDefault="00685ED6" w:rsidP="008A5ACA">
            <w:pPr>
              <w:keepNext/>
              <w:ind w:left="-57"/>
              <w:rPr>
                <w:rFonts w:ascii="Arial Narrow" w:hAnsi="Arial Narrow"/>
                <w:b/>
                <w:bCs/>
                <w:sz w:val="18"/>
                <w:szCs w:val="18"/>
              </w:rPr>
            </w:pPr>
            <w:r>
              <w:rPr>
                <w:rFonts w:ascii="Arial Narrow" w:hAnsi="Arial Narrow"/>
                <w:b/>
                <w:bCs/>
                <w:sz w:val="18"/>
                <w:szCs w:val="18"/>
              </w:rPr>
              <w:t>MEDICINAL PRODUCT</w:t>
            </w:r>
          </w:p>
          <w:p w14:paraId="5510438F" w14:textId="77777777" w:rsidR="00685ED6" w:rsidRPr="009A610D" w:rsidRDefault="00685ED6" w:rsidP="008A5ACA">
            <w:pPr>
              <w:keepNext/>
              <w:ind w:left="-57"/>
              <w:rPr>
                <w:rFonts w:ascii="Arial Narrow" w:hAnsi="Arial Narrow"/>
                <w:b/>
                <w:sz w:val="18"/>
                <w:szCs w:val="18"/>
              </w:rPr>
            </w:pPr>
            <w:r>
              <w:rPr>
                <w:rFonts w:ascii="Arial Narrow" w:hAnsi="Arial Narrow"/>
                <w:b/>
                <w:bCs/>
                <w:sz w:val="18"/>
                <w:szCs w:val="18"/>
              </w:rPr>
              <w:t>medicinal product p</w:t>
            </w:r>
            <w:r w:rsidRPr="003A5B23">
              <w:rPr>
                <w:rFonts w:ascii="Arial Narrow" w:hAnsi="Arial Narrow"/>
                <w:b/>
                <w:bCs/>
                <w:sz w:val="18"/>
                <w:szCs w:val="18"/>
              </w:rPr>
              <w:t>ack</w:t>
            </w:r>
          </w:p>
        </w:tc>
        <w:tc>
          <w:tcPr>
            <w:tcW w:w="1276" w:type="dxa"/>
          </w:tcPr>
          <w:p w14:paraId="6BFCB2CB" w14:textId="77777777" w:rsidR="00685ED6" w:rsidRPr="009A610D" w:rsidRDefault="00685ED6" w:rsidP="008A5ACA">
            <w:pPr>
              <w:keepNext/>
              <w:ind w:left="-108"/>
              <w:jc w:val="center"/>
              <w:rPr>
                <w:rFonts w:ascii="Arial Narrow" w:hAnsi="Arial Narrow"/>
                <w:b/>
                <w:sz w:val="18"/>
                <w:szCs w:val="18"/>
              </w:rPr>
            </w:pPr>
            <w:r>
              <w:rPr>
                <w:rFonts w:ascii="Arial Narrow" w:hAnsi="Arial Narrow"/>
                <w:b/>
                <w:sz w:val="18"/>
                <w:szCs w:val="18"/>
              </w:rPr>
              <w:t>PBS item code</w:t>
            </w:r>
          </w:p>
        </w:tc>
        <w:tc>
          <w:tcPr>
            <w:tcW w:w="992" w:type="dxa"/>
          </w:tcPr>
          <w:p w14:paraId="5863FA86" w14:textId="77777777" w:rsidR="00685ED6" w:rsidRPr="009A610D" w:rsidRDefault="00685ED6" w:rsidP="008A5ACA">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992" w:type="dxa"/>
          </w:tcPr>
          <w:p w14:paraId="0E8ECC5C" w14:textId="77777777" w:rsidR="00685ED6" w:rsidRPr="009A610D" w:rsidRDefault="00685ED6" w:rsidP="008A5ACA">
            <w:pPr>
              <w:keepNext/>
              <w:ind w:left="-108"/>
              <w:jc w:val="center"/>
              <w:rPr>
                <w:rFonts w:ascii="Arial Narrow" w:hAnsi="Arial Narrow"/>
                <w:b/>
                <w:sz w:val="18"/>
                <w:szCs w:val="18"/>
              </w:rPr>
            </w:pPr>
            <w:r>
              <w:rPr>
                <w:rFonts w:ascii="Arial Narrow" w:hAnsi="Arial Narrow"/>
                <w:b/>
                <w:sz w:val="18"/>
                <w:szCs w:val="18"/>
              </w:rPr>
              <w:t>Max. qty units</w:t>
            </w:r>
          </w:p>
        </w:tc>
        <w:tc>
          <w:tcPr>
            <w:tcW w:w="851" w:type="dxa"/>
          </w:tcPr>
          <w:p w14:paraId="1742AB8F" w14:textId="77777777" w:rsidR="00685ED6" w:rsidRPr="009A610D" w:rsidRDefault="00685ED6" w:rsidP="008A5ACA">
            <w:pPr>
              <w:keepNext/>
              <w:ind w:left="-108"/>
              <w:jc w:val="center"/>
              <w:rPr>
                <w:rFonts w:ascii="Arial Narrow" w:hAnsi="Arial Narrow"/>
                <w:b/>
                <w:sz w:val="18"/>
                <w:szCs w:val="18"/>
              </w:rPr>
            </w:pPr>
            <w:proofErr w:type="gramStart"/>
            <w:r w:rsidRPr="009A610D">
              <w:rPr>
                <w:rFonts w:ascii="Arial Narrow" w:hAnsi="Arial Narrow"/>
                <w:b/>
                <w:sz w:val="18"/>
                <w:szCs w:val="18"/>
              </w:rPr>
              <w:t>№.of</w:t>
            </w:r>
            <w:proofErr w:type="gramEnd"/>
            <w:r>
              <w:rPr>
                <w:rFonts w:ascii="Arial Narrow" w:hAnsi="Arial Narrow"/>
                <w:b/>
                <w:sz w:val="18"/>
                <w:szCs w:val="18"/>
              </w:rPr>
              <w:t xml:space="preserve"> </w:t>
            </w:r>
            <w:r w:rsidRPr="009A610D">
              <w:rPr>
                <w:rFonts w:ascii="Arial Narrow" w:hAnsi="Arial Narrow"/>
                <w:b/>
                <w:sz w:val="18"/>
                <w:szCs w:val="18"/>
              </w:rPr>
              <w:t>Rpts</w:t>
            </w:r>
          </w:p>
        </w:tc>
        <w:tc>
          <w:tcPr>
            <w:tcW w:w="992" w:type="dxa"/>
          </w:tcPr>
          <w:p w14:paraId="73BC4106" w14:textId="77777777" w:rsidR="00685ED6" w:rsidRPr="009A610D" w:rsidRDefault="00685ED6" w:rsidP="008A5ACA">
            <w:pPr>
              <w:keepNext/>
              <w:rPr>
                <w:rFonts w:ascii="Arial Narrow" w:hAnsi="Arial Narrow"/>
                <w:b/>
                <w:sz w:val="18"/>
                <w:szCs w:val="18"/>
                <w:lang w:val="fr-FR"/>
              </w:rPr>
            </w:pPr>
            <w:r>
              <w:rPr>
                <w:rFonts w:ascii="Arial Narrow" w:hAnsi="Arial Narrow"/>
                <w:b/>
                <w:sz w:val="18"/>
                <w:szCs w:val="18"/>
              </w:rPr>
              <w:t>Available brands</w:t>
            </w:r>
          </w:p>
        </w:tc>
      </w:tr>
      <w:tr w:rsidR="00685ED6" w:rsidRPr="001A5667" w14:paraId="7B6EE717" w14:textId="77777777" w:rsidTr="008A5ACA">
        <w:trPr>
          <w:cantSplit/>
          <w:trHeight w:val="224"/>
        </w:trPr>
        <w:tc>
          <w:tcPr>
            <w:tcW w:w="9209" w:type="dxa"/>
            <w:gridSpan w:val="6"/>
          </w:tcPr>
          <w:p w14:paraId="54B9EABB" w14:textId="77777777" w:rsidR="00685ED6" w:rsidRPr="001A5667" w:rsidRDefault="00685ED6" w:rsidP="008A5ACA">
            <w:pPr>
              <w:keepNext/>
              <w:ind w:left="-57"/>
              <w:rPr>
                <w:rFonts w:ascii="Arial Narrow" w:hAnsi="Arial Narrow"/>
                <w:sz w:val="18"/>
                <w:szCs w:val="18"/>
              </w:rPr>
            </w:pPr>
            <w:r>
              <w:rPr>
                <w:rFonts w:ascii="Arial Narrow" w:hAnsi="Arial Narrow"/>
                <w:sz w:val="18"/>
                <w:szCs w:val="18"/>
              </w:rPr>
              <w:t xml:space="preserve">SOMAPACITAN </w:t>
            </w:r>
          </w:p>
        </w:tc>
      </w:tr>
      <w:tr w:rsidR="00685ED6" w:rsidRPr="009A610D" w14:paraId="34BEE5E4" w14:textId="77777777" w:rsidTr="008A5ACA">
        <w:trPr>
          <w:cantSplit/>
          <w:trHeight w:val="553"/>
        </w:trPr>
        <w:tc>
          <w:tcPr>
            <w:tcW w:w="4106" w:type="dxa"/>
          </w:tcPr>
          <w:p w14:paraId="68A4516B" w14:textId="77777777" w:rsidR="00685ED6" w:rsidRPr="003803A0" w:rsidRDefault="00685ED6" w:rsidP="008A5ACA">
            <w:pPr>
              <w:keepNext/>
              <w:ind w:left="-57"/>
              <w:rPr>
                <w:rFonts w:ascii="Arial Narrow" w:hAnsi="Arial Narrow"/>
                <w:sz w:val="18"/>
                <w:szCs w:val="18"/>
              </w:rPr>
            </w:pPr>
            <w:r>
              <w:rPr>
                <w:rFonts w:ascii="Arial Narrow" w:hAnsi="Arial Narrow"/>
                <w:sz w:val="18"/>
                <w:szCs w:val="18"/>
              </w:rPr>
              <w:t>sompacitan 5 mg/1.5 mL injection, 1.5 mL pen device</w:t>
            </w:r>
          </w:p>
        </w:tc>
        <w:tc>
          <w:tcPr>
            <w:tcW w:w="1276" w:type="dxa"/>
          </w:tcPr>
          <w:p w14:paraId="02D45DA7" w14:textId="77777777" w:rsidR="00685ED6" w:rsidRDefault="00685ED6" w:rsidP="008A5ACA">
            <w:pPr>
              <w:keepNext/>
              <w:jc w:val="center"/>
              <w:rPr>
                <w:rFonts w:ascii="Arial Narrow" w:hAnsi="Arial Narrow"/>
                <w:sz w:val="18"/>
                <w:szCs w:val="18"/>
              </w:rPr>
            </w:pPr>
            <w:r>
              <w:rPr>
                <w:rFonts w:ascii="Arial Narrow" w:hAnsi="Arial Narrow"/>
                <w:sz w:val="18"/>
                <w:szCs w:val="18"/>
              </w:rPr>
              <w:t>NEW 4</w:t>
            </w:r>
          </w:p>
          <w:p w14:paraId="281972BC" w14:textId="77777777" w:rsidR="00685ED6" w:rsidRPr="00D52B40" w:rsidRDefault="00685ED6" w:rsidP="008A5ACA">
            <w:pPr>
              <w:keepNext/>
              <w:jc w:val="center"/>
              <w:rPr>
                <w:rFonts w:ascii="Arial Narrow" w:hAnsi="Arial Narrow"/>
                <w:sz w:val="18"/>
                <w:szCs w:val="18"/>
                <w:vertAlign w:val="subscript"/>
              </w:rPr>
            </w:pPr>
            <w:r>
              <w:rPr>
                <w:rFonts w:ascii="Arial Narrow" w:hAnsi="Arial Narrow"/>
                <w:sz w:val="18"/>
                <w:szCs w:val="18"/>
                <w:vertAlign w:val="subscript"/>
              </w:rPr>
              <w:t xml:space="preserve">MP </w:t>
            </w:r>
          </w:p>
        </w:tc>
        <w:tc>
          <w:tcPr>
            <w:tcW w:w="992" w:type="dxa"/>
          </w:tcPr>
          <w:p w14:paraId="7353706F" w14:textId="77777777" w:rsidR="00685ED6" w:rsidRPr="009A610D" w:rsidRDefault="00685ED6" w:rsidP="008A5ACA">
            <w:pPr>
              <w:keepNext/>
              <w:jc w:val="center"/>
              <w:rPr>
                <w:rFonts w:ascii="Arial Narrow" w:hAnsi="Arial Narrow"/>
                <w:sz w:val="18"/>
                <w:szCs w:val="18"/>
              </w:rPr>
            </w:pPr>
            <w:r>
              <w:rPr>
                <w:rFonts w:ascii="Arial Narrow" w:hAnsi="Arial Narrow"/>
                <w:sz w:val="18"/>
                <w:szCs w:val="18"/>
              </w:rPr>
              <w:t>7</w:t>
            </w:r>
          </w:p>
        </w:tc>
        <w:tc>
          <w:tcPr>
            <w:tcW w:w="992" w:type="dxa"/>
          </w:tcPr>
          <w:p w14:paraId="630D56DF" w14:textId="77777777" w:rsidR="00685ED6" w:rsidRPr="009A610D" w:rsidRDefault="00685ED6" w:rsidP="008A5ACA">
            <w:pPr>
              <w:keepNext/>
              <w:jc w:val="center"/>
              <w:rPr>
                <w:rFonts w:ascii="Arial Narrow" w:hAnsi="Arial Narrow"/>
                <w:sz w:val="18"/>
                <w:szCs w:val="18"/>
              </w:rPr>
            </w:pPr>
            <w:r>
              <w:rPr>
                <w:rFonts w:ascii="Arial Narrow" w:hAnsi="Arial Narrow"/>
                <w:sz w:val="18"/>
                <w:szCs w:val="18"/>
              </w:rPr>
              <w:t>7</w:t>
            </w:r>
          </w:p>
        </w:tc>
        <w:tc>
          <w:tcPr>
            <w:tcW w:w="851" w:type="dxa"/>
          </w:tcPr>
          <w:p w14:paraId="11CA8F4B" w14:textId="77777777" w:rsidR="00685ED6" w:rsidRPr="009A610D" w:rsidRDefault="00685ED6" w:rsidP="008A5ACA">
            <w:pPr>
              <w:keepNext/>
              <w:jc w:val="center"/>
              <w:rPr>
                <w:rFonts w:ascii="Arial Narrow" w:hAnsi="Arial Narrow"/>
                <w:sz w:val="18"/>
                <w:szCs w:val="18"/>
              </w:rPr>
            </w:pPr>
            <w:r>
              <w:rPr>
                <w:rFonts w:ascii="Arial Narrow" w:hAnsi="Arial Narrow"/>
                <w:sz w:val="18"/>
                <w:szCs w:val="18"/>
              </w:rPr>
              <w:t>1</w:t>
            </w:r>
          </w:p>
        </w:tc>
        <w:tc>
          <w:tcPr>
            <w:tcW w:w="992" w:type="dxa"/>
          </w:tcPr>
          <w:p w14:paraId="22E7E167" w14:textId="77777777" w:rsidR="00685ED6" w:rsidRPr="009A610D" w:rsidRDefault="00685ED6" w:rsidP="008A5ACA">
            <w:pPr>
              <w:keepNext/>
              <w:rPr>
                <w:rFonts w:ascii="Arial Narrow" w:hAnsi="Arial Narrow"/>
                <w:sz w:val="18"/>
                <w:szCs w:val="18"/>
              </w:rPr>
            </w:pPr>
            <w:r>
              <w:rPr>
                <w:rFonts w:ascii="Arial Narrow" w:hAnsi="Arial Narrow"/>
                <w:sz w:val="18"/>
                <w:szCs w:val="18"/>
              </w:rPr>
              <w:t>Sogroya</w:t>
            </w:r>
          </w:p>
        </w:tc>
      </w:tr>
      <w:tr w:rsidR="00685ED6" w14:paraId="32306F0D" w14:textId="77777777" w:rsidTr="008A5ACA">
        <w:trPr>
          <w:cantSplit/>
          <w:trHeight w:val="553"/>
        </w:trPr>
        <w:tc>
          <w:tcPr>
            <w:tcW w:w="4106" w:type="dxa"/>
          </w:tcPr>
          <w:p w14:paraId="1A861B85" w14:textId="77777777" w:rsidR="00685ED6" w:rsidRDefault="00685ED6" w:rsidP="008A5ACA">
            <w:pPr>
              <w:keepNext/>
              <w:ind w:left="-57"/>
              <w:rPr>
                <w:rFonts w:ascii="Arial Narrow" w:hAnsi="Arial Narrow"/>
                <w:sz w:val="18"/>
                <w:szCs w:val="18"/>
              </w:rPr>
            </w:pPr>
            <w:r>
              <w:rPr>
                <w:rFonts w:ascii="Arial Narrow" w:hAnsi="Arial Narrow"/>
                <w:sz w:val="18"/>
                <w:szCs w:val="18"/>
              </w:rPr>
              <w:t>somapacitan 10 mg/1.5 mL injection, 1.5 mL pen device</w:t>
            </w:r>
          </w:p>
        </w:tc>
        <w:tc>
          <w:tcPr>
            <w:tcW w:w="1276" w:type="dxa"/>
          </w:tcPr>
          <w:p w14:paraId="25DA7FEE" w14:textId="77777777" w:rsidR="00685ED6" w:rsidRDefault="00685ED6" w:rsidP="008A5ACA">
            <w:pPr>
              <w:keepNext/>
              <w:jc w:val="center"/>
              <w:rPr>
                <w:rFonts w:ascii="Arial Narrow" w:hAnsi="Arial Narrow"/>
                <w:sz w:val="18"/>
                <w:szCs w:val="18"/>
              </w:rPr>
            </w:pPr>
            <w:r>
              <w:rPr>
                <w:rFonts w:ascii="Arial Narrow" w:hAnsi="Arial Narrow"/>
                <w:sz w:val="18"/>
                <w:szCs w:val="18"/>
              </w:rPr>
              <w:t>NEW 5</w:t>
            </w:r>
          </w:p>
          <w:p w14:paraId="4A6A934B" w14:textId="77777777" w:rsidR="00685ED6" w:rsidRPr="00D52B40" w:rsidRDefault="00685ED6" w:rsidP="008A5ACA">
            <w:pPr>
              <w:keepNext/>
              <w:jc w:val="center"/>
              <w:rPr>
                <w:rFonts w:ascii="Arial Narrow" w:hAnsi="Arial Narrow"/>
                <w:sz w:val="18"/>
                <w:szCs w:val="18"/>
                <w:vertAlign w:val="subscript"/>
              </w:rPr>
            </w:pPr>
            <w:r w:rsidRPr="00D52B40">
              <w:rPr>
                <w:rFonts w:ascii="Arial Narrow" w:hAnsi="Arial Narrow"/>
                <w:sz w:val="18"/>
                <w:szCs w:val="18"/>
                <w:vertAlign w:val="subscript"/>
              </w:rPr>
              <w:t xml:space="preserve">MP </w:t>
            </w:r>
          </w:p>
        </w:tc>
        <w:tc>
          <w:tcPr>
            <w:tcW w:w="992" w:type="dxa"/>
          </w:tcPr>
          <w:p w14:paraId="75A1892C" w14:textId="77777777" w:rsidR="00685ED6" w:rsidRDefault="00685ED6" w:rsidP="008A5ACA">
            <w:pPr>
              <w:keepNext/>
              <w:jc w:val="center"/>
              <w:rPr>
                <w:rFonts w:ascii="Arial Narrow" w:hAnsi="Arial Narrow"/>
                <w:sz w:val="18"/>
                <w:szCs w:val="18"/>
              </w:rPr>
            </w:pPr>
            <w:r>
              <w:rPr>
                <w:rFonts w:ascii="Arial Narrow" w:hAnsi="Arial Narrow"/>
                <w:sz w:val="18"/>
                <w:szCs w:val="18"/>
              </w:rPr>
              <w:t>6</w:t>
            </w:r>
          </w:p>
        </w:tc>
        <w:tc>
          <w:tcPr>
            <w:tcW w:w="992" w:type="dxa"/>
          </w:tcPr>
          <w:p w14:paraId="51185086" w14:textId="77777777" w:rsidR="00685ED6" w:rsidRDefault="00685ED6" w:rsidP="008A5ACA">
            <w:pPr>
              <w:keepNext/>
              <w:jc w:val="center"/>
              <w:rPr>
                <w:rFonts w:ascii="Arial Narrow" w:hAnsi="Arial Narrow"/>
                <w:sz w:val="18"/>
                <w:szCs w:val="18"/>
              </w:rPr>
            </w:pPr>
            <w:r>
              <w:rPr>
                <w:rFonts w:ascii="Arial Narrow" w:hAnsi="Arial Narrow"/>
                <w:sz w:val="18"/>
                <w:szCs w:val="18"/>
              </w:rPr>
              <w:t>6</w:t>
            </w:r>
          </w:p>
        </w:tc>
        <w:tc>
          <w:tcPr>
            <w:tcW w:w="851" w:type="dxa"/>
          </w:tcPr>
          <w:p w14:paraId="2CD6021E" w14:textId="77777777" w:rsidR="00685ED6" w:rsidRPr="009A610D" w:rsidRDefault="00685ED6" w:rsidP="008A5ACA">
            <w:pPr>
              <w:keepNext/>
              <w:jc w:val="center"/>
              <w:rPr>
                <w:rFonts w:ascii="Arial Narrow" w:hAnsi="Arial Narrow"/>
                <w:sz w:val="18"/>
                <w:szCs w:val="18"/>
              </w:rPr>
            </w:pPr>
            <w:r>
              <w:rPr>
                <w:rFonts w:ascii="Arial Narrow" w:hAnsi="Arial Narrow"/>
                <w:sz w:val="18"/>
                <w:szCs w:val="18"/>
              </w:rPr>
              <w:t>1</w:t>
            </w:r>
          </w:p>
        </w:tc>
        <w:tc>
          <w:tcPr>
            <w:tcW w:w="992" w:type="dxa"/>
          </w:tcPr>
          <w:p w14:paraId="291BFFC8" w14:textId="77777777" w:rsidR="00685ED6" w:rsidRDefault="00685ED6" w:rsidP="008A5ACA">
            <w:pPr>
              <w:keepNext/>
              <w:rPr>
                <w:rFonts w:ascii="Arial Narrow" w:hAnsi="Arial Narrow"/>
                <w:sz w:val="18"/>
                <w:szCs w:val="18"/>
              </w:rPr>
            </w:pPr>
            <w:r>
              <w:rPr>
                <w:rFonts w:ascii="Arial Narrow" w:hAnsi="Arial Narrow"/>
                <w:sz w:val="18"/>
                <w:szCs w:val="18"/>
              </w:rPr>
              <w:t>Sogroya</w:t>
            </w:r>
          </w:p>
        </w:tc>
      </w:tr>
      <w:tr w:rsidR="00685ED6" w14:paraId="6C999EAE" w14:textId="77777777" w:rsidTr="008A5ACA">
        <w:trPr>
          <w:cantSplit/>
          <w:trHeight w:val="347"/>
        </w:trPr>
        <w:tc>
          <w:tcPr>
            <w:tcW w:w="4106" w:type="dxa"/>
          </w:tcPr>
          <w:p w14:paraId="072125EF" w14:textId="77777777" w:rsidR="00685ED6" w:rsidRPr="003803A0" w:rsidRDefault="00685ED6" w:rsidP="008A5ACA">
            <w:pPr>
              <w:keepNext/>
              <w:ind w:left="-57"/>
              <w:rPr>
                <w:rFonts w:ascii="Arial Narrow" w:hAnsi="Arial Narrow"/>
                <w:sz w:val="18"/>
                <w:szCs w:val="18"/>
              </w:rPr>
            </w:pPr>
            <w:r>
              <w:rPr>
                <w:rFonts w:ascii="Arial Narrow" w:hAnsi="Arial Narrow"/>
                <w:sz w:val="18"/>
                <w:szCs w:val="18"/>
              </w:rPr>
              <w:t>somapacitan 15 mg/1.5 mL injection, 1.5 mL pen device</w:t>
            </w:r>
          </w:p>
        </w:tc>
        <w:tc>
          <w:tcPr>
            <w:tcW w:w="1276" w:type="dxa"/>
          </w:tcPr>
          <w:p w14:paraId="1DB8FDFE" w14:textId="77777777" w:rsidR="00685ED6" w:rsidRDefault="00685ED6" w:rsidP="008A5ACA">
            <w:pPr>
              <w:keepNext/>
              <w:jc w:val="center"/>
              <w:rPr>
                <w:rFonts w:ascii="Arial Narrow" w:hAnsi="Arial Narrow"/>
                <w:sz w:val="18"/>
                <w:szCs w:val="18"/>
              </w:rPr>
            </w:pPr>
            <w:r>
              <w:rPr>
                <w:rFonts w:ascii="Arial Narrow" w:hAnsi="Arial Narrow"/>
                <w:sz w:val="18"/>
                <w:szCs w:val="18"/>
              </w:rPr>
              <w:t>NEW 6</w:t>
            </w:r>
          </w:p>
          <w:p w14:paraId="5CF4CDA4" w14:textId="77777777" w:rsidR="00685ED6" w:rsidRDefault="00685ED6" w:rsidP="008A5ACA">
            <w:pPr>
              <w:keepNext/>
              <w:jc w:val="center"/>
              <w:rPr>
                <w:rFonts w:ascii="Arial Narrow" w:hAnsi="Arial Narrow"/>
                <w:sz w:val="18"/>
                <w:szCs w:val="18"/>
              </w:rPr>
            </w:pPr>
            <w:r w:rsidRPr="00D52B40">
              <w:rPr>
                <w:rFonts w:ascii="Arial Narrow" w:hAnsi="Arial Narrow"/>
                <w:sz w:val="18"/>
                <w:szCs w:val="18"/>
                <w:vertAlign w:val="subscript"/>
              </w:rPr>
              <w:t xml:space="preserve">MP </w:t>
            </w:r>
          </w:p>
        </w:tc>
        <w:tc>
          <w:tcPr>
            <w:tcW w:w="992" w:type="dxa"/>
          </w:tcPr>
          <w:p w14:paraId="3681FAA6" w14:textId="77777777" w:rsidR="00685ED6" w:rsidRDefault="00685ED6" w:rsidP="008A5ACA">
            <w:pPr>
              <w:keepNext/>
              <w:jc w:val="center"/>
              <w:rPr>
                <w:rFonts w:ascii="Arial Narrow" w:hAnsi="Arial Narrow"/>
                <w:sz w:val="18"/>
                <w:szCs w:val="18"/>
              </w:rPr>
            </w:pPr>
            <w:r>
              <w:rPr>
                <w:rFonts w:ascii="Arial Narrow" w:hAnsi="Arial Narrow"/>
                <w:sz w:val="18"/>
                <w:szCs w:val="18"/>
              </w:rPr>
              <w:t>6</w:t>
            </w:r>
          </w:p>
        </w:tc>
        <w:tc>
          <w:tcPr>
            <w:tcW w:w="992" w:type="dxa"/>
          </w:tcPr>
          <w:p w14:paraId="337985A0" w14:textId="77777777" w:rsidR="00685ED6" w:rsidRDefault="00685ED6" w:rsidP="008A5ACA">
            <w:pPr>
              <w:keepNext/>
              <w:jc w:val="center"/>
              <w:rPr>
                <w:rFonts w:ascii="Arial Narrow" w:hAnsi="Arial Narrow"/>
                <w:sz w:val="18"/>
                <w:szCs w:val="18"/>
              </w:rPr>
            </w:pPr>
            <w:r>
              <w:rPr>
                <w:rFonts w:ascii="Arial Narrow" w:hAnsi="Arial Narrow"/>
                <w:sz w:val="18"/>
                <w:szCs w:val="18"/>
              </w:rPr>
              <w:t>6</w:t>
            </w:r>
          </w:p>
        </w:tc>
        <w:tc>
          <w:tcPr>
            <w:tcW w:w="851" w:type="dxa"/>
          </w:tcPr>
          <w:p w14:paraId="5808245D" w14:textId="77777777" w:rsidR="00685ED6" w:rsidRDefault="00685ED6" w:rsidP="008A5ACA">
            <w:pPr>
              <w:keepNext/>
              <w:jc w:val="center"/>
              <w:rPr>
                <w:rFonts w:ascii="Arial Narrow" w:hAnsi="Arial Narrow"/>
                <w:sz w:val="18"/>
                <w:szCs w:val="18"/>
              </w:rPr>
            </w:pPr>
            <w:r>
              <w:rPr>
                <w:rFonts w:ascii="Arial Narrow" w:hAnsi="Arial Narrow"/>
                <w:sz w:val="18"/>
                <w:szCs w:val="18"/>
              </w:rPr>
              <w:t>1</w:t>
            </w:r>
          </w:p>
        </w:tc>
        <w:tc>
          <w:tcPr>
            <w:tcW w:w="992" w:type="dxa"/>
          </w:tcPr>
          <w:p w14:paraId="4B67EA70" w14:textId="77777777" w:rsidR="00685ED6" w:rsidRDefault="00685ED6" w:rsidP="008A5ACA">
            <w:pPr>
              <w:keepNext/>
              <w:rPr>
                <w:rFonts w:ascii="Arial Narrow" w:hAnsi="Arial Narrow"/>
                <w:sz w:val="18"/>
                <w:szCs w:val="18"/>
              </w:rPr>
            </w:pPr>
            <w:r>
              <w:rPr>
                <w:rFonts w:ascii="Arial Narrow" w:hAnsi="Arial Narrow"/>
                <w:sz w:val="18"/>
                <w:szCs w:val="18"/>
              </w:rPr>
              <w:t>Sogroya</w:t>
            </w:r>
          </w:p>
        </w:tc>
      </w:tr>
      <w:tr w:rsidR="00685ED6" w:rsidRPr="0020649C" w14:paraId="53332266" w14:textId="77777777" w:rsidTr="008A5ACA">
        <w:tblPrEx>
          <w:tblCellMar>
            <w:top w:w="15" w:type="dxa"/>
            <w:left w:w="15" w:type="dxa"/>
            <w:bottom w:w="15" w:type="dxa"/>
            <w:right w:w="15" w:type="dxa"/>
          </w:tblCellMar>
          <w:tblLook w:val="04A0" w:firstRow="1" w:lastRow="0" w:firstColumn="1" w:lastColumn="0" w:noHBand="0" w:noVBand="1"/>
        </w:tblPrEx>
        <w:tc>
          <w:tcPr>
            <w:tcW w:w="9209" w:type="dxa"/>
            <w:gridSpan w:val="6"/>
            <w:tcBorders>
              <w:top w:val="single" w:sz="4" w:space="0" w:color="auto"/>
              <w:left w:val="single" w:sz="4" w:space="0" w:color="auto"/>
              <w:right w:val="single" w:sz="4" w:space="0" w:color="auto"/>
            </w:tcBorders>
          </w:tcPr>
          <w:p w14:paraId="5C696ACD" w14:textId="77777777" w:rsidR="00685ED6" w:rsidRPr="0020649C" w:rsidRDefault="00685ED6" w:rsidP="008A5ACA">
            <w:pPr>
              <w:rPr>
                <w:rFonts w:ascii="Arial Narrow" w:hAnsi="Arial Narrow"/>
                <w:b/>
                <w:sz w:val="18"/>
                <w:szCs w:val="18"/>
              </w:rPr>
            </w:pPr>
          </w:p>
        </w:tc>
      </w:tr>
    </w:tbl>
    <w:tbl>
      <w:tblPr>
        <w:tblStyle w:val="TableGrid"/>
        <w:tblW w:w="9209" w:type="dxa"/>
        <w:tblLook w:val="04A0" w:firstRow="1" w:lastRow="0" w:firstColumn="1" w:lastColumn="0" w:noHBand="0" w:noVBand="1"/>
      </w:tblPr>
      <w:tblGrid>
        <w:gridCol w:w="988"/>
        <w:gridCol w:w="8221"/>
      </w:tblGrid>
      <w:tr w:rsidR="00685ED6" w:rsidRPr="00033005" w14:paraId="12545322" w14:textId="77777777" w:rsidTr="008A5ACA">
        <w:tc>
          <w:tcPr>
            <w:tcW w:w="9209" w:type="dxa"/>
            <w:gridSpan w:val="2"/>
          </w:tcPr>
          <w:p w14:paraId="6BBB7A6B"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r w:rsidRPr="006B55C0">
              <w:rPr>
                <w:rFonts w:ascii="Arial Narrow" w:hAnsi="Arial Narrow" w:cs="Open Sans"/>
                <w:i/>
                <w:iCs/>
                <w:color w:val="333333"/>
                <w:sz w:val="18"/>
                <w:szCs w:val="18"/>
                <w:bdr w:val="none" w:sz="0" w:space="0" w:color="auto" w:frame="1"/>
              </w:rPr>
              <w:t>Common Administrative Advice that applies to each restriction summary within this prescribing rule</w:t>
            </w:r>
            <w:r>
              <w:rPr>
                <w:rFonts w:ascii="Arial Narrow" w:hAnsi="Arial Narrow" w:cs="Open Sans"/>
                <w:i/>
                <w:iCs/>
                <w:color w:val="333333"/>
                <w:sz w:val="18"/>
                <w:szCs w:val="18"/>
                <w:bdr w:val="none" w:sz="0" w:space="0" w:color="auto" w:frame="1"/>
              </w:rPr>
              <w:t>:</w:t>
            </w:r>
          </w:p>
        </w:tc>
      </w:tr>
      <w:tr w:rsidR="00685ED6" w:rsidRPr="00033005" w14:paraId="48EEF6D2" w14:textId="77777777" w:rsidTr="00F527AB">
        <w:tc>
          <w:tcPr>
            <w:tcW w:w="988" w:type="dxa"/>
          </w:tcPr>
          <w:p w14:paraId="4EDCD5EA" w14:textId="2510F7F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9073E8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Administrative Advice:</w:t>
            </w:r>
          </w:p>
          <w:p w14:paraId="75F5EC85" w14:textId="77777777" w:rsidR="00685ED6"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Any queries concerning the arrangements to prescribe may </w:t>
            </w:r>
            <w:proofErr w:type="gramStart"/>
            <w:r w:rsidRPr="00033005">
              <w:rPr>
                <w:rFonts w:ascii="Arial Narrow" w:hAnsi="Arial Narrow" w:cs="Open Sans"/>
                <w:color w:val="333333"/>
                <w:sz w:val="18"/>
                <w:szCs w:val="18"/>
              </w:rPr>
              <w:t>be directed</w:t>
            </w:r>
            <w:proofErr w:type="gramEnd"/>
            <w:r w:rsidRPr="00033005">
              <w:rPr>
                <w:rFonts w:ascii="Arial Narrow" w:hAnsi="Arial Narrow" w:cs="Open Sans"/>
                <w:color w:val="333333"/>
                <w:sz w:val="18"/>
                <w:szCs w:val="18"/>
              </w:rPr>
              <w:t xml:space="preserve"> to Services Australia on 1800 700 270 (hours of operation 8 a.m. to 5 p.m. Monday to Friday).</w:t>
            </w:r>
          </w:p>
          <w:p w14:paraId="767FAEB6" w14:textId="77777777" w:rsidR="00685ED6" w:rsidRPr="00033005" w:rsidRDefault="00685ED6" w:rsidP="008A5ACA">
            <w:pPr>
              <w:ind w:left="-57"/>
              <w:textAlignment w:val="baseline"/>
              <w:rPr>
                <w:rFonts w:ascii="Arial Narrow" w:hAnsi="Arial Narrow" w:cs="Open Sans"/>
                <w:color w:val="333333"/>
                <w:sz w:val="18"/>
                <w:szCs w:val="18"/>
              </w:rPr>
            </w:pPr>
          </w:p>
          <w:p w14:paraId="1B5E7AD3" w14:textId="77777777" w:rsidR="00685ED6"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Prescribing information (including Authority Application forms and other relevant documentation as applicable) is available on the Services Australia website at </w:t>
            </w:r>
            <w:proofErr w:type="gramStart"/>
            <w:r w:rsidRPr="00033005">
              <w:rPr>
                <w:rFonts w:ascii="Arial Narrow" w:hAnsi="Arial Narrow" w:cs="Open Sans"/>
                <w:color w:val="333333"/>
                <w:sz w:val="18"/>
                <w:szCs w:val="18"/>
              </w:rPr>
              <w:t>www.servicesaustralia.gov.au</w:t>
            </w:r>
            <w:proofErr w:type="gramEnd"/>
          </w:p>
          <w:p w14:paraId="129AAA20" w14:textId="77777777" w:rsidR="00685ED6" w:rsidRPr="00033005" w:rsidRDefault="00685ED6" w:rsidP="008A5ACA">
            <w:pPr>
              <w:ind w:left="-57"/>
              <w:textAlignment w:val="baseline"/>
              <w:rPr>
                <w:rFonts w:ascii="Arial Narrow" w:hAnsi="Arial Narrow" w:cs="Open Sans"/>
                <w:color w:val="333333"/>
                <w:sz w:val="18"/>
                <w:szCs w:val="18"/>
              </w:rPr>
            </w:pPr>
          </w:p>
          <w:p w14:paraId="527D4D50" w14:textId="77777777" w:rsidR="00685ED6"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Applications for authorisation under this restriction should </w:t>
            </w:r>
            <w:proofErr w:type="gramStart"/>
            <w:r w:rsidRPr="00033005">
              <w:rPr>
                <w:rFonts w:ascii="Arial Narrow" w:hAnsi="Arial Narrow" w:cs="Open Sans"/>
                <w:color w:val="333333"/>
                <w:sz w:val="18"/>
                <w:szCs w:val="18"/>
              </w:rPr>
              <w:t>be made</w:t>
            </w:r>
            <w:proofErr w:type="gramEnd"/>
            <w:r w:rsidRPr="00033005">
              <w:rPr>
                <w:rFonts w:ascii="Arial Narrow" w:hAnsi="Arial Narrow" w:cs="Open Sans"/>
                <w:color w:val="333333"/>
                <w:sz w:val="18"/>
                <w:szCs w:val="18"/>
              </w:rPr>
              <w:t xml:space="preserve"> in real time using the Online PBS Authorities system (see www.servicesaustralia.gov.au/hpos)</w:t>
            </w:r>
          </w:p>
          <w:p w14:paraId="2C0BDF0A" w14:textId="77777777" w:rsidR="00685ED6" w:rsidRPr="00033005" w:rsidRDefault="00685ED6" w:rsidP="008A5ACA">
            <w:pPr>
              <w:ind w:left="-57"/>
              <w:textAlignment w:val="baseline"/>
              <w:rPr>
                <w:rFonts w:ascii="Arial Narrow" w:hAnsi="Arial Narrow" w:cs="Open Sans"/>
                <w:color w:val="333333"/>
                <w:sz w:val="18"/>
                <w:szCs w:val="18"/>
              </w:rPr>
            </w:pPr>
          </w:p>
          <w:p w14:paraId="5E784877"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Alternatively, applications for authority to prescribe can be submitted online using the form upload facility in Health Professional Online Services (HPOS) at </w:t>
            </w:r>
            <w:proofErr w:type="gramStart"/>
            <w:r w:rsidRPr="00033005">
              <w:rPr>
                <w:rFonts w:ascii="Arial Narrow" w:hAnsi="Arial Narrow" w:cs="Open Sans"/>
                <w:color w:val="333333"/>
                <w:sz w:val="18"/>
                <w:szCs w:val="18"/>
              </w:rPr>
              <w:t>www.servicesaustralia.gov.au/hpos</w:t>
            </w:r>
            <w:proofErr w:type="gramEnd"/>
          </w:p>
          <w:p w14:paraId="4780E22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Or mailed to:</w:t>
            </w:r>
          </w:p>
          <w:p w14:paraId="36710C1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Services Australia</w:t>
            </w:r>
          </w:p>
          <w:p w14:paraId="29E8EBD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Complex Drugs</w:t>
            </w:r>
          </w:p>
          <w:p w14:paraId="67ABDCF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Reply Paid 9826</w:t>
            </w:r>
          </w:p>
          <w:p w14:paraId="4748A501" w14:textId="79368DEE" w:rsidR="00057FEC" w:rsidRPr="00033005" w:rsidRDefault="00685ED6" w:rsidP="00057FEC">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HOBART TAS 7001</w:t>
            </w:r>
          </w:p>
        </w:tc>
      </w:tr>
      <w:tr w:rsidR="00685ED6" w:rsidRPr="00033005" w14:paraId="2B47998E" w14:textId="77777777" w:rsidTr="008A5ACA">
        <w:tc>
          <w:tcPr>
            <w:tcW w:w="988" w:type="dxa"/>
            <w:shd w:val="clear" w:color="auto" w:fill="auto"/>
          </w:tcPr>
          <w:p w14:paraId="7489685D" w14:textId="1706765C" w:rsidR="00685ED6" w:rsidRPr="00033005" w:rsidRDefault="00685ED6" w:rsidP="008A5ACA">
            <w:pPr>
              <w:jc w:val="center"/>
              <w:textAlignment w:val="baseline"/>
              <w:rPr>
                <w:rFonts w:ascii="Arial Narrow" w:hAnsi="Arial Narrow" w:cs="Open Sans"/>
                <w:color w:val="333333"/>
                <w:sz w:val="18"/>
                <w:szCs w:val="18"/>
              </w:rPr>
            </w:pPr>
          </w:p>
        </w:tc>
        <w:tc>
          <w:tcPr>
            <w:tcW w:w="8221" w:type="dxa"/>
            <w:shd w:val="clear" w:color="auto" w:fill="auto"/>
          </w:tcPr>
          <w:p w14:paraId="5675B271" w14:textId="77777777" w:rsidR="00685ED6" w:rsidRPr="00BF0D4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b/>
                <w:bCs/>
                <w:color w:val="333333"/>
                <w:sz w:val="18"/>
                <w:szCs w:val="18"/>
                <w:bdr w:val="none" w:sz="0" w:space="0" w:color="auto" w:frame="1"/>
              </w:rPr>
              <w:t>Administrative Advice:</w:t>
            </w:r>
          </w:p>
          <w:p w14:paraId="7C4B8039" w14:textId="62758D42" w:rsidR="00685ED6" w:rsidRDefault="00685ED6" w:rsidP="008A5ACA">
            <w:pPr>
              <w:ind w:left="-57"/>
              <w:textAlignment w:val="baseline"/>
              <w:rPr>
                <w:rFonts w:ascii="Arial Narrow" w:hAnsi="Arial Narrow" w:cs="Open Sans"/>
                <w:color w:val="333333"/>
                <w:sz w:val="18"/>
                <w:szCs w:val="18"/>
              </w:rPr>
            </w:pPr>
            <w:r w:rsidRPr="00BF0D46">
              <w:rPr>
                <w:rFonts w:ascii="Arial Narrow" w:hAnsi="Arial Narrow" w:cs="Open Sans"/>
                <w:color w:val="333333"/>
                <w:sz w:val="18"/>
                <w:szCs w:val="18"/>
              </w:rPr>
              <w:t>An appropriate amount of drug (maximum quantity in units)</w:t>
            </w:r>
            <w:r>
              <w:rPr>
                <w:rFonts w:ascii="Arial Narrow" w:hAnsi="Arial Narrow" w:cs="Open Sans"/>
                <w:color w:val="333333"/>
                <w:sz w:val="18"/>
                <w:szCs w:val="18"/>
              </w:rPr>
              <w:t xml:space="preserve"> for this treatment phase listing (approximately 13 weeks of treatment, which equates to at least </w:t>
            </w:r>
            <w:proofErr w:type="gramStart"/>
            <w:r>
              <w:rPr>
                <w:rFonts w:ascii="Arial Narrow" w:hAnsi="Arial Narrow" w:cs="Open Sans"/>
                <w:color w:val="333333"/>
                <w:sz w:val="18"/>
                <w:szCs w:val="18"/>
              </w:rPr>
              <w:t>12</w:t>
            </w:r>
            <w:proofErr w:type="gramEnd"/>
            <w:r>
              <w:rPr>
                <w:rFonts w:ascii="Arial Narrow" w:hAnsi="Arial Narrow" w:cs="Open Sans"/>
                <w:color w:val="333333"/>
                <w:sz w:val="18"/>
                <w:szCs w:val="18"/>
              </w:rPr>
              <w:t xml:space="preserve"> doses) per dispensing for various patient weight ranges, is outlined below:</w:t>
            </w:r>
          </w:p>
          <w:p w14:paraId="77830F7A" w14:textId="77777777" w:rsidR="00685ED6" w:rsidRDefault="00685ED6" w:rsidP="008A5ACA">
            <w:pPr>
              <w:ind w:left="-57"/>
              <w:textAlignment w:val="baseline"/>
              <w:rPr>
                <w:rFonts w:ascii="Arial Narrow" w:hAnsi="Arial Narrow" w:cs="Open Sans"/>
                <w:color w:val="333333"/>
                <w:sz w:val="18"/>
                <w:szCs w:val="18"/>
              </w:rPr>
            </w:pPr>
          </w:p>
          <w:p w14:paraId="79F5B66D" w14:textId="77777777"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5 mg strength presentation:</w:t>
            </w:r>
          </w:p>
          <w:p w14:paraId="62645E38" w14:textId="77777777"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Below 10 kg: up to </w:t>
            </w:r>
            <w:proofErr w:type="gramStart"/>
            <w:r>
              <w:rPr>
                <w:rFonts w:ascii="Arial Narrow" w:hAnsi="Arial Narrow" w:cs="Open Sans"/>
                <w:color w:val="333333"/>
                <w:sz w:val="18"/>
                <w:szCs w:val="18"/>
              </w:rPr>
              <w:t>4</w:t>
            </w:r>
            <w:proofErr w:type="gramEnd"/>
            <w:r>
              <w:rPr>
                <w:rFonts w:ascii="Arial Narrow" w:hAnsi="Arial Narrow" w:cs="Open Sans"/>
                <w:color w:val="333333"/>
                <w:sz w:val="18"/>
                <w:szCs w:val="18"/>
              </w:rPr>
              <w:t xml:space="preserve"> units</w:t>
            </w:r>
          </w:p>
          <w:p w14:paraId="3F7F7677" w14:textId="34792F36"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10 to 12 kg: up to </w:t>
            </w:r>
            <w:proofErr w:type="gramStart"/>
            <w:r>
              <w:rPr>
                <w:rFonts w:ascii="Arial Narrow" w:hAnsi="Arial Narrow" w:cs="Open Sans"/>
                <w:color w:val="333333"/>
                <w:sz w:val="18"/>
                <w:szCs w:val="18"/>
              </w:rPr>
              <w:t>7</w:t>
            </w:r>
            <w:proofErr w:type="gramEnd"/>
            <w:r>
              <w:rPr>
                <w:rFonts w:ascii="Arial Narrow" w:hAnsi="Arial Narrow" w:cs="Open Sans"/>
                <w:color w:val="333333"/>
                <w:sz w:val="18"/>
                <w:szCs w:val="18"/>
              </w:rPr>
              <w:t xml:space="preserve"> units</w:t>
            </w:r>
          </w:p>
          <w:p w14:paraId="17F09131" w14:textId="77777777" w:rsidR="00685ED6" w:rsidRDefault="00685ED6" w:rsidP="008A5ACA">
            <w:pPr>
              <w:ind w:left="-57"/>
              <w:textAlignment w:val="baseline"/>
              <w:rPr>
                <w:rFonts w:ascii="Arial Narrow" w:hAnsi="Arial Narrow" w:cs="Open Sans"/>
                <w:color w:val="333333"/>
                <w:sz w:val="18"/>
                <w:szCs w:val="18"/>
              </w:rPr>
            </w:pPr>
          </w:p>
          <w:p w14:paraId="02FED61A" w14:textId="77777777"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10 mg strength presentation:</w:t>
            </w:r>
          </w:p>
          <w:p w14:paraId="056859FF" w14:textId="77777777"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Below 10 kg: up to </w:t>
            </w:r>
            <w:proofErr w:type="gramStart"/>
            <w:r>
              <w:rPr>
                <w:rFonts w:ascii="Arial Narrow" w:hAnsi="Arial Narrow" w:cs="Open Sans"/>
                <w:color w:val="333333"/>
                <w:sz w:val="18"/>
                <w:szCs w:val="18"/>
              </w:rPr>
              <w:t>2</w:t>
            </w:r>
            <w:proofErr w:type="gramEnd"/>
            <w:r>
              <w:rPr>
                <w:rFonts w:ascii="Arial Narrow" w:hAnsi="Arial Narrow" w:cs="Open Sans"/>
                <w:color w:val="333333"/>
                <w:sz w:val="18"/>
                <w:szCs w:val="18"/>
              </w:rPr>
              <w:t xml:space="preserve"> units</w:t>
            </w:r>
          </w:p>
          <w:p w14:paraId="0F51481C" w14:textId="00C85E1A"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10 to 16 kg: up to </w:t>
            </w:r>
            <w:proofErr w:type="gramStart"/>
            <w:r>
              <w:rPr>
                <w:rFonts w:ascii="Arial Narrow" w:hAnsi="Arial Narrow" w:cs="Open Sans"/>
                <w:color w:val="333333"/>
                <w:sz w:val="18"/>
                <w:szCs w:val="18"/>
              </w:rPr>
              <w:t>3</w:t>
            </w:r>
            <w:proofErr w:type="gramEnd"/>
            <w:r>
              <w:rPr>
                <w:rFonts w:ascii="Arial Narrow" w:hAnsi="Arial Narrow" w:cs="Open Sans"/>
                <w:color w:val="333333"/>
                <w:sz w:val="18"/>
                <w:szCs w:val="18"/>
              </w:rPr>
              <w:t xml:space="preserve"> units</w:t>
            </w:r>
          </w:p>
          <w:p w14:paraId="3C4814AF" w14:textId="10F592A3"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16 to 21 kg: up to </w:t>
            </w:r>
            <w:proofErr w:type="gramStart"/>
            <w:r>
              <w:rPr>
                <w:rFonts w:ascii="Arial Narrow" w:hAnsi="Arial Narrow" w:cs="Open Sans"/>
                <w:color w:val="333333"/>
                <w:sz w:val="18"/>
                <w:szCs w:val="18"/>
              </w:rPr>
              <w:t>4</w:t>
            </w:r>
            <w:proofErr w:type="gramEnd"/>
            <w:r>
              <w:rPr>
                <w:rFonts w:ascii="Arial Narrow" w:hAnsi="Arial Narrow" w:cs="Open Sans"/>
                <w:color w:val="333333"/>
                <w:sz w:val="18"/>
                <w:szCs w:val="18"/>
              </w:rPr>
              <w:t xml:space="preserve"> units</w:t>
            </w:r>
          </w:p>
          <w:p w14:paraId="344E42D9" w14:textId="093DC489"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21 to 25 kg: up to </w:t>
            </w:r>
            <w:proofErr w:type="gramStart"/>
            <w:r>
              <w:rPr>
                <w:rFonts w:ascii="Arial Narrow" w:hAnsi="Arial Narrow" w:cs="Open Sans"/>
                <w:color w:val="333333"/>
                <w:sz w:val="18"/>
                <w:szCs w:val="18"/>
              </w:rPr>
              <w:t>6</w:t>
            </w:r>
            <w:proofErr w:type="gramEnd"/>
            <w:r>
              <w:rPr>
                <w:rFonts w:ascii="Arial Narrow" w:hAnsi="Arial Narrow" w:cs="Open Sans"/>
                <w:color w:val="333333"/>
                <w:sz w:val="18"/>
                <w:szCs w:val="18"/>
              </w:rPr>
              <w:t xml:space="preserve"> units</w:t>
            </w:r>
          </w:p>
          <w:p w14:paraId="396742B8" w14:textId="77777777" w:rsidR="00685ED6" w:rsidRDefault="00685ED6" w:rsidP="008A5ACA">
            <w:pPr>
              <w:ind w:left="-57"/>
              <w:textAlignment w:val="baseline"/>
              <w:rPr>
                <w:rFonts w:ascii="Arial Narrow" w:hAnsi="Arial Narrow" w:cs="Open Sans"/>
                <w:color w:val="333333"/>
                <w:sz w:val="18"/>
                <w:szCs w:val="18"/>
              </w:rPr>
            </w:pPr>
          </w:p>
          <w:p w14:paraId="4977560C" w14:textId="77777777"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15 mg strength presentation:</w:t>
            </w:r>
          </w:p>
          <w:p w14:paraId="022CF5F6" w14:textId="509DE60B" w:rsidR="00685ED6" w:rsidRDefault="00685ED6" w:rsidP="00057FEC">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Below 16 kg: up to </w:t>
            </w:r>
            <w:proofErr w:type="gramStart"/>
            <w:r>
              <w:rPr>
                <w:rFonts w:ascii="Arial Narrow" w:hAnsi="Arial Narrow" w:cs="Open Sans"/>
                <w:color w:val="333333"/>
                <w:sz w:val="18"/>
                <w:szCs w:val="18"/>
              </w:rPr>
              <w:t>2</w:t>
            </w:r>
            <w:proofErr w:type="gramEnd"/>
            <w:r>
              <w:rPr>
                <w:rFonts w:ascii="Arial Narrow" w:hAnsi="Arial Narrow" w:cs="Open Sans"/>
                <w:color w:val="333333"/>
                <w:sz w:val="18"/>
                <w:szCs w:val="18"/>
              </w:rPr>
              <w:t xml:space="preserve"> units</w:t>
            </w:r>
          </w:p>
          <w:p w14:paraId="11E48B8D" w14:textId="2DB40675"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16 to 24 kg: up to </w:t>
            </w:r>
            <w:proofErr w:type="gramStart"/>
            <w:r>
              <w:rPr>
                <w:rFonts w:ascii="Arial Narrow" w:hAnsi="Arial Narrow" w:cs="Open Sans"/>
                <w:color w:val="333333"/>
                <w:sz w:val="18"/>
                <w:szCs w:val="18"/>
              </w:rPr>
              <w:t>3</w:t>
            </w:r>
            <w:proofErr w:type="gramEnd"/>
            <w:r>
              <w:rPr>
                <w:rFonts w:ascii="Arial Narrow" w:hAnsi="Arial Narrow" w:cs="Open Sans"/>
                <w:color w:val="333333"/>
                <w:sz w:val="18"/>
                <w:szCs w:val="18"/>
              </w:rPr>
              <w:t xml:space="preserve"> units</w:t>
            </w:r>
          </w:p>
          <w:p w14:paraId="07CA6803" w14:textId="37F2C5A1"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24 to 32 kg: up to </w:t>
            </w:r>
            <w:proofErr w:type="gramStart"/>
            <w:r>
              <w:rPr>
                <w:rFonts w:ascii="Arial Narrow" w:hAnsi="Arial Narrow" w:cs="Open Sans"/>
                <w:color w:val="333333"/>
                <w:sz w:val="18"/>
                <w:szCs w:val="18"/>
              </w:rPr>
              <w:t>4</w:t>
            </w:r>
            <w:proofErr w:type="gramEnd"/>
            <w:r>
              <w:rPr>
                <w:rFonts w:ascii="Arial Narrow" w:hAnsi="Arial Narrow" w:cs="Open Sans"/>
                <w:color w:val="333333"/>
                <w:sz w:val="18"/>
                <w:szCs w:val="18"/>
              </w:rPr>
              <w:t xml:space="preserve"> units</w:t>
            </w:r>
          </w:p>
          <w:p w14:paraId="7B04DFA7" w14:textId="19AEDBCF" w:rsidR="00685ED6"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32 to 47 kg: up to </w:t>
            </w:r>
            <w:proofErr w:type="gramStart"/>
            <w:r>
              <w:rPr>
                <w:rFonts w:ascii="Arial Narrow" w:hAnsi="Arial Narrow" w:cs="Open Sans"/>
                <w:color w:val="333333"/>
                <w:sz w:val="18"/>
                <w:szCs w:val="18"/>
              </w:rPr>
              <w:t>6</w:t>
            </w:r>
            <w:proofErr w:type="gramEnd"/>
            <w:r>
              <w:rPr>
                <w:rFonts w:ascii="Arial Narrow" w:hAnsi="Arial Narrow" w:cs="Open Sans"/>
                <w:color w:val="333333"/>
                <w:sz w:val="18"/>
                <w:szCs w:val="18"/>
              </w:rPr>
              <w:t xml:space="preserve"> units</w:t>
            </w:r>
          </w:p>
          <w:p w14:paraId="0504FC16" w14:textId="64335C5A" w:rsidR="00685ED6" w:rsidRPr="00033005" w:rsidRDefault="00685ED6" w:rsidP="008A5ACA">
            <w:pPr>
              <w:ind w:left="-57"/>
              <w:textAlignment w:val="baseline"/>
              <w:rPr>
                <w:rFonts w:ascii="Arial Narrow" w:hAnsi="Arial Narrow" w:cs="Open Sans"/>
                <w:color w:val="333333"/>
                <w:sz w:val="18"/>
                <w:szCs w:val="18"/>
              </w:rPr>
            </w:pPr>
            <w:r>
              <w:rPr>
                <w:rFonts w:ascii="Arial Narrow" w:hAnsi="Arial Narrow" w:cs="Open Sans"/>
                <w:color w:val="333333"/>
                <w:sz w:val="18"/>
                <w:szCs w:val="18"/>
              </w:rPr>
              <w:t xml:space="preserve">47 kg and beyond: up to </w:t>
            </w:r>
            <w:proofErr w:type="gramStart"/>
            <w:r>
              <w:rPr>
                <w:rFonts w:ascii="Arial Narrow" w:hAnsi="Arial Narrow" w:cs="Open Sans"/>
                <w:color w:val="333333"/>
                <w:sz w:val="18"/>
                <w:szCs w:val="18"/>
              </w:rPr>
              <w:t>6</w:t>
            </w:r>
            <w:proofErr w:type="gramEnd"/>
            <w:r>
              <w:rPr>
                <w:rFonts w:ascii="Arial Narrow" w:hAnsi="Arial Narrow" w:cs="Open Sans"/>
                <w:color w:val="333333"/>
                <w:sz w:val="18"/>
                <w:szCs w:val="18"/>
              </w:rPr>
              <w:t xml:space="preserve"> units, plus up to 2 units of the 10 mg strength presentation </w:t>
            </w:r>
          </w:p>
        </w:tc>
      </w:tr>
    </w:tbl>
    <w:p w14:paraId="74DAB3F3" w14:textId="77777777" w:rsidR="00685ED6" w:rsidRPr="00033005" w:rsidRDefault="00685ED6" w:rsidP="00685ED6">
      <w:pPr>
        <w:rPr>
          <w:vanish/>
        </w:rPr>
      </w:pPr>
    </w:p>
    <w:tbl>
      <w:tblPr>
        <w:tblStyle w:val="TableGrid"/>
        <w:tblW w:w="9209" w:type="dxa"/>
        <w:tblLook w:val="04A0" w:firstRow="1" w:lastRow="0" w:firstColumn="1" w:lastColumn="0" w:noHBand="0" w:noVBand="1"/>
      </w:tblPr>
      <w:tblGrid>
        <w:gridCol w:w="988"/>
        <w:gridCol w:w="8221"/>
      </w:tblGrid>
      <w:tr w:rsidR="00685ED6" w:rsidRPr="00033005" w14:paraId="07FB7CEA" w14:textId="77777777" w:rsidTr="008A5ACA">
        <w:tc>
          <w:tcPr>
            <w:tcW w:w="988" w:type="dxa"/>
          </w:tcPr>
          <w:p w14:paraId="0536698B" w14:textId="77777777" w:rsidR="00685ED6" w:rsidRPr="00033005" w:rsidRDefault="00685ED6" w:rsidP="008A5ACA">
            <w:pPr>
              <w:textAlignment w:val="baseline"/>
              <w:rPr>
                <w:rFonts w:ascii="Arial Narrow" w:hAnsi="Arial Narrow" w:cs="Open Sans"/>
                <w:color w:val="333333"/>
                <w:sz w:val="18"/>
                <w:szCs w:val="18"/>
              </w:rPr>
            </w:pPr>
          </w:p>
        </w:tc>
        <w:tc>
          <w:tcPr>
            <w:tcW w:w="8221" w:type="dxa"/>
          </w:tcPr>
          <w:p w14:paraId="137B9B24" w14:textId="77777777" w:rsidR="00685ED6" w:rsidRPr="00033005"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033005" w14:paraId="14FC7B2A" w14:textId="77777777" w:rsidTr="008A5ACA">
        <w:tc>
          <w:tcPr>
            <w:tcW w:w="9209" w:type="dxa"/>
            <w:gridSpan w:val="2"/>
          </w:tcPr>
          <w:p w14:paraId="55F3BF66" w14:textId="77777777" w:rsidR="00685ED6" w:rsidRDefault="00685ED6" w:rsidP="008A5ACA">
            <w:pPr>
              <w:textAlignment w:val="baseline"/>
              <w:rPr>
                <w:rFonts w:ascii="Arial Narrow" w:hAnsi="Arial Narrow" w:cs="Open Sans"/>
                <w:b/>
                <w:bCs/>
                <w:color w:val="333333"/>
                <w:sz w:val="18"/>
                <w:szCs w:val="18"/>
                <w:bdr w:val="none" w:sz="0" w:space="0" w:color="auto" w:frame="1"/>
              </w:rPr>
            </w:pPr>
            <w:r w:rsidRPr="00033005">
              <w:rPr>
                <w:rFonts w:ascii="Arial Narrow" w:hAnsi="Arial Narrow" w:cs="Open Sans"/>
                <w:b/>
                <w:bCs/>
                <w:color w:val="333333"/>
                <w:sz w:val="18"/>
                <w:szCs w:val="18"/>
                <w:bdr w:val="none" w:sz="0" w:space="0" w:color="auto" w:frame="1"/>
              </w:rPr>
              <w:t>Restriction Summary 13286 / ToC: 13311: Authority Required</w:t>
            </w:r>
          </w:p>
          <w:p w14:paraId="03029436" w14:textId="77777777" w:rsidR="00685ED6" w:rsidRPr="00033005"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033005" w14:paraId="35D5E96E" w14:textId="77777777" w:rsidTr="00F527AB">
        <w:tc>
          <w:tcPr>
            <w:tcW w:w="988" w:type="dxa"/>
          </w:tcPr>
          <w:p w14:paraId="350DBFCB" w14:textId="6DF76BE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B83AEC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Indication:</w:t>
            </w:r>
            <w:r>
              <w:rPr>
                <w:rFonts w:ascii="Arial Narrow" w:hAnsi="Arial Narrow" w:cs="Open Sans"/>
                <w:color w:val="333333"/>
                <w:sz w:val="18"/>
                <w:szCs w:val="18"/>
              </w:rPr>
              <w:t xml:space="preserve"> </w:t>
            </w:r>
            <w:r w:rsidRPr="00033005">
              <w:rPr>
                <w:rFonts w:ascii="Arial Narrow" w:hAnsi="Arial Narrow" w:cs="Open Sans"/>
                <w:color w:val="333333"/>
                <w:sz w:val="18"/>
                <w:szCs w:val="18"/>
              </w:rPr>
              <w:t>Short stature associated with biochemical growth hormone deficiency</w:t>
            </w:r>
          </w:p>
        </w:tc>
      </w:tr>
      <w:tr w:rsidR="00685ED6" w:rsidRPr="00033005" w14:paraId="61D188AD" w14:textId="77777777" w:rsidTr="008A5ACA">
        <w:tc>
          <w:tcPr>
            <w:tcW w:w="988" w:type="dxa"/>
          </w:tcPr>
          <w:p w14:paraId="6A68FDA5"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58D7973B"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3C3E9F3C" w14:textId="77777777" w:rsidTr="00F527AB">
        <w:tc>
          <w:tcPr>
            <w:tcW w:w="988" w:type="dxa"/>
          </w:tcPr>
          <w:p w14:paraId="3E75314F"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30F1831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033005">
              <w:rPr>
                <w:rFonts w:ascii="Arial Narrow" w:hAnsi="Arial Narrow" w:cs="Open Sans"/>
                <w:color w:val="333333"/>
                <w:sz w:val="18"/>
                <w:szCs w:val="18"/>
              </w:rPr>
              <w:t>Continuing treatment</w:t>
            </w:r>
          </w:p>
        </w:tc>
      </w:tr>
      <w:tr w:rsidR="00685ED6" w:rsidRPr="00033005" w14:paraId="0FBC93AC" w14:textId="77777777" w:rsidTr="008A5ACA">
        <w:tc>
          <w:tcPr>
            <w:tcW w:w="988" w:type="dxa"/>
          </w:tcPr>
          <w:p w14:paraId="496F9C22" w14:textId="77777777" w:rsidR="00685ED6" w:rsidRPr="00033005" w:rsidRDefault="00685ED6" w:rsidP="008A5ACA">
            <w:pPr>
              <w:jc w:val="center"/>
              <w:rPr>
                <w:rFonts w:ascii="Arial Narrow" w:hAnsi="Arial Narrow" w:cs="Open Sans"/>
                <w:color w:val="333333"/>
                <w:sz w:val="18"/>
                <w:szCs w:val="18"/>
              </w:rPr>
            </w:pPr>
          </w:p>
        </w:tc>
        <w:tc>
          <w:tcPr>
            <w:tcW w:w="8221" w:type="dxa"/>
          </w:tcPr>
          <w:p w14:paraId="59C5AE4D"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75050C08" w14:textId="77777777" w:rsidTr="00F527AB">
        <w:tc>
          <w:tcPr>
            <w:tcW w:w="988" w:type="dxa"/>
          </w:tcPr>
          <w:p w14:paraId="5079DCD7" w14:textId="47F37DD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E19F62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0B31348C" w14:textId="77777777" w:rsidTr="00F527AB">
        <w:tc>
          <w:tcPr>
            <w:tcW w:w="988" w:type="dxa"/>
          </w:tcPr>
          <w:p w14:paraId="5DAB9567" w14:textId="63309EB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A8F6C0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continuing PBS-subsidised therapy with this drug - subsidy through this treatment phase must not: (i) initiate treatment, (ii) change the prescribed drug, (iii) recommence treatment, (iv) reclassify the PBS indication</w:t>
            </w:r>
          </w:p>
        </w:tc>
      </w:tr>
      <w:tr w:rsidR="00685ED6" w:rsidRPr="00033005" w14:paraId="3B7ECD70" w14:textId="77777777" w:rsidTr="008A5ACA">
        <w:tc>
          <w:tcPr>
            <w:tcW w:w="988" w:type="dxa"/>
          </w:tcPr>
          <w:p w14:paraId="79B9A211"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618B63C1" w14:textId="77777777" w:rsidR="00685ED6" w:rsidRPr="00033005" w:rsidRDefault="00685ED6" w:rsidP="008A5ACA">
            <w:pPr>
              <w:ind w:left="-57"/>
              <w:rPr>
                <w:rFonts w:ascii="Arial Narrow" w:hAnsi="Arial Narrow" w:cs="Open Sans"/>
                <w:color w:val="333333"/>
                <w:sz w:val="18"/>
                <w:szCs w:val="18"/>
              </w:rPr>
            </w:pPr>
          </w:p>
        </w:tc>
      </w:tr>
      <w:tr w:rsidR="00685ED6" w:rsidRPr="00033005" w14:paraId="05F678FA" w14:textId="77777777" w:rsidTr="00F527AB">
        <w:tc>
          <w:tcPr>
            <w:tcW w:w="988" w:type="dxa"/>
          </w:tcPr>
          <w:p w14:paraId="0A9C11DD" w14:textId="5B45AFF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0660C6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5552DE0E" w14:textId="77777777" w:rsidTr="00F527AB">
        <w:tc>
          <w:tcPr>
            <w:tcW w:w="988" w:type="dxa"/>
          </w:tcPr>
          <w:p w14:paraId="5B8BD314" w14:textId="1B7D712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E2D9251"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achieved the 50th percentile growth velocity for bone age plus sex following the most recent supply; or</w:t>
            </w:r>
          </w:p>
        </w:tc>
      </w:tr>
      <w:tr w:rsidR="00685ED6" w:rsidRPr="00033005" w14:paraId="75913067" w14:textId="77777777" w:rsidTr="00F527AB">
        <w:tc>
          <w:tcPr>
            <w:tcW w:w="988" w:type="dxa"/>
          </w:tcPr>
          <w:p w14:paraId="671D9481" w14:textId="3669A7E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4D6F566"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achieved an increase in height standard deviation score for chronological age plus sex following the most recent supply; or</w:t>
            </w:r>
          </w:p>
        </w:tc>
      </w:tr>
      <w:tr w:rsidR="00685ED6" w:rsidRPr="00033005" w14:paraId="5B24DC96" w14:textId="77777777" w:rsidTr="00F527AB">
        <w:tc>
          <w:tcPr>
            <w:tcW w:w="988" w:type="dxa"/>
          </w:tcPr>
          <w:p w14:paraId="5DFAE46A" w14:textId="0E5B032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D19A03A"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achieved a minimum growth velocity of 4 cm per year following the most recent </w:t>
            </w:r>
            <w:proofErr w:type="gramStart"/>
            <w:r w:rsidRPr="00033005">
              <w:rPr>
                <w:rFonts w:ascii="Arial Narrow" w:hAnsi="Arial Narrow" w:cs="Open Sans"/>
                <w:color w:val="333333"/>
                <w:sz w:val="18"/>
                <w:szCs w:val="18"/>
              </w:rPr>
              <w:t>supply;</w:t>
            </w:r>
            <w:proofErr w:type="gramEnd"/>
            <w:r w:rsidRPr="00033005">
              <w:rPr>
                <w:rFonts w:ascii="Arial Narrow" w:hAnsi="Arial Narrow" w:cs="Open Sans"/>
                <w:color w:val="333333"/>
                <w:sz w:val="18"/>
                <w:szCs w:val="18"/>
              </w:rPr>
              <w:t xml:space="preserve"> or</w:t>
            </w:r>
          </w:p>
        </w:tc>
      </w:tr>
      <w:tr w:rsidR="00685ED6" w:rsidRPr="00033005" w14:paraId="74A6245D" w14:textId="77777777" w:rsidTr="00F527AB">
        <w:tc>
          <w:tcPr>
            <w:tcW w:w="988" w:type="dxa"/>
          </w:tcPr>
          <w:p w14:paraId="302F48B9" w14:textId="549434B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105C012"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achieved a mid-parental height standard deviation score following the most recent supply; or</w:t>
            </w:r>
          </w:p>
        </w:tc>
      </w:tr>
      <w:tr w:rsidR="00685ED6" w:rsidRPr="00033005" w14:paraId="27DC3538" w14:textId="77777777" w:rsidTr="00F527AB">
        <w:tc>
          <w:tcPr>
            <w:tcW w:w="988" w:type="dxa"/>
          </w:tcPr>
          <w:p w14:paraId="24CDFBF9" w14:textId="54B7835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D48406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The treatment must have </w:t>
            </w:r>
            <w:proofErr w:type="gramStart"/>
            <w:r w:rsidRPr="00033005">
              <w:rPr>
                <w:rFonts w:ascii="Arial Narrow" w:hAnsi="Arial Narrow" w:cs="Open Sans"/>
                <w:color w:val="333333"/>
                <w:sz w:val="18"/>
                <w:szCs w:val="18"/>
              </w:rPr>
              <w:t>been administered</w:t>
            </w:r>
            <w:proofErr w:type="gramEnd"/>
            <w:r w:rsidRPr="00033005">
              <w:rPr>
                <w:rFonts w:ascii="Arial Narrow" w:hAnsi="Arial Narrow" w:cs="Open Sans"/>
                <w:color w:val="333333"/>
                <w:sz w:val="18"/>
                <w:szCs w:val="18"/>
              </w:rPr>
              <w:t xml:space="preserve"> at a dose that is lower than that recommended in the approved Product Information in the most recent supply</w:t>
            </w:r>
          </w:p>
        </w:tc>
      </w:tr>
      <w:tr w:rsidR="00685ED6" w:rsidRPr="00033005" w14:paraId="6B3B7B3C" w14:textId="77777777" w:rsidTr="00F527AB">
        <w:tc>
          <w:tcPr>
            <w:tcW w:w="988" w:type="dxa"/>
          </w:tcPr>
          <w:p w14:paraId="45F271D8"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010656C5"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3FD45E41" w14:textId="77777777" w:rsidTr="00F527AB">
        <w:tc>
          <w:tcPr>
            <w:tcW w:w="988" w:type="dxa"/>
          </w:tcPr>
          <w:p w14:paraId="63F3AB6D" w14:textId="1F3643D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60458E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7B5D2FCB" w14:textId="77777777" w:rsidTr="00F527AB">
        <w:tc>
          <w:tcPr>
            <w:tcW w:w="988" w:type="dxa"/>
          </w:tcPr>
          <w:p w14:paraId="5130BB81" w14:textId="7FD4B75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596202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033005" w14:paraId="31177D92" w14:textId="77777777" w:rsidTr="00F527AB">
        <w:tc>
          <w:tcPr>
            <w:tcW w:w="988" w:type="dxa"/>
          </w:tcPr>
          <w:p w14:paraId="40FF6998"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2182C6F6"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1AB22260" w14:textId="77777777" w:rsidTr="00F527AB">
        <w:tc>
          <w:tcPr>
            <w:tcW w:w="988" w:type="dxa"/>
          </w:tcPr>
          <w:p w14:paraId="6D391856" w14:textId="1E8B501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267945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680528B6" w14:textId="77777777" w:rsidTr="00F527AB">
        <w:tc>
          <w:tcPr>
            <w:tcW w:w="988" w:type="dxa"/>
          </w:tcPr>
          <w:p w14:paraId="3EDD77C5" w14:textId="618C4C0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1489190"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an active tumour or evidence of tumour growth or activity</w:t>
            </w:r>
          </w:p>
        </w:tc>
      </w:tr>
      <w:tr w:rsidR="00685ED6" w:rsidRPr="00033005" w14:paraId="6596F010" w14:textId="77777777" w:rsidTr="00F527AB">
        <w:tc>
          <w:tcPr>
            <w:tcW w:w="988" w:type="dxa"/>
          </w:tcPr>
          <w:p w14:paraId="28F7C16F"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3C487B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2F513B03" w14:textId="77777777" w:rsidTr="00F527AB">
        <w:tc>
          <w:tcPr>
            <w:tcW w:w="988" w:type="dxa"/>
          </w:tcPr>
          <w:p w14:paraId="6A847053" w14:textId="5E4CD7C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5D60A2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6E9D248C" w14:textId="77777777" w:rsidTr="00F527AB">
        <w:tc>
          <w:tcPr>
            <w:tcW w:w="988" w:type="dxa"/>
          </w:tcPr>
          <w:p w14:paraId="5A51B3D6" w14:textId="44FE81C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B6CF91A"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bone age of 15.5 years or more; or</w:t>
            </w:r>
          </w:p>
        </w:tc>
      </w:tr>
      <w:tr w:rsidR="00685ED6" w:rsidRPr="00033005" w14:paraId="1FA97E73" w14:textId="77777777" w:rsidTr="00F527AB">
        <w:tc>
          <w:tcPr>
            <w:tcW w:w="988" w:type="dxa"/>
          </w:tcPr>
          <w:p w14:paraId="1D90015A" w14:textId="72C46CC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890A22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bone age of 13.5 years or more</w:t>
            </w:r>
          </w:p>
        </w:tc>
      </w:tr>
      <w:tr w:rsidR="00685ED6" w:rsidRPr="00033005" w14:paraId="128FD2F1" w14:textId="77777777" w:rsidTr="008A5ACA">
        <w:tc>
          <w:tcPr>
            <w:tcW w:w="988" w:type="dxa"/>
          </w:tcPr>
          <w:p w14:paraId="4464B1CE"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6606163B" w14:textId="77777777" w:rsidR="00685ED6" w:rsidRPr="00033005" w:rsidRDefault="00685ED6" w:rsidP="008A5ACA">
            <w:pPr>
              <w:ind w:left="-57"/>
              <w:rPr>
                <w:rFonts w:ascii="Arial Narrow" w:hAnsi="Arial Narrow" w:cs="Open Sans"/>
                <w:color w:val="333333"/>
                <w:sz w:val="18"/>
                <w:szCs w:val="18"/>
              </w:rPr>
            </w:pPr>
          </w:p>
        </w:tc>
      </w:tr>
      <w:tr w:rsidR="00685ED6" w:rsidRPr="00033005" w14:paraId="5481787C" w14:textId="77777777" w:rsidTr="00F527AB">
        <w:tc>
          <w:tcPr>
            <w:tcW w:w="988" w:type="dxa"/>
          </w:tcPr>
          <w:p w14:paraId="329C248B" w14:textId="748DF9D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B32BCC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6C374F9A" w14:textId="77777777" w:rsidTr="00F527AB">
        <w:tc>
          <w:tcPr>
            <w:tcW w:w="988" w:type="dxa"/>
          </w:tcPr>
          <w:p w14:paraId="05F8047E" w14:textId="05B5939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6D1084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treatment for the stated indication with only one growth hormone at any given time</w:t>
            </w:r>
          </w:p>
        </w:tc>
      </w:tr>
      <w:tr w:rsidR="00685ED6" w:rsidRPr="00033005" w14:paraId="4D8AAC26" w14:textId="77777777" w:rsidTr="008A5ACA">
        <w:tc>
          <w:tcPr>
            <w:tcW w:w="988" w:type="dxa"/>
          </w:tcPr>
          <w:p w14:paraId="20F5AF8C"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0C5C5738" w14:textId="77777777" w:rsidR="00685ED6" w:rsidRPr="00033005" w:rsidRDefault="00685ED6" w:rsidP="008A5ACA">
            <w:pPr>
              <w:ind w:left="-57"/>
              <w:rPr>
                <w:rFonts w:ascii="Arial Narrow" w:hAnsi="Arial Narrow" w:cs="Open Sans"/>
                <w:color w:val="333333"/>
                <w:sz w:val="18"/>
                <w:szCs w:val="18"/>
              </w:rPr>
            </w:pPr>
          </w:p>
        </w:tc>
      </w:tr>
      <w:tr w:rsidR="00685ED6" w:rsidRPr="00033005" w14:paraId="7C203F0D" w14:textId="77777777" w:rsidTr="00F527AB">
        <w:tc>
          <w:tcPr>
            <w:tcW w:w="988" w:type="dxa"/>
          </w:tcPr>
          <w:p w14:paraId="4B24E7A8" w14:textId="21EB67B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1D7EA4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334476B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Applications for authorisation under this treatment phase must </w:t>
            </w:r>
            <w:proofErr w:type="gramStart"/>
            <w:r w:rsidRPr="00033005">
              <w:rPr>
                <w:rFonts w:ascii="Arial Narrow" w:hAnsi="Arial Narrow" w:cs="Open Sans"/>
                <w:color w:val="333333"/>
                <w:sz w:val="18"/>
                <w:szCs w:val="18"/>
              </w:rPr>
              <w:t>be made</w:t>
            </w:r>
            <w:proofErr w:type="gramEnd"/>
            <w:r w:rsidRPr="00033005">
              <w:rPr>
                <w:rFonts w:ascii="Arial Narrow" w:hAnsi="Arial Narrow" w:cs="Open Sans"/>
                <w:color w:val="333333"/>
                <w:sz w:val="18"/>
                <w:szCs w:val="18"/>
              </w:rPr>
              <w:t xml:space="preserve"> via the Online PBS Authorities System (real time assessment) or in writing via HPOS form upload or mail and must include:</w:t>
            </w:r>
          </w:p>
          <w:p w14:paraId="648C510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1. Growth data (height and weight) for the most recent </w:t>
            </w:r>
            <w:proofErr w:type="gramStart"/>
            <w:r w:rsidRPr="00033005">
              <w:rPr>
                <w:rFonts w:ascii="Arial Narrow" w:hAnsi="Arial Narrow" w:cs="Open Sans"/>
                <w:color w:val="333333"/>
                <w:sz w:val="18"/>
                <w:szCs w:val="18"/>
              </w:rPr>
              <w:t>6 month</w:t>
            </w:r>
            <w:proofErr w:type="gramEnd"/>
            <w:r w:rsidRPr="00033005">
              <w:rPr>
                <w:rFonts w:ascii="Arial Narrow" w:hAnsi="Arial Narrow" w:cs="Open Sans"/>
                <w:color w:val="333333"/>
                <w:sz w:val="18"/>
                <w:szCs w:val="18"/>
              </w:rPr>
              <w:t xml:space="preserve"> treatment period, including data at both the start and end of the treatment period. The most recent data must not be older than three months.</w:t>
            </w:r>
          </w:p>
          <w:p w14:paraId="760C887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2. A bone age result performed within the last 12 months where the patient has a chronological age greater than 2.5 years.</w:t>
            </w:r>
          </w:p>
          <w:p w14:paraId="59DC867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3. The final adult height (in cm) of the patient's mother and father (where available).</w:t>
            </w:r>
          </w:p>
        </w:tc>
      </w:tr>
      <w:tr w:rsidR="00685ED6" w:rsidRPr="00033005" w14:paraId="42908E36" w14:textId="77777777" w:rsidTr="00F527AB">
        <w:tc>
          <w:tcPr>
            <w:tcW w:w="988" w:type="dxa"/>
          </w:tcPr>
          <w:p w14:paraId="2C6CC050" w14:textId="5EF68DE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31A8CE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0C9D9EC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If the application </w:t>
            </w:r>
            <w:proofErr w:type="gramStart"/>
            <w:r w:rsidRPr="00033005">
              <w:rPr>
                <w:rFonts w:ascii="Arial Narrow" w:hAnsi="Arial Narrow" w:cs="Open Sans"/>
                <w:color w:val="333333"/>
                <w:sz w:val="18"/>
                <w:szCs w:val="18"/>
              </w:rPr>
              <w:t>is submitted</w:t>
            </w:r>
            <w:proofErr w:type="gramEnd"/>
            <w:r w:rsidRPr="00033005">
              <w:rPr>
                <w:rFonts w:ascii="Arial Narrow" w:hAnsi="Arial Narrow" w:cs="Open Sans"/>
                <w:color w:val="333333"/>
                <w:sz w:val="18"/>
                <w:szCs w:val="18"/>
              </w:rPr>
              <w:t xml:space="preserve"> through HPOS form upload or mail, it must include:</w:t>
            </w:r>
          </w:p>
          <w:p w14:paraId="15E18FC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 A completed authority prescription form; and</w:t>
            </w:r>
          </w:p>
          <w:p w14:paraId="0955FB2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033005" w14:paraId="782230AA" w14:textId="77777777" w:rsidTr="00F527AB">
        <w:tc>
          <w:tcPr>
            <w:tcW w:w="988" w:type="dxa"/>
          </w:tcPr>
          <w:p w14:paraId="3EAC8A4E" w14:textId="33ADC5A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C42A04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230B009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Prescribe an appropriate amount of drug (maximum quantity in units) outlined within the 'Notes' section of this restriction.</w:t>
            </w:r>
          </w:p>
        </w:tc>
      </w:tr>
      <w:tr w:rsidR="00685ED6" w:rsidRPr="00033005" w14:paraId="1A4CACA3" w14:textId="77777777" w:rsidTr="00F527AB">
        <w:tc>
          <w:tcPr>
            <w:tcW w:w="988" w:type="dxa"/>
          </w:tcPr>
          <w:p w14:paraId="0A89A0CF" w14:textId="2C83A9F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CEAE87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3AE5BB3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033005">
              <w:rPr>
                <w:rFonts w:ascii="Arial Narrow" w:hAnsi="Arial Narrow" w:cs="Open Sans"/>
                <w:color w:val="333333"/>
                <w:sz w:val="18"/>
                <w:szCs w:val="18"/>
              </w:rPr>
              <w:t>was written</w:t>
            </w:r>
            <w:proofErr w:type="gramEnd"/>
            <w:r w:rsidRPr="00033005">
              <w:rPr>
                <w:rFonts w:ascii="Arial Narrow" w:hAnsi="Arial Narrow" w:cs="Open Sans"/>
                <w:color w:val="333333"/>
                <w:sz w:val="18"/>
                <w:szCs w:val="18"/>
              </w:rPr>
              <w:t xml:space="preserve"> in compliance with any relevant circumstances and/or purposes. These records must </w:t>
            </w:r>
            <w:proofErr w:type="gramStart"/>
            <w:r w:rsidRPr="00033005">
              <w:rPr>
                <w:rFonts w:ascii="Arial Narrow" w:hAnsi="Arial Narrow" w:cs="Open Sans"/>
                <w:color w:val="333333"/>
                <w:sz w:val="18"/>
                <w:szCs w:val="18"/>
              </w:rPr>
              <w:t>be kept</w:t>
            </w:r>
            <w:proofErr w:type="gramEnd"/>
            <w:r w:rsidRPr="00033005">
              <w:rPr>
                <w:rFonts w:ascii="Arial Narrow" w:hAnsi="Arial Narrow" w:cs="Open Sans"/>
                <w:color w:val="333333"/>
                <w:sz w:val="18"/>
                <w:szCs w:val="18"/>
              </w:rPr>
              <w:t xml:space="preserve"> for 2 years after the date the prescription to which the records relate is written.</w:t>
            </w:r>
          </w:p>
        </w:tc>
      </w:tr>
      <w:tr w:rsidR="00685ED6" w:rsidRPr="00033005" w14:paraId="5B7CDD5F" w14:textId="77777777" w:rsidTr="00F527AB">
        <w:tc>
          <w:tcPr>
            <w:tcW w:w="988" w:type="dxa"/>
          </w:tcPr>
          <w:p w14:paraId="13EE51CC" w14:textId="521C924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8C4BE6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6ECA21B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033005" w14:paraId="73F326FA" w14:textId="77777777" w:rsidTr="008A5ACA">
        <w:tc>
          <w:tcPr>
            <w:tcW w:w="9209" w:type="dxa"/>
            <w:gridSpan w:val="2"/>
          </w:tcPr>
          <w:p w14:paraId="604568A4"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p>
          <w:p w14:paraId="61CC4154"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2A4FBBBA" w14:textId="77777777" w:rsidTr="008A5ACA">
        <w:tc>
          <w:tcPr>
            <w:tcW w:w="9209" w:type="dxa"/>
            <w:gridSpan w:val="2"/>
          </w:tcPr>
          <w:p w14:paraId="522B4180"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033005">
              <w:rPr>
                <w:rFonts w:ascii="Arial Narrow" w:hAnsi="Arial Narrow" w:cs="Open Sans"/>
                <w:b/>
                <w:bCs/>
                <w:color w:val="333333"/>
                <w:sz w:val="18"/>
                <w:szCs w:val="18"/>
                <w:bdr w:val="none" w:sz="0" w:space="0" w:color="auto" w:frame="1"/>
              </w:rPr>
              <w:t>Restriction Summary 13300 / ToC: 13288: Authority Required</w:t>
            </w:r>
          </w:p>
          <w:p w14:paraId="607CAEEE" w14:textId="77777777" w:rsidR="00685ED6" w:rsidRPr="00033005"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033005" w14:paraId="5B68FAF5" w14:textId="77777777" w:rsidTr="00F527AB">
        <w:tc>
          <w:tcPr>
            <w:tcW w:w="988" w:type="dxa"/>
          </w:tcPr>
          <w:p w14:paraId="4FE18B30" w14:textId="2D25231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AA5884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033005">
              <w:rPr>
                <w:rFonts w:ascii="Arial Narrow" w:hAnsi="Arial Narrow" w:cs="Open Sans"/>
                <w:color w:val="333333"/>
                <w:sz w:val="18"/>
                <w:szCs w:val="18"/>
              </w:rPr>
              <w:t>Short stature associated with biochemical growth hormone deficiency</w:t>
            </w:r>
          </w:p>
        </w:tc>
      </w:tr>
      <w:tr w:rsidR="00685ED6" w:rsidRPr="00033005" w14:paraId="5D860CB3" w14:textId="77777777" w:rsidTr="008A5ACA">
        <w:tc>
          <w:tcPr>
            <w:tcW w:w="988" w:type="dxa"/>
          </w:tcPr>
          <w:p w14:paraId="65705E92"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22E8F184"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37093175" w14:textId="77777777" w:rsidTr="00F527AB">
        <w:tc>
          <w:tcPr>
            <w:tcW w:w="988" w:type="dxa"/>
          </w:tcPr>
          <w:p w14:paraId="7AA20E42"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3609F50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033005">
              <w:rPr>
                <w:rFonts w:ascii="Arial Narrow" w:hAnsi="Arial Narrow" w:cs="Open Sans"/>
                <w:color w:val="333333"/>
                <w:sz w:val="18"/>
                <w:szCs w:val="18"/>
              </w:rPr>
              <w:t>Change of drug</w:t>
            </w:r>
          </w:p>
        </w:tc>
      </w:tr>
      <w:tr w:rsidR="00685ED6" w:rsidRPr="00033005" w14:paraId="2C20A446" w14:textId="77777777" w:rsidTr="008A5ACA">
        <w:tc>
          <w:tcPr>
            <w:tcW w:w="988" w:type="dxa"/>
          </w:tcPr>
          <w:p w14:paraId="76BB2646" w14:textId="77777777" w:rsidR="00685ED6" w:rsidRPr="00033005" w:rsidRDefault="00685ED6" w:rsidP="008A5ACA">
            <w:pPr>
              <w:jc w:val="center"/>
              <w:rPr>
                <w:rFonts w:ascii="Arial Narrow" w:hAnsi="Arial Narrow" w:cs="Open Sans"/>
                <w:color w:val="333333"/>
                <w:sz w:val="18"/>
                <w:szCs w:val="18"/>
              </w:rPr>
            </w:pPr>
          </w:p>
        </w:tc>
        <w:tc>
          <w:tcPr>
            <w:tcW w:w="8221" w:type="dxa"/>
          </w:tcPr>
          <w:p w14:paraId="04B8444B"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10321A13" w14:textId="77777777" w:rsidTr="00F527AB">
        <w:tc>
          <w:tcPr>
            <w:tcW w:w="988" w:type="dxa"/>
          </w:tcPr>
          <w:p w14:paraId="7B4ADFA7" w14:textId="04C0B72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272FBC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0BA68DD9" w14:textId="77777777" w:rsidTr="00F527AB">
        <w:tc>
          <w:tcPr>
            <w:tcW w:w="988" w:type="dxa"/>
          </w:tcPr>
          <w:p w14:paraId="5B2B3FBA" w14:textId="703FF03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538B5E3"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existing PBS-subsidised growth hormone treatment where the prescribed drug is changing within the same PBS indication - subsidy through this treatment phase must not: (i) initiate treatment, (ii) recommence treatment, (iii) reclassify the PBS indication</w:t>
            </w:r>
          </w:p>
        </w:tc>
      </w:tr>
      <w:tr w:rsidR="00685ED6" w:rsidRPr="00033005" w14:paraId="31B848E1" w14:textId="77777777" w:rsidTr="008A5ACA">
        <w:tc>
          <w:tcPr>
            <w:tcW w:w="988" w:type="dxa"/>
          </w:tcPr>
          <w:p w14:paraId="0F9C8325"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025FD698" w14:textId="77777777" w:rsidR="00685ED6" w:rsidRPr="00033005" w:rsidRDefault="00685ED6" w:rsidP="008A5ACA">
            <w:pPr>
              <w:ind w:left="-57"/>
              <w:rPr>
                <w:rFonts w:ascii="Arial Narrow" w:hAnsi="Arial Narrow" w:cs="Open Sans"/>
                <w:color w:val="333333"/>
                <w:sz w:val="18"/>
                <w:szCs w:val="18"/>
              </w:rPr>
            </w:pPr>
          </w:p>
        </w:tc>
      </w:tr>
      <w:tr w:rsidR="00685ED6" w:rsidRPr="00033005" w14:paraId="199D8B2D" w14:textId="77777777" w:rsidTr="00F527AB">
        <w:tc>
          <w:tcPr>
            <w:tcW w:w="988" w:type="dxa"/>
          </w:tcPr>
          <w:p w14:paraId="05D0BA68" w14:textId="5FEE868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38BEA0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4DBF9946" w14:textId="77777777" w:rsidTr="00F527AB">
        <w:tc>
          <w:tcPr>
            <w:tcW w:w="988" w:type="dxa"/>
          </w:tcPr>
          <w:p w14:paraId="4BF0EA28" w14:textId="5CAAE2B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453CBD5"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w:t>
            </w:r>
            <w:proofErr w:type="gramStart"/>
            <w:r w:rsidRPr="00033005">
              <w:rPr>
                <w:rFonts w:ascii="Arial Narrow" w:hAnsi="Arial Narrow" w:cs="Open Sans"/>
                <w:color w:val="333333"/>
                <w:sz w:val="18"/>
                <w:szCs w:val="18"/>
              </w:rPr>
              <w:t>been treated</w:t>
            </w:r>
            <w:proofErr w:type="gramEnd"/>
            <w:r w:rsidRPr="00033005">
              <w:rPr>
                <w:rFonts w:ascii="Arial Narrow" w:hAnsi="Arial Narrow" w:cs="Open Sans"/>
                <w:color w:val="333333"/>
                <w:sz w:val="18"/>
                <w:szCs w:val="18"/>
              </w:rPr>
              <w:t xml:space="preserve"> with PBS-subsidised growth hormone for less than 32 weeks; or</w:t>
            </w:r>
          </w:p>
        </w:tc>
      </w:tr>
      <w:tr w:rsidR="00685ED6" w:rsidRPr="00033005" w14:paraId="332299AC" w14:textId="77777777" w:rsidTr="00F527AB">
        <w:tc>
          <w:tcPr>
            <w:tcW w:w="988" w:type="dxa"/>
          </w:tcPr>
          <w:p w14:paraId="4A67E5AD" w14:textId="22C7ACB8"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EE2F01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w:t>
            </w:r>
            <w:proofErr w:type="gramStart"/>
            <w:r w:rsidRPr="00033005">
              <w:rPr>
                <w:rFonts w:ascii="Arial Narrow" w:hAnsi="Arial Narrow" w:cs="Open Sans"/>
                <w:color w:val="333333"/>
                <w:sz w:val="18"/>
                <w:szCs w:val="18"/>
              </w:rPr>
              <w:t>been treated</w:t>
            </w:r>
            <w:proofErr w:type="gramEnd"/>
            <w:r w:rsidRPr="00033005">
              <w:rPr>
                <w:rFonts w:ascii="Arial Narrow" w:hAnsi="Arial Narrow" w:cs="Open Sans"/>
                <w:color w:val="333333"/>
                <w:sz w:val="18"/>
                <w:szCs w:val="18"/>
              </w:rPr>
              <w:t xml:space="preserve"> with PBS-subsidised growth hormone for at least 32 weeks, with an adequate response to treatment (as defined further below) having been demonstrated; or</w:t>
            </w:r>
          </w:p>
        </w:tc>
      </w:tr>
      <w:tr w:rsidR="00685ED6" w:rsidRPr="00033005" w14:paraId="4CA81D64" w14:textId="77777777" w:rsidTr="00F527AB">
        <w:tc>
          <w:tcPr>
            <w:tcW w:w="988" w:type="dxa"/>
          </w:tcPr>
          <w:p w14:paraId="0B11ED90" w14:textId="6139D17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9D35D1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been treated with PBS-subsidised growth hormone for at least 32 weeks, with an adequate response to treatment (as defined further below) not demonstrated due to at least one of: (i) a significant medical illness, (ii) major surgery (e.g. renal transplant), (iii) an adverse reaction to growth hormone, (iv) non-compliance to treatment arising from social/family problems, (v) sub-optimal dosing (i.e. the dose was less than the permitted upper dose range)</w:t>
            </w:r>
          </w:p>
        </w:tc>
      </w:tr>
      <w:tr w:rsidR="00685ED6" w:rsidRPr="00033005" w14:paraId="1B4E6089" w14:textId="77777777" w:rsidTr="00F527AB">
        <w:tc>
          <w:tcPr>
            <w:tcW w:w="988" w:type="dxa"/>
          </w:tcPr>
          <w:p w14:paraId="687C68D5"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07CE959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04255AC0" w14:textId="77777777" w:rsidTr="00F527AB">
        <w:tc>
          <w:tcPr>
            <w:tcW w:w="988" w:type="dxa"/>
          </w:tcPr>
          <w:p w14:paraId="28DA1999" w14:textId="02253B5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214D467"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2651B264" w14:textId="77777777" w:rsidTr="00F527AB">
        <w:tc>
          <w:tcPr>
            <w:tcW w:w="988" w:type="dxa"/>
          </w:tcPr>
          <w:p w14:paraId="2817175F" w14:textId="6962372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8E8640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033005" w14:paraId="281E4F7F" w14:textId="77777777" w:rsidTr="00F527AB">
        <w:tc>
          <w:tcPr>
            <w:tcW w:w="988" w:type="dxa"/>
          </w:tcPr>
          <w:p w14:paraId="27355E00"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563FE4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0616037B" w14:textId="77777777" w:rsidTr="00F527AB">
        <w:tc>
          <w:tcPr>
            <w:tcW w:w="988" w:type="dxa"/>
          </w:tcPr>
          <w:p w14:paraId="2DDC77FB" w14:textId="77EB602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DF39E8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75DB2770" w14:textId="77777777" w:rsidTr="00F527AB">
        <w:tc>
          <w:tcPr>
            <w:tcW w:w="988" w:type="dxa"/>
          </w:tcPr>
          <w:p w14:paraId="1590362A" w14:textId="1BD4F93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87AB0B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an active tumour or evidence of tumour growth or activity</w:t>
            </w:r>
          </w:p>
        </w:tc>
      </w:tr>
      <w:tr w:rsidR="00685ED6" w:rsidRPr="00033005" w14:paraId="30BE87C8" w14:textId="77777777" w:rsidTr="00F527AB">
        <w:tc>
          <w:tcPr>
            <w:tcW w:w="988" w:type="dxa"/>
          </w:tcPr>
          <w:p w14:paraId="7384D94A"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A90D169"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3902B780" w14:textId="77777777" w:rsidTr="00F527AB">
        <w:tc>
          <w:tcPr>
            <w:tcW w:w="988" w:type="dxa"/>
          </w:tcPr>
          <w:p w14:paraId="186BC6F2" w14:textId="5468565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9BBE9B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5AF69CBD" w14:textId="77777777" w:rsidTr="00F527AB">
        <w:tc>
          <w:tcPr>
            <w:tcW w:w="988" w:type="dxa"/>
          </w:tcPr>
          <w:p w14:paraId="38467A0C" w14:textId="41C43DE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2C50251"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bone age of 15.5 years or more; or</w:t>
            </w:r>
          </w:p>
        </w:tc>
      </w:tr>
      <w:tr w:rsidR="00685ED6" w:rsidRPr="00033005" w14:paraId="0D238073" w14:textId="77777777" w:rsidTr="00F527AB">
        <w:tc>
          <w:tcPr>
            <w:tcW w:w="988" w:type="dxa"/>
          </w:tcPr>
          <w:p w14:paraId="41E7EB29" w14:textId="20870CDA"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9354EF8"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bone age of 13.5 years or more</w:t>
            </w:r>
          </w:p>
        </w:tc>
      </w:tr>
      <w:tr w:rsidR="00685ED6" w:rsidRPr="00033005" w14:paraId="179D2762" w14:textId="77777777" w:rsidTr="008A5ACA">
        <w:tc>
          <w:tcPr>
            <w:tcW w:w="988" w:type="dxa"/>
          </w:tcPr>
          <w:p w14:paraId="26037519"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6DB01832" w14:textId="77777777" w:rsidR="00685ED6" w:rsidRPr="00033005" w:rsidRDefault="00685ED6" w:rsidP="008A5ACA">
            <w:pPr>
              <w:ind w:left="-57"/>
              <w:rPr>
                <w:rFonts w:ascii="Arial Narrow" w:hAnsi="Arial Narrow" w:cs="Open Sans"/>
                <w:color w:val="333333"/>
                <w:sz w:val="18"/>
                <w:szCs w:val="18"/>
              </w:rPr>
            </w:pPr>
          </w:p>
        </w:tc>
      </w:tr>
      <w:tr w:rsidR="00685ED6" w:rsidRPr="00033005" w14:paraId="30DA7CC7" w14:textId="77777777" w:rsidTr="00F527AB">
        <w:tc>
          <w:tcPr>
            <w:tcW w:w="988" w:type="dxa"/>
          </w:tcPr>
          <w:p w14:paraId="02FC9FC4" w14:textId="7804C36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089C86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3BD0D7E0" w14:textId="77777777" w:rsidTr="00F527AB">
        <w:tc>
          <w:tcPr>
            <w:tcW w:w="988" w:type="dxa"/>
          </w:tcPr>
          <w:p w14:paraId="48F1A8D9" w14:textId="69CA7B0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9E75C6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specialist or consultant physician in paediatric endocrinology; or</w:t>
            </w:r>
          </w:p>
        </w:tc>
      </w:tr>
      <w:tr w:rsidR="00685ED6" w:rsidRPr="00033005" w14:paraId="6E417D75" w14:textId="77777777" w:rsidTr="00F527AB">
        <w:tc>
          <w:tcPr>
            <w:tcW w:w="988" w:type="dxa"/>
          </w:tcPr>
          <w:p w14:paraId="55F67AF9" w14:textId="17DE7F3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BD8910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specialist or consultant physician in general paediatrics in consultation with a nominated specialist or consultant physician in paediatric endocrinology</w:t>
            </w:r>
          </w:p>
        </w:tc>
      </w:tr>
      <w:tr w:rsidR="00685ED6" w:rsidRPr="00033005" w14:paraId="2FE6AFB8" w14:textId="77777777" w:rsidTr="00F527AB">
        <w:tc>
          <w:tcPr>
            <w:tcW w:w="988" w:type="dxa"/>
          </w:tcPr>
          <w:p w14:paraId="6176D455"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26BCB133"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5A0B099D" w14:textId="77777777" w:rsidTr="00F527AB">
        <w:tc>
          <w:tcPr>
            <w:tcW w:w="988" w:type="dxa"/>
          </w:tcPr>
          <w:p w14:paraId="3FEFF68B" w14:textId="4DC2C88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3D1FE0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73CCB578" w14:textId="77777777" w:rsidTr="00F527AB">
        <w:tc>
          <w:tcPr>
            <w:tcW w:w="988" w:type="dxa"/>
          </w:tcPr>
          <w:p w14:paraId="747CB95A" w14:textId="4494C12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FDFB26B"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treatment for the stated indication with only one growth hormone at any given time</w:t>
            </w:r>
          </w:p>
        </w:tc>
      </w:tr>
      <w:tr w:rsidR="00685ED6" w:rsidRPr="00033005" w14:paraId="598FE338" w14:textId="77777777" w:rsidTr="008A5ACA">
        <w:tc>
          <w:tcPr>
            <w:tcW w:w="988" w:type="dxa"/>
          </w:tcPr>
          <w:p w14:paraId="0F5AAD84"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24BF4A3E" w14:textId="77777777" w:rsidR="00685ED6" w:rsidRPr="00033005" w:rsidRDefault="00685ED6" w:rsidP="008A5ACA">
            <w:pPr>
              <w:ind w:left="-57"/>
              <w:rPr>
                <w:rFonts w:ascii="Arial Narrow" w:hAnsi="Arial Narrow" w:cs="Open Sans"/>
                <w:color w:val="333333"/>
                <w:sz w:val="18"/>
                <w:szCs w:val="18"/>
              </w:rPr>
            </w:pPr>
          </w:p>
        </w:tc>
      </w:tr>
      <w:tr w:rsidR="00685ED6" w:rsidRPr="00033005" w14:paraId="5EE1C46E" w14:textId="77777777" w:rsidTr="00F527AB">
        <w:tc>
          <w:tcPr>
            <w:tcW w:w="988" w:type="dxa"/>
          </w:tcPr>
          <w:p w14:paraId="3EEE6938" w14:textId="19C3FA7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B47726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5EFC597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Definition:</w:t>
            </w:r>
          </w:p>
          <w:p w14:paraId="1202179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An adequate response to the preceding supply of growth hormone for which the patient is changing from is one where the patient, for their sex, has achieved at least one of:</w:t>
            </w:r>
          </w:p>
          <w:p w14:paraId="754F7CA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(a) the 50</w:t>
            </w:r>
            <w:r w:rsidRPr="00033005">
              <w:rPr>
                <w:rFonts w:ascii="Arial Narrow" w:hAnsi="Arial Narrow" w:cs="Open Sans"/>
                <w:color w:val="333333"/>
                <w:sz w:val="18"/>
                <w:szCs w:val="18"/>
                <w:bdr w:val="none" w:sz="0" w:space="0" w:color="auto" w:frame="1"/>
                <w:vertAlign w:val="superscript"/>
              </w:rPr>
              <w:t>th</w:t>
            </w:r>
            <w:r w:rsidRPr="00033005">
              <w:rPr>
                <w:rFonts w:ascii="Arial Narrow" w:hAnsi="Arial Narrow" w:cs="Open Sans"/>
                <w:color w:val="333333"/>
                <w:sz w:val="18"/>
                <w:szCs w:val="18"/>
              </w:rPr>
              <w:t xml:space="preserve"> percentile growth velocity for bone </w:t>
            </w:r>
            <w:proofErr w:type="gramStart"/>
            <w:r w:rsidRPr="00033005">
              <w:rPr>
                <w:rFonts w:ascii="Arial Narrow" w:hAnsi="Arial Narrow" w:cs="Open Sans"/>
                <w:color w:val="333333"/>
                <w:sz w:val="18"/>
                <w:szCs w:val="18"/>
              </w:rPr>
              <w:t>age;</w:t>
            </w:r>
            <w:proofErr w:type="gramEnd"/>
          </w:p>
          <w:p w14:paraId="056EF8F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(b) an increase in height standard deviation score for chronological </w:t>
            </w:r>
            <w:proofErr w:type="gramStart"/>
            <w:r w:rsidRPr="00033005">
              <w:rPr>
                <w:rFonts w:ascii="Arial Narrow" w:hAnsi="Arial Narrow" w:cs="Open Sans"/>
                <w:color w:val="333333"/>
                <w:sz w:val="18"/>
                <w:szCs w:val="18"/>
              </w:rPr>
              <w:t>age;</w:t>
            </w:r>
            <w:proofErr w:type="gramEnd"/>
          </w:p>
          <w:p w14:paraId="0D5259A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(c) a minimum growth velocity of 4 cm per </w:t>
            </w:r>
            <w:proofErr w:type="gramStart"/>
            <w:r w:rsidRPr="00033005">
              <w:rPr>
                <w:rFonts w:ascii="Arial Narrow" w:hAnsi="Arial Narrow" w:cs="Open Sans"/>
                <w:color w:val="333333"/>
                <w:sz w:val="18"/>
                <w:szCs w:val="18"/>
              </w:rPr>
              <w:t>year;</w:t>
            </w:r>
            <w:proofErr w:type="gramEnd"/>
          </w:p>
          <w:p w14:paraId="2B4706E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(d) a mid-parental height standard deviation score.</w:t>
            </w:r>
          </w:p>
        </w:tc>
      </w:tr>
      <w:tr w:rsidR="00685ED6" w:rsidRPr="00033005" w14:paraId="7AB6A6E7" w14:textId="77777777" w:rsidTr="00F527AB">
        <w:tc>
          <w:tcPr>
            <w:tcW w:w="988" w:type="dxa"/>
          </w:tcPr>
          <w:p w14:paraId="517F71DB" w14:textId="0E6DAC7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13FD1A7"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285AA72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Applications for authorisation under this treatment phase must </w:t>
            </w:r>
            <w:proofErr w:type="gramStart"/>
            <w:r w:rsidRPr="00033005">
              <w:rPr>
                <w:rFonts w:ascii="Arial Narrow" w:hAnsi="Arial Narrow" w:cs="Open Sans"/>
                <w:color w:val="333333"/>
                <w:sz w:val="18"/>
                <w:szCs w:val="18"/>
              </w:rPr>
              <w:t>be made</w:t>
            </w:r>
            <w:proofErr w:type="gramEnd"/>
            <w:r w:rsidRPr="00033005">
              <w:rPr>
                <w:rFonts w:ascii="Arial Narrow" w:hAnsi="Arial Narrow" w:cs="Open Sans"/>
                <w:color w:val="333333"/>
                <w:sz w:val="18"/>
                <w:szCs w:val="18"/>
              </w:rPr>
              <w:t xml:space="preserve"> via the Online PBS Authorities System (real time assessment) or in writing via HPOS form upload or mail and must include:</w:t>
            </w:r>
          </w:p>
          <w:p w14:paraId="38CB081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1. Growth data (height and weight) for the most recent </w:t>
            </w:r>
            <w:proofErr w:type="gramStart"/>
            <w:r w:rsidRPr="00033005">
              <w:rPr>
                <w:rFonts w:ascii="Arial Narrow" w:hAnsi="Arial Narrow" w:cs="Open Sans"/>
                <w:color w:val="333333"/>
                <w:sz w:val="18"/>
                <w:szCs w:val="18"/>
              </w:rPr>
              <w:t>6 month</w:t>
            </w:r>
            <w:proofErr w:type="gramEnd"/>
            <w:r w:rsidRPr="00033005">
              <w:rPr>
                <w:rFonts w:ascii="Arial Narrow" w:hAnsi="Arial Narrow" w:cs="Open Sans"/>
                <w:color w:val="333333"/>
                <w:sz w:val="18"/>
                <w:szCs w:val="18"/>
              </w:rPr>
              <w:t xml:space="preserve"> treatment period, including data at both the start and end of the treatment period. The most recent data must not be older than three months.</w:t>
            </w:r>
          </w:p>
          <w:p w14:paraId="600319E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2. A bone age result performed within the last 12 months where the patient has a chronological age greater than 2.5 years.</w:t>
            </w:r>
          </w:p>
          <w:p w14:paraId="7206675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Where growth data has </w:t>
            </w:r>
            <w:proofErr w:type="gramStart"/>
            <w:r w:rsidRPr="00033005">
              <w:rPr>
                <w:rFonts w:ascii="Arial Narrow" w:hAnsi="Arial Narrow" w:cs="Open Sans"/>
                <w:color w:val="333333"/>
                <w:sz w:val="18"/>
                <w:szCs w:val="18"/>
              </w:rPr>
              <w:t>been supplied</w:t>
            </w:r>
            <w:proofErr w:type="gramEnd"/>
            <w:r w:rsidRPr="00033005">
              <w:rPr>
                <w:rFonts w:ascii="Arial Narrow" w:hAnsi="Arial Narrow" w:cs="Open Sans"/>
                <w:color w:val="333333"/>
                <w:sz w:val="18"/>
                <w:szCs w:val="18"/>
              </w:rPr>
              <w:t xml:space="preserve"> within 3 months of this authority application, do not resupply this data.</w:t>
            </w:r>
          </w:p>
        </w:tc>
      </w:tr>
      <w:tr w:rsidR="00685ED6" w:rsidRPr="00033005" w14:paraId="53E29367" w14:textId="77777777" w:rsidTr="00F527AB">
        <w:tc>
          <w:tcPr>
            <w:tcW w:w="988" w:type="dxa"/>
          </w:tcPr>
          <w:p w14:paraId="10BD9835" w14:textId="207EDC6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484D4C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06E4115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If the application </w:t>
            </w:r>
            <w:proofErr w:type="gramStart"/>
            <w:r w:rsidRPr="00033005">
              <w:rPr>
                <w:rFonts w:ascii="Arial Narrow" w:hAnsi="Arial Narrow" w:cs="Open Sans"/>
                <w:color w:val="333333"/>
                <w:sz w:val="18"/>
                <w:szCs w:val="18"/>
              </w:rPr>
              <w:t>is submitted</w:t>
            </w:r>
            <w:proofErr w:type="gramEnd"/>
            <w:r w:rsidRPr="00033005">
              <w:rPr>
                <w:rFonts w:ascii="Arial Narrow" w:hAnsi="Arial Narrow" w:cs="Open Sans"/>
                <w:color w:val="333333"/>
                <w:sz w:val="18"/>
                <w:szCs w:val="18"/>
              </w:rPr>
              <w:t xml:space="preserve"> through HPOS form upload or mail, it must include:</w:t>
            </w:r>
          </w:p>
          <w:p w14:paraId="7679124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 A completed authority prescription form; and</w:t>
            </w:r>
          </w:p>
          <w:p w14:paraId="1DBF6DC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033005" w14:paraId="08A4E634" w14:textId="77777777" w:rsidTr="00F527AB">
        <w:tc>
          <w:tcPr>
            <w:tcW w:w="988" w:type="dxa"/>
          </w:tcPr>
          <w:p w14:paraId="363DADC9" w14:textId="3DDB111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740C9E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0B8F044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Prescribe an appropriate amount of drug (maximum quantity in units) outlined within the 'Notes' section of this restriction.</w:t>
            </w:r>
          </w:p>
        </w:tc>
      </w:tr>
      <w:tr w:rsidR="00685ED6" w:rsidRPr="00033005" w14:paraId="3886AE9B" w14:textId="77777777" w:rsidTr="00F527AB">
        <w:tc>
          <w:tcPr>
            <w:tcW w:w="988" w:type="dxa"/>
          </w:tcPr>
          <w:p w14:paraId="1B95FA32" w14:textId="182BBB3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3AC199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5C5EB65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033005">
              <w:rPr>
                <w:rFonts w:ascii="Arial Narrow" w:hAnsi="Arial Narrow" w:cs="Open Sans"/>
                <w:color w:val="333333"/>
                <w:sz w:val="18"/>
                <w:szCs w:val="18"/>
              </w:rPr>
              <w:t>was written</w:t>
            </w:r>
            <w:proofErr w:type="gramEnd"/>
            <w:r w:rsidRPr="00033005">
              <w:rPr>
                <w:rFonts w:ascii="Arial Narrow" w:hAnsi="Arial Narrow" w:cs="Open Sans"/>
                <w:color w:val="333333"/>
                <w:sz w:val="18"/>
                <w:szCs w:val="18"/>
              </w:rPr>
              <w:t xml:space="preserve"> in compliance with any relevant circumstances and/or purposes. These records must </w:t>
            </w:r>
            <w:proofErr w:type="gramStart"/>
            <w:r w:rsidRPr="00033005">
              <w:rPr>
                <w:rFonts w:ascii="Arial Narrow" w:hAnsi="Arial Narrow" w:cs="Open Sans"/>
                <w:color w:val="333333"/>
                <w:sz w:val="18"/>
                <w:szCs w:val="18"/>
              </w:rPr>
              <w:t>be kept</w:t>
            </w:r>
            <w:proofErr w:type="gramEnd"/>
            <w:r w:rsidRPr="00033005">
              <w:rPr>
                <w:rFonts w:ascii="Arial Narrow" w:hAnsi="Arial Narrow" w:cs="Open Sans"/>
                <w:color w:val="333333"/>
                <w:sz w:val="18"/>
                <w:szCs w:val="18"/>
              </w:rPr>
              <w:t xml:space="preserve"> for 2 years after the date the prescription to which the records relate is written.</w:t>
            </w:r>
          </w:p>
        </w:tc>
      </w:tr>
      <w:tr w:rsidR="00685ED6" w:rsidRPr="00033005" w14:paraId="1B1FE047" w14:textId="77777777" w:rsidTr="00F527AB">
        <w:tc>
          <w:tcPr>
            <w:tcW w:w="988" w:type="dxa"/>
          </w:tcPr>
          <w:p w14:paraId="71D0C2B4" w14:textId="60B9B2E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0CA576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1D88909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033005" w14:paraId="52B77B79" w14:textId="77777777" w:rsidTr="008A5ACA">
        <w:tc>
          <w:tcPr>
            <w:tcW w:w="9209" w:type="dxa"/>
            <w:gridSpan w:val="2"/>
          </w:tcPr>
          <w:p w14:paraId="30EBBB17"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p>
          <w:p w14:paraId="5E753D24"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4470A01D" w14:textId="77777777" w:rsidTr="008A5ACA">
        <w:tc>
          <w:tcPr>
            <w:tcW w:w="9209" w:type="dxa"/>
            <w:gridSpan w:val="2"/>
          </w:tcPr>
          <w:p w14:paraId="6408B249"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033005">
              <w:rPr>
                <w:rFonts w:ascii="Arial Narrow" w:hAnsi="Arial Narrow" w:cs="Open Sans"/>
                <w:b/>
                <w:bCs/>
                <w:color w:val="333333"/>
                <w:sz w:val="18"/>
                <w:szCs w:val="18"/>
                <w:bdr w:val="none" w:sz="0" w:space="0" w:color="auto" w:frame="1"/>
              </w:rPr>
              <w:t>Restriction Summary 13287 / ToC: 13287: Authority Required</w:t>
            </w:r>
          </w:p>
          <w:p w14:paraId="3CAC98D9" w14:textId="77777777" w:rsidR="00685ED6" w:rsidRPr="00033005"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033005" w14:paraId="016A0683" w14:textId="77777777" w:rsidTr="00F527AB">
        <w:tc>
          <w:tcPr>
            <w:tcW w:w="988" w:type="dxa"/>
          </w:tcPr>
          <w:p w14:paraId="2FBB45DD" w14:textId="4F1108C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E73F42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Indication:</w:t>
            </w:r>
            <w:r>
              <w:rPr>
                <w:rFonts w:ascii="Arial Narrow" w:hAnsi="Arial Narrow" w:cs="Open Sans"/>
                <w:color w:val="333333"/>
                <w:sz w:val="18"/>
                <w:szCs w:val="18"/>
              </w:rPr>
              <w:t xml:space="preserve"> </w:t>
            </w:r>
            <w:r w:rsidRPr="00033005">
              <w:rPr>
                <w:rFonts w:ascii="Arial Narrow" w:hAnsi="Arial Narrow" w:cs="Open Sans"/>
                <w:color w:val="333333"/>
                <w:sz w:val="18"/>
                <w:szCs w:val="18"/>
              </w:rPr>
              <w:t>Short stature associated with biochemical growth hormone deficiency</w:t>
            </w:r>
          </w:p>
        </w:tc>
      </w:tr>
      <w:tr w:rsidR="00685ED6" w:rsidRPr="00033005" w14:paraId="40D01DF8" w14:textId="77777777" w:rsidTr="008A5ACA">
        <w:tc>
          <w:tcPr>
            <w:tcW w:w="988" w:type="dxa"/>
          </w:tcPr>
          <w:p w14:paraId="5B88859D"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1F7AB074"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57BC9996" w14:textId="77777777" w:rsidTr="00F527AB">
        <w:tc>
          <w:tcPr>
            <w:tcW w:w="988" w:type="dxa"/>
          </w:tcPr>
          <w:p w14:paraId="0B1A860B"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13950A6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033005">
              <w:rPr>
                <w:rFonts w:ascii="Arial Narrow" w:hAnsi="Arial Narrow" w:cs="Open Sans"/>
                <w:color w:val="333333"/>
                <w:sz w:val="18"/>
                <w:szCs w:val="18"/>
              </w:rPr>
              <w:t>Continuing treatment as a reclassified patient</w:t>
            </w:r>
          </w:p>
        </w:tc>
      </w:tr>
      <w:tr w:rsidR="00685ED6" w:rsidRPr="00033005" w14:paraId="1921E6F4" w14:textId="77777777" w:rsidTr="008A5ACA">
        <w:tc>
          <w:tcPr>
            <w:tcW w:w="988" w:type="dxa"/>
          </w:tcPr>
          <w:p w14:paraId="795CE19C" w14:textId="77777777" w:rsidR="00685ED6" w:rsidRPr="00033005" w:rsidRDefault="00685ED6" w:rsidP="008A5ACA">
            <w:pPr>
              <w:jc w:val="center"/>
              <w:rPr>
                <w:rFonts w:ascii="Arial Narrow" w:hAnsi="Arial Narrow" w:cs="Open Sans"/>
                <w:color w:val="333333"/>
                <w:sz w:val="18"/>
                <w:szCs w:val="18"/>
              </w:rPr>
            </w:pPr>
          </w:p>
        </w:tc>
        <w:tc>
          <w:tcPr>
            <w:tcW w:w="8221" w:type="dxa"/>
          </w:tcPr>
          <w:p w14:paraId="7B4820DE"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70EE336C" w14:textId="77777777" w:rsidTr="00F527AB">
        <w:tc>
          <w:tcPr>
            <w:tcW w:w="988" w:type="dxa"/>
          </w:tcPr>
          <w:p w14:paraId="44A5CD52" w14:textId="5B8BAC3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7C2A2D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0600C8D8" w14:textId="77777777" w:rsidTr="00F527AB">
        <w:tc>
          <w:tcPr>
            <w:tcW w:w="988" w:type="dxa"/>
          </w:tcPr>
          <w:p w14:paraId="7D37B935" w14:textId="185A8A9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DC91393"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continuing PBS-subsidised therapy with this drug where the most recent authority approval for this drug was for a different PBS indication to that stated above - subsidy through this treatment phase must not: (i) initiate treatment, (ii) change the prescribed drug, (iii) recommence treatment, (iv) reclassify the PBS indication where the most recent authority approval was for a different growth hormone, (v) reclassify the PBS indication and recommence treatment simultaneously</w:t>
            </w:r>
          </w:p>
        </w:tc>
      </w:tr>
      <w:tr w:rsidR="00685ED6" w:rsidRPr="00033005" w14:paraId="1E1E1670" w14:textId="77777777" w:rsidTr="008A5ACA">
        <w:tc>
          <w:tcPr>
            <w:tcW w:w="988" w:type="dxa"/>
          </w:tcPr>
          <w:p w14:paraId="6725C329"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2EBCDAAE" w14:textId="77777777" w:rsidR="00685ED6" w:rsidRPr="00033005" w:rsidRDefault="00685ED6" w:rsidP="008A5ACA">
            <w:pPr>
              <w:ind w:left="-57"/>
              <w:rPr>
                <w:rFonts w:ascii="Arial Narrow" w:hAnsi="Arial Narrow" w:cs="Open Sans"/>
                <w:color w:val="333333"/>
                <w:sz w:val="18"/>
                <w:szCs w:val="18"/>
              </w:rPr>
            </w:pPr>
          </w:p>
        </w:tc>
      </w:tr>
      <w:tr w:rsidR="00685ED6" w:rsidRPr="00033005" w14:paraId="2D74F78A" w14:textId="77777777" w:rsidTr="00F527AB">
        <w:tc>
          <w:tcPr>
            <w:tcW w:w="988" w:type="dxa"/>
          </w:tcPr>
          <w:p w14:paraId="034F7645" w14:textId="648420D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A78F5A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056822EB" w14:textId="77777777" w:rsidTr="00F527AB">
        <w:tc>
          <w:tcPr>
            <w:tcW w:w="988" w:type="dxa"/>
          </w:tcPr>
          <w:p w14:paraId="07DE4B57" w14:textId="3BEDC63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5FCFC4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The treatment must not be for the purposes of continuing treatment that is known to be non-efficacious for the patient - where an inadequate response has been observed for the most recent supply of this drug, it must have been confounded by at least one of the following: (i) a significant medical illness, (ii) major surgery (e.g. renal transplant), (iii) an adverse reaction to growth hormone, (iv) non-compliance due to social/family problems, (v) a lower than recommended (as specified by this drug</w:t>
            </w:r>
            <w:r>
              <w:rPr>
                <w:rFonts w:ascii="Arial Narrow" w:hAnsi="Arial Narrow" w:cs="Open Sans"/>
                <w:color w:val="333333"/>
                <w:sz w:val="18"/>
                <w:szCs w:val="18"/>
              </w:rPr>
              <w:t>’</w:t>
            </w:r>
            <w:r w:rsidRPr="00033005">
              <w:rPr>
                <w:rFonts w:ascii="Arial Narrow" w:hAnsi="Arial Narrow" w:cs="Open Sans"/>
                <w:color w:val="333333"/>
                <w:sz w:val="18"/>
                <w:szCs w:val="18"/>
              </w:rPr>
              <w:t>s approved Product Information) dose</w:t>
            </w:r>
          </w:p>
        </w:tc>
      </w:tr>
      <w:tr w:rsidR="00685ED6" w:rsidRPr="00033005" w14:paraId="44937ED7" w14:textId="77777777" w:rsidTr="00F527AB">
        <w:tc>
          <w:tcPr>
            <w:tcW w:w="988" w:type="dxa"/>
          </w:tcPr>
          <w:p w14:paraId="0710381D"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1445607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2A909FCE" w14:textId="77777777" w:rsidTr="00F527AB">
        <w:tc>
          <w:tcPr>
            <w:tcW w:w="988" w:type="dxa"/>
          </w:tcPr>
          <w:p w14:paraId="6975D95E" w14:textId="2BD9A5C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920CE20"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221D8F45" w14:textId="77777777" w:rsidTr="00F527AB">
        <w:tc>
          <w:tcPr>
            <w:tcW w:w="988" w:type="dxa"/>
          </w:tcPr>
          <w:p w14:paraId="094F772F" w14:textId="57B900C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89BF54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had a height at or below the </w:t>
            </w:r>
            <w:proofErr w:type="gramStart"/>
            <w:r w:rsidRPr="00033005">
              <w:rPr>
                <w:rFonts w:ascii="Arial Narrow" w:hAnsi="Arial Narrow" w:cs="Open Sans"/>
                <w:color w:val="333333"/>
                <w:sz w:val="18"/>
                <w:szCs w:val="18"/>
              </w:rPr>
              <w:t>1st</w:t>
            </w:r>
            <w:proofErr w:type="gramEnd"/>
            <w:r w:rsidRPr="00033005">
              <w:rPr>
                <w:rFonts w:ascii="Arial Narrow" w:hAnsi="Arial Narrow" w:cs="Open Sans"/>
                <w:color w:val="333333"/>
                <w:sz w:val="18"/>
                <w:szCs w:val="18"/>
              </w:rPr>
              <w:t xml:space="preserve"> percentile for age and sex immediately prior to commencing treatment; or</w:t>
            </w:r>
          </w:p>
        </w:tc>
      </w:tr>
      <w:tr w:rsidR="00685ED6" w:rsidRPr="00033005" w14:paraId="6D16A2DF" w14:textId="77777777" w:rsidTr="00F527AB">
        <w:tc>
          <w:tcPr>
            <w:tcW w:w="988" w:type="dxa"/>
          </w:tcPr>
          <w:p w14:paraId="2B6867CC" w14:textId="6F5EE0E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F62D1C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had both a height above the 1st and at or below the 25th percentiles for age and sex immediately prior to commencing treatment and a growth velocity below the 25th percentile for bone age and sex measured over the 12</w:t>
            </w:r>
            <w:r>
              <w:rPr>
                <w:rFonts w:ascii="Arial Narrow" w:hAnsi="Arial Narrow" w:cs="Open Sans"/>
                <w:color w:val="333333"/>
                <w:sz w:val="18"/>
                <w:szCs w:val="18"/>
              </w:rPr>
              <w:t> </w:t>
            </w:r>
            <w:r w:rsidRPr="00033005">
              <w:rPr>
                <w:rFonts w:ascii="Arial Narrow" w:hAnsi="Arial Narrow" w:cs="Open Sans"/>
                <w:color w:val="333333"/>
                <w:sz w:val="18"/>
                <w:szCs w:val="18"/>
              </w:rPr>
              <w:t>month interval immediately prior to commencement of treatment (or the 6 month interval immediately prior to commencement of treatment if the patient was an older child at commencement of treatment); or</w:t>
            </w:r>
          </w:p>
        </w:tc>
      </w:tr>
      <w:tr w:rsidR="00685ED6" w:rsidRPr="00033005" w14:paraId="0A515F6E" w14:textId="77777777" w:rsidTr="00F527AB">
        <w:tc>
          <w:tcPr>
            <w:tcW w:w="988" w:type="dxa"/>
          </w:tcPr>
          <w:p w14:paraId="15C0A85C" w14:textId="25E7C4C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B0783A0"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tc>
      </w:tr>
      <w:tr w:rsidR="00685ED6" w:rsidRPr="00033005" w14:paraId="54775465" w14:textId="77777777" w:rsidTr="00F527AB">
        <w:tc>
          <w:tcPr>
            <w:tcW w:w="988" w:type="dxa"/>
          </w:tcPr>
          <w:p w14:paraId="56A730A5" w14:textId="4774063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7020B45"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w:t>
            </w:r>
          </w:p>
        </w:tc>
      </w:tr>
      <w:tr w:rsidR="00685ED6" w:rsidRPr="00033005" w14:paraId="3C52FDE1" w14:textId="77777777" w:rsidTr="00F527AB">
        <w:tc>
          <w:tcPr>
            <w:tcW w:w="988" w:type="dxa"/>
          </w:tcPr>
          <w:p w14:paraId="00ED89FA"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33D2E2C9"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499BCF67" w14:textId="77777777" w:rsidTr="00F527AB">
        <w:tc>
          <w:tcPr>
            <w:tcW w:w="988" w:type="dxa"/>
          </w:tcPr>
          <w:p w14:paraId="56E2834E" w14:textId="4920421A"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AD4325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292E7130" w14:textId="77777777" w:rsidTr="00F527AB">
        <w:tc>
          <w:tcPr>
            <w:tcW w:w="988" w:type="dxa"/>
          </w:tcPr>
          <w:p w14:paraId="6D97C7E9" w14:textId="7594C78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2DD2702"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2 pharmacological growth hormone stimulation tests (</w:t>
            </w:r>
            <w:proofErr w:type="gramStart"/>
            <w:r w:rsidRPr="00033005">
              <w:rPr>
                <w:rFonts w:ascii="Arial Narrow" w:hAnsi="Arial Narrow" w:cs="Open Sans"/>
                <w:color w:val="333333"/>
                <w:sz w:val="18"/>
                <w:szCs w:val="18"/>
              </w:rPr>
              <w:t>e.g.</w:t>
            </w:r>
            <w:proofErr w:type="gramEnd"/>
            <w:r w:rsidRPr="00033005">
              <w:rPr>
                <w:rFonts w:ascii="Arial Narrow" w:hAnsi="Arial Narrow" w:cs="Open Sans"/>
                <w:color w:val="333333"/>
                <w:sz w:val="18"/>
                <w:szCs w:val="18"/>
              </w:rPr>
              <w:t xml:space="preserve"> arginine, clonidine, glucagon, insulin); or</w:t>
            </w:r>
          </w:p>
        </w:tc>
      </w:tr>
      <w:tr w:rsidR="00685ED6" w:rsidRPr="00033005" w14:paraId="650592FE" w14:textId="77777777" w:rsidTr="00F527AB">
        <w:tc>
          <w:tcPr>
            <w:tcW w:w="988" w:type="dxa"/>
          </w:tcPr>
          <w:p w14:paraId="55AF1273" w14:textId="67B71E9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863BAE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tc>
      </w:tr>
      <w:tr w:rsidR="00685ED6" w:rsidRPr="00033005" w14:paraId="7DEE5143" w14:textId="77777777" w:rsidTr="00F527AB">
        <w:tc>
          <w:tcPr>
            <w:tcW w:w="988" w:type="dxa"/>
          </w:tcPr>
          <w:p w14:paraId="4799E44C" w14:textId="771E836A"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5D816C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tc>
      </w:tr>
      <w:tr w:rsidR="00685ED6" w:rsidRPr="00033005" w14:paraId="384DD8EC" w14:textId="77777777" w:rsidTr="00F527AB">
        <w:tc>
          <w:tcPr>
            <w:tcW w:w="988" w:type="dxa"/>
          </w:tcPr>
          <w:p w14:paraId="20FD8931" w14:textId="68A4688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984D78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tc>
      </w:tr>
      <w:tr w:rsidR="00685ED6" w:rsidRPr="00033005" w14:paraId="2C4644A9" w14:textId="77777777" w:rsidTr="00F527AB">
        <w:tc>
          <w:tcPr>
            <w:tcW w:w="988" w:type="dxa"/>
          </w:tcPr>
          <w:p w14:paraId="76EC28A7" w14:textId="064BCA8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CE0847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w:t>
            </w:r>
            <w:proofErr w:type="gramStart"/>
            <w:r w:rsidRPr="00033005">
              <w:rPr>
                <w:rFonts w:ascii="Arial Narrow" w:hAnsi="Arial Narrow" w:cs="Open Sans"/>
                <w:color w:val="333333"/>
                <w:sz w:val="18"/>
                <w:szCs w:val="18"/>
              </w:rPr>
              <w:t>e.g.</w:t>
            </w:r>
            <w:proofErr w:type="gramEnd"/>
            <w:r w:rsidRPr="00033005">
              <w:rPr>
                <w:rFonts w:ascii="Arial Narrow" w:hAnsi="Arial Narrow" w:cs="Open Sans"/>
                <w:color w:val="333333"/>
                <w:sz w:val="18"/>
                <w:szCs w:val="18"/>
              </w:rPr>
              <w:t xml:space="preserve"> arginine, clonidine, glucagon, insulin, sleep, exercise) and low plasma IGFBP-3 levels</w:t>
            </w:r>
          </w:p>
        </w:tc>
      </w:tr>
      <w:tr w:rsidR="00685ED6" w:rsidRPr="00033005" w14:paraId="672FBB77" w14:textId="77777777" w:rsidTr="00F527AB">
        <w:tc>
          <w:tcPr>
            <w:tcW w:w="988" w:type="dxa"/>
          </w:tcPr>
          <w:p w14:paraId="1EC4DE2A"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018BB1C6"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2B279E9A" w14:textId="77777777" w:rsidTr="00F527AB">
        <w:tc>
          <w:tcPr>
            <w:tcW w:w="988" w:type="dxa"/>
          </w:tcPr>
          <w:p w14:paraId="2D37A976" w14:textId="24A6818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B6CE20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0702F4E8" w14:textId="77777777" w:rsidTr="00F527AB">
        <w:tc>
          <w:tcPr>
            <w:tcW w:w="988" w:type="dxa"/>
          </w:tcPr>
          <w:p w14:paraId="29FC4A0C" w14:textId="22C4E18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EB16881"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033005" w14:paraId="412D2840" w14:textId="77777777" w:rsidTr="00F527AB">
        <w:tc>
          <w:tcPr>
            <w:tcW w:w="988" w:type="dxa"/>
          </w:tcPr>
          <w:p w14:paraId="177A2C2B"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4FD36D3"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55215C44" w14:textId="77777777" w:rsidTr="00F527AB">
        <w:tc>
          <w:tcPr>
            <w:tcW w:w="988" w:type="dxa"/>
          </w:tcPr>
          <w:p w14:paraId="7C6DF2CB" w14:textId="760BDF3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10843E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3BC51FA3" w14:textId="77777777" w:rsidTr="00F527AB">
        <w:tc>
          <w:tcPr>
            <w:tcW w:w="988" w:type="dxa"/>
          </w:tcPr>
          <w:p w14:paraId="7BDD7FC1" w14:textId="407E1FA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B7B1442"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an active tumour or evidence of tumour growth or activity</w:t>
            </w:r>
          </w:p>
        </w:tc>
      </w:tr>
      <w:tr w:rsidR="00685ED6" w:rsidRPr="00033005" w14:paraId="449FA746" w14:textId="77777777" w:rsidTr="00F527AB">
        <w:tc>
          <w:tcPr>
            <w:tcW w:w="988" w:type="dxa"/>
          </w:tcPr>
          <w:p w14:paraId="145B8D34"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1744C75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33C8060A" w14:textId="77777777" w:rsidTr="00F527AB">
        <w:tc>
          <w:tcPr>
            <w:tcW w:w="988" w:type="dxa"/>
          </w:tcPr>
          <w:p w14:paraId="3BE10664" w14:textId="41916D8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2BEFBA0"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28341ABD" w14:textId="77777777" w:rsidTr="00F527AB">
        <w:tc>
          <w:tcPr>
            <w:tcW w:w="988" w:type="dxa"/>
          </w:tcPr>
          <w:p w14:paraId="1B9C6A1A" w14:textId="0324042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A9F3153"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bone age of 15.5 years or more; or</w:t>
            </w:r>
          </w:p>
        </w:tc>
      </w:tr>
      <w:tr w:rsidR="00685ED6" w:rsidRPr="00033005" w14:paraId="5169C8C6" w14:textId="77777777" w:rsidTr="00F527AB">
        <w:tc>
          <w:tcPr>
            <w:tcW w:w="988" w:type="dxa"/>
          </w:tcPr>
          <w:p w14:paraId="71F2997A" w14:textId="17BF13E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2F6CED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bone age of 13.5 years or more</w:t>
            </w:r>
          </w:p>
        </w:tc>
      </w:tr>
      <w:tr w:rsidR="00685ED6" w:rsidRPr="00033005" w14:paraId="5659F746" w14:textId="77777777" w:rsidTr="008A5ACA">
        <w:tc>
          <w:tcPr>
            <w:tcW w:w="988" w:type="dxa"/>
          </w:tcPr>
          <w:p w14:paraId="62483663"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075B585F" w14:textId="77777777" w:rsidR="00685ED6" w:rsidRPr="00033005" w:rsidRDefault="00685ED6" w:rsidP="008A5ACA">
            <w:pPr>
              <w:ind w:left="-57"/>
              <w:rPr>
                <w:rFonts w:ascii="Arial Narrow" w:hAnsi="Arial Narrow" w:cs="Open Sans"/>
                <w:color w:val="333333"/>
                <w:sz w:val="18"/>
                <w:szCs w:val="18"/>
              </w:rPr>
            </w:pPr>
          </w:p>
        </w:tc>
      </w:tr>
      <w:tr w:rsidR="00685ED6" w:rsidRPr="00033005" w14:paraId="758354E7" w14:textId="77777777" w:rsidTr="00F527AB">
        <w:tc>
          <w:tcPr>
            <w:tcW w:w="988" w:type="dxa"/>
          </w:tcPr>
          <w:p w14:paraId="54700C33" w14:textId="186C057A"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990DD3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5E153F55" w14:textId="77777777" w:rsidTr="00F527AB">
        <w:tc>
          <w:tcPr>
            <w:tcW w:w="988" w:type="dxa"/>
          </w:tcPr>
          <w:p w14:paraId="4A5D1E86" w14:textId="031AE168"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168D73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medical practitioner in consultation with a nominated specialist or consultant physician in paediatric endocrinology; or</w:t>
            </w:r>
          </w:p>
        </w:tc>
      </w:tr>
      <w:tr w:rsidR="00685ED6" w:rsidRPr="00033005" w14:paraId="7AB66F7E" w14:textId="77777777" w:rsidTr="00F527AB">
        <w:tc>
          <w:tcPr>
            <w:tcW w:w="988" w:type="dxa"/>
          </w:tcPr>
          <w:p w14:paraId="702B7E83" w14:textId="3945FC38"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FA1513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medical practitioner in consultation with a nominated specialist or consultant physician in general paediatrics</w:t>
            </w:r>
          </w:p>
        </w:tc>
      </w:tr>
      <w:tr w:rsidR="00685ED6" w:rsidRPr="00033005" w14:paraId="363DDE82" w14:textId="77777777" w:rsidTr="00F527AB">
        <w:tc>
          <w:tcPr>
            <w:tcW w:w="988" w:type="dxa"/>
          </w:tcPr>
          <w:p w14:paraId="43E028EA"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098E6178"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5BB23340" w14:textId="77777777" w:rsidTr="00F527AB">
        <w:tc>
          <w:tcPr>
            <w:tcW w:w="988" w:type="dxa"/>
          </w:tcPr>
          <w:p w14:paraId="7E8DF79E" w14:textId="4CE9B4F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76152C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3F5BDA0C" w14:textId="77777777" w:rsidTr="00F527AB">
        <w:tc>
          <w:tcPr>
            <w:tcW w:w="988" w:type="dxa"/>
          </w:tcPr>
          <w:p w14:paraId="5E65019A" w14:textId="3CD0DA5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3FB6B9A"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treatment for the stated indication with only one growth hormone at any given time</w:t>
            </w:r>
          </w:p>
        </w:tc>
      </w:tr>
      <w:tr w:rsidR="00685ED6" w:rsidRPr="00033005" w14:paraId="4863B76A" w14:textId="77777777" w:rsidTr="008A5ACA">
        <w:tc>
          <w:tcPr>
            <w:tcW w:w="988" w:type="dxa"/>
          </w:tcPr>
          <w:p w14:paraId="41C8D5CD"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50BEF256" w14:textId="77777777" w:rsidR="00685ED6" w:rsidRPr="00033005" w:rsidRDefault="00685ED6" w:rsidP="008A5ACA">
            <w:pPr>
              <w:ind w:left="-57"/>
              <w:rPr>
                <w:rFonts w:ascii="Arial Narrow" w:hAnsi="Arial Narrow" w:cs="Open Sans"/>
                <w:color w:val="333333"/>
                <w:sz w:val="18"/>
                <w:szCs w:val="18"/>
              </w:rPr>
            </w:pPr>
          </w:p>
        </w:tc>
      </w:tr>
      <w:tr w:rsidR="00685ED6" w:rsidRPr="00033005" w14:paraId="1CAC090D" w14:textId="77777777" w:rsidTr="00F527AB">
        <w:tc>
          <w:tcPr>
            <w:tcW w:w="988" w:type="dxa"/>
          </w:tcPr>
          <w:p w14:paraId="380E6987" w14:textId="3355680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BF33337"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5C00904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An older child </w:t>
            </w:r>
            <w:proofErr w:type="gramStart"/>
            <w:r w:rsidRPr="00033005">
              <w:rPr>
                <w:rFonts w:ascii="Arial Narrow" w:hAnsi="Arial Narrow" w:cs="Open Sans"/>
                <w:color w:val="333333"/>
                <w:sz w:val="18"/>
                <w:szCs w:val="18"/>
              </w:rPr>
              <w:t>is defined</w:t>
            </w:r>
            <w:proofErr w:type="gramEnd"/>
            <w:r w:rsidRPr="00033005">
              <w:rPr>
                <w:rFonts w:ascii="Arial Narrow" w:hAnsi="Arial Narrow" w:cs="Open Sans"/>
                <w:color w:val="333333"/>
                <w:sz w:val="18"/>
                <w:szCs w:val="18"/>
              </w:rPr>
              <w:t xml:space="preserve"> as a male with a chronological age of at least 12 years or a bone age of at least 10 years, or a female with a chronological age of at least 10 years or a bone age of at least 8 years.</w:t>
            </w:r>
          </w:p>
        </w:tc>
      </w:tr>
      <w:tr w:rsidR="00685ED6" w:rsidRPr="00033005" w14:paraId="65CE8191" w14:textId="77777777" w:rsidTr="00F527AB">
        <w:tc>
          <w:tcPr>
            <w:tcW w:w="988" w:type="dxa"/>
          </w:tcPr>
          <w:p w14:paraId="0EE40AF9" w14:textId="6E84399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D859E5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6A19408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Prescribe an appropriate amount of drug (maximum quantity in units) outlined within the 'Notes' section of this restriction.</w:t>
            </w:r>
          </w:p>
        </w:tc>
      </w:tr>
      <w:tr w:rsidR="00685ED6" w:rsidRPr="00033005" w14:paraId="2732AB22" w14:textId="77777777" w:rsidTr="00F527AB">
        <w:tc>
          <w:tcPr>
            <w:tcW w:w="988" w:type="dxa"/>
          </w:tcPr>
          <w:p w14:paraId="6AE28322" w14:textId="61A160E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ECD970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0028B68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Applications for authorisation under this treatment phase must </w:t>
            </w:r>
            <w:proofErr w:type="gramStart"/>
            <w:r w:rsidRPr="00033005">
              <w:rPr>
                <w:rFonts w:ascii="Arial Narrow" w:hAnsi="Arial Narrow" w:cs="Open Sans"/>
                <w:color w:val="333333"/>
                <w:sz w:val="18"/>
                <w:szCs w:val="18"/>
              </w:rPr>
              <w:t>be made</w:t>
            </w:r>
            <w:proofErr w:type="gramEnd"/>
            <w:r w:rsidRPr="00033005">
              <w:rPr>
                <w:rFonts w:ascii="Arial Narrow" w:hAnsi="Arial Narrow" w:cs="Open Sans"/>
                <w:color w:val="333333"/>
                <w:sz w:val="18"/>
                <w:szCs w:val="18"/>
              </w:rPr>
              <w:t xml:space="preserve"> via the Online PBS Authorities System (real time assessment) or in writing via HPOS form upload or mail and must include:</w:t>
            </w:r>
          </w:p>
          <w:p w14:paraId="34EFF71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1.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a patient had a chronological age greater than 2.5 years at commencement of treatment); OR</w:t>
            </w:r>
          </w:p>
          <w:p w14:paraId="74E8271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(b) Height and weight measurements from within three months prior to commencement of treatment for a patient whose height was at or below the </w:t>
            </w:r>
            <w:proofErr w:type="gramStart"/>
            <w:r w:rsidRPr="00033005">
              <w:rPr>
                <w:rFonts w:ascii="Arial Narrow" w:hAnsi="Arial Narrow" w:cs="Open Sans"/>
                <w:color w:val="333333"/>
                <w:sz w:val="18"/>
                <w:szCs w:val="18"/>
              </w:rPr>
              <w:t>1</w:t>
            </w:r>
            <w:r w:rsidRPr="00033005">
              <w:rPr>
                <w:rFonts w:ascii="Arial Narrow" w:hAnsi="Arial Narrow" w:cs="Open Sans"/>
                <w:color w:val="333333"/>
                <w:sz w:val="18"/>
                <w:szCs w:val="18"/>
                <w:bdr w:val="none" w:sz="0" w:space="0" w:color="auto" w:frame="1"/>
                <w:vertAlign w:val="superscript"/>
              </w:rPr>
              <w:t>st</w:t>
            </w:r>
            <w:proofErr w:type="gramEnd"/>
            <w:r w:rsidRPr="00033005">
              <w:rPr>
                <w:rFonts w:ascii="Arial Narrow" w:hAnsi="Arial Narrow" w:cs="Open Sans"/>
                <w:color w:val="333333"/>
                <w:sz w:val="18"/>
                <w:szCs w:val="18"/>
              </w:rPr>
              <w:t> percentile for age plus sex immediately prior to commencing treatment.</w:t>
            </w:r>
          </w:p>
          <w:p w14:paraId="092FB85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2. Evidence of biochemical growth hormone deficiency, including the type of tests performed and peak growth hormone concentrations.</w:t>
            </w:r>
          </w:p>
          <w:p w14:paraId="06C0343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3. Growth data (height and weight) for the most recent </w:t>
            </w:r>
            <w:proofErr w:type="gramStart"/>
            <w:r w:rsidRPr="00033005">
              <w:rPr>
                <w:rFonts w:ascii="Arial Narrow" w:hAnsi="Arial Narrow" w:cs="Open Sans"/>
                <w:color w:val="333333"/>
                <w:sz w:val="18"/>
                <w:szCs w:val="18"/>
              </w:rPr>
              <w:t>6 month</w:t>
            </w:r>
            <w:proofErr w:type="gramEnd"/>
            <w:r w:rsidRPr="00033005">
              <w:rPr>
                <w:rFonts w:ascii="Arial Narrow" w:hAnsi="Arial Narrow" w:cs="Open Sans"/>
                <w:color w:val="333333"/>
                <w:sz w:val="18"/>
                <w:szCs w:val="18"/>
              </w:rPr>
              <w:t xml:space="preserve"> treatment period, including data at both the start and end of the treatment period. The most recent data must not be older than three months.</w:t>
            </w:r>
          </w:p>
          <w:p w14:paraId="16A0859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4. A bone age result performed within the last 12 months where a patient has a chronological age greater than 2.5 years.</w:t>
            </w:r>
          </w:p>
        </w:tc>
      </w:tr>
      <w:tr w:rsidR="00685ED6" w:rsidRPr="00033005" w14:paraId="4138D87F" w14:textId="77777777" w:rsidTr="00F527AB">
        <w:tc>
          <w:tcPr>
            <w:tcW w:w="988" w:type="dxa"/>
          </w:tcPr>
          <w:p w14:paraId="27ED82BA" w14:textId="070EF65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DBCEF5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34379BC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If the application </w:t>
            </w:r>
            <w:proofErr w:type="gramStart"/>
            <w:r w:rsidRPr="00033005">
              <w:rPr>
                <w:rFonts w:ascii="Arial Narrow" w:hAnsi="Arial Narrow" w:cs="Open Sans"/>
                <w:color w:val="333333"/>
                <w:sz w:val="18"/>
                <w:szCs w:val="18"/>
              </w:rPr>
              <w:t>is submitted</w:t>
            </w:r>
            <w:proofErr w:type="gramEnd"/>
            <w:r w:rsidRPr="00033005">
              <w:rPr>
                <w:rFonts w:ascii="Arial Narrow" w:hAnsi="Arial Narrow" w:cs="Open Sans"/>
                <w:color w:val="333333"/>
                <w:sz w:val="18"/>
                <w:szCs w:val="18"/>
              </w:rPr>
              <w:t xml:space="preserve"> through HPOS form upload or mail, it must include:</w:t>
            </w:r>
          </w:p>
          <w:p w14:paraId="5460D93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 A completed authority prescription form; and</w:t>
            </w:r>
          </w:p>
          <w:p w14:paraId="227A19B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033005" w14:paraId="7AB30592" w14:textId="77777777" w:rsidTr="00F527AB">
        <w:tc>
          <w:tcPr>
            <w:tcW w:w="988" w:type="dxa"/>
          </w:tcPr>
          <w:p w14:paraId="09BF122D" w14:textId="640DA74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228F86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78CD654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033005">
              <w:rPr>
                <w:rFonts w:ascii="Arial Narrow" w:hAnsi="Arial Narrow" w:cs="Open Sans"/>
                <w:color w:val="333333"/>
                <w:sz w:val="18"/>
                <w:szCs w:val="18"/>
              </w:rPr>
              <w:t>was written</w:t>
            </w:r>
            <w:proofErr w:type="gramEnd"/>
            <w:r w:rsidRPr="00033005">
              <w:rPr>
                <w:rFonts w:ascii="Arial Narrow" w:hAnsi="Arial Narrow" w:cs="Open Sans"/>
                <w:color w:val="333333"/>
                <w:sz w:val="18"/>
                <w:szCs w:val="18"/>
              </w:rPr>
              <w:t xml:space="preserve"> in compliance with any relevant circumstances and/or purposes. These records must </w:t>
            </w:r>
            <w:proofErr w:type="gramStart"/>
            <w:r w:rsidRPr="00033005">
              <w:rPr>
                <w:rFonts w:ascii="Arial Narrow" w:hAnsi="Arial Narrow" w:cs="Open Sans"/>
                <w:color w:val="333333"/>
                <w:sz w:val="18"/>
                <w:szCs w:val="18"/>
              </w:rPr>
              <w:t>be kept</w:t>
            </w:r>
            <w:proofErr w:type="gramEnd"/>
            <w:r w:rsidRPr="00033005">
              <w:rPr>
                <w:rFonts w:ascii="Arial Narrow" w:hAnsi="Arial Narrow" w:cs="Open Sans"/>
                <w:color w:val="333333"/>
                <w:sz w:val="18"/>
                <w:szCs w:val="18"/>
              </w:rPr>
              <w:t xml:space="preserve"> for 2 years after the date the prescription to which the records relate is written.</w:t>
            </w:r>
          </w:p>
        </w:tc>
      </w:tr>
      <w:tr w:rsidR="00685ED6" w:rsidRPr="00033005" w14:paraId="5AE076CF" w14:textId="77777777" w:rsidTr="00F527AB">
        <w:tc>
          <w:tcPr>
            <w:tcW w:w="988" w:type="dxa"/>
          </w:tcPr>
          <w:p w14:paraId="5F87905B" w14:textId="7AD6F45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EB9E1F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6C1E20E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Biochemical growth hormone deficiency should not be secondary to an intracranial lesion or cranial irradiation for applications under this category.</w:t>
            </w:r>
          </w:p>
        </w:tc>
      </w:tr>
      <w:tr w:rsidR="00685ED6" w:rsidRPr="00033005" w14:paraId="1E31B3B9" w14:textId="77777777" w:rsidTr="00F527AB">
        <w:tc>
          <w:tcPr>
            <w:tcW w:w="988" w:type="dxa"/>
          </w:tcPr>
          <w:p w14:paraId="1C0AD0EC" w14:textId="23683AC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5FDB8E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51AABD6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033005" w14:paraId="327C7282" w14:textId="77777777" w:rsidTr="008A5ACA">
        <w:tc>
          <w:tcPr>
            <w:tcW w:w="9209" w:type="dxa"/>
            <w:gridSpan w:val="2"/>
          </w:tcPr>
          <w:p w14:paraId="73C891BA"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p>
          <w:p w14:paraId="708B7E62"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2C9719BE" w14:textId="77777777" w:rsidTr="008A5ACA">
        <w:tc>
          <w:tcPr>
            <w:tcW w:w="9209" w:type="dxa"/>
            <w:gridSpan w:val="2"/>
          </w:tcPr>
          <w:p w14:paraId="6B41B745"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033005">
              <w:rPr>
                <w:rFonts w:ascii="Arial Narrow" w:hAnsi="Arial Narrow" w:cs="Open Sans"/>
                <w:b/>
                <w:bCs/>
                <w:color w:val="333333"/>
                <w:sz w:val="18"/>
                <w:szCs w:val="18"/>
                <w:bdr w:val="none" w:sz="0" w:space="0" w:color="auto" w:frame="1"/>
              </w:rPr>
              <w:t>Restriction Summary 13301 / ToC: 13294: Authority Required</w:t>
            </w:r>
          </w:p>
          <w:p w14:paraId="5320CE4C" w14:textId="77777777" w:rsidR="00685ED6" w:rsidRPr="00033005"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033005" w14:paraId="3D25C5E1" w14:textId="77777777" w:rsidTr="00F527AB">
        <w:tc>
          <w:tcPr>
            <w:tcW w:w="988" w:type="dxa"/>
          </w:tcPr>
          <w:p w14:paraId="3BC36996" w14:textId="70A4566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2B677F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Indication:</w:t>
            </w:r>
            <w:r>
              <w:rPr>
                <w:rFonts w:ascii="Arial Narrow" w:hAnsi="Arial Narrow" w:cs="Open Sans"/>
                <w:color w:val="333333"/>
                <w:sz w:val="18"/>
                <w:szCs w:val="18"/>
              </w:rPr>
              <w:t xml:space="preserve"> </w:t>
            </w:r>
            <w:r w:rsidRPr="00033005">
              <w:rPr>
                <w:rFonts w:ascii="Arial Narrow" w:hAnsi="Arial Narrow" w:cs="Open Sans"/>
                <w:color w:val="333333"/>
                <w:sz w:val="18"/>
                <w:szCs w:val="18"/>
              </w:rPr>
              <w:t>Short stature associated with biochemical growth hormone deficiency</w:t>
            </w:r>
          </w:p>
        </w:tc>
      </w:tr>
      <w:tr w:rsidR="00685ED6" w:rsidRPr="00033005" w14:paraId="67EF6B99" w14:textId="77777777" w:rsidTr="008A5ACA">
        <w:tc>
          <w:tcPr>
            <w:tcW w:w="988" w:type="dxa"/>
          </w:tcPr>
          <w:p w14:paraId="6D251F94"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44395E9C"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7957D42A" w14:textId="77777777" w:rsidTr="00F527AB">
        <w:tc>
          <w:tcPr>
            <w:tcW w:w="988" w:type="dxa"/>
          </w:tcPr>
          <w:p w14:paraId="66FFC01F"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7C7A428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033005">
              <w:rPr>
                <w:rFonts w:ascii="Arial Narrow" w:hAnsi="Arial Narrow" w:cs="Open Sans"/>
                <w:color w:val="333333"/>
                <w:sz w:val="18"/>
                <w:szCs w:val="18"/>
              </w:rPr>
              <w:t>Transitioning from non-PBS to PBS-subsidised supply - Grandfather arrangements</w:t>
            </w:r>
          </w:p>
        </w:tc>
      </w:tr>
      <w:tr w:rsidR="00685ED6" w:rsidRPr="00033005" w14:paraId="00AEDBC6" w14:textId="77777777" w:rsidTr="008A5ACA">
        <w:tc>
          <w:tcPr>
            <w:tcW w:w="988" w:type="dxa"/>
          </w:tcPr>
          <w:p w14:paraId="39735142" w14:textId="77777777" w:rsidR="00685ED6" w:rsidRPr="00033005" w:rsidRDefault="00685ED6" w:rsidP="008A5ACA">
            <w:pPr>
              <w:jc w:val="center"/>
              <w:rPr>
                <w:rFonts w:ascii="Arial Narrow" w:hAnsi="Arial Narrow" w:cs="Open Sans"/>
                <w:color w:val="333333"/>
                <w:sz w:val="18"/>
                <w:szCs w:val="18"/>
              </w:rPr>
            </w:pPr>
          </w:p>
        </w:tc>
        <w:tc>
          <w:tcPr>
            <w:tcW w:w="8221" w:type="dxa"/>
          </w:tcPr>
          <w:p w14:paraId="18013083"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03E255D7" w14:textId="77777777" w:rsidTr="00F527AB">
        <w:tc>
          <w:tcPr>
            <w:tcW w:w="988" w:type="dxa"/>
          </w:tcPr>
          <w:p w14:paraId="4F31E7A9" w14:textId="6B92E93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891291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510274BB" w14:textId="77777777" w:rsidTr="00F527AB">
        <w:tc>
          <w:tcPr>
            <w:tcW w:w="988" w:type="dxa"/>
          </w:tcPr>
          <w:p w14:paraId="1D03BD99" w14:textId="7E0A718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38D5BAB"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privately funded treatment (</w:t>
            </w:r>
            <w:proofErr w:type="gramStart"/>
            <w:r w:rsidRPr="00033005">
              <w:rPr>
                <w:rFonts w:ascii="Arial Narrow" w:hAnsi="Arial Narrow" w:cs="Open Sans"/>
                <w:color w:val="333333"/>
                <w:sz w:val="18"/>
                <w:szCs w:val="18"/>
              </w:rPr>
              <w:t>e.g.</w:t>
            </w:r>
            <w:proofErr w:type="gramEnd"/>
            <w:r w:rsidRPr="00033005">
              <w:rPr>
                <w:rFonts w:ascii="Arial Narrow" w:hAnsi="Arial Narrow" w:cs="Open Sans"/>
                <w:color w:val="333333"/>
                <w:sz w:val="18"/>
                <w:szCs w:val="18"/>
              </w:rPr>
              <w:t xml:space="preserve"> through a clinical trial, a sponsor compassionate access program, supply from an overseas jurisdiction) with this drug at the time of this authority application - subsidy through this treatment phase must only occur once per lifetime</w:t>
            </w:r>
          </w:p>
        </w:tc>
      </w:tr>
      <w:tr w:rsidR="00685ED6" w:rsidRPr="00033005" w14:paraId="567F81A8" w14:textId="77777777" w:rsidTr="008A5ACA">
        <w:tc>
          <w:tcPr>
            <w:tcW w:w="988" w:type="dxa"/>
          </w:tcPr>
          <w:p w14:paraId="6644F9F4"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7F36058A" w14:textId="77777777" w:rsidR="00685ED6" w:rsidRPr="00033005" w:rsidRDefault="00685ED6" w:rsidP="008A5ACA">
            <w:pPr>
              <w:ind w:left="-57"/>
              <w:rPr>
                <w:rFonts w:ascii="Arial Narrow" w:hAnsi="Arial Narrow" w:cs="Open Sans"/>
                <w:color w:val="333333"/>
                <w:sz w:val="18"/>
                <w:szCs w:val="18"/>
              </w:rPr>
            </w:pPr>
          </w:p>
        </w:tc>
      </w:tr>
      <w:tr w:rsidR="00685ED6" w:rsidRPr="00033005" w14:paraId="60D2727F" w14:textId="77777777" w:rsidTr="00F527AB">
        <w:tc>
          <w:tcPr>
            <w:tcW w:w="988" w:type="dxa"/>
          </w:tcPr>
          <w:p w14:paraId="749DF40D" w14:textId="71B2DE1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AA897B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30BC1CE7" w14:textId="77777777" w:rsidTr="00F527AB">
        <w:tc>
          <w:tcPr>
            <w:tcW w:w="988" w:type="dxa"/>
          </w:tcPr>
          <w:p w14:paraId="6452C2A6" w14:textId="75FF67F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602491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The treatment must not be for the purposes of continuing treatment that is known to be non-efficacious for the patient - where an inadequate response has been observed for the most recent supply of this drug, it must have been confounded by at least one of the following: (i) a significant medical illness, (ii) major surgery (e.g. renal transplant), (iii) an adverse reaction to growth hormone, (iv) non-compliance due to social/family problems, (v) a lower than recommended (as specified by this drug</w:t>
            </w:r>
            <w:r>
              <w:rPr>
                <w:rFonts w:ascii="Arial Narrow" w:hAnsi="Arial Narrow" w:cs="Open Sans"/>
                <w:color w:val="333333"/>
                <w:sz w:val="18"/>
                <w:szCs w:val="18"/>
              </w:rPr>
              <w:t>’</w:t>
            </w:r>
            <w:r w:rsidRPr="00033005">
              <w:rPr>
                <w:rFonts w:ascii="Arial Narrow" w:hAnsi="Arial Narrow" w:cs="Open Sans"/>
                <w:color w:val="333333"/>
                <w:sz w:val="18"/>
                <w:szCs w:val="18"/>
              </w:rPr>
              <w:t>s approved Product Information) dose</w:t>
            </w:r>
          </w:p>
        </w:tc>
      </w:tr>
      <w:tr w:rsidR="00685ED6" w:rsidRPr="00033005" w14:paraId="0A27533A" w14:textId="77777777" w:rsidTr="00F527AB">
        <w:tc>
          <w:tcPr>
            <w:tcW w:w="988" w:type="dxa"/>
          </w:tcPr>
          <w:p w14:paraId="3BADA050"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0EEBE11A"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2EDB01E9" w14:textId="77777777" w:rsidTr="00F527AB">
        <w:tc>
          <w:tcPr>
            <w:tcW w:w="988" w:type="dxa"/>
          </w:tcPr>
          <w:p w14:paraId="21B09510" w14:textId="6244EE9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E535B1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042B26BC" w14:textId="77777777" w:rsidTr="00F527AB">
        <w:tc>
          <w:tcPr>
            <w:tcW w:w="988" w:type="dxa"/>
          </w:tcPr>
          <w:p w14:paraId="22E51F17" w14:textId="0982BC3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AE667DB"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had a height at or below the </w:t>
            </w:r>
            <w:proofErr w:type="gramStart"/>
            <w:r w:rsidRPr="00033005">
              <w:rPr>
                <w:rFonts w:ascii="Arial Narrow" w:hAnsi="Arial Narrow" w:cs="Open Sans"/>
                <w:color w:val="333333"/>
                <w:sz w:val="18"/>
                <w:szCs w:val="18"/>
              </w:rPr>
              <w:t>1st</w:t>
            </w:r>
            <w:proofErr w:type="gramEnd"/>
            <w:r w:rsidRPr="00033005">
              <w:rPr>
                <w:rFonts w:ascii="Arial Narrow" w:hAnsi="Arial Narrow" w:cs="Open Sans"/>
                <w:color w:val="333333"/>
                <w:sz w:val="18"/>
                <w:szCs w:val="18"/>
              </w:rPr>
              <w:t xml:space="preserve"> percentile for age and sex immediately prior to commencing treatment; or</w:t>
            </w:r>
          </w:p>
        </w:tc>
      </w:tr>
      <w:tr w:rsidR="00685ED6" w:rsidRPr="00033005" w14:paraId="123C086A" w14:textId="77777777" w:rsidTr="00F527AB">
        <w:tc>
          <w:tcPr>
            <w:tcW w:w="988" w:type="dxa"/>
          </w:tcPr>
          <w:p w14:paraId="07429D21" w14:textId="777ACF1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192A7C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had both a height above the 1st and at or below the 25th percentiles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tc>
      </w:tr>
      <w:tr w:rsidR="00685ED6" w:rsidRPr="00033005" w14:paraId="4A9B9A80" w14:textId="77777777" w:rsidTr="00F527AB">
        <w:tc>
          <w:tcPr>
            <w:tcW w:w="988" w:type="dxa"/>
          </w:tcPr>
          <w:p w14:paraId="50E4B9E1" w14:textId="3D6761A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1BBBF02"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tc>
      </w:tr>
      <w:tr w:rsidR="00685ED6" w:rsidRPr="00033005" w14:paraId="0D9366AD" w14:textId="77777777" w:rsidTr="00F527AB">
        <w:tc>
          <w:tcPr>
            <w:tcW w:w="988" w:type="dxa"/>
          </w:tcPr>
          <w:p w14:paraId="10DEF7E3" w14:textId="421AE5D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4D86B26"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w:t>
            </w:r>
          </w:p>
        </w:tc>
      </w:tr>
      <w:tr w:rsidR="00685ED6" w:rsidRPr="00033005" w14:paraId="38919E14" w14:textId="77777777" w:rsidTr="00F527AB">
        <w:tc>
          <w:tcPr>
            <w:tcW w:w="988" w:type="dxa"/>
          </w:tcPr>
          <w:p w14:paraId="6AD6B477"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9D62D38"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2E4BBA2D" w14:textId="77777777" w:rsidTr="00F527AB">
        <w:tc>
          <w:tcPr>
            <w:tcW w:w="988" w:type="dxa"/>
          </w:tcPr>
          <w:p w14:paraId="456A2BD9" w14:textId="1CF13C1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52101B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03AB3A31" w14:textId="77777777" w:rsidTr="00F527AB">
        <w:tc>
          <w:tcPr>
            <w:tcW w:w="988" w:type="dxa"/>
          </w:tcPr>
          <w:p w14:paraId="5CDD7AE8" w14:textId="6D9AC19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7C10A0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2 pharmacological growth hormone stimulation tests (</w:t>
            </w:r>
            <w:proofErr w:type="gramStart"/>
            <w:r w:rsidRPr="00033005">
              <w:rPr>
                <w:rFonts w:ascii="Arial Narrow" w:hAnsi="Arial Narrow" w:cs="Open Sans"/>
                <w:color w:val="333333"/>
                <w:sz w:val="18"/>
                <w:szCs w:val="18"/>
              </w:rPr>
              <w:t>e.g.</w:t>
            </w:r>
            <w:proofErr w:type="gramEnd"/>
            <w:r w:rsidRPr="00033005">
              <w:rPr>
                <w:rFonts w:ascii="Arial Narrow" w:hAnsi="Arial Narrow" w:cs="Open Sans"/>
                <w:color w:val="333333"/>
                <w:sz w:val="18"/>
                <w:szCs w:val="18"/>
              </w:rPr>
              <w:t xml:space="preserve"> arginine, clonidine, glucagon, insulin); or</w:t>
            </w:r>
          </w:p>
        </w:tc>
      </w:tr>
      <w:tr w:rsidR="00685ED6" w:rsidRPr="00033005" w14:paraId="19997369" w14:textId="77777777" w:rsidTr="00F527AB">
        <w:tc>
          <w:tcPr>
            <w:tcW w:w="988" w:type="dxa"/>
          </w:tcPr>
          <w:p w14:paraId="7B3B8A5C" w14:textId="65011D5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637E6A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tc>
      </w:tr>
      <w:tr w:rsidR="00685ED6" w:rsidRPr="00033005" w14:paraId="1F49ECA2" w14:textId="77777777" w:rsidTr="00F527AB">
        <w:tc>
          <w:tcPr>
            <w:tcW w:w="988" w:type="dxa"/>
          </w:tcPr>
          <w:p w14:paraId="432E2FAC" w14:textId="76CF4CA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DE7C3A8"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tc>
      </w:tr>
      <w:tr w:rsidR="00685ED6" w:rsidRPr="00033005" w14:paraId="1112A631" w14:textId="77777777" w:rsidTr="00F527AB">
        <w:tc>
          <w:tcPr>
            <w:tcW w:w="988" w:type="dxa"/>
          </w:tcPr>
          <w:p w14:paraId="3031E06D" w14:textId="09BD59E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47B810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tc>
      </w:tr>
      <w:tr w:rsidR="00685ED6" w:rsidRPr="00033005" w14:paraId="6283D1BB" w14:textId="77777777" w:rsidTr="00F527AB">
        <w:tc>
          <w:tcPr>
            <w:tcW w:w="988" w:type="dxa"/>
          </w:tcPr>
          <w:p w14:paraId="74BA61DB" w14:textId="402F7AE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D48F24A"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w:t>
            </w:r>
            <w:proofErr w:type="gramStart"/>
            <w:r w:rsidRPr="00033005">
              <w:rPr>
                <w:rFonts w:ascii="Arial Narrow" w:hAnsi="Arial Narrow" w:cs="Open Sans"/>
                <w:color w:val="333333"/>
                <w:sz w:val="18"/>
                <w:szCs w:val="18"/>
              </w:rPr>
              <w:t>e.g.</w:t>
            </w:r>
            <w:proofErr w:type="gramEnd"/>
            <w:r w:rsidRPr="00033005">
              <w:rPr>
                <w:rFonts w:ascii="Arial Narrow" w:hAnsi="Arial Narrow" w:cs="Open Sans"/>
                <w:color w:val="333333"/>
                <w:sz w:val="18"/>
                <w:szCs w:val="18"/>
              </w:rPr>
              <w:t xml:space="preserve"> arginine, clonidine, glucagon, insulin, sleep, exercise) and low plasma IGFBP-3 levels</w:t>
            </w:r>
          </w:p>
        </w:tc>
      </w:tr>
      <w:tr w:rsidR="00685ED6" w:rsidRPr="00033005" w14:paraId="2C5670F5" w14:textId="77777777" w:rsidTr="00F527AB">
        <w:tc>
          <w:tcPr>
            <w:tcW w:w="988" w:type="dxa"/>
          </w:tcPr>
          <w:p w14:paraId="7611CC65"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23DB3A40"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4C18F1FB" w14:textId="77777777" w:rsidTr="00F527AB">
        <w:tc>
          <w:tcPr>
            <w:tcW w:w="988" w:type="dxa"/>
          </w:tcPr>
          <w:p w14:paraId="0B383A54" w14:textId="788A5398"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7225B6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601DE01D" w14:textId="77777777" w:rsidTr="00F527AB">
        <w:tc>
          <w:tcPr>
            <w:tcW w:w="988" w:type="dxa"/>
          </w:tcPr>
          <w:p w14:paraId="7407FE2D" w14:textId="6DB5D518"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1AEF5F0"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033005" w14:paraId="4CEE1DE6" w14:textId="77777777" w:rsidTr="00F527AB">
        <w:tc>
          <w:tcPr>
            <w:tcW w:w="988" w:type="dxa"/>
          </w:tcPr>
          <w:p w14:paraId="752B8FF9"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233F42B0"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2D413B48" w14:textId="77777777" w:rsidTr="00F527AB">
        <w:tc>
          <w:tcPr>
            <w:tcW w:w="988" w:type="dxa"/>
          </w:tcPr>
          <w:p w14:paraId="65FDD0BA" w14:textId="73BCE2B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53D570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4FDF9994" w14:textId="77777777" w:rsidTr="00F527AB">
        <w:tc>
          <w:tcPr>
            <w:tcW w:w="988" w:type="dxa"/>
          </w:tcPr>
          <w:p w14:paraId="3A8BFD6B" w14:textId="30518C9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785B78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an active tumour or evidence of tumour growth or activity</w:t>
            </w:r>
          </w:p>
        </w:tc>
      </w:tr>
      <w:tr w:rsidR="00685ED6" w:rsidRPr="00033005" w14:paraId="24438A07" w14:textId="77777777" w:rsidTr="00F527AB">
        <w:tc>
          <w:tcPr>
            <w:tcW w:w="988" w:type="dxa"/>
          </w:tcPr>
          <w:p w14:paraId="5013982F"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1AC21F9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034E5906" w14:textId="77777777" w:rsidTr="00F527AB">
        <w:tc>
          <w:tcPr>
            <w:tcW w:w="988" w:type="dxa"/>
          </w:tcPr>
          <w:p w14:paraId="4E12E6AA" w14:textId="438AA90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627E37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6FFD2AD5" w14:textId="77777777" w:rsidTr="00F527AB">
        <w:tc>
          <w:tcPr>
            <w:tcW w:w="988" w:type="dxa"/>
          </w:tcPr>
          <w:p w14:paraId="6FB9FA44" w14:textId="3982A81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CC300A9"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bone age of 15.5 years or more; or</w:t>
            </w:r>
          </w:p>
        </w:tc>
      </w:tr>
      <w:tr w:rsidR="00685ED6" w:rsidRPr="00033005" w14:paraId="0065B707" w14:textId="77777777" w:rsidTr="00F527AB">
        <w:tc>
          <w:tcPr>
            <w:tcW w:w="988" w:type="dxa"/>
          </w:tcPr>
          <w:p w14:paraId="5E612C9B" w14:textId="64783A1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0F920A2"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bone age of 13.5 years or more</w:t>
            </w:r>
          </w:p>
        </w:tc>
      </w:tr>
      <w:tr w:rsidR="00685ED6" w:rsidRPr="00033005" w14:paraId="4B22EB49" w14:textId="77777777" w:rsidTr="008A5ACA">
        <w:tc>
          <w:tcPr>
            <w:tcW w:w="988" w:type="dxa"/>
          </w:tcPr>
          <w:p w14:paraId="592B48A8"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6C8F28F3" w14:textId="77777777" w:rsidR="00685ED6" w:rsidRPr="00033005" w:rsidRDefault="00685ED6" w:rsidP="008A5ACA">
            <w:pPr>
              <w:ind w:left="-57"/>
              <w:rPr>
                <w:rFonts w:ascii="Arial Narrow" w:hAnsi="Arial Narrow" w:cs="Open Sans"/>
                <w:color w:val="333333"/>
                <w:sz w:val="18"/>
                <w:szCs w:val="18"/>
              </w:rPr>
            </w:pPr>
          </w:p>
        </w:tc>
      </w:tr>
      <w:tr w:rsidR="00685ED6" w:rsidRPr="00033005" w14:paraId="6C55666D" w14:textId="77777777" w:rsidTr="00F527AB">
        <w:tc>
          <w:tcPr>
            <w:tcW w:w="988" w:type="dxa"/>
          </w:tcPr>
          <w:p w14:paraId="15A936D9" w14:textId="7358C71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7A9E8D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05C5DA57" w14:textId="77777777" w:rsidTr="00F527AB">
        <w:tc>
          <w:tcPr>
            <w:tcW w:w="988" w:type="dxa"/>
          </w:tcPr>
          <w:p w14:paraId="23474EE6" w14:textId="2FD99AB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1AA853B"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medical practitioner in consultation with a nominated specialist or consultant physician in paediatric endocrinology; or</w:t>
            </w:r>
          </w:p>
        </w:tc>
      </w:tr>
      <w:tr w:rsidR="00685ED6" w:rsidRPr="00033005" w14:paraId="72131736" w14:textId="77777777" w:rsidTr="00F527AB">
        <w:tc>
          <w:tcPr>
            <w:tcW w:w="988" w:type="dxa"/>
          </w:tcPr>
          <w:p w14:paraId="1255EE0A" w14:textId="4A101EB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599A31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medical practitioner in consultation with a nominated specialist or consultant physician in general paediatrics</w:t>
            </w:r>
          </w:p>
        </w:tc>
      </w:tr>
      <w:tr w:rsidR="00685ED6" w:rsidRPr="00033005" w14:paraId="34A53414" w14:textId="77777777" w:rsidTr="00F527AB">
        <w:tc>
          <w:tcPr>
            <w:tcW w:w="988" w:type="dxa"/>
          </w:tcPr>
          <w:p w14:paraId="616E775A"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65E59C2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2925B4F2" w14:textId="77777777" w:rsidTr="00F527AB">
        <w:tc>
          <w:tcPr>
            <w:tcW w:w="988" w:type="dxa"/>
          </w:tcPr>
          <w:p w14:paraId="40CBB2EA" w14:textId="6778197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19B981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65E04FB9" w14:textId="77777777" w:rsidTr="00F527AB">
        <w:tc>
          <w:tcPr>
            <w:tcW w:w="988" w:type="dxa"/>
          </w:tcPr>
          <w:p w14:paraId="269B698E" w14:textId="0575DE2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32D248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treatment for the stated indication with only one growth hormone at any given time</w:t>
            </w:r>
          </w:p>
        </w:tc>
      </w:tr>
      <w:tr w:rsidR="00685ED6" w:rsidRPr="00033005" w14:paraId="27C465E7" w14:textId="77777777" w:rsidTr="008A5ACA">
        <w:tc>
          <w:tcPr>
            <w:tcW w:w="988" w:type="dxa"/>
          </w:tcPr>
          <w:p w14:paraId="695F5AE0"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0A2E2815" w14:textId="77777777" w:rsidR="00685ED6" w:rsidRPr="00033005" w:rsidRDefault="00685ED6" w:rsidP="008A5ACA">
            <w:pPr>
              <w:ind w:left="-57"/>
              <w:rPr>
                <w:rFonts w:ascii="Arial Narrow" w:hAnsi="Arial Narrow" w:cs="Open Sans"/>
                <w:color w:val="333333"/>
                <w:sz w:val="18"/>
                <w:szCs w:val="18"/>
              </w:rPr>
            </w:pPr>
          </w:p>
        </w:tc>
      </w:tr>
      <w:tr w:rsidR="00685ED6" w:rsidRPr="00033005" w14:paraId="5A646903" w14:textId="77777777" w:rsidTr="00F527AB">
        <w:tc>
          <w:tcPr>
            <w:tcW w:w="988" w:type="dxa"/>
          </w:tcPr>
          <w:p w14:paraId="16753314" w14:textId="15D80B3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935461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7BCF4A5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An older child </w:t>
            </w:r>
            <w:proofErr w:type="gramStart"/>
            <w:r w:rsidRPr="00033005">
              <w:rPr>
                <w:rFonts w:ascii="Arial Narrow" w:hAnsi="Arial Narrow" w:cs="Open Sans"/>
                <w:color w:val="333333"/>
                <w:sz w:val="18"/>
                <w:szCs w:val="18"/>
              </w:rPr>
              <w:t>is defined</w:t>
            </w:r>
            <w:proofErr w:type="gramEnd"/>
            <w:r w:rsidRPr="00033005">
              <w:rPr>
                <w:rFonts w:ascii="Arial Narrow" w:hAnsi="Arial Narrow" w:cs="Open Sans"/>
                <w:color w:val="333333"/>
                <w:sz w:val="18"/>
                <w:szCs w:val="18"/>
              </w:rPr>
              <w:t xml:space="preserve"> as a male with a chronological age of at least 12 years or a bone age of at least 10 years, or a female with a chronological age of at least 10 years or a bone age of at least 8 years.</w:t>
            </w:r>
          </w:p>
        </w:tc>
      </w:tr>
      <w:tr w:rsidR="00685ED6" w:rsidRPr="00033005" w14:paraId="4F0EA754" w14:textId="77777777" w:rsidTr="00F527AB">
        <w:tc>
          <w:tcPr>
            <w:tcW w:w="988" w:type="dxa"/>
          </w:tcPr>
          <w:p w14:paraId="339E85B1" w14:textId="1C32BAF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37BAF0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1AF70760"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Applications for authorisation under this treatment phase must </w:t>
            </w:r>
            <w:proofErr w:type="gramStart"/>
            <w:r w:rsidRPr="00033005">
              <w:rPr>
                <w:rFonts w:ascii="Arial Narrow" w:hAnsi="Arial Narrow" w:cs="Open Sans"/>
                <w:color w:val="333333"/>
                <w:sz w:val="18"/>
                <w:szCs w:val="18"/>
              </w:rPr>
              <w:t>be made</w:t>
            </w:r>
            <w:proofErr w:type="gramEnd"/>
            <w:r w:rsidRPr="00033005">
              <w:rPr>
                <w:rFonts w:ascii="Arial Narrow" w:hAnsi="Arial Narrow" w:cs="Open Sans"/>
                <w:color w:val="333333"/>
                <w:sz w:val="18"/>
                <w:szCs w:val="18"/>
              </w:rPr>
              <w:t xml:space="preserve"> via the Online PBS Authorities System (real time assessment) or in writing via HPOS form upload or mail and must include:</w:t>
            </w:r>
          </w:p>
          <w:p w14:paraId="11E2A13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1.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a patient had a chronological age greater than 2.5 years at commencement of treatment); OR</w:t>
            </w:r>
          </w:p>
          <w:p w14:paraId="3E4F0BA0"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(b) Height and weight measurements from within three months prior to commencement of treatment for a patient whose height was at or below the </w:t>
            </w:r>
            <w:proofErr w:type="gramStart"/>
            <w:r w:rsidRPr="00033005">
              <w:rPr>
                <w:rFonts w:ascii="Arial Narrow" w:hAnsi="Arial Narrow" w:cs="Open Sans"/>
                <w:color w:val="333333"/>
                <w:sz w:val="18"/>
                <w:szCs w:val="18"/>
              </w:rPr>
              <w:t>1</w:t>
            </w:r>
            <w:r w:rsidRPr="00033005">
              <w:rPr>
                <w:rFonts w:ascii="Arial Narrow" w:hAnsi="Arial Narrow" w:cs="Open Sans"/>
                <w:color w:val="333333"/>
                <w:sz w:val="18"/>
                <w:szCs w:val="18"/>
                <w:bdr w:val="none" w:sz="0" w:space="0" w:color="auto" w:frame="1"/>
                <w:vertAlign w:val="superscript"/>
              </w:rPr>
              <w:t>st</w:t>
            </w:r>
            <w:proofErr w:type="gramEnd"/>
            <w:r w:rsidRPr="00033005">
              <w:rPr>
                <w:rFonts w:ascii="Arial Narrow" w:hAnsi="Arial Narrow" w:cs="Open Sans"/>
                <w:color w:val="333333"/>
                <w:sz w:val="18"/>
                <w:szCs w:val="18"/>
              </w:rPr>
              <w:t> percentile for age plus sex immediately prior to commencing treatment.</w:t>
            </w:r>
          </w:p>
          <w:p w14:paraId="797DDAC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2. Evidence of biochemical growth hormone deficiency, including the type of tests performed and peak growth hormone concentrations.</w:t>
            </w:r>
          </w:p>
          <w:p w14:paraId="6C3E11F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3. Growth data (height and weight) for the most recent </w:t>
            </w:r>
            <w:proofErr w:type="gramStart"/>
            <w:r w:rsidRPr="00033005">
              <w:rPr>
                <w:rFonts w:ascii="Arial Narrow" w:hAnsi="Arial Narrow" w:cs="Open Sans"/>
                <w:color w:val="333333"/>
                <w:sz w:val="18"/>
                <w:szCs w:val="18"/>
              </w:rPr>
              <w:t>6 month</w:t>
            </w:r>
            <w:proofErr w:type="gramEnd"/>
            <w:r w:rsidRPr="00033005">
              <w:rPr>
                <w:rFonts w:ascii="Arial Narrow" w:hAnsi="Arial Narrow" w:cs="Open Sans"/>
                <w:color w:val="333333"/>
                <w:sz w:val="18"/>
                <w:szCs w:val="18"/>
              </w:rPr>
              <w:t xml:space="preserve"> treatment period, including data at both the start and end of the treatment period. The most recent data must not be older than three months.</w:t>
            </w:r>
          </w:p>
          <w:p w14:paraId="24439097"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4. A bone age result performed within the last 12 months where a patient has a chronological age greater than 2.5 years.</w:t>
            </w:r>
          </w:p>
        </w:tc>
      </w:tr>
      <w:tr w:rsidR="00685ED6" w:rsidRPr="00033005" w14:paraId="349A44A5" w14:textId="77777777" w:rsidTr="00F527AB">
        <w:tc>
          <w:tcPr>
            <w:tcW w:w="988" w:type="dxa"/>
          </w:tcPr>
          <w:p w14:paraId="43D4615F" w14:textId="613B268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5A8603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6780DF1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If the application </w:t>
            </w:r>
            <w:proofErr w:type="gramStart"/>
            <w:r w:rsidRPr="00033005">
              <w:rPr>
                <w:rFonts w:ascii="Arial Narrow" w:hAnsi="Arial Narrow" w:cs="Open Sans"/>
                <w:color w:val="333333"/>
                <w:sz w:val="18"/>
                <w:szCs w:val="18"/>
              </w:rPr>
              <w:t>is submitted</w:t>
            </w:r>
            <w:proofErr w:type="gramEnd"/>
            <w:r w:rsidRPr="00033005">
              <w:rPr>
                <w:rFonts w:ascii="Arial Narrow" w:hAnsi="Arial Narrow" w:cs="Open Sans"/>
                <w:color w:val="333333"/>
                <w:sz w:val="18"/>
                <w:szCs w:val="18"/>
              </w:rPr>
              <w:t xml:space="preserve"> through HPOS form upload or mail, it must include:</w:t>
            </w:r>
          </w:p>
          <w:p w14:paraId="55FC95B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 A completed authority prescription form; and</w:t>
            </w:r>
          </w:p>
          <w:p w14:paraId="56090F3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033005" w14:paraId="01EF8542" w14:textId="77777777" w:rsidTr="00F527AB">
        <w:tc>
          <w:tcPr>
            <w:tcW w:w="988" w:type="dxa"/>
          </w:tcPr>
          <w:p w14:paraId="1D482B3C" w14:textId="354163C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4AF669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07FFF89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Prescribe an appropriate amount of drug (maximum quantity in units) outlined within the 'Notes' section of this restriction.</w:t>
            </w:r>
          </w:p>
        </w:tc>
      </w:tr>
      <w:tr w:rsidR="00685ED6" w:rsidRPr="00033005" w14:paraId="7DC7A4AA" w14:textId="77777777" w:rsidTr="00F527AB">
        <w:tc>
          <w:tcPr>
            <w:tcW w:w="988" w:type="dxa"/>
          </w:tcPr>
          <w:p w14:paraId="5FBBB5CF" w14:textId="289EA51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F3AA6E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4822E56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033005">
              <w:rPr>
                <w:rFonts w:ascii="Arial Narrow" w:hAnsi="Arial Narrow" w:cs="Open Sans"/>
                <w:color w:val="333333"/>
                <w:sz w:val="18"/>
                <w:szCs w:val="18"/>
              </w:rPr>
              <w:t>was written</w:t>
            </w:r>
            <w:proofErr w:type="gramEnd"/>
            <w:r w:rsidRPr="00033005">
              <w:rPr>
                <w:rFonts w:ascii="Arial Narrow" w:hAnsi="Arial Narrow" w:cs="Open Sans"/>
                <w:color w:val="333333"/>
                <w:sz w:val="18"/>
                <w:szCs w:val="18"/>
              </w:rPr>
              <w:t xml:space="preserve"> in compliance with any relevant circumstances and/or purposes. These records must </w:t>
            </w:r>
            <w:proofErr w:type="gramStart"/>
            <w:r w:rsidRPr="00033005">
              <w:rPr>
                <w:rFonts w:ascii="Arial Narrow" w:hAnsi="Arial Narrow" w:cs="Open Sans"/>
                <w:color w:val="333333"/>
                <w:sz w:val="18"/>
                <w:szCs w:val="18"/>
              </w:rPr>
              <w:t>be kept</w:t>
            </w:r>
            <w:proofErr w:type="gramEnd"/>
            <w:r w:rsidRPr="00033005">
              <w:rPr>
                <w:rFonts w:ascii="Arial Narrow" w:hAnsi="Arial Narrow" w:cs="Open Sans"/>
                <w:color w:val="333333"/>
                <w:sz w:val="18"/>
                <w:szCs w:val="18"/>
              </w:rPr>
              <w:t xml:space="preserve"> for 2 years after the date the prescription to which the records relate is written.</w:t>
            </w:r>
          </w:p>
        </w:tc>
      </w:tr>
      <w:tr w:rsidR="00685ED6" w:rsidRPr="00033005" w14:paraId="280AF30B" w14:textId="77777777" w:rsidTr="00F527AB">
        <w:tc>
          <w:tcPr>
            <w:tcW w:w="988" w:type="dxa"/>
          </w:tcPr>
          <w:p w14:paraId="2DA262D0" w14:textId="693103C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9B581B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533EB74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Biochemical growth hormone deficiency should not be secondary to an intracranial lesion or cranial irradiation for applications under this category.</w:t>
            </w:r>
          </w:p>
        </w:tc>
      </w:tr>
      <w:tr w:rsidR="00685ED6" w:rsidRPr="00033005" w14:paraId="08478C63" w14:textId="77777777" w:rsidTr="00F527AB">
        <w:tc>
          <w:tcPr>
            <w:tcW w:w="988" w:type="dxa"/>
          </w:tcPr>
          <w:p w14:paraId="6850BCAA" w14:textId="1869E22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C62AC6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707D0C2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033005" w14:paraId="12BD7CBF" w14:textId="77777777" w:rsidTr="008A5ACA">
        <w:tc>
          <w:tcPr>
            <w:tcW w:w="9209" w:type="dxa"/>
            <w:gridSpan w:val="2"/>
          </w:tcPr>
          <w:p w14:paraId="3BE15435"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p>
          <w:p w14:paraId="4E684F78"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6B73BE22" w14:textId="77777777" w:rsidTr="008A5ACA">
        <w:tc>
          <w:tcPr>
            <w:tcW w:w="9209" w:type="dxa"/>
            <w:gridSpan w:val="2"/>
          </w:tcPr>
          <w:p w14:paraId="0A67702D"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033005">
              <w:rPr>
                <w:rFonts w:ascii="Arial Narrow" w:hAnsi="Arial Narrow" w:cs="Open Sans"/>
                <w:b/>
                <w:bCs/>
                <w:color w:val="333333"/>
                <w:sz w:val="18"/>
                <w:szCs w:val="18"/>
                <w:bdr w:val="none" w:sz="0" w:space="0" w:color="auto" w:frame="1"/>
              </w:rPr>
              <w:t>Restriction Summary 13302 / ToC: 13308: Authority Required</w:t>
            </w:r>
          </w:p>
          <w:p w14:paraId="3D471815" w14:textId="77777777" w:rsidR="00685ED6" w:rsidRPr="00033005"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033005" w14:paraId="543852DC" w14:textId="77777777" w:rsidTr="00F527AB">
        <w:tc>
          <w:tcPr>
            <w:tcW w:w="988" w:type="dxa"/>
          </w:tcPr>
          <w:p w14:paraId="52521CC1" w14:textId="3114A56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3260270"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Indication:</w:t>
            </w:r>
            <w:r>
              <w:rPr>
                <w:rFonts w:ascii="Arial Narrow" w:hAnsi="Arial Narrow" w:cs="Open Sans"/>
                <w:color w:val="333333"/>
                <w:sz w:val="18"/>
                <w:szCs w:val="18"/>
              </w:rPr>
              <w:t xml:space="preserve"> </w:t>
            </w:r>
            <w:r w:rsidRPr="00033005">
              <w:rPr>
                <w:rFonts w:ascii="Arial Narrow" w:hAnsi="Arial Narrow" w:cs="Open Sans"/>
                <w:color w:val="333333"/>
                <w:sz w:val="18"/>
                <w:szCs w:val="18"/>
              </w:rPr>
              <w:t>Short stature and slow growth</w:t>
            </w:r>
          </w:p>
        </w:tc>
      </w:tr>
      <w:tr w:rsidR="00685ED6" w:rsidRPr="00033005" w14:paraId="71611814" w14:textId="77777777" w:rsidTr="008A5ACA">
        <w:tc>
          <w:tcPr>
            <w:tcW w:w="988" w:type="dxa"/>
          </w:tcPr>
          <w:p w14:paraId="0FCFA967"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2CA281FA"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5135AD3F" w14:textId="77777777" w:rsidTr="00F527AB">
        <w:tc>
          <w:tcPr>
            <w:tcW w:w="988" w:type="dxa"/>
          </w:tcPr>
          <w:p w14:paraId="34E5A350"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68B70B3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033005">
              <w:rPr>
                <w:rFonts w:ascii="Arial Narrow" w:hAnsi="Arial Narrow" w:cs="Open Sans"/>
                <w:color w:val="333333"/>
                <w:sz w:val="18"/>
                <w:szCs w:val="18"/>
              </w:rPr>
              <w:t>Continuing treatment</w:t>
            </w:r>
          </w:p>
        </w:tc>
      </w:tr>
      <w:tr w:rsidR="00685ED6" w:rsidRPr="00033005" w14:paraId="2E205001" w14:textId="77777777" w:rsidTr="008A5ACA">
        <w:tc>
          <w:tcPr>
            <w:tcW w:w="988" w:type="dxa"/>
          </w:tcPr>
          <w:p w14:paraId="13441E2F" w14:textId="77777777" w:rsidR="00685ED6" w:rsidRPr="00033005" w:rsidRDefault="00685ED6" w:rsidP="008A5ACA">
            <w:pPr>
              <w:jc w:val="center"/>
              <w:rPr>
                <w:rFonts w:ascii="Arial Narrow" w:hAnsi="Arial Narrow" w:cs="Open Sans"/>
                <w:color w:val="333333"/>
                <w:sz w:val="18"/>
                <w:szCs w:val="18"/>
              </w:rPr>
            </w:pPr>
          </w:p>
        </w:tc>
        <w:tc>
          <w:tcPr>
            <w:tcW w:w="8221" w:type="dxa"/>
          </w:tcPr>
          <w:p w14:paraId="3746B1D0"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528A491F" w14:textId="77777777" w:rsidTr="00F527AB">
        <w:tc>
          <w:tcPr>
            <w:tcW w:w="988" w:type="dxa"/>
          </w:tcPr>
          <w:p w14:paraId="28AA0F3B" w14:textId="0019B6E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F170E3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70D9BF5C" w14:textId="77777777" w:rsidTr="00F527AB">
        <w:tc>
          <w:tcPr>
            <w:tcW w:w="988" w:type="dxa"/>
          </w:tcPr>
          <w:p w14:paraId="1E2419FB" w14:textId="758ACA5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A05855A"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continuing PBS-subsidised therapy with this drug - subsidy through this treatment phase must not: (i) initiate treatment, (ii) change the prescribed drug, (iii) recommence treatment, (iv) reclassify the PBS indication</w:t>
            </w:r>
          </w:p>
        </w:tc>
      </w:tr>
      <w:tr w:rsidR="00685ED6" w:rsidRPr="00033005" w14:paraId="300729D5" w14:textId="77777777" w:rsidTr="008A5ACA">
        <w:tc>
          <w:tcPr>
            <w:tcW w:w="988" w:type="dxa"/>
          </w:tcPr>
          <w:p w14:paraId="6C8F1B50"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4917C5AC" w14:textId="77777777" w:rsidR="00685ED6" w:rsidRPr="00033005" w:rsidRDefault="00685ED6" w:rsidP="008A5ACA">
            <w:pPr>
              <w:ind w:left="-57"/>
              <w:rPr>
                <w:rFonts w:ascii="Arial Narrow" w:hAnsi="Arial Narrow" w:cs="Open Sans"/>
                <w:color w:val="333333"/>
                <w:sz w:val="18"/>
                <w:szCs w:val="18"/>
              </w:rPr>
            </w:pPr>
          </w:p>
        </w:tc>
      </w:tr>
      <w:tr w:rsidR="00685ED6" w:rsidRPr="00033005" w14:paraId="2673B5F2" w14:textId="77777777" w:rsidTr="00F527AB">
        <w:tc>
          <w:tcPr>
            <w:tcW w:w="988" w:type="dxa"/>
          </w:tcPr>
          <w:p w14:paraId="1DDC9BC2" w14:textId="6881EA5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35030F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649E39E7" w14:textId="77777777" w:rsidTr="00F527AB">
        <w:tc>
          <w:tcPr>
            <w:tcW w:w="988" w:type="dxa"/>
          </w:tcPr>
          <w:p w14:paraId="4017D78F" w14:textId="5B08C93A"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DB57033"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previously received treatment under the PBS S100 Growth Hormone Program under the short stature and slow growth category</w:t>
            </w:r>
          </w:p>
        </w:tc>
      </w:tr>
      <w:tr w:rsidR="00685ED6" w:rsidRPr="00033005" w14:paraId="6B263C8D" w14:textId="77777777" w:rsidTr="00F527AB">
        <w:tc>
          <w:tcPr>
            <w:tcW w:w="988" w:type="dxa"/>
          </w:tcPr>
          <w:p w14:paraId="252049FB"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62C2EDB6"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56AF89DC" w14:textId="77777777" w:rsidTr="00F527AB">
        <w:tc>
          <w:tcPr>
            <w:tcW w:w="988" w:type="dxa"/>
          </w:tcPr>
          <w:p w14:paraId="34EDDA78" w14:textId="7B1C8EE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3E3012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25445E53" w14:textId="77777777" w:rsidTr="00F527AB">
        <w:tc>
          <w:tcPr>
            <w:tcW w:w="988" w:type="dxa"/>
          </w:tcPr>
          <w:p w14:paraId="27489736" w14:textId="11A4510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6DDC7B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achieved the 50th percentile growth velocity for bone age plus sex following the most recent supply; or</w:t>
            </w:r>
          </w:p>
        </w:tc>
      </w:tr>
      <w:tr w:rsidR="00685ED6" w:rsidRPr="00033005" w14:paraId="38364CF9" w14:textId="77777777" w:rsidTr="00F527AB">
        <w:tc>
          <w:tcPr>
            <w:tcW w:w="988" w:type="dxa"/>
          </w:tcPr>
          <w:p w14:paraId="4AE366A0" w14:textId="67C42F4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0E4E51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achieved an increase in height standard deviation score for chronological age plus sex following the most recent supply; or</w:t>
            </w:r>
          </w:p>
        </w:tc>
      </w:tr>
      <w:tr w:rsidR="00685ED6" w:rsidRPr="00033005" w14:paraId="7ADE7FD8" w14:textId="77777777" w:rsidTr="00F527AB">
        <w:tc>
          <w:tcPr>
            <w:tcW w:w="988" w:type="dxa"/>
          </w:tcPr>
          <w:p w14:paraId="1633B238" w14:textId="6C57E06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848C5F0"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achieved a minimum growth velocity of 4 cm per year following the most recent </w:t>
            </w:r>
            <w:proofErr w:type="gramStart"/>
            <w:r w:rsidRPr="00033005">
              <w:rPr>
                <w:rFonts w:ascii="Arial Narrow" w:hAnsi="Arial Narrow" w:cs="Open Sans"/>
                <w:color w:val="333333"/>
                <w:sz w:val="18"/>
                <w:szCs w:val="18"/>
              </w:rPr>
              <w:t>supply;</w:t>
            </w:r>
            <w:proofErr w:type="gramEnd"/>
            <w:r w:rsidRPr="00033005">
              <w:rPr>
                <w:rFonts w:ascii="Arial Narrow" w:hAnsi="Arial Narrow" w:cs="Open Sans"/>
                <w:color w:val="333333"/>
                <w:sz w:val="18"/>
                <w:szCs w:val="18"/>
              </w:rPr>
              <w:t xml:space="preserve"> or</w:t>
            </w:r>
          </w:p>
        </w:tc>
      </w:tr>
      <w:tr w:rsidR="00685ED6" w:rsidRPr="00033005" w14:paraId="39844E70" w14:textId="77777777" w:rsidTr="00F527AB">
        <w:tc>
          <w:tcPr>
            <w:tcW w:w="988" w:type="dxa"/>
          </w:tcPr>
          <w:p w14:paraId="44DB84BE" w14:textId="0248050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4804FDB"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achieved a mid-parental height standard deviation score following the most recent supply; or</w:t>
            </w:r>
          </w:p>
        </w:tc>
      </w:tr>
      <w:tr w:rsidR="00685ED6" w:rsidRPr="00033005" w14:paraId="37160867" w14:textId="77777777" w:rsidTr="00F527AB">
        <w:tc>
          <w:tcPr>
            <w:tcW w:w="988" w:type="dxa"/>
          </w:tcPr>
          <w:p w14:paraId="23C1FC46" w14:textId="1FF5363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3F7DE3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The treatment must have </w:t>
            </w:r>
            <w:proofErr w:type="gramStart"/>
            <w:r w:rsidRPr="00033005">
              <w:rPr>
                <w:rFonts w:ascii="Arial Narrow" w:hAnsi="Arial Narrow" w:cs="Open Sans"/>
                <w:color w:val="333333"/>
                <w:sz w:val="18"/>
                <w:szCs w:val="18"/>
              </w:rPr>
              <w:t>been administered</w:t>
            </w:r>
            <w:proofErr w:type="gramEnd"/>
            <w:r w:rsidRPr="00033005">
              <w:rPr>
                <w:rFonts w:ascii="Arial Narrow" w:hAnsi="Arial Narrow" w:cs="Open Sans"/>
                <w:color w:val="333333"/>
                <w:sz w:val="18"/>
                <w:szCs w:val="18"/>
              </w:rPr>
              <w:t xml:space="preserve"> at a dose that is lower than that recommended in the approved Product Information in the most recent supply</w:t>
            </w:r>
          </w:p>
        </w:tc>
      </w:tr>
      <w:tr w:rsidR="00685ED6" w:rsidRPr="00033005" w14:paraId="412D3F4F" w14:textId="77777777" w:rsidTr="00F527AB">
        <w:tc>
          <w:tcPr>
            <w:tcW w:w="988" w:type="dxa"/>
          </w:tcPr>
          <w:p w14:paraId="634D3860"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2478965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16CDDB5F" w14:textId="77777777" w:rsidTr="00F527AB">
        <w:tc>
          <w:tcPr>
            <w:tcW w:w="988" w:type="dxa"/>
          </w:tcPr>
          <w:p w14:paraId="7FE28526" w14:textId="1D2D5B3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01AFFA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322A5635" w14:textId="77777777" w:rsidTr="00F527AB">
        <w:tc>
          <w:tcPr>
            <w:tcW w:w="988" w:type="dxa"/>
          </w:tcPr>
          <w:p w14:paraId="7265861A" w14:textId="7011DE5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BD6954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033005" w14:paraId="3CC9758B" w14:textId="77777777" w:rsidTr="00F527AB">
        <w:tc>
          <w:tcPr>
            <w:tcW w:w="988" w:type="dxa"/>
          </w:tcPr>
          <w:p w14:paraId="1D3A01AD"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555F1C31"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5188207C" w14:textId="77777777" w:rsidTr="00F527AB">
        <w:tc>
          <w:tcPr>
            <w:tcW w:w="988" w:type="dxa"/>
          </w:tcPr>
          <w:p w14:paraId="17AF24FF" w14:textId="788ABB3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52B19C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6CA1DE9B" w14:textId="77777777" w:rsidTr="00F527AB">
        <w:tc>
          <w:tcPr>
            <w:tcW w:w="988" w:type="dxa"/>
          </w:tcPr>
          <w:p w14:paraId="6E531C4C" w14:textId="7D3E101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57174F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an active tumour or evidence of tumour growth or activity</w:t>
            </w:r>
          </w:p>
        </w:tc>
      </w:tr>
      <w:tr w:rsidR="00685ED6" w:rsidRPr="00033005" w14:paraId="6346899C" w14:textId="77777777" w:rsidTr="00F527AB">
        <w:tc>
          <w:tcPr>
            <w:tcW w:w="988" w:type="dxa"/>
          </w:tcPr>
          <w:p w14:paraId="18E5D234"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3BDCBF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12CB1728" w14:textId="77777777" w:rsidTr="00F527AB">
        <w:tc>
          <w:tcPr>
            <w:tcW w:w="988" w:type="dxa"/>
          </w:tcPr>
          <w:p w14:paraId="241A1F6F" w14:textId="50FB2E3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9349F2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49470B6D" w14:textId="77777777" w:rsidTr="00F527AB">
        <w:tc>
          <w:tcPr>
            <w:tcW w:w="988" w:type="dxa"/>
          </w:tcPr>
          <w:p w14:paraId="1444078A" w14:textId="4F2916A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0E200D8"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bone age of 15.5 years or more; or</w:t>
            </w:r>
          </w:p>
        </w:tc>
      </w:tr>
      <w:tr w:rsidR="00685ED6" w:rsidRPr="00033005" w14:paraId="4E1C63AF" w14:textId="77777777" w:rsidTr="00F527AB">
        <w:tc>
          <w:tcPr>
            <w:tcW w:w="988" w:type="dxa"/>
          </w:tcPr>
          <w:p w14:paraId="458E2DD6" w14:textId="7656C54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A81516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bone age of 13.5 years or more</w:t>
            </w:r>
          </w:p>
        </w:tc>
      </w:tr>
      <w:tr w:rsidR="00685ED6" w:rsidRPr="00033005" w14:paraId="574B8555" w14:textId="77777777" w:rsidTr="00F527AB">
        <w:tc>
          <w:tcPr>
            <w:tcW w:w="988" w:type="dxa"/>
          </w:tcPr>
          <w:p w14:paraId="3229223E"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6F136D0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4C59F747" w14:textId="77777777" w:rsidTr="00F527AB">
        <w:tc>
          <w:tcPr>
            <w:tcW w:w="988" w:type="dxa"/>
          </w:tcPr>
          <w:p w14:paraId="0746E03B" w14:textId="79DA3E7A"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514DC7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1B4977B5" w14:textId="77777777" w:rsidTr="00F527AB">
        <w:tc>
          <w:tcPr>
            <w:tcW w:w="988" w:type="dxa"/>
          </w:tcPr>
          <w:p w14:paraId="32702DEB" w14:textId="449BD5D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49E6305"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height greater than or equal to 167.7cm; or</w:t>
            </w:r>
          </w:p>
        </w:tc>
      </w:tr>
      <w:tr w:rsidR="00685ED6" w:rsidRPr="00033005" w14:paraId="27D3FB5D" w14:textId="77777777" w:rsidTr="00F527AB">
        <w:tc>
          <w:tcPr>
            <w:tcW w:w="988" w:type="dxa"/>
          </w:tcPr>
          <w:p w14:paraId="6C8219C4" w14:textId="29686FC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6236B30"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height greater than or equal to 155.0cm</w:t>
            </w:r>
          </w:p>
        </w:tc>
      </w:tr>
      <w:tr w:rsidR="00685ED6" w:rsidRPr="00033005" w14:paraId="08D4B539" w14:textId="77777777" w:rsidTr="008A5ACA">
        <w:tc>
          <w:tcPr>
            <w:tcW w:w="988" w:type="dxa"/>
          </w:tcPr>
          <w:p w14:paraId="0A5ED9FB"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73DD38B0" w14:textId="77777777" w:rsidR="00685ED6" w:rsidRPr="00033005" w:rsidRDefault="00685ED6" w:rsidP="008A5ACA">
            <w:pPr>
              <w:ind w:left="-57"/>
              <w:rPr>
                <w:rFonts w:ascii="Arial Narrow" w:hAnsi="Arial Narrow" w:cs="Open Sans"/>
                <w:color w:val="333333"/>
                <w:sz w:val="18"/>
                <w:szCs w:val="18"/>
              </w:rPr>
            </w:pPr>
          </w:p>
        </w:tc>
      </w:tr>
      <w:tr w:rsidR="00685ED6" w:rsidRPr="00033005" w14:paraId="273CBC66" w14:textId="77777777" w:rsidTr="00F527AB">
        <w:tc>
          <w:tcPr>
            <w:tcW w:w="988" w:type="dxa"/>
          </w:tcPr>
          <w:p w14:paraId="6338F3CB" w14:textId="26940B3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AED936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78C0FDBC" w14:textId="77777777" w:rsidTr="00F527AB">
        <w:tc>
          <w:tcPr>
            <w:tcW w:w="988" w:type="dxa"/>
          </w:tcPr>
          <w:p w14:paraId="601450B2" w14:textId="188011F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668ACF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treatment for the stated indication with only one growth hormone at any given time</w:t>
            </w:r>
          </w:p>
        </w:tc>
      </w:tr>
      <w:tr w:rsidR="00685ED6" w:rsidRPr="00033005" w14:paraId="5D645795" w14:textId="77777777" w:rsidTr="008A5ACA">
        <w:tc>
          <w:tcPr>
            <w:tcW w:w="988" w:type="dxa"/>
          </w:tcPr>
          <w:p w14:paraId="1ED30C5C"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218DF107" w14:textId="77777777" w:rsidR="00685ED6" w:rsidRPr="00033005" w:rsidRDefault="00685ED6" w:rsidP="008A5ACA">
            <w:pPr>
              <w:ind w:left="-57"/>
              <w:rPr>
                <w:rFonts w:ascii="Arial Narrow" w:hAnsi="Arial Narrow" w:cs="Open Sans"/>
                <w:color w:val="333333"/>
                <w:sz w:val="18"/>
                <w:szCs w:val="18"/>
              </w:rPr>
            </w:pPr>
          </w:p>
        </w:tc>
      </w:tr>
      <w:tr w:rsidR="00685ED6" w:rsidRPr="00033005" w14:paraId="2DE43CE1" w14:textId="77777777" w:rsidTr="00F527AB">
        <w:tc>
          <w:tcPr>
            <w:tcW w:w="988" w:type="dxa"/>
          </w:tcPr>
          <w:p w14:paraId="7BF0918C" w14:textId="043E967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70CB33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1D448C3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Applications for authorisation under this treatment phase must </w:t>
            </w:r>
            <w:proofErr w:type="gramStart"/>
            <w:r w:rsidRPr="00033005">
              <w:rPr>
                <w:rFonts w:ascii="Arial Narrow" w:hAnsi="Arial Narrow" w:cs="Open Sans"/>
                <w:color w:val="333333"/>
                <w:sz w:val="18"/>
                <w:szCs w:val="18"/>
              </w:rPr>
              <w:t>be made</w:t>
            </w:r>
            <w:proofErr w:type="gramEnd"/>
            <w:r w:rsidRPr="00033005">
              <w:rPr>
                <w:rFonts w:ascii="Arial Narrow" w:hAnsi="Arial Narrow" w:cs="Open Sans"/>
                <w:color w:val="333333"/>
                <w:sz w:val="18"/>
                <w:szCs w:val="18"/>
              </w:rPr>
              <w:t xml:space="preserve"> via the Online PBS Authorities System (real time assessment) or in writing via HPOS form upload or mail and must include:</w:t>
            </w:r>
          </w:p>
          <w:p w14:paraId="69C3F32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1. Growth data (height and weight) for the most recent </w:t>
            </w:r>
            <w:proofErr w:type="gramStart"/>
            <w:r w:rsidRPr="00033005">
              <w:rPr>
                <w:rFonts w:ascii="Arial Narrow" w:hAnsi="Arial Narrow" w:cs="Open Sans"/>
                <w:color w:val="333333"/>
                <w:sz w:val="18"/>
                <w:szCs w:val="18"/>
              </w:rPr>
              <w:t>6 month</w:t>
            </w:r>
            <w:proofErr w:type="gramEnd"/>
            <w:r w:rsidRPr="00033005">
              <w:rPr>
                <w:rFonts w:ascii="Arial Narrow" w:hAnsi="Arial Narrow" w:cs="Open Sans"/>
                <w:color w:val="333333"/>
                <w:sz w:val="18"/>
                <w:szCs w:val="18"/>
              </w:rPr>
              <w:t xml:space="preserve"> treatment period, including data at both the start and end of the treatment period. The most recent data must not be older than three months.</w:t>
            </w:r>
          </w:p>
          <w:p w14:paraId="1D53B22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2. A bone age result performed within the last 12 months where the patient has a chronological age greater than 2.5 years.</w:t>
            </w:r>
          </w:p>
          <w:p w14:paraId="2EE54DB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3. The final adult height (in cm) of the patient's mother and father (where available).</w:t>
            </w:r>
          </w:p>
        </w:tc>
      </w:tr>
      <w:tr w:rsidR="00685ED6" w:rsidRPr="00033005" w14:paraId="04E26ADA" w14:textId="77777777" w:rsidTr="00F527AB">
        <w:tc>
          <w:tcPr>
            <w:tcW w:w="988" w:type="dxa"/>
          </w:tcPr>
          <w:p w14:paraId="666FB65C" w14:textId="701F034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6B3E75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1EBE375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If the application </w:t>
            </w:r>
            <w:proofErr w:type="gramStart"/>
            <w:r w:rsidRPr="00033005">
              <w:rPr>
                <w:rFonts w:ascii="Arial Narrow" w:hAnsi="Arial Narrow" w:cs="Open Sans"/>
                <w:color w:val="333333"/>
                <w:sz w:val="18"/>
                <w:szCs w:val="18"/>
              </w:rPr>
              <w:t>is submitted</w:t>
            </w:r>
            <w:proofErr w:type="gramEnd"/>
            <w:r w:rsidRPr="00033005">
              <w:rPr>
                <w:rFonts w:ascii="Arial Narrow" w:hAnsi="Arial Narrow" w:cs="Open Sans"/>
                <w:color w:val="333333"/>
                <w:sz w:val="18"/>
                <w:szCs w:val="18"/>
              </w:rPr>
              <w:t xml:space="preserve"> through HPOS form upload or mail, it must include:</w:t>
            </w:r>
          </w:p>
          <w:p w14:paraId="025CE1F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 A completed authority prescription form; and</w:t>
            </w:r>
          </w:p>
          <w:p w14:paraId="405480E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033005" w14:paraId="4A4F071B" w14:textId="77777777" w:rsidTr="00F527AB">
        <w:tc>
          <w:tcPr>
            <w:tcW w:w="988" w:type="dxa"/>
          </w:tcPr>
          <w:p w14:paraId="7D29EF81" w14:textId="70CCE55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CD61E8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4D5ED64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Prescribe an appropriate amount of drug (maximum quantity in units) outlined within the 'Notes' section of this restriction.</w:t>
            </w:r>
          </w:p>
        </w:tc>
      </w:tr>
      <w:tr w:rsidR="00685ED6" w:rsidRPr="00033005" w14:paraId="4297EC91" w14:textId="77777777" w:rsidTr="00F527AB">
        <w:tc>
          <w:tcPr>
            <w:tcW w:w="988" w:type="dxa"/>
          </w:tcPr>
          <w:p w14:paraId="5E1F03B6" w14:textId="7F886B0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6DE579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7AD46E4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033005">
              <w:rPr>
                <w:rFonts w:ascii="Arial Narrow" w:hAnsi="Arial Narrow" w:cs="Open Sans"/>
                <w:color w:val="333333"/>
                <w:sz w:val="18"/>
                <w:szCs w:val="18"/>
              </w:rPr>
              <w:t>was written</w:t>
            </w:r>
            <w:proofErr w:type="gramEnd"/>
            <w:r w:rsidRPr="00033005">
              <w:rPr>
                <w:rFonts w:ascii="Arial Narrow" w:hAnsi="Arial Narrow" w:cs="Open Sans"/>
                <w:color w:val="333333"/>
                <w:sz w:val="18"/>
                <w:szCs w:val="18"/>
              </w:rPr>
              <w:t xml:space="preserve"> in compliance with any relevant circumstances and/or purposes. These records must </w:t>
            </w:r>
            <w:proofErr w:type="gramStart"/>
            <w:r w:rsidRPr="00033005">
              <w:rPr>
                <w:rFonts w:ascii="Arial Narrow" w:hAnsi="Arial Narrow" w:cs="Open Sans"/>
                <w:color w:val="333333"/>
                <w:sz w:val="18"/>
                <w:szCs w:val="18"/>
              </w:rPr>
              <w:t>be kept</w:t>
            </w:r>
            <w:proofErr w:type="gramEnd"/>
            <w:r w:rsidRPr="00033005">
              <w:rPr>
                <w:rFonts w:ascii="Arial Narrow" w:hAnsi="Arial Narrow" w:cs="Open Sans"/>
                <w:color w:val="333333"/>
                <w:sz w:val="18"/>
                <w:szCs w:val="18"/>
              </w:rPr>
              <w:t xml:space="preserve"> for 2 years after the date the prescription to which the records relate is written.</w:t>
            </w:r>
          </w:p>
        </w:tc>
      </w:tr>
      <w:tr w:rsidR="00685ED6" w:rsidRPr="00033005" w14:paraId="301A09B8" w14:textId="77777777" w:rsidTr="00F527AB">
        <w:tc>
          <w:tcPr>
            <w:tcW w:w="988" w:type="dxa"/>
          </w:tcPr>
          <w:p w14:paraId="595B4EDD" w14:textId="2F7E5BE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EED6C7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15671EE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lastRenderedPageBreak/>
              <w:t>In children with diabetes mellitus prescribers must ascertain that a growth failure is not due to poor diabetes control, diabetes control is adequate, and regular screening occurs for diabetes complications, particularly retinopathy.</w:t>
            </w:r>
          </w:p>
        </w:tc>
      </w:tr>
      <w:tr w:rsidR="00685ED6" w:rsidRPr="00033005" w14:paraId="07F4A1BE" w14:textId="77777777" w:rsidTr="008A5ACA">
        <w:tc>
          <w:tcPr>
            <w:tcW w:w="9209" w:type="dxa"/>
            <w:gridSpan w:val="2"/>
          </w:tcPr>
          <w:p w14:paraId="71F3A458"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p>
          <w:p w14:paraId="2AF4AF45"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2F4B72AC" w14:textId="77777777" w:rsidTr="008A5ACA">
        <w:tc>
          <w:tcPr>
            <w:tcW w:w="9209" w:type="dxa"/>
            <w:gridSpan w:val="2"/>
          </w:tcPr>
          <w:p w14:paraId="4EEDA7ED"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033005">
              <w:rPr>
                <w:rFonts w:ascii="Arial Narrow" w:hAnsi="Arial Narrow" w:cs="Open Sans"/>
                <w:b/>
                <w:bCs/>
                <w:color w:val="333333"/>
                <w:sz w:val="18"/>
                <w:szCs w:val="18"/>
                <w:bdr w:val="none" w:sz="0" w:space="0" w:color="auto" w:frame="1"/>
              </w:rPr>
              <w:t>Restriction Summary 13315 / ToC: 13309: Authority Required</w:t>
            </w:r>
          </w:p>
          <w:p w14:paraId="0E5007E4"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3C78639F" w14:textId="77777777" w:rsidTr="00F527AB">
        <w:tc>
          <w:tcPr>
            <w:tcW w:w="988" w:type="dxa"/>
          </w:tcPr>
          <w:p w14:paraId="7C7AF6D7" w14:textId="1D97C87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45C857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Indication:</w:t>
            </w:r>
            <w:r>
              <w:rPr>
                <w:rFonts w:ascii="Arial Narrow" w:hAnsi="Arial Narrow" w:cs="Open Sans"/>
                <w:color w:val="333333"/>
                <w:sz w:val="18"/>
                <w:szCs w:val="18"/>
              </w:rPr>
              <w:t xml:space="preserve"> </w:t>
            </w:r>
            <w:r w:rsidRPr="00033005">
              <w:rPr>
                <w:rFonts w:ascii="Arial Narrow" w:hAnsi="Arial Narrow" w:cs="Open Sans"/>
                <w:color w:val="333333"/>
                <w:sz w:val="18"/>
                <w:szCs w:val="18"/>
              </w:rPr>
              <w:t>Short stature and slow growth</w:t>
            </w:r>
          </w:p>
        </w:tc>
      </w:tr>
      <w:tr w:rsidR="00685ED6" w:rsidRPr="00033005" w14:paraId="0D0024A7" w14:textId="77777777" w:rsidTr="008A5ACA">
        <w:tc>
          <w:tcPr>
            <w:tcW w:w="988" w:type="dxa"/>
          </w:tcPr>
          <w:p w14:paraId="7192923E"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1F01394E"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6719B7B3" w14:textId="77777777" w:rsidTr="00F527AB">
        <w:tc>
          <w:tcPr>
            <w:tcW w:w="988" w:type="dxa"/>
          </w:tcPr>
          <w:p w14:paraId="598AE0CD"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3FDEF2E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033005">
              <w:rPr>
                <w:rFonts w:ascii="Arial Narrow" w:hAnsi="Arial Narrow" w:cs="Open Sans"/>
                <w:color w:val="333333"/>
                <w:sz w:val="18"/>
                <w:szCs w:val="18"/>
              </w:rPr>
              <w:t>Change of drug</w:t>
            </w:r>
          </w:p>
        </w:tc>
      </w:tr>
      <w:tr w:rsidR="00685ED6" w:rsidRPr="00033005" w14:paraId="1FDD0CF7" w14:textId="77777777" w:rsidTr="008A5ACA">
        <w:tc>
          <w:tcPr>
            <w:tcW w:w="988" w:type="dxa"/>
          </w:tcPr>
          <w:p w14:paraId="60A92CCF" w14:textId="77777777" w:rsidR="00685ED6" w:rsidRPr="00033005" w:rsidRDefault="00685ED6" w:rsidP="008A5ACA">
            <w:pPr>
              <w:jc w:val="center"/>
              <w:rPr>
                <w:rFonts w:ascii="Arial Narrow" w:hAnsi="Arial Narrow" w:cs="Open Sans"/>
                <w:color w:val="333333"/>
                <w:sz w:val="18"/>
                <w:szCs w:val="18"/>
              </w:rPr>
            </w:pPr>
          </w:p>
        </w:tc>
        <w:tc>
          <w:tcPr>
            <w:tcW w:w="8221" w:type="dxa"/>
          </w:tcPr>
          <w:p w14:paraId="5528F8C9"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347E256E" w14:textId="77777777" w:rsidTr="00F527AB">
        <w:tc>
          <w:tcPr>
            <w:tcW w:w="988" w:type="dxa"/>
          </w:tcPr>
          <w:p w14:paraId="7E472051" w14:textId="62F15AA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9AFB34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7B7DB5E6" w14:textId="77777777" w:rsidTr="00F527AB">
        <w:tc>
          <w:tcPr>
            <w:tcW w:w="988" w:type="dxa"/>
          </w:tcPr>
          <w:p w14:paraId="666EB6FD" w14:textId="602EF2E8"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06EF36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existing PBS-subsidised growth hormone treatment where the prescribed drug is changing within the same PBS indication - subsidy through this treatment phase must not: (i) initiate treatment, (ii) recommence treatment, (iii) reclassify the PBS indication</w:t>
            </w:r>
          </w:p>
        </w:tc>
      </w:tr>
      <w:tr w:rsidR="00685ED6" w:rsidRPr="00033005" w14:paraId="0BF84768" w14:textId="77777777" w:rsidTr="008A5ACA">
        <w:tc>
          <w:tcPr>
            <w:tcW w:w="988" w:type="dxa"/>
          </w:tcPr>
          <w:p w14:paraId="20B82AD3"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544F9447" w14:textId="77777777" w:rsidR="00685ED6" w:rsidRPr="00033005" w:rsidRDefault="00685ED6" w:rsidP="008A5ACA">
            <w:pPr>
              <w:ind w:left="-57"/>
              <w:rPr>
                <w:rFonts w:ascii="Arial Narrow" w:hAnsi="Arial Narrow" w:cs="Open Sans"/>
                <w:color w:val="333333"/>
                <w:sz w:val="18"/>
                <w:szCs w:val="18"/>
              </w:rPr>
            </w:pPr>
          </w:p>
        </w:tc>
      </w:tr>
      <w:tr w:rsidR="00685ED6" w:rsidRPr="00033005" w14:paraId="33C73361" w14:textId="77777777" w:rsidTr="00F527AB">
        <w:tc>
          <w:tcPr>
            <w:tcW w:w="988" w:type="dxa"/>
          </w:tcPr>
          <w:p w14:paraId="4ED80B91" w14:textId="0429AA5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14088A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42CCDD09" w14:textId="77777777" w:rsidTr="00F527AB">
        <w:tc>
          <w:tcPr>
            <w:tcW w:w="988" w:type="dxa"/>
          </w:tcPr>
          <w:p w14:paraId="7C0AD95D" w14:textId="4D7983D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741CFC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w:t>
            </w:r>
            <w:proofErr w:type="gramStart"/>
            <w:r w:rsidRPr="00033005">
              <w:rPr>
                <w:rFonts w:ascii="Arial Narrow" w:hAnsi="Arial Narrow" w:cs="Open Sans"/>
                <w:color w:val="333333"/>
                <w:sz w:val="18"/>
                <w:szCs w:val="18"/>
              </w:rPr>
              <w:t>been treated</w:t>
            </w:r>
            <w:proofErr w:type="gramEnd"/>
            <w:r w:rsidRPr="00033005">
              <w:rPr>
                <w:rFonts w:ascii="Arial Narrow" w:hAnsi="Arial Narrow" w:cs="Open Sans"/>
                <w:color w:val="333333"/>
                <w:sz w:val="18"/>
                <w:szCs w:val="18"/>
              </w:rPr>
              <w:t xml:space="preserve"> with PBS-subsidised growth hormone for less than 32 weeks; or</w:t>
            </w:r>
          </w:p>
        </w:tc>
      </w:tr>
      <w:tr w:rsidR="00685ED6" w:rsidRPr="00033005" w14:paraId="572D6196" w14:textId="77777777" w:rsidTr="00F527AB">
        <w:tc>
          <w:tcPr>
            <w:tcW w:w="988" w:type="dxa"/>
          </w:tcPr>
          <w:p w14:paraId="484870A5" w14:textId="49C3583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E1643A2"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w:t>
            </w:r>
            <w:proofErr w:type="gramStart"/>
            <w:r w:rsidRPr="00033005">
              <w:rPr>
                <w:rFonts w:ascii="Arial Narrow" w:hAnsi="Arial Narrow" w:cs="Open Sans"/>
                <w:color w:val="333333"/>
                <w:sz w:val="18"/>
                <w:szCs w:val="18"/>
              </w:rPr>
              <w:t>been treated</w:t>
            </w:r>
            <w:proofErr w:type="gramEnd"/>
            <w:r w:rsidRPr="00033005">
              <w:rPr>
                <w:rFonts w:ascii="Arial Narrow" w:hAnsi="Arial Narrow" w:cs="Open Sans"/>
                <w:color w:val="333333"/>
                <w:sz w:val="18"/>
                <w:szCs w:val="18"/>
              </w:rPr>
              <w:t xml:space="preserve"> with PBS-subsidised growth hormone for at least 32 weeks, with an adequate response to treatment (as defined further below) having been demonstrated; or</w:t>
            </w:r>
          </w:p>
        </w:tc>
      </w:tr>
      <w:tr w:rsidR="00685ED6" w:rsidRPr="00033005" w14:paraId="5AE32657" w14:textId="77777777" w:rsidTr="00F527AB">
        <w:tc>
          <w:tcPr>
            <w:tcW w:w="988" w:type="dxa"/>
          </w:tcPr>
          <w:p w14:paraId="08D02E1B" w14:textId="661D48D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5856E3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been treated with PBS-subsidised growth hormone for at least 32 weeks, with an adequate response to treatment (as defined further below) not demonstrated due to at least one of: (i) a significant medical illness, (ii) major surgery (e.g. renal transplant), (iii) an adverse reaction to growth hormone, (iv) non-compliance to treatment arising from social/family problems, (v) sub-optimal dosing (i.e. the dose was less than the permitted upper dose range)</w:t>
            </w:r>
          </w:p>
        </w:tc>
      </w:tr>
      <w:tr w:rsidR="00685ED6" w:rsidRPr="00033005" w14:paraId="35CA9620" w14:textId="77777777" w:rsidTr="00F527AB">
        <w:tc>
          <w:tcPr>
            <w:tcW w:w="988" w:type="dxa"/>
          </w:tcPr>
          <w:p w14:paraId="5742C2C0"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37363636"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022C52F0" w14:textId="77777777" w:rsidTr="00F527AB">
        <w:tc>
          <w:tcPr>
            <w:tcW w:w="988" w:type="dxa"/>
          </w:tcPr>
          <w:p w14:paraId="37EE21AB" w14:textId="0C8160A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58E610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0F29FF6D" w14:textId="77777777" w:rsidTr="00F527AB">
        <w:tc>
          <w:tcPr>
            <w:tcW w:w="988" w:type="dxa"/>
          </w:tcPr>
          <w:p w14:paraId="7976600E" w14:textId="5A652DF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D4FF2F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033005" w14:paraId="71E91D5D" w14:textId="77777777" w:rsidTr="00F527AB">
        <w:tc>
          <w:tcPr>
            <w:tcW w:w="988" w:type="dxa"/>
          </w:tcPr>
          <w:p w14:paraId="5938A375"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6CE39572"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33BADC02" w14:textId="77777777" w:rsidTr="00F527AB">
        <w:tc>
          <w:tcPr>
            <w:tcW w:w="988" w:type="dxa"/>
          </w:tcPr>
          <w:p w14:paraId="171868CE" w14:textId="76A089D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E796F9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212C26CF" w14:textId="77777777" w:rsidTr="00F527AB">
        <w:tc>
          <w:tcPr>
            <w:tcW w:w="988" w:type="dxa"/>
          </w:tcPr>
          <w:p w14:paraId="2296FEA3" w14:textId="07D59AD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5B378C0"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an active tumour or evidence of tumour growth or activity</w:t>
            </w:r>
          </w:p>
        </w:tc>
      </w:tr>
      <w:tr w:rsidR="00685ED6" w:rsidRPr="00033005" w14:paraId="0A271C22" w14:textId="77777777" w:rsidTr="00F527AB">
        <w:tc>
          <w:tcPr>
            <w:tcW w:w="988" w:type="dxa"/>
          </w:tcPr>
          <w:p w14:paraId="35D98A7F"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75A305E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599A0364" w14:textId="77777777" w:rsidTr="00F527AB">
        <w:tc>
          <w:tcPr>
            <w:tcW w:w="988" w:type="dxa"/>
          </w:tcPr>
          <w:p w14:paraId="196EFF53" w14:textId="28A0C19B"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245C4C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752136E9" w14:textId="77777777" w:rsidTr="00F527AB">
        <w:tc>
          <w:tcPr>
            <w:tcW w:w="988" w:type="dxa"/>
          </w:tcPr>
          <w:p w14:paraId="04810705" w14:textId="3A3018F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4F70FA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bone age of 15.5 years or more; or</w:t>
            </w:r>
          </w:p>
        </w:tc>
      </w:tr>
      <w:tr w:rsidR="00685ED6" w:rsidRPr="00033005" w14:paraId="66F02467" w14:textId="77777777" w:rsidTr="00F527AB">
        <w:tc>
          <w:tcPr>
            <w:tcW w:w="988" w:type="dxa"/>
          </w:tcPr>
          <w:p w14:paraId="16448B66" w14:textId="6239DA3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EA47A2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bone age of 13.5 years or more</w:t>
            </w:r>
          </w:p>
        </w:tc>
      </w:tr>
      <w:tr w:rsidR="00685ED6" w:rsidRPr="00033005" w14:paraId="1001BC17" w14:textId="77777777" w:rsidTr="00F527AB">
        <w:tc>
          <w:tcPr>
            <w:tcW w:w="988" w:type="dxa"/>
          </w:tcPr>
          <w:p w14:paraId="25B180A0"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25A0419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24731EF3" w14:textId="77777777" w:rsidTr="00F527AB">
        <w:tc>
          <w:tcPr>
            <w:tcW w:w="988" w:type="dxa"/>
          </w:tcPr>
          <w:p w14:paraId="2D997D99" w14:textId="6076970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47415B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7B0C9F6F" w14:textId="77777777" w:rsidTr="00F527AB">
        <w:tc>
          <w:tcPr>
            <w:tcW w:w="988" w:type="dxa"/>
          </w:tcPr>
          <w:p w14:paraId="6F770CBE" w14:textId="408CAFD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530C54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height greater than or equal to 167.7cm; or</w:t>
            </w:r>
          </w:p>
        </w:tc>
      </w:tr>
      <w:tr w:rsidR="00685ED6" w:rsidRPr="00033005" w14:paraId="7A07E799" w14:textId="77777777" w:rsidTr="00F527AB">
        <w:tc>
          <w:tcPr>
            <w:tcW w:w="988" w:type="dxa"/>
          </w:tcPr>
          <w:p w14:paraId="2E4D6E72" w14:textId="7042FC88"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B92CE79"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height greater than or equal to 155.0cm</w:t>
            </w:r>
          </w:p>
        </w:tc>
      </w:tr>
      <w:tr w:rsidR="00685ED6" w:rsidRPr="00033005" w14:paraId="6BAE933D" w14:textId="77777777" w:rsidTr="008A5ACA">
        <w:tc>
          <w:tcPr>
            <w:tcW w:w="988" w:type="dxa"/>
          </w:tcPr>
          <w:p w14:paraId="1C4CCB4D"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4920000B" w14:textId="77777777" w:rsidR="00685ED6" w:rsidRPr="00033005" w:rsidRDefault="00685ED6" w:rsidP="008A5ACA">
            <w:pPr>
              <w:ind w:left="-57"/>
              <w:rPr>
                <w:rFonts w:ascii="Arial Narrow" w:hAnsi="Arial Narrow" w:cs="Open Sans"/>
                <w:color w:val="333333"/>
                <w:sz w:val="18"/>
                <w:szCs w:val="18"/>
              </w:rPr>
            </w:pPr>
          </w:p>
        </w:tc>
      </w:tr>
      <w:tr w:rsidR="00685ED6" w:rsidRPr="00033005" w14:paraId="000EEF2C" w14:textId="77777777" w:rsidTr="00F527AB">
        <w:tc>
          <w:tcPr>
            <w:tcW w:w="988" w:type="dxa"/>
          </w:tcPr>
          <w:p w14:paraId="235384EC" w14:textId="54DEF26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61F0BA7"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7688B127" w14:textId="77777777" w:rsidTr="00F527AB">
        <w:tc>
          <w:tcPr>
            <w:tcW w:w="988" w:type="dxa"/>
          </w:tcPr>
          <w:p w14:paraId="57FA14DE" w14:textId="0806432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FFF7718"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specialist or consultant physician in paediatric endocrinology; or</w:t>
            </w:r>
          </w:p>
        </w:tc>
      </w:tr>
      <w:tr w:rsidR="00685ED6" w:rsidRPr="00033005" w14:paraId="4DA220F1" w14:textId="77777777" w:rsidTr="00F527AB">
        <w:tc>
          <w:tcPr>
            <w:tcW w:w="988" w:type="dxa"/>
          </w:tcPr>
          <w:p w14:paraId="75011269" w14:textId="734AA13A"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52C400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specialist or consultant physician in general paediatrics in consultation with a nominated specialist or consultant physician in paediatric endocrinology</w:t>
            </w:r>
          </w:p>
        </w:tc>
      </w:tr>
      <w:tr w:rsidR="00685ED6" w:rsidRPr="00033005" w14:paraId="0FED3192" w14:textId="77777777" w:rsidTr="00F527AB">
        <w:tc>
          <w:tcPr>
            <w:tcW w:w="988" w:type="dxa"/>
          </w:tcPr>
          <w:p w14:paraId="5FD69ECE"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7973C32"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77B76C51" w14:textId="77777777" w:rsidTr="00F527AB">
        <w:tc>
          <w:tcPr>
            <w:tcW w:w="988" w:type="dxa"/>
          </w:tcPr>
          <w:p w14:paraId="199354A1" w14:textId="1118368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4226CD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6D6D384C" w14:textId="77777777" w:rsidTr="00F527AB">
        <w:tc>
          <w:tcPr>
            <w:tcW w:w="988" w:type="dxa"/>
          </w:tcPr>
          <w:p w14:paraId="52C3604D" w14:textId="68F036F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C5253F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treatment for the stated indication with only one growth hormone at any given time</w:t>
            </w:r>
          </w:p>
        </w:tc>
      </w:tr>
      <w:tr w:rsidR="00685ED6" w:rsidRPr="00033005" w14:paraId="627EF315" w14:textId="77777777" w:rsidTr="008A5ACA">
        <w:tc>
          <w:tcPr>
            <w:tcW w:w="988" w:type="dxa"/>
          </w:tcPr>
          <w:p w14:paraId="1215B393"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6596BA88" w14:textId="77777777" w:rsidR="00685ED6" w:rsidRPr="00033005" w:rsidRDefault="00685ED6" w:rsidP="008A5ACA">
            <w:pPr>
              <w:ind w:left="-57"/>
              <w:rPr>
                <w:rFonts w:ascii="Arial Narrow" w:hAnsi="Arial Narrow" w:cs="Open Sans"/>
                <w:color w:val="333333"/>
                <w:sz w:val="18"/>
                <w:szCs w:val="18"/>
              </w:rPr>
            </w:pPr>
          </w:p>
        </w:tc>
      </w:tr>
      <w:tr w:rsidR="00685ED6" w:rsidRPr="00033005" w14:paraId="7BF68381" w14:textId="77777777" w:rsidTr="00F527AB">
        <w:tc>
          <w:tcPr>
            <w:tcW w:w="988" w:type="dxa"/>
          </w:tcPr>
          <w:p w14:paraId="51171179" w14:textId="6278EFA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D06381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72A25165"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Definition:</w:t>
            </w:r>
          </w:p>
          <w:p w14:paraId="581992E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An adequate response to the preceding supply of growth hormone for which the patient is changing from is one where the patient, for their sex, has achieved at least one of:</w:t>
            </w:r>
          </w:p>
          <w:p w14:paraId="682510C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(a) the 50</w:t>
            </w:r>
            <w:r w:rsidRPr="00033005">
              <w:rPr>
                <w:rFonts w:ascii="Arial Narrow" w:hAnsi="Arial Narrow" w:cs="Open Sans"/>
                <w:color w:val="333333"/>
                <w:sz w:val="18"/>
                <w:szCs w:val="18"/>
                <w:bdr w:val="none" w:sz="0" w:space="0" w:color="auto" w:frame="1"/>
                <w:vertAlign w:val="superscript"/>
              </w:rPr>
              <w:t>th</w:t>
            </w:r>
            <w:r w:rsidRPr="00033005">
              <w:rPr>
                <w:rFonts w:ascii="Arial Narrow" w:hAnsi="Arial Narrow" w:cs="Open Sans"/>
                <w:color w:val="333333"/>
                <w:sz w:val="18"/>
                <w:szCs w:val="18"/>
              </w:rPr>
              <w:t xml:space="preserve"> percentile growth velocity for bone </w:t>
            </w:r>
            <w:proofErr w:type="gramStart"/>
            <w:r w:rsidRPr="00033005">
              <w:rPr>
                <w:rFonts w:ascii="Arial Narrow" w:hAnsi="Arial Narrow" w:cs="Open Sans"/>
                <w:color w:val="333333"/>
                <w:sz w:val="18"/>
                <w:szCs w:val="18"/>
              </w:rPr>
              <w:t>age;</w:t>
            </w:r>
            <w:proofErr w:type="gramEnd"/>
          </w:p>
          <w:p w14:paraId="7101042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(b) an increase in height standard deviation score for chronological </w:t>
            </w:r>
            <w:proofErr w:type="gramStart"/>
            <w:r w:rsidRPr="00033005">
              <w:rPr>
                <w:rFonts w:ascii="Arial Narrow" w:hAnsi="Arial Narrow" w:cs="Open Sans"/>
                <w:color w:val="333333"/>
                <w:sz w:val="18"/>
                <w:szCs w:val="18"/>
              </w:rPr>
              <w:t>age;</w:t>
            </w:r>
            <w:proofErr w:type="gramEnd"/>
          </w:p>
          <w:p w14:paraId="4F09E51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(c) a minimum growth velocity of 4 cm per </w:t>
            </w:r>
            <w:proofErr w:type="gramStart"/>
            <w:r w:rsidRPr="00033005">
              <w:rPr>
                <w:rFonts w:ascii="Arial Narrow" w:hAnsi="Arial Narrow" w:cs="Open Sans"/>
                <w:color w:val="333333"/>
                <w:sz w:val="18"/>
                <w:szCs w:val="18"/>
              </w:rPr>
              <w:t>year;</w:t>
            </w:r>
            <w:proofErr w:type="gramEnd"/>
          </w:p>
          <w:p w14:paraId="49A5E2B1"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(d) a mid-parental height standard deviation score.</w:t>
            </w:r>
          </w:p>
        </w:tc>
      </w:tr>
      <w:tr w:rsidR="00685ED6" w:rsidRPr="00033005" w14:paraId="39EBDC9B" w14:textId="77777777" w:rsidTr="00F527AB">
        <w:tc>
          <w:tcPr>
            <w:tcW w:w="988" w:type="dxa"/>
          </w:tcPr>
          <w:p w14:paraId="495BC785" w14:textId="548FB32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102151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27F073D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Applications for authorisation under this treatment phase must </w:t>
            </w:r>
            <w:proofErr w:type="gramStart"/>
            <w:r w:rsidRPr="00033005">
              <w:rPr>
                <w:rFonts w:ascii="Arial Narrow" w:hAnsi="Arial Narrow" w:cs="Open Sans"/>
                <w:color w:val="333333"/>
                <w:sz w:val="18"/>
                <w:szCs w:val="18"/>
              </w:rPr>
              <w:t>be made</w:t>
            </w:r>
            <w:proofErr w:type="gramEnd"/>
            <w:r w:rsidRPr="00033005">
              <w:rPr>
                <w:rFonts w:ascii="Arial Narrow" w:hAnsi="Arial Narrow" w:cs="Open Sans"/>
                <w:color w:val="333333"/>
                <w:sz w:val="18"/>
                <w:szCs w:val="18"/>
              </w:rPr>
              <w:t xml:space="preserve"> via the Online PBS Authorities System (real time assessment) or in writing via HPOS form upload or mail and must include:</w:t>
            </w:r>
          </w:p>
          <w:p w14:paraId="4E98E070"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lastRenderedPageBreak/>
              <w:t xml:space="preserve">1. Growth data (height and weight) for the most recent </w:t>
            </w:r>
            <w:proofErr w:type="gramStart"/>
            <w:r w:rsidRPr="00033005">
              <w:rPr>
                <w:rFonts w:ascii="Arial Narrow" w:hAnsi="Arial Narrow" w:cs="Open Sans"/>
                <w:color w:val="333333"/>
                <w:sz w:val="18"/>
                <w:szCs w:val="18"/>
              </w:rPr>
              <w:t>6 month</w:t>
            </w:r>
            <w:proofErr w:type="gramEnd"/>
            <w:r w:rsidRPr="00033005">
              <w:rPr>
                <w:rFonts w:ascii="Arial Narrow" w:hAnsi="Arial Narrow" w:cs="Open Sans"/>
                <w:color w:val="333333"/>
                <w:sz w:val="18"/>
                <w:szCs w:val="18"/>
              </w:rPr>
              <w:t xml:space="preserve"> treatment period, including data at both the start and end of the treatment period. The most recent data must not be older than three months.</w:t>
            </w:r>
          </w:p>
          <w:p w14:paraId="59E700A7"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2. A bone age result performed within the last 12 months where the patient has a chronological age greater than 2.5 years.</w:t>
            </w:r>
          </w:p>
          <w:p w14:paraId="0E10E9F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Where growth data has </w:t>
            </w:r>
            <w:proofErr w:type="gramStart"/>
            <w:r w:rsidRPr="00033005">
              <w:rPr>
                <w:rFonts w:ascii="Arial Narrow" w:hAnsi="Arial Narrow" w:cs="Open Sans"/>
                <w:color w:val="333333"/>
                <w:sz w:val="18"/>
                <w:szCs w:val="18"/>
              </w:rPr>
              <w:t>been supplied</w:t>
            </w:r>
            <w:proofErr w:type="gramEnd"/>
            <w:r w:rsidRPr="00033005">
              <w:rPr>
                <w:rFonts w:ascii="Arial Narrow" w:hAnsi="Arial Narrow" w:cs="Open Sans"/>
                <w:color w:val="333333"/>
                <w:sz w:val="18"/>
                <w:szCs w:val="18"/>
              </w:rPr>
              <w:t xml:space="preserve"> within 3 months of this authority application, do not resupply this data.</w:t>
            </w:r>
          </w:p>
        </w:tc>
      </w:tr>
      <w:tr w:rsidR="00685ED6" w:rsidRPr="00033005" w14:paraId="4D00C0B5" w14:textId="77777777" w:rsidTr="00F527AB">
        <w:tc>
          <w:tcPr>
            <w:tcW w:w="988" w:type="dxa"/>
          </w:tcPr>
          <w:p w14:paraId="0E9CA7B1" w14:textId="27D91AA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AD9E75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048C339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If the application </w:t>
            </w:r>
            <w:proofErr w:type="gramStart"/>
            <w:r w:rsidRPr="00033005">
              <w:rPr>
                <w:rFonts w:ascii="Arial Narrow" w:hAnsi="Arial Narrow" w:cs="Open Sans"/>
                <w:color w:val="333333"/>
                <w:sz w:val="18"/>
                <w:szCs w:val="18"/>
              </w:rPr>
              <w:t>is submitted</w:t>
            </w:r>
            <w:proofErr w:type="gramEnd"/>
            <w:r w:rsidRPr="00033005">
              <w:rPr>
                <w:rFonts w:ascii="Arial Narrow" w:hAnsi="Arial Narrow" w:cs="Open Sans"/>
                <w:color w:val="333333"/>
                <w:sz w:val="18"/>
                <w:szCs w:val="18"/>
              </w:rPr>
              <w:t xml:space="preserve"> through HPOS form upload or mail, it must include:</w:t>
            </w:r>
          </w:p>
          <w:p w14:paraId="11A3286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 A completed authority prescription form; and</w:t>
            </w:r>
          </w:p>
          <w:p w14:paraId="3B51D26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033005" w14:paraId="18A112B5" w14:textId="77777777" w:rsidTr="00F527AB">
        <w:tc>
          <w:tcPr>
            <w:tcW w:w="988" w:type="dxa"/>
          </w:tcPr>
          <w:p w14:paraId="30EDC80E" w14:textId="4EDFCAE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D2094EF"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55FE521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Prescribe an appropriate amount of drug (maximum quantity in units) outlined within the 'Notes' section of this restriction.</w:t>
            </w:r>
          </w:p>
        </w:tc>
      </w:tr>
      <w:tr w:rsidR="00685ED6" w:rsidRPr="00033005" w14:paraId="748A8CE7" w14:textId="77777777" w:rsidTr="00F527AB">
        <w:tc>
          <w:tcPr>
            <w:tcW w:w="988" w:type="dxa"/>
          </w:tcPr>
          <w:p w14:paraId="76575A01" w14:textId="7A7740FA"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024D7A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707285F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033005">
              <w:rPr>
                <w:rFonts w:ascii="Arial Narrow" w:hAnsi="Arial Narrow" w:cs="Open Sans"/>
                <w:color w:val="333333"/>
                <w:sz w:val="18"/>
                <w:szCs w:val="18"/>
              </w:rPr>
              <w:t>was written</w:t>
            </w:r>
            <w:proofErr w:type="gramEnd"/>
            <w:r w:rsidRPr="00033005">
              <w:rPr>
                <w:rFonts w:ascii="Arial Narrow" w:hAnsi="Arial Narrow" w:cs="Open Sans"/>
                <w:color w:val="333333"/>
                <w:sz w:val="18"/>
                <w:szCs w:val="18"/>
              </w:rPr>
              <w:t xml:space="preserve"> in compliance with any relevant circumstances and/or purposes. These records must </w:t>
            </w:r>
            <w:proofErr w:type="gramStart"/>
            <w:r w:rsidRPr="00033005">
              <w:rPr>
                <w:rFonts w:ascii="Arial Narrow" w:hAnsi="Arial Narrow" w:cs="Open Sans"/>
                <w:color w:val="333333"/>
                <w:sz w:val="18"/>
                <w:szCs w:val="18"/>
              </w:rPr>
              <w:t>be kept</w:t>
            </w:r>
            <w:proofErr w:type="gramEnd"/>
            <w:r w:rsidRPr="00033005">
              <w:rPr>
                <w:rFonts w:ascii="Arial Narrow" w:hAnsi="Arial Narrow" w:cs="Open Sans"/>
                <w:color w:val="333333"/>
                <w:sz w:val="18"/>
                <w:szCs w:val="18"/>
              </w:rPr>
              <w:t xml:space="preserve"> for 2 years after the date the prescription to which the records relate is written.</w:t>
            </w:r>
          </w:p>
        </w:tc>
      </w:tr>
      <w:tr w:rsidR="00685ED6" w:rsidRPr="00033005" w14:paraId="17A3CC9E" w14:textId="77777777" w:rsidTr="00F527AB">
        <w:tc>
          <w:tcPr>
            <w:tcW w:w="988" w:type="dxa"/>
          </w:tcPr>
          <w:p w14:paraId="47F36BAB" w14:textId="4C04A0D8"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076576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370360C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033005" w14:paraId="03F3C200" w14:textId="77777777" w:rsidTr="008A5ACA">
        <w:tc>
          <w:tcPr>
            <w:tcW w:w="9209" w:type="dxa"/>
            <w:gridSpan w:val="2"/>
          </w:tcPr>
          <w:p w14:paraId="01ED9096"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p>
          <w:p w14:paraId="11D06D0A"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6DACC934" w14:textId="77777777" w:rsidTr="008A5ACA">
        <w:tc>
          <w:tcPr>
            <w:tcW w:w="9209" w:type="dxa"/>
            <w:gridSpan w:val="2"/>
          </w:tcPr>
          <w:p w14:paraId="3966284E"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r w:rsidRPr="00033005">
              <w:rPr>
                <w:rFonts w:ascii="Arial Narrow" w:hAnsi="Arial Narrow" w:cs="Open Sans"/>
                <w:b/>
                <w:bCs/>
                <w:color w:val="333333"/>
                <w:sz w:val="18"/>
                <w:szCs w:val="18"/>
                <w:bdr w:val="none" w:sz="0" w:space="0" w:color="auto" w:frame="1"/>
              </w:rPr>
              <w:t>Restriction Summary 13299 / ToC: 13312: Authority Required</w:t>
            </w:r>
          </w:p>
          <w:p w14:paraId="1F251BEB" w14:textId="77777777" w:rsidR="00685ED6" w:rsidRPr="00033005"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033005" w14:paraId="69B87E46" w14:textId="77777777" w:rsidTr="00F527AB">
        <w:tc>
          <w:tcPr>
            <w:tcW w:w="988" w:type="dxa"/>
          </w:tcPr>
          <w:p w14:paraId="18AFD0FF" w14:textId="689B593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BF178E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Indication:</w:t>
            </w:r>
            <w:r>
              <w:rPr>
                <w:rFonts w:ascii="Arial Narrow" w:hAnsi="Arial Narrow" w:cs="Open Sans"/>
                <w:color w:val="333333"/>
                <w:sz w:val="18"/>
                <w:szCs w:val="18"/>
              </w:rPr>
              <w:t xml:space="preserve"> </w:t>
            </w:r>
            <w:r w:rsidRPr="00033005">
              <w:rPr>
                <w:rFonts w:ascii="Arial Narrow" w:hAnsi="Arial Narrow" w:cs="Open Sans"/>
                <w:color w:val="333333"/>
                <w:sz w:val="18"/>
                <w:szCs w:val="18"/>
              </w:rPr>
              <w:t>Short stature and slow growth</w:t>
            </w:r>
          </w:p>
        </w:tc>
      </w:tr>
      <w:tr w:rsidR="00685ED6" w:rsidRPr="00033005" w14:paraId="48AD3578" w14:textId="77777777" w:rsidTr="008A5ACA">
        <w:tc>
          <w:tcPr>
            <w:tcW w:w="988" w:type="dxa"/>
          </w:tcPr>
          <w:p w14:paraId="65D13864"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266D42ED"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7BF35603" w14:textId="77777777" w:rsidTr="00F527AB">
        <w:tc>
          <w:tcPr>
            <w:tcW w:w="988" w:type="dxa"/>
          </w:tcPr>
          <w:p w14:paraId="37E91F5A"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0564829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033005">
              <w:rPr>
                <w:rFonts w:ascii="Arial Narrow" w:hAnsi="Arial Narrow" w:cs="Open Sans"/>
                <w:color w:val="333333"/>
                <w:sz w:val="18"/>
                <w:szCs w:val="18"/>
              </w:rPr>
              <w:t>Continuing treatment as a reclassified patient</w:t>
            </w:r>
          </w:p>
        </w:tc>
      </w:tr>
      <w:tr w:rsidR="00685ED6" w:rsidRPr="00033005" w14:paraId="629D3780" w14:textId="77777777" w:rsidTr="008A5ACA">
        <w:tc>
          <w:tcPr>
            <w:tcW w:w="988" w:type="dxa"/>
          </w:tcPr>
          <w:p w14:paraId="4137ABE6" w14:textId="77777777" w:rsidR="00685ED6" w:rsidRPr="00033005" w:rsidRDefault="00685ED6" w:rsidP="008A5ACA">
            <w:pPr>
              <w:jc w:val="center"/>
              <w:rPr>
                <w:rFonts w:ascii="Arial Narrow" w:hAnsi="Arial Narrow" w:cs="Open Sans"/>
                <w:color w:val="333333"/>
                <w:sz w:val="18"/>
                <w:szCs w:val="18"/>
              </w:rPr>
            </w:pPr>
          </w:p>
        </w:tc>
        <w:tc>
          <w:tcPr>
            <w:tcW w:w="8221" w:type="dxa"/>
          </w:tcPr>
          <w:p w14:paraId="0FCA654F"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033005" w14:paraId="59F6318B" w14:textId="77777777" w:rsidTr="00F527AB">
        <w:tc>
          <w:tcPr>
            <w:tcW w:w="988" w:type="dxa"/>
          </w:tcPr>
          <w:p w14:paraId="4467255B" w14:textId="2ABA1ED2"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410F790"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6398D1DD" w14:textId="77777777" w:rsidTr="00F527AB">
        <w:tc>
          <w:tcPr>
            <w:tcW w:w="988" w:type="dxa"/>
          </w:tcPr>
          <w:p w14:paraId="6A63FB3F" w14:textId="413D2C9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8AA9813"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continuing PBS-subsidised therapy with this drug where the most recent authority approval for this drug was for a different PBS indication to that stated above - subsidy through this treatment phase must not: (i) initiate treatment, (ii) change the prescribed drug, (iii) recommence treatment, (iv) reclassify the PBS indication where the most recent authority approval was for a different growth hormone, (v) reclassify the PBS indication and recommence treatment simultaneously</w:t>
            </w:r>
          </w:p>
        </w:tc>
      </w:tr>
      <w:tr w:rsidR="00685ED6" w:rsidRPr="00033005" w14:paraId="5B303E11" w14:textId="77777777" w:rsidTr="008A5ACA">
        <w:tc>
          <w:tcPr>
            <w:tcW w:w="988" w:type="dxa"/>
          </w:tcPr>
          <w:p w14:paraId="78B7F7A1" w14:textId="77777777" w:rsidR="00685ED6" w:rsidRDefault="00685ED6" w:rsidP="008A5ACA">
            <w:pPr>
              <w:jc w:val="center"/>
              <w:textAlignment w:val="baseline"/>
              <w:rPr>
                <w:rFonts w:ascii="Arial Narrow" w:hAnsi="Arial Narrow" w:cs="Open Sans"/>
                <w:color w:val="333333"/>
                <w:sz w:val="18"/>
                <w:szCs w:val="18"/>
              </w:rPr>
            </w:pPr>
          </w:p>
        </w:tc>
        <w:tc>
          <w:tcPr>
            <w:tcW w:w="8221" w:type="dxa"/>
          </w:tcPr>
          <w:p w14:paraId="44A3CE5A" w14:textId="77777777" w:rsidR="00685ED6" w:rsidRPr="00033005" w:rsidRDefault="00685ED6" w:rsidP="008A5ACA">
            <w:pPr>
              <w:ind w:left="-57"/>
              <w:rPr>
                <w:rFonts w:ascii="Arial Narrow" w:hAnsi="Arial Narrow" w:cs="Open Sans"/>
                <w:color w:val="333333"/>
                <w:sz w:val="18"/>
                <w:szCs w:val="18"/>
              </w:rPr>
            </w:pPr>
          </w:p>
        </w:tc>
      </w:tr>
      <w:tr w:rsidR="00685ED6" w:rsidRPr="00033005" w14:paraId="659571B9" w14:textId="77777777" w:rsidTr="00F527AB">
        <w:tc>
          <w:tcPr>
            <w:tcW w:w="988" w:type="dxa"/>
          </w:tcPr>
          <w:p w14:paraId="64C9F72D" w14:textId="62E46F93"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31C73D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44756B47" w14:textId="77777777" w:rsidTr="00F527AB">
        <w:tc>
          <w:tcPr>
            <w:tcW w:w="988" w:type="dxa"/>
          </w:tcPr>
          <w:p w14:paraId="07DB55C5" w14:textId="7099489F"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4762BA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The treatment must not be for the purposes of continuing treatment that is known to be non-efficacious for the patient - where an inadequate response has been observed for the most recent supply of this drug, it must have been confounded by at least one of the following: (i) a significant medical illness, (ii) major surgery (e.g. renal transplant), (iii) an adverse reaction to growth hormone, (iv) non-compliance due to social/family problems, (v) a lower than recommended (as specified by this drug</w:t>
            </w:r>
            <w:r>
              <w:rPr>
                <w:rFonts w:ascii="Arial Narrow" w:hAnsi="Arial Narrow" w:cs="Open Sans"/>
                <w:color w:val="333333"/>
                <w:sz w:val="18"/>
                <w:szCs w:val="18"/>
              </w:rPr>
              <w:t>’</w:t>
            </w:r>
            <w:r w:rsidRPr="00033005">
              <w:rPr>
                <w:rFonts w:ascii="Arial Narrow" w:hAnsi="Arial Narrow" w:cs="Open Sans"/>
                <w:color w:val="333333"/>
                <w:sz w:val="18"/>
                <w:szCs w:val="18"/>
              </w:rPr>
              <w:t>s approved Product Information) dose</w:t>
            </w:r>
          </w:p>
        </w:tc>
      </w:tr>
      <w:tr w:rsidR="00685ED6" w:rsidRPr="00033005" w14:paraId="2DBFB265" w14:textId="77777777" w:rsidTr="00F527AB">
        <w:tc>
          <w:tcPr>
            <w:tcW w:w="988" w:type="dxa"/>
          </w:tcPr>
          <w:p w14:paraId="67A152D0"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32F2F57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598D723C" w14:textId="77777777" w:rsidTr="00F527AB">
        <w:tc>
          <w:tcPr>
            <w:tcW w:w="988" w:type="dxa"/>
          </w:tcPr>
          <w:p w14:paraId="2E2B9034" w14:textId="4383DD0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847E79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1B771ECB" w14:textId="77777777" w:rsidTr="00F527AB">
        <w:tc>
          <w:tcPr>
            <w:tcW w:w="988" w:type="dxa"/>
          </w:tcPr>
          <w:p w14:paraId="22645FD6" w14:textId="34C2D9F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7FBD47C4"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had a height no higher than the </w:t>
            </w:r>
            <w:proofErr w:type="gramStart"/>
            <w:r w:rsidRPr="00033005">
              <w:rPr>
                <w:rFonts w:ascii="Arial Narrow" w:hAnsi="Arial Narrow" w:cs="Open Sans"/>
                <w:color w:val="333333"/>
                <w:sz w:val="18"/>
                <w:szCs w:val="18"/>
              </w:rPr>
              <w:t>1st</w:t>
            </w:r>
            <w:proofErr w:type="gramEnd"/>
            <w:r w:rsidRPr="00033005">
              <w:rPr>
                <w:rFonts w:ascii="Arial Narrow" w:hAnsi="Arial Narrow" w:cs="Open Sans"/>
                <w:color w:val="333333"/>
                <w:sz w:val="18"/>
                <w:szCs w:val="18"/>
              </w:rPr>
              <w:t xml:space="preserve"> percentile for age plus sex at the time treatment first commenced</w:t>
            </w:r>
          </w:p>
        </w:tc>
      </w:tr>
      <w:tr w:rsidR="00685ED6" w:rsidRPr="00033005" w14:paraId="4D25C034" w14:textId="77777777" w:rsidTr="00F527AB">
        <w:tc>
          <w:tcPr>
            <w:tcW w:w="988" w:type="dxa"/>
          </w:tcPr>
          <w:p w14:paraId="43E51D80"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7A9837A"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0F625477" w14:textId="77777777" w:rsidTr="00F527AB">
        <w:tc>
          <w:tcPr>
            <w:tcW w:w="988" w:type="dxa"/>
          </w:tcPr>
          <w:p w14:paraId="3C4B5F69" w14:textId="3230A7B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29814C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6ADEFBC4" w14:textId="77777777" w:rsidTr="00F527AB">
        <w:tc>
          <w:tcPr>
            <w:tcW w:w="988" w:type="dxa"/>
          </w:tcPr>
          <w:p w14:paraId="4A4F0CDB" w14:textId="0F9E8F7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5AD0D2B"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Patient must have had a growth velocity below the 25th percentile for bone age plus sex measured over a </w:t>
            </w:r>
            <w:proofErr w:type="gramStart"/>
            <w:r w:rsidRPr="00033005">
              <w:rPr>
                <w:rFonts w:ascii="Arial Narrow" w:hAnsi="Arial Narrow" w:cs="Open Sans"/>
                <w:color w:val="333333"/>
                <w:sz w:val="18"/>
                <w:szCs w:val="18"/>
              </w:rPr>
              <w:t>12 month</w:t>
            </w:r>
            <w:proofErr w:type="gramEnd"/>
            <w:r w:rsidRPr="00033005">
              <w:rPr>
                <w:rFonts w:ascii="Arial Narrow" w:hAnsi="Arial Narrow" w:cs="Open Sans"/>
                <w:color w:val="333333"/>
                <w:sz w:val="18"/>
                <w:szCs w:val="18"/>
              </w:rPr>
              <w:t xml:space="preserve"> interval (or a 6 month interval for an older child) prior to having commenced treatment; or</w:t>
            </w:r>
          </w:p>
        </w:tc>
      </w:tr>
      <w:tr w:rsidR="00685ED6" w:rsidRPr="00033005" w14:paraId="5EB7EA20" w14:textId="77777777" w:rsidTr="00F527AB">
        <w:tc>
          <w:tcPr>
            <w:tcW w:w="988" w:type="dxa"/>
          </w:tcPr>
          <w:p w14:paraId="076D838B" w14:textId="50F2915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F5C305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have had an annual growth velocity of no higher than 8 cm per year where the patient had either a bone/chronological age no higher than 2.5 years prior to having commenced treatment</w:t>
            </w:r>
          </w:p>
        </w:tc>
      </w:tr>
      <w:tr w:rsidR="00685ED6" w:rsidRPr="00033005" w14:paraId="7062F496" w14:textId="77777777" w:rsidTr="00F527AB">
        <w:tc>
          <w:tcPr>
            <w:tcW w:w="988" w:type="dxa"/>
          </w:tcPr>
          <w:p w14:paraId="509DAA03"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B900D81"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6DC804BB" w14:textId="77777777" w:rsidTr="00F527AB">
        <w:tc>
          <w:tcPr>
            <w:tcW w:w="988" w:type="dxa"/>
          </w:tcPr>
          <w:p w14:paraId="1F4E1FD2" w14:textId="04BF5B0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327828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11779201" w14:textId="77777777" w:rsidTr="00F527AB">
        <w:tc>
          <w:tcPr>
            <w:tcW w:w="988" w:type="dxa"/>
          </w:tcPr>
          <w:p w14:paraId="2D6A6BE7" w14:textId="3C14D96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6BA3B08"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033005" w14:paraId="4C25EA8D" w14:textId="77777777" w:rsidTr="00F527AB">
        <w:tc>
          <w:tcPr>
            <w:tcW w:w="988" w:type="dxa"/>
          </w:tcPr>
          <w:p w14:paraId="3328D9A6"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132925E"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3E573BC6" w14:textId="77777777" w:rsidTr="00F527AB">
        <w:tc>
          <w:tcPr>
            <w:tcW w:w="988" w:type="dxa"/>
          </w:tcPr>
          <w:p w14:paraId="65A40B39" w14:textId="06E498B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14F680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68646222" w14:textId="77777777" w:rsidTr="00F527AB">
        <w:tc>
          <w:tcPr>
            <w:tcW w:w="988" w:type="dxa"/>
          </w:tcPr>
          <w:p w14:paraId="339CE33D" w14:textId="0AC4421C"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4C65981"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not have an active tumour or evidence of tumour growth or activity</w:t>
            </w:r>
          </w:p>
        </w:tc>
      </w:tr>
      <w:tr w:rsidR="00685ED6" w:rsidRPr="00033005" w14:paraId="1ED8135B" w14:textId="77777777" w:rsidTr="00F527AB">
        <w:tc>
          <w:tcPr>
            <w:tcW w:w="988" w:type="dxa"/>
          </w:tcPr>
          <w:p w14:paraId="6E159BFF"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4E0E8A2F"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04262FD5" w14:textId="77777777" w:rsidTr="00F527AB">
        <w:tc>
          <w:tcPr>
            <w:tcW w:w="988" w:type="dxa"/>
          </w:tcPr>
          <w:p w14:paraId="626B3B36" w14:textId="2628EF8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46CB6673"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13906EBD" w14:textId="77777777" w:rsidTr="00F527AB">
        <w:tc>
          <w:tcPr>
            <w:tcW w:w="988" w:type="dxa"/>
          </w:tcPr>
          <w:p w14:paraId="4805C0FD" w14:textId="0B7A199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FC9961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bone age of 15.5 years or more; or</w:t>
            </w:r>
          </w:p>
        </w:tc>
      </w:tr>
      <w:tr w:rsidR="00685ED6" w:rsidRPr="00033005" w14:paraId="57C93BDA" w14:textId="77777777" w:rsidTr="00F527AB">
        <w:tc>
          <w:tcPr>
            <w:tcW w:w="988" w:type="dxa"/>
          </w:tcPr>
          <w:p w14:paraId="26F515D7" w14:textId="66336507"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3539008"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bone age of 13.5 years or more</w:t>
            </w:r>
          </w:p>
        </w:tc>
      </w:tr>
      <w:tr w:rsidR="00685ED6" w:rsidRPr="00033005" w14:paraId="1B20BA52" w14:textId="77777777" w:rsidTr="00F527AB">
        <w:tc>
          <w:tcPr>
            <w:tcW w:w="988" w:type="dxa"/>
          </w:tcPr>
          <w:p w14:paraId="5E09F5D5"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3F28CBD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2C7DC318" w14:textId="77777777" w:rsidTr="00F527AB">
        <w:tc>
          <w:tcPr>
            <w:tcW w:w="988" w:type="dxa"/>
          </w:tcPr>
          <w:p w14:paraId="51988CA4" w14:textId="5CB7B4D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45859E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Clinical criteria:</w:t>
            </w:r>
          </w:p>
        </w:tc>
      </w:tr>
      <w:tr w:rsidR="00685ED6" w:rsidRPr="00033005" w14:paraId="2F0B613C" w14:textId="77777777" w:rsidTr="00F527AB">
        <w:tc>
          <w:tcPr>
            <w:tcW w:w="988" w:type="dxa"/>
          </w:tcPr>
          <w:p w14:paraId="6FB230D4" w14:textId="0EA10974"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2082F4D"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male and must not have a height greater than or equal to 167.7cm; or</w:t>
            </w:r>
          </w:p>
        </w:tc>
      </w:tr>
      <w:tr w:rsidR="00685ED6" w:rsidRPr="00033005" w14:paraId="2DCED344" w14:textId="77777777" w:rsidTr="00F527AB">
        <w:tc>
          <w:tcPr>
            <w:tcW w:w="988" w:type="dxa"/>
          </w:tcPr>
          <w:p w14:paraId="629E007A" w14:textId="52F451D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28545AC"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female and must not have a height greater than or equal to 155.0cm</w:t>
            </w:r>
          </w:p>
        </w:tc>
      </w:tr>
      <w:tr w:rsidR="00685ED6" w:rsidRPr="00033005" w14:paraId="1732763A" w14:textId="77777777" w:rsidTr="008A5ACA">
        <w:tc>
          <w:tcPr>
            <w:tcW w:w="988" w:type="dxa"/>
          </w:tcPr>
          <w:p w14:paraId="728BB43D"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748E6E82" w14:textId="77777777" w:rsidR="00685ED6" w:rsidRPr="00033005" w:rsidRDefault="00685ED6" w:rsidP="008A5ACA">
            <w:pPr>
              <w:ind w:left="-57"/>
              <w:rPr>
                <w:rFonts w:ascii="Arial Narrow" w:hAnsi="Arial Narrow" w:cs="Open Sans"/>
                <w:color w:val="333333"/>
                <w:sz w:val="18"/>
                <w:szCs w:val="18"/>
              </w:rPr>
            </w:pPr>
          </w:p>
        </w:tc>
      </w:tr>
      <w:tr w:rsidR="00685ED6" w:rsidRPr="00033005" w14:paraId="19CBD99E" w14:textId="77777777" w:rsidTr="00F527AB">
        <w:tc>
          <w:tcPr>
            <w:tcW w:w="988" w:type="dxa"/>
          </w:tcPr>
          <w:p w14:paraId="05EE526F" w14:textId="01F4E035"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2DD2B1E"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0FA5C8C8" w14:textId="77777777" w:rsidTr="00F527AB">
        <w:tc>
          <w:tcPr>
            <w:tcW w:w="988" w:type="dxa"/>
          </w:tcPr>
          <w:p w14:paraId="3C685352" w14:textId="2A49F3B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0951513A"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medical practitioner in consultation with a nominated specialist or consultant physician in paediatric endocrinology; or</w:t>
            </w:r>
          </w:p>
        </w:tc>
      </w:tr>
      <w:tr w:rsidR="00685ED6" w:rsidRPr="00033005" w14:paraId="74A30B9C" w14:textId="77777777" w:rsidTr="00F527AB">
        <w:tc>
          <w:tcPr>
            <w:tcW w:w="988" w:type="dxa"/>
          </w:tcPr>
          <w:p w14:paraId="661468A9" w14:textId="7217C8F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8000A9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 xml:space="preserve">Must </w:t>
            </w:r>
            <w:proofErr w:type="gramStart"/>
            <w:r w:rsidRPr="00033005">
              <w:rPr>
                <w:rFonts w:ascii="Arial Narrow" w:hAnsi="Arial Narrow" w:cs="Open Sans"/>
                <w:color w:val="333333"/>
                <w:sz w:val="18"/>
                <w:szCs w:val="18"/>
              </w:rPr>
              <w:t>be treated</w:t>
            </w:r>
            <w:proofErr w:type="gramEnd"/>
            <w:r w:rsidRPr="00033005">
              <w:rPr>
                <w:rFonts w:ascii="Arial Narrow" w:hAnsi="Arial Narrow" w:cs="Open Sans"/>
                <w:color w:val="333333"/>
                <w:sz w:val="18"/>
                <w:szCs w:val="18"/>
              </w:rPr>
              <w:t xml:space="preserve"> by a medical practitioner in consultation with a nominated specialist or consultant physician in general paediatrics</w:t>
            </w:r>
          </w:p>
        </w:tc>
      </w:tr>
      <w:tr w:rsidR="00685ED6" w:rsidRPr="00033005" w14:paraId="1A8C2C97" w14:textId="77777777" w:rsidTr="00F527AB">
        <w:tc>
          <w:tcPr>
            <w:tcW w:w="988" w:type="dxa"/>
          </w:tcPr>
          <w:p w14:paraId="2E0147D3" w14:textId="77777777" w:rsidR="00685ED6" w:rsidRPr="00033005" w:rsidRDefault="00685ED6" w:rsidP="008A5ACA">
            <w:pPr>
              <w:jc w:val="center"/>
              <w:rPr>
                <w:rFonts w:ascii="Arial Narrow" w:hAnsi="Arial Narrow" w:cs="Open Sans"/>
                <w:color w:val="333333"/>
                <w:sz w:val="18"/>
                <w:szCs w:val="18"/>
              </w:rPr>
            </w:pPr>
          </w:p>
        </w:tc>
        <w:tc>
          <w:tcPr>
            <w:tcW w:w="8221" w:type="dxa"/>
            <w:hideMark/>
          </w:tcPr>
          <w:p w14:paraId="022D2FB7"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AND</w:t>
            </w:r>
          </w:p>
        </w:tc>
      </w:tr>
      <w:tr w:rsidR="00685ED6" w:rsidRPr="00033005" w14:paraId="49C47972" w14:textId="77777777" w:rsidTr="00F527AB">
        <w:tc>
          <w:tcPr>
            <w:tcW w:w="988" w:type="dxa"/>
          </w:tcPr>
          <w:p w14:paraId="0E975DAD" w14:textId="15858486"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5FF15E88"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Treatment criteria:</w:t>
            </w:r>
          </w:p>
        </w:tc>
      </w:tr>
      <w:tr w:rsidR="00685ED6" w:rsidRPr="00033005" w14:paraId="77328B52" w14:textId="77777777" w:rsidTr="00F527AB">
        <w:tc>
          <w:tcPr>
            <w:tcW w:w="988" w:type="dxa"/>
          </w:tcPr>
          <w:p w14:paraId="1173F5CA" w14:textId="3E39C59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8A90506" w14:textId="77777777" w:rsidR="00685ED6" w:rsidRPr="00033005" w:rsidRDefault="00685ED6" w:rsidP="008A5ACA">
            <w:pPr>
              <w:ind w:left="-57"/>
              <w:rPr>
                <w:rFonts w:ascii="Arial Narrow" w:hAnsi="Arial Narrow" w:cs="Open Sans"/>
                <w:color w:val="333333"/>
                <w:sz w:val="18"/>
                <w:szCs w:val="18"/>
              </w:rPr>
            </w:pPr>
            <w:r w:rsidRPr="00033005">
              <w:rPr>
                <w:rFonts w:ascii="Arial Narrow" w:hAnsi="Arial Narrow" w:cs="Open Sans"/>
                <w:color w:val="333333"/>
                <w:sz w:val="18"/>
                <w:szCs w:val="18"/>
              </w:rPr>
              <w:t>Patient must be undergoing treatment for the stated indication with only one growth hormone at any given time</w:t>
            </w:r>
          </w:p>
        </w:tc>
      </w:tr>
      <w:tr w:rsidR="00685ED6" w:rsidRPr="00033005" w14:paraId="73F2E907" w14:textId="77777777" w:rsidTr="008A5ACA">
        <w:tc>
          <w:tcPr>
            <w:tcW w:w="988" w:type="dxa"/>
          </w:tcPr>
          <w:p w14:paraId="6917C851" w14:textId="77777777" w:rsidR="00685ED6" w:rsidRPr="00033005" w:rsidRDefault="00685ED6" w:rsidP="008A5ACA">
            <w:pPr>
              <w:jc w:val="center"/>
              <w:textAlignment w:val="baseline"/>
              <w:rPr>
                <w:rFonts w:ascii="Arial Narrow" w:hAnsi="Arial Narrow" w:cs="Open Sans"/>
                <w:color w:val="333333"/>
                <w:sz w:val="18"/>
                <w:szCs w:val="18"/>
              </w:rPr>
            </w:pPr>
          </w:p>
        </w:tc>
        <w:tc>
          <w:tcPr>
            <w:tcW w:w="8221" w:type="dxa"/>
          </w:tcPr>
          <w:p w14:paraId="506CAB42" w14:textId="77777777" w:rsidR="00685ED6" w:rsidRPr="00033005" w:rsidRDefault="00685ED6" w:rsidP="008A5ACA">
            <w:pPr>
              <w:ind w:left="-57"/>
              <w:rPr>
                <w:rFonts w:ascii="Arial Narrow" w:hAnsi="Arial Narrow" w:cs="Open Sans"/>
                <w:color w:val="333333"/>
                <w:sz w:val="18"/>
                <w:szCs w:val="18"/>
              </w:rPr>
            </w:pPr>
          </w:p>
        </w:tc>
      </w:tr>
      <w:tr w:rsidR="00685ED6" w:rsidRPr="00033005" w14:paraId="52D2C872" w14:textId="77777777" w:rsidTr="00F527AB">
        <w:tc>
          <w:tcPr>
            <w:tcW w:w="988" w:type="dxa"/>
          </w:tcPr>
          <w:p w14:paraId="384EA63A" w14:textId="495E4BE8"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C4BC49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41C2375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An older child </w:t>
            </w:r>
            <w:proofErr w:type="gramStart"/>
            <w:r w:rsidRPr="00033005">
              <w:rPr>
                <w:rFonts w:ascii="Arial Narrow" w:hAnsi="Arial Narrow" w:cs="Open Sans"/>
                <w:color w:val="333333"/>
                <w:sz w:val="18"/>
                <w:szCs w:val="18"/>
              </w:rPr>
              <w:t>is defined</w:t>
            </w:r>
            <w:proofErr w:type="gramEnd"/>
            <w:r w:rsidRPr="00033005">
              <w:rPr>
                <w:rFonts w:ascii="Arial Narrow" w:hAnsi="Arial Narrow" w:cs="Open Sans"/>
                <w:color w:val="333333"/>
                <w:sz w:val="18"/>
                <w:szCs w:val="18"/>
              </w:rPr>
              <w:t xml:space="preserve"> as a male with a chronological age of at least 12 years or a bone age of at least 10 years, or a female with a chronological age of at least 10 years or a bone age of at least 8 years.</w:t>
            </w:r>
          </w:p>
        </w:tc>
      </w:tr>
      <w:tr w:rsidR="00685ED6" w:rsidRPr="00033005" w14:paraId="64327EC1" w14:textId="77777777" w:rsidTr="00F527AB">
        <w:tc>
          <w:tcPr>
            <w:tcW w:w="988" w:type="dxa"/>
          </w:tcPr>
          <w:p w14:paraId="2E6C83C0" w14:textId="4192EE81"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1407219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70A134B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Applications for authorisation under this treatment phase must </w:t>
            </w:r>
            <w:proofErr w:type="gramStart"/>
            <w:r w:rsidRPr="00033005">
              <w:rPr>
                <w:rFonts w:ascii="Arial Narrow" w:hAnsi="Arial Narrow" w:cs="Open Sans"/>
                <w:color w:val="333333"/>
                <w:sz w:val="18"/>
                <w:szCs w:val="18"/>
              </w:rPr>
              <w:t>be made</w:t>
            </w:r>
            <w:proofErr w:type="gramEnd"/>
            <w:r w:rsidRPr="00033005">
              <w:rPr>
                <w:rFonts w:ascii="Arial Narrow" w:hAnsi="Arial Narrow" w:cs="Open Sans"/>
                <w:color w:val="333333"/>
                <w:sz w:val="18"/>
                <w:szCs w:val="18"/>
              </w:rPr>
              <w:t xml:space="preserve"> via the Online PBS Authorities System (real time assessment) or in writing via HPOS form upload or mail and must include:</w:t>
            </w:r>
          </w:p>
          <w:p w14:paraId="7371130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1.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the patient had a chronological age greater than 2.5 years at commencement of treatment.</w:t>
            </w:r>
          </w:p>
          <w:p w14:paraId="53F48BD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2. Growth data (height and weight) for the most recent </w:t>
            </w:r>
            <w:proofErr w:type="gramStart"/>
            <w:r w:rsidRPr="00033005">
              <w:rPr>
                <w:rFonts w:ascii="Arial Narrow" w:hAnsi="Arial Narrow" w:cs="Open Sans"/>
                <w:color w:val="333333"/>
                <w:sz w:val="18"/>
                <w:szCs w:val="18"/>
              </w:rPr>
              <w:t>6 month</w:t>
            </w:r>
            <w:proofErr w:type="gramEnd"/>
            <w:r w:rsidRPr="00033005">
              <w:rPr>
                <w:rFonts w:ascii="Arial Narrow" w:hAnsi="Arial Narrow" w:cs="Open Sans"/>
                <w:color w:val="333333"/>
                <w:sz w:val="18"/>
                <w:szCs w:val="18"/>
              </w:rPr>
              <w:t xml:space="preserve"> treatment period, including data at both the start and end of the treatment period. The most recent data must not be older than three months.</w:t>
            </w:r>
          </w:p>
          <w:p w14:paraId="67A5F19A"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3. A bone age result performed within the last 12 months where a patient has a chronological age greater than 2.5 years.</w:t>
            </w:r>
          </w:p>
        </w:tc>
      </w:tr>
      <w:tr w:rsidR="00685ED6" w:rsidRPr="00033005" w14:paraId="1421AEF8" w14:textId="77777777" w:rsidTr="00F527AB">
        <w:tc>
          <w:tcPr>
            <w:tcW w:w="988" w:type="dxa"/>
          </w:tcPr>
          <w:p w14:paraId="098E4447" w14:textId="3CD4A1EE"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31DE10BD"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2F34FE4C"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If the application </w:t>
            </w:r>
            <w:proofErr w:type="gramStart"/>
            <w:r w:rsidRPr="00033005">
              <w:rPr>
                <w:rFonts w:ascii="Arial Narrow" w:hAnsi="Arial Narrow" w:cs="Open Sans"/>
                <w:color w:val="333333"/>
                <w:sz w:val="18"/>
                <w:szCs w:val="18"/>
              </w:rPr>
              <w:t>is submitted</w:t>
            </w:r>
            <w:proofErr w:type="gramEnd"/>
            <w:r w:rsidRPr="00033005">
              <w:rPr>
                <w:rFonts w:ascii="Arial Narrow" w:hAnsi="Arial Narrow" w:cs="Open Sans"/>
                <w:color w:val="333333"/>
                <w:sz w:val="18"/>
                <w:szCs w:val="18"/>
              </w:rPr>
              <w:t xml:space="preserve"> through HPOS form upload or mail, it must include:</w:t>
            </w:r>
          </w:p>
          <w:p w14:paraId="1F0C891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 A completed authority prescription form; and</w:t>
            </w:r>
          </w:p>
          <w:p w14:paraId="3EF33AC0"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033005" w14:paraId="5CB259CD" w14:textId="77777777" w:rsidTr="00F527AB">
        <w:tc>
          <w:tcPr>
            <w:tcW w:w="988" w:type="dxa"/>
          </w:tcPr>
          <w:p w14:paraId="6B42240D" w14:textId="445503D9"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636DFD42"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0D99B49B"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Prescribe an appropriate amount of drug (maximum quantity in units) outlined within the 'Notes' section of this restriction.</w:t>
            </w:r>
          </w:p>
        </w:tc>
      </w:tr>
      <w:tr w:rsidR="00685ED6" w:rsidRPr="00033005" w14:paraId="04DD3F14" w14:textId="77777777" w:rsidTr="00F527AB">
        <w:tc>
          <w:tcPr>
            <w:tcW w:w="988" w:type="dxa"/>
          </w:tcPr>
          <w:p w14:paraId="4D9D6AFE" w14:textId="0C817440"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B1E6239"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47AAF747"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033005">
              <w:rPr>
                <w:rFonts w:ascii="Arial Narrow" w:hAnsi="Arial Narrow" w:cs="Open Sans"/>
                <w:color w:val="333333"/>
                <w:sz w:val="18"/>
                <w:szCs w:val="18"/>
              </w:rPr>
              <w:t>was written</w:t>
            </w:r>
            <w:proofErr w:type="gramEnd"/>
            <w:r w:rsidRPr="00033005">
              <w:rPr>
                <w:rFonts w:ascii="Arial Narrow" w:hAnsi="Arial Narrow" w:cs="Open Sans"/>
                <w:color w:val="333333"/>
                <w:sz w:val="18"/>
                <w:szCs w:val="18"/>
              </w:rPr>
              <w:t xml:space="preserve"> in compliance with any relevant circumstances and/or purposes. These records must </w:t>
            </w:r>
            <w:proofErr w:type="gramStart"/>
            <w:r w:rsidRPr="00033005">
              <w:rPr>
                <w:rFonts w:ascii="Arial Narrow" w:hAnsi="Arial Narrow" w:cs="Open Sans"/>
                <w:color w:val="333333"/>
                <w:sz w:val="18"/>
                <w:szCs w:val="18"/>
              </w:rPr>
              <w:t>be kept</w:t>
            </w:r>
            <w:proofErr w:type="gramEnd"/>
            <w:r w:rsidRPr="00033005">
              <w:rPr>
                <w:rFonts w:ascii="Arial Narrow" w:hAnsi="Arial Narrow" w:cs="Open Sans"/>
                <w:color w:val="333333"/>
                <w:sz w:val="18"/>
                <w:szCs w:val="18"/>
              </w:rPr>
              <w:t xml:space="preserve"> for 2 years after the date the prescription to which the records relate is written.</w:t>
            </w:r>
          </w:p>
        </w:tc>
      </w:tr>
      <w:tr w:rsidR="00685ED6" w:rsidRPr="00033005" w14:paraId="463C94AD" w14:textId="77777777" w:rsidTr="00F527AB">
        <w:tc>
          <w:tcPr>
            <w:tcW w:w="988" w:type="dxa"/>
          </w:tcPr>
          <w:p w14:paraId="70DB30AA" w14:textId="5D557B9D" w:rsidR="00685ED6" w:rsidRPr="00033005" w:rsidRDefault="00685ED6" w:rsidP="008A5ACA">
            <w:pPr>
              <w:jc w:val="center"/>
              <w:textAlignment w:val="baseline"/>
              <w:rPr>
                <w:rFonts w:ascii="Arial Narrow" w:hAnsi="Arial Narrow" w:cs="Open Sans"/>
                <w:color w:val="333333"/>
                <w:sz w:val="18"/>
                <w:szCs w:val="18"/>
              </w:rPr>
            </w:pPr>
          </w:p>
        </w:tc>
        <w:tc>
          <w:tcPr>
            <w:tcW w:w="8221" w:type="dxa"/>
            <w:hideMark/>
          </w:tcPr>
          <w:p w14:paraId="23E6D834"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b/>
                <w:bCs/>
                <w:color w:val="333333"/>
                <w:sz w:val="18"/>
                <w:szCs w:val="18"/>
                <w:bdr w:val="none" w:sz="0" w:space="0" w:color="auto" w:frame="1"/>
              </w:rPr>
              <w:t>Prescribing Instructions:</w:t>
            </w:r>
          </w:p>
          <w:p w14:paraId="6A0112D6" w14:textId="77777777" w:rsidR="00685ED6" w:rsidRPr="00033005" w:rsidRDefault="00685ED6" w:rsidP="008A5ACA">
            <w:pPr>
              <w:ind w:left="-57"/>
              <w:textAlignment w:val="baseline"/>
              <w:rPr>
                <w:rFonts w:ascii="Arial Narrow" w:hAnsi="Arial Narrow" w:cs="Open Sans"/>
                <w:color w:val="333333"/>
                <w:sz w:val="18"/>
                <w:szCs w:val="18"/>
              </w:rPr>
            </w:pPr>
            <w:r w:rsidRPr="00033005">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r w:rsidR="00685ED6" w:rsidRPr="00033005" w14:paraId="2FBCF3A9" w14:textId="77777777" w:rsidTr="008A5ACA">
        <w:tc>
          <w:tcPr>
            <w:tcW w:w="9209" w:type="dxa"/>
            <w:gridSpan w:val="2"/>
          </w:tcPr>
          <w:p w14:paraId="1D209122" w14:textId="77777777" w:rsidR="00685ED6" w:rsidRDefault="00685ED6" w:rsidP="008A5ACA">
            <w:pPr>
              <w:ind w:left="-57"/>
              <w:textAlignment w:val="baseline"/>
              <w:rPr>
                <w:rFonts w:ascii="Arial Narrow" w:hAnsi="Arial Narrow" w:cs="Open Sans"/>
                <w:b/>
                <w:bCs/>
                <w:color w:val="333333"/>
                <w:sz w:val="18"/>
                <w:szCs w:val="18"/>
                <w:bdr w:val="none" w:sz="0" w:space="0" w:color="auto" w:frame="1"/>
              </w:rPr>
            </w:pPr>
          </w:p>
          <w:p w14:paraId="056C887E" w14:textId="77777777" w:rsidR="00685ED6" w:rsidRPr="00033005"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2327D9" w14:paraId="005013FA" w14:textId="77777777" w:rsidTr="008A5ACA">
        <w:tc>
          <w:tcPr>
            <w:tcW w:w="9209" w:type="dxa"/>
            <w:gridSpan w:val="2"/>
          </w:tcPr>
          <w:p w14:paraId="7EDC6279" w14:textId="77777777" w:rsidR="00685ED6" w:rsidRDefault="00685ED6" w:rsidP="008A5ACA">
            <w:pPr>
              <w:textAlignment w:val="baseline"/>
              <w:rPr>
                <w:rFonts w:ascii="Arial Narrow" w:hAnsi="Arial Narrow" w:cs="Open Sans"/>
                <w:b/>
                <w:bCs/>
                <w:color w:val="333333"/>
                <w:sz w:val="18"/>
                <w:szCs w:val="18"/>
                <w:bdr w:val="none" w:sz="0" w:space="0" w:color="auto" w:frame="1"/>
              </w:rPr>
            </w:pPr>
            <w:r w:rsidRPr="002327D9">
              <w:rPr>
                <w:rFonts w:ascii="Arial Narrow" w:hAnsi="Arial Narrow" w:cs="Open Sans"/>
                <w:b/>
                <w:bCs/>
                <w:color w:val="333333"/>
                <w:sz w:val="18"/>
                <w:szCs w:val="18"/>
                <w:bdr w:val="none" w:sz="0" w:space="0" w:color="auto" w:frame="1"/>
              </w:rPr>
              <w:t>Restriction Summary 13310 / ToC: 13318: Authority Required</w:t>
            </w:r>
          </w:p>
          <w:p w14:paraId="67BAB21E" w14:textId="77777777" w:rsidR="00685ED6" w:rsidRPr="002327D9" w:rsidRDefault="00685ED6" w:rsidP="008A5ACA">
            <w:pPr>
              <w:textAlignment w:val="baseline"/>
              <w:rPr>
                <w:rFonts w:ascii="Arial Narrow" w:hAnsi="Arial Narrow" w:cs="Open Sans"/>
                <w:b/>
                <w:bCs/>
                <w:color w:val="333333"/>
                <w:sz w:val="18"/>
                <w:szCs w:val="18"/>
                <w:bdr w:val="none" w:sz="0" w:space="0" w:color="auto" w:frame="1"/>
              </w:rPr>
            </w:pPr>
          </w:p>
        </w:tc>
      </w:tr>
      <w:tr w:rsidR="00685ED6" w:rsidRPr="002327D9" w14:paraId="6E380E50" w14:textId="77777777" w:rsidTr="00F527AB">
        <w:tc>
          <w:tcPr>
            <w:tcW w:w="988" w:type="dxa"/>
          </w:tcPr>
          <w:p w14:paraId="1B1B0097" w14:textId="33741100"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75F25F1F"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Indication:</w:t>
            </w:r>
            <w:r>
              <w:rPr>
                <w:rFonts w:ascii="Arial Narrow" w:hAnsi="Arial Narrow" w:cs="Open Sans"/>
                <w:color w:val="333333"/>
                <w:sz w:val="18"/>
                <w:szCs w:val="18"/>
              </w:rPr>
              <w:t xml:space="preserve"> </w:t>
            </w:r>
            <w:r w:rsidRPr="002327D9">
              <w:rPr>
                <w:rFonts w:ascii="Arial Narrow" w:hAnsi="Arial Narrow" w:cs="Open Sans"/>
                <w:color w:val="333333"/>
                <w:sz w:val="18"/>
                <w:szCs w:val="18"/>
              </w:rPr>
              <w:t>Short stature and slow growth</w:t>
            </w:r>
          </w:p>
        </w:tc>
      </w:tr>
      <w:tr w:rsidR="00685ED6" w:rsidRPr="002327D9" w14:paraId="287E5AE3" w14:textId="77777777" w:rsidTr="008A5ACA">
        <w:tc>
          <w:tcPr>
            <w:tcW w:w="988" w:type="dxa"/>
          </w:tcPr>
          <w:p w14:paraId="7789FC2F" w14:textId="77777777" w:rsidR="00685ED6" w:rsidRPr="002327D9" w:rsidRDefault="00685ED6" w:rsidP="008A5ACA">
            <w:pPr>
              <w:jc w:val="center"/>
              <w:textAlignment w:val="baseline"/>
              <w:rPr>
                <w:rFonts w:ascii="Arial Narrow" w:hAnsi="Arial Narrow" w:cs="Open Sans"/>
                <w:color w:val="333333"/>
                <w:sz w:val="18"/>
                <w:szCs w:val="18"/>
              </w:rPr>
            </w:pPr>
          </w:p>
        </w:tc>
        <w:tc>
          <w:tcPr>
            <w:tcW w:w="8221" w:type="dxa"/>
          </w:tcPr>
          <w:p w14:paraId="039C9149" w14:textId="77777777" w:rsidR="00685ED6" w:rsidRPr="002327D9"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2327D9" w14:paraId="39726359" w14:textId="77777777" w:rsidTr="00F527AB">
        <w:tc>
          <w:tcPr>
            <w:tcW w:w="988" w:type="dxa"/>
          </w:tcPr>
          <w:p w14:paraId="1271873E" w14:textId="77777777" w:rsidR="00685ED6" w:rsidRPr="002327D9" w:rsidRDefault="00685ED6" w:rsidP="008A5ACA">
            <w:pPr>
              <w:jc w:val="center"/>
              <w:rPr>
                <w:rFonts w:ascii="Arial Narrow" w:hAnsi="Arial Narrow" w:cs="Open Sans"/>
                <w:color w:val="333333"/>
                <w:sz w:val="18"/>
                <w:szCs w:val="18"/>
              </w:rPr>
            </w:pPr>
          </w:p>
        </w:tc>
        <w:tc>
          <w:tcPr>
            <w:tcW w:w="8221" w:type="dxa"/>
            <w:hideMark/>
          </w:tcPr>
          <w:p w14:paraId="285E01A8"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Treatment Phase:</w:t>
            </w:r>
            <w:r>
              <w:rPr>
                <w:rFonts w:ascii="Arial Narrow" w:hAnsi="Arial Narrow" w:cs="Open Sans"/>
                <w:color w:val="333333"/>
                <w:sz w:val="18"/>
                <w:szCs w:val="18"/>
              </w:rPr>
              <w:t xml:space="preserve"> </w:t>
            </w:r>
            <w:r w:rsidRPr="002327D9">
              <w:rPr>
                <w:rFonts w:ascii="Arial Narrow" w:hAnsi="Arial Narrow" w:cs="Open Sans"/>
                <w:color w:val="333333"/>
                <w:sz w:val="18"/>
                <w:szCs w:val="18"/>
              </w:rPr>
              <w:t>Transitioning from non-PBS to PBS-subsidised supply - Grandfather arrangements</w:t>
            </w:r>
          </w:p>
        </w:tc>
      </w:tr>
      <w:tr w:rsidR="00685ED6" w:rsidRPr="002327D9" w14:paraId="012635B1" w14:textId="77777777" w:rsidTr="008A5ACA">
        <w:tc>
          <w:tcPr>
            <w:tcW w:w="988" w:type="dxa"/>
          </w:tcPr>
          <w:p w14:paraId="745A1496" w14:textId="77777777" w:rsidR="00685ED6" w:rsidRPr="002327D9" w:rsidRDefault="00685ED6" w:rsidP="008A5ACA">
            <w:pPr>
              <w:jc w:val="center"/>
              <w:rPr>
                <w:rFonts w:ascii="Arial Narrow" w:hAnsi="Arial Narrow" w:cs="Open Sans"/>
                <w:color w:val="333333"/>
                <w:sz w:val="18"/>
                <w:szCs w:val="18"/>
              </w:rPr>
            </w:pPr>
          </w:p>
        </w:tc>
        <w:tc>
          <w:tcPr>
            <w:tcW w:w="8221" w:type="dxa"/>
          </w:tcPr>
          <w:p w14:paraId="3ED4B4BB" w14:textId="77777777" w:rsidR="00685ED6" w:rsidRPr="002327D9" w:rsidRDefault="00685ED6" w:rsidP="008A5ACA">
            <w:pPr>
              <w:ind w:left="-57"/>
              <w:textAlignment w:val="baseline"/>
              <w:rPr>
                <w:rFonts w:ascii="Arial Narrow" w:hAnsi="Arial Narrow" w:cs="Open Sans"/>
                <w:b/>
                <w:bCs/>
                <w:color w:val="333333"/>
                <w:sz w:val="18"/>
                <w:szCs w:val="18"/>
                <w:bdr w:val="none" w:sz="0" w:space="0" w:color="auto" w:frame="1"/>
              </w:rPr>
            </w:pPr>
          </w:p>
        </w:tc>
      </w:tr>
      <w:tr w:rsidR="00685ED6" w:rsidRPr="002327D9" w14:paraId="790663D8" w14:textId="77777777" w:rsidTr="00F527AB">
        <w:tc>
          <w:tcPr>
            <w:tcW w:w="988" w:type="dxa"/>
          </w:tcPr>
          <w:p w14:paraId="31E66CEA" w14:textId="06BCF41C"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6FED2DE3"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Treatment criteria:</w:t>
            </w:r>
          </w:p>
        </w:tc>
      </w:tr>
      <w:tr w:rsidR="00685ED6" w:rsidRPr="002327D9" w14:paraId="63D88E3C" w14:textId="77777777" w:rsidTr="00F527AB">
        <w:tc>
          <w:tcPr>
            <w:tcW w:w="988" w:type="dxa"/>
          </w:tcPr>
          <w:p w14:paraId="5242E720" w14:textId="19ED981D"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6BA9957B"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Patient must be undergoing privately funded treatment (</w:t>
            </w:r>
            <w:proofErr w:type="gramStart"/>
            <w:r w:rsidRPr="002327D9">
              <w:rPr>
                <w:rFonts w:ascii="Arial Narrow" w:hAnsi="Arial Narrow" w:cs="Open Sans"/>
                <w:color w:val="333333"/>
                <w:sz w:val="18"/>
                <w:szCs w:val="18"/>
              </w:rPr>
              <w:t>e.g.</w:t>
            </w:r>
            <w:proofErr w:type="gramEnd"/>
            <w:r w:rsidRPr="002327D9">
              <w:rPr>
                <w:rFonts w:ascii="Arial Narrow" w:hAnsi="Arial Narrow" w:cs="Open Sans"/>
                <w:color w:val="333333"/>
                <w:sz w:val="18"/>
                <w:szCs w:val="18"/>
              </w:rPr>
              <w:t xml:space="preserve"> through a clinical trial, a sponsor compassionate access program, supply from an overseas jurisdiction) with this drug at the time of this authority application - subsidy through this treatment phase must only occur once per lifetime</w:t>
            </w:r>
          </w:p>
        </w:tc>
      </w:tr>
      <w:tr w:rsidR="00685ED6" w:rsidRPr="002327D9" w14:paraId="5BA1E876" w14:textId="77777777" w:rsidTr="008A5ACA">
        <w:tc>
          <w:tcPr>
            <w:tcW w:w="988" w:type="dxa"/>
          </w:tcPr>
          <w:p w14:paraId="05D58C10" w14:textId="77777777" w:rsidR="00685ED6" w:rsidRPr="002327D9" w:rsidRDefault="00685ED6" w:rsidP="008A5ACA">
            <w:pPr>
              <w:jc w:val="center"/>
              <w:textAlignment w:val="baseline"/>
              <w:rPr>
                <w:rFonts w:ascii="Arial Narrow" w:hAnsi="Arial Narrow" w:cs="Open Sans"/>
                <w:color w:val="333333"/>
                <w:sz w:val="18"/>
                <w:szCs w:val="18"/>
              </w:rPr>
            </w:pPr>
          </w:p>
        </w:tc>
        <w:tc>
          <w:tcPr>
            <w:tcW w:w="8221" w:type="dxa"/>
          </w:tcPr>
          <w:p w14:paraId="6C6AE361" w14:textId="77777777" w:rsidR="00685ED6" w:rsidRPr="002327D9" w:rsidRDefault="00685ED6" w:rsidP="008A5ACA">
            <w:pPr>
              <w:ind w:left="-57"/>
              <w:rPr>
                <w:rFonts w:ascii="Arial Narrow" w:hAnsi="Arial Narrow" w:cs="Open Sans"/>
                <w:color w:val="333333"/>
                <w:sz w:val="18"/>
                <w:szCs w:val="18"/>
              </w:rPr>
            </w:pPr>
          </w:p>
        </w:tc>
      </w:tr>
      <w:tr w:rsidR="00685ED6" w:rsidRPr="002327D9" w14:paraId="28B4AEF7" w14:textId="77777777" w:rsidTr="00F527AB">
        <w:tc>
          <w:tcPr>
            <w:tcW w:w="988" w:type="dxa"/>
          </w:tcPr>
          <w:p w14:paraId="6D5FEA2E" w14:textId="4AF13E04"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13A7D575"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Clinical criteria:</w:t>
            </w:r>
          </w:p>
        </w:tc>
      </w:tr>
      <w:tr w:rsidR="00685ED6" w:rsidRPr="002327D9" w14:paraId="7D5256FE" w14:textId="77777777" w:rsidTr="00F527AB">
        <w:tc>
          <w:tcPr>
            <w:tcW w:w="988" w:type="dxa"/>
          </w:tcPr>
          <w:p w14:paraId="7AC4952A" w14:textId="23E5031C"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629B5D2C"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The treatment must not be for the purposes of continuing treatment that is known to be non-efficacious for the patient - where an inadequate response has been observed for the most recent supply of this drug, it must have been confounded by at least one of the following: (i) a significant medical illness, (ii) major surgery (e.g. renal transplant), (iii) an adverse reaction to growth hormone, (iv) non-compliance due to social/family problems, (v) a lower than recommended (as specified by this drug</w:t>
            </w:r>
            <w:r>
              <w:rPr>
                <w:rFonts w:ascii="Arial Narrow" w:hAnsi="Arial Narrow" w:cs="Open Sans"/>
                <w:color w:val="333333"/>
                <w:sz w:val="18"/>
                <w:szCs w:val="18"/>
              </w:rPr>
              <w:t>’</w:t>
            </w:r>
            <w:r w:rsidRPr="002327D9">
              <w:rPr>
                <w:rFonts w:ascii="Arial Narrow" w:hAnsi="Arial Narrow" w:cs="Open Sans"/>
                <w:color w:val="333333"/>
                <w:sz w:val="18"/>
                <w:szCs w:val="18"/>
              </w:rPr>
              <w:t>s approved Product Information) dose</w:t>
            </w:r>
          </w:p>
        </w:tc>
      </w:tr>
      <w:tr w:rsidR="00685ED6" w:rsidRPr="002327D9" w14:paraId="3EC1C5B4" w14:textId="77777777" w:rsidTr="00F527AB">
        <w:tc>
          <w:tcPr>
            <w:tcW w:w="988" w:type="dxa"/>
          </w:tcPr>
          <w:p w14:paraId="5AE051B2" w14:textId="77777777" w:rsidR="00685ED6" w:rsidRPr="002327D9" w:rsidRDefault="00685ED6" w:rsidP="008A5ACA">
            <w:pPr>
              <w:jc w:val="center"/>
              <w:rPr>
                <w:rFonts w:ascii="Arial Narrow" w:hAnsi="Arial Narrow" w:cs="Open Sans"/>
                <w:color w:val="333333"/>
                <w:sz w:val="18"/>
                <w:szCs w:val="18"/>
              </w:rPr>
            </w:pPr>
          </w:p>
        </w:tc>
        <w:tc>
          <w:tcPr>
            <w:tcW w:w="8221" w:type="dxa"/>
            <w:hideMark/>
          </w:tcPr>
          <w:p w14:paraId="6AAB0A94"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AND</w:t>
            </w:r>
          </w:p>
        </w:tc>
      </w:tr>
      <w:tr w:rsidR="00685ED6" w:rsidRPr="002327D9" w14:paraId="40011FAA" w14:textId="77777777" w:rsidTr="00F527AB">
        <w:tc>
          <w:tcPr>
            <w:tcW w:w="988" w:type="dxa"/>
          </w:tcPr>
          <w:p w14:paraId="2ACA607C" w14:textId="23B512FA"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30E44393"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Clinical criteria:</w:t>
            </w:r>
          </w:p>
        </w:tc>
      </w:tr>
      <w:tr w:rsidR="00685ED6" w:rsidRPr="002327D9" w14:paraId="1377024F" w14:textId="77777777" w:rsidTr="00F527AB">
        <w:tc>
          <w:tcPr>
            <w:tcW w:w="988" w:type="dxa"/>
          </w:tcPr>
          <w:p w14:paraId="06289E9E" w14:textId="74A5D76F"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5F59CF6A"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 xml:space="preserve">Patient must have had a height no higher than the </w:t>
            </w:r>
            <w:proofErr w:type="gramStart"/>
            <w:r w:rsidRPr="002327D9">
              <w:rPr>
                <w:rFonts w:ascii="Arial Narrow" w:hAnsi="Arial Narrow" w:cs="Open Sans"/>
                <w:color w:val="333333"/>
                <w:sz w:val="18"/>
                <w:szCs w:val="18"/>
              </w:rPr>
              <w:t>1st</w:t>
            </w:r>
            <w:proofErr w:type="gramEnd"/>
            <w:r w:rsidRPr="002327D9">
              <w:rPr>
                <w:rFonts w:ascii="Arial Narrow" w:hAnsi="Arial Narrow" w:cs="Open Sans"/>
                <w:color w:val="333333"/>
                <w:sz w:val="18"/>
                <w:szCs w:val="18"/>
              </w:rPr>
              <w:t xml:space="preserve"> percentile for age plus sex at the time treatment first commenced</w:t>
            </w:r>
          </w:p>
        </w:tc>
      </w:tr>
      <w:tr w:rsidR="00685ED6" w:rsidRPr="002327D9" w14:paraId="5743B3A3" w14:textId="77777777" w:rsidTr="00F527AB">
        <w:tc>
          <w:tcPr>
            <w:tcW w:w="988" w:type="dxa"/>
          </w:tcPr>
          <w:p w14:paraId="57A03A49" w14:textId="77777777" w:rsidR="00685ED6" w:rsidRPr="002327D9" w:rsidRDefault="00685ED6" w:rsidP="008A5ACA">
            <w:pPr>
              <w:jc w:val="center"/>
              <w:rPr>
                <w:rFonts w:ascii="Arial Narrow" w:hAnsi="Arial Narrow" w:cs="Open Sans"/>
                <w:color w:val="333333"/>
                <w:sz w:val="18"/>
                <w:szCs w:val="18"/>
              </w:rPr>
            </w:pPr>
          </w:p>
        </w:tc>
        <w:tc>
          <w:tcPr>
            <w:tcW w:w="8221" w:type="dxa"/>
            <w:hideMark/>
          </w:tcPr>
          <w:p w14:paraId="38E8D517"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AND</w:t>
            </w:r>
          </w:p>
        </w:tc>
      </w:tr>
      <w:tr w:rsidR="00685ED6" w:rsidRPr="002327D9" w14:paraId="1DA79F04" w14:textId="77777777" w:rsidTr="00F527AB">
        <w:tc>
          <w:tcPr>
            <w:tcW w:w="988" w:type="dxa"/>
          </w:tcPr>
          <w:p w14:paraId="5B4F5DB6" w14:textId="1946BCA1"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0ECB05BB"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Clinical criteria:</w:t>
            </w:r>
          </w:p>
        </w:tc>
      </w:tr>
      <w:tr w:rsidR="00685ED6" w:rsidRPr="002327D9" w14:paraId="5A1A1F69" w14:textId="77777777" w:rsidTr="00F527AB">
        <w:tc>
          <w:tcPr>
            <w:tcW w:w="988" w:type="dxa"/>
          </w:tcPr>
          <w:p w14:paraId="428C2C40" w14:textId="49BF3757"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168A7E40"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 xml:space="preserve">Patient must have had a growth velocity below the 25th percentile for bone age plus sex measured over a </w:t>
            </w:r>
            <w:proofErr w:type="gramStart"/>
            <w:r w:rsidRPr="002327D9">
              <w:rPr>
                <w:rFonts w:ascii="Arial Narrow" w:hAnsi="Arial Narrow" w:cs="Open Sans"/>
                <w:color w:val="333333"/>
                <w:sz w:val="18"/>
                <w:szCs w:val="18"/>
              </w:rPr>
              <w:t>12 month</w:t>
            </w:r>
            <w:proofErr w:type="gramEnd"/>
            <w:r w:rsidRPr="002327D9">
              <w:rPr>
                <w:rFonts w:ascii="Arial Narrow" w:hAnsi="Arial Narrow" w:cs="Open Sans"/>
                <w:color w:val="333333"/>
                <w:sz w:val="18"/>
                <w:szCs w:val="18"/>
              </w:rPr>
              <w:t xml:space="preserve"> interval (or a 6 month interval for an older child) prior to having commenced treatment; or</w:t>
            </w:r>
          </w:p>
        </w:tc>
      </w:tr>
      <w:tr w:rsidR="00685ED6" w:rsidRPr="002327D9" w14:paraId="7D7C46F9" w14:textId="77777777" w:rsidTr="00F527AB">
        <w:tc>
          <w:tcPr>
            <w:tcW w:w="988" w:type="dxa"/>
          </w:tcPr>
          <w:p w14:paraId="3733E7E5" w14:textId="47BAF00D"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5D54137B"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Patient must have had an annual growth velocity of no higher than 8 cm per year where the patient had either a bone/chronological age no higher than 2.5 years prior to having commenced treatment</w:t>
            </w:r>
          </w:p>
        </w:tc>
      </w:tr>
      <w:tr w:rsidR="00685ED6" w:rsidRPr="002327D9" w14:paraId="4A7DC88E" w14:textId="77777777" w:rsidTr="00F527AB">
        <w:tc>
          <w:tcPr>
            <w:tcW w:w="988" w:type="dxa"/>
          </w:tcPr>
          <w:p w14:paraId="23BBB0E0" w14:textId="77777777" w:rsidR="00685ED6" w:rsidRPr="002327D9" w:rsidRDefault="00685ED6" w:rsidP="008A5ACA">
            <w:pPr>
              <w:jc w:val="center"/>
              <w:rPr>
                <w:rFonts w:ascii="Arial Narrow" w:hAnsi="Arial Narrow" w:cs="Open Sans"/>
                <w:color w:val="333333"/>
                <w:sz w:val="18"/>
                <w:szCs w:val="18"/>
              </w:rPr>
            </w:pPr>
          </w:p>
        </w:tc>
        <w:tc>
          <w:tcPr>
            <w:tcW w:w="8221" w:type="dxa"/>
            <w:hideMark/>
          </w:tcPr>
          <w:p w14:paraId="727D42EF"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AND</w:t>
            </w:r>
          </w:p>
        </w:tc>
      </w:tr>
      <w:tr w:rsidR="00685ED6" w:rsidRPr="002327D9" w14:paraId="2BBB27D4" w14:textId="77777777" w:rsidTr="00F527AB">
        <w:tc>
          <w:tcPr>
            <w:tcW w:w="988" w:type="dxa"/>
          </w:tcPr>
          <w:p w14:paraId="5683C1A2" w14:textId="69980EB1"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17A839B9"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Clinical criteria:</w:t>
            </w:r>
          </w:p>
        </w:tc>
      </w:tr>
      <w:tr w:rsidR="00685ED6" w:rsidRPr="002327D9" w14:paraId="68D44CA5" w14:textId="77777777" w:rsidTr="00F527AB">
        <w:tc>
          <w:tcPr>
            <w:tcW w:w="988" w:type="dxa"/>
          </w:tcPr>
          <w:p w14:paraId="45F3BDA4" w14:textId="097892B1"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32BF1D50"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Patient must not have a condition with a known risk of malignancy including chromosomal abnormalities such as Down and Bloom syndromes</w:t>
            </w:r>
          </w:p>
        </w:tc>
      </w:tr>
      <w:tr w:rsidR="00685ED6" w:rsidRPr="002327D9" w14:paraId="5D080F00" w14:textId="77777777" w:rsidTr="00F527AB">
        <w:tc>
          <w:tcPr>
            <w:tcW w:w="988" w:type="dxa"/>
          </w:tcPr>
          <w:p w14:paraId="338D33D4" w14:textId="77777777" w:rsidR="00685ED6" w:rsidRPr="002327D9" w:rsidRDefault="00685ED6" w:rsidP="008A5ACA">
            <w:pPr>
              <w:jc w:val="center"/>
              <w:rPr>
                <w:rFonts w:ascii="Arial Narrow" w:hAnsi="Arial Narrow" w:cs="Open Sans"/>
                <w:color w:val="333333"/>
                <w:sz w:val="18"/>
                <w:szCs w:val="18"/>
              </w:rPr>
            </w:pPr>
          </w:p>
        </w:tc>
        <w:tc>
          <w:tcPr>
            <w:tcW w:w="8221" w:type="dxa"/>
            <w:hideMark/>
          </w:tcPr>
          <w:p w14:paraId="4B0A1658"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AND</w:t>
            </w:r>
          </w:p>
        </w:tc>
      </w:tr>
      <w:tr w:rsidR="00685ED6" w:rsidRPr="002327D9" w14:paraId="4DAA2E1C" w14:textId="77777777" w:rsidTr="00F527AB">
        <w:tc>
          <w:tcPr>
            <w:tcW w:w="988" w:type="dxa"/>
          </w:tcPr>
          <w:p w14:paraId="19345575" w14:textId="71A04379"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07BF36E9"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Clinical criteria:</w:t>
            </w:r>
          </w:p>
        </w:tc>
      </w:tr>
      <w:tr w:rsidR="00685ED6" w:rsidRPr="002327D9" w14:paraId="72470A49" w14:textId="77777777" w:rsidTr="00F527AB">
        <w:tc>
          <w:tcPr>
            <w:tcW w:w="988" w:type="dxa"/>
          </w:tcPr>
          <w:p w14:paraId="14B7BB1F" w14:textId="2C497B7C"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67924AA8"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Patient must not have an active tumour or evidence of tumour growth or activity</w:t>
            </w:r>
          </w:p>
        </w:tc>
      </w:tr>
      <w:tr w:rsidR="00685ED6" w:rsidRPr="002327D9" w14:paraId="1A3EBA64" w14:textId="77777777" w:rsidTr="00F527AB">
        <w:tc>
          <w:tcPr>
            <w:tcW w:w="988" w:type="dxa"/>
          </w:tcPr>
          <w:p w14:paraId="2A628B02" w14:textId="77777777" w:rsidR="00685ED6" w:rsidRPr="002327D9" w:rsidRDefault="00685ED6" w:rsidP="008A5ACA">
            <w:pPr>
              <w:jc w:val="center"/>
              <w:rPr>
                <w:rFonts w:ascii="Arial Narrow" w:hAnsi="Arial Narrow" w:cs="Open Sans"/>
                <w:color w:val="333333"/>
                <w:sz w:val="18"/>
                <w:szCs w:val="18"/>
              </w:rPr>
            </w:pPr>
          </w:p>
        </w:tc>
        <w:tc>
          <w:tcPr>
            <w:tcW w:w="8221" w:type="dxa"/>
            <w:hideMark/>
          </w:tcPr>
          <w:p w14:paraId="217B8234"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AND</w:t>
            </w:r>
          </w:p>
        </w:tc>
      </w:tr>
      <w:tr w:rsidR="00685ED6" w:rsidRPr="002327D9" w14:paraId="0FF6BAEA" w14:textId="77777777" w:rsidTr="00F527AB">
        <w:tc>
          <w:tcPr>
            <w:tcW w:w="988" w:type="dxa"/>
          </w:tcPr>
          <w:p w14:paraId="73815C53" w14:textId="1A1307B6"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44BFDFBA"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Clinical criteria:</w:t>
            </w:r>
          </w:p>
        </w:tc>
      </w:tr>
      <w:tr w:rsidR="00685ED6" w:rsidRPr="002327D9" w14:paraId="5DC5AD98" w14:textId="77777777" w:rsidTr="00F527AB">
        <w:tc>
          <w:tcPr>
            <w:tcW w:w="988" w:type="dxa"/>
          </w:tcPr>
          <w:p w14:paraId="076D5C68" w14:textId="671B856A"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097EBA81"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 xml:space="preserve">Patient must be male and must not have a height greater than or equal to 167.7 </w:t>
            </w:r>
            <w:proofErr w:type="gramStart"/>
            <w:r w:rsidRPr="002327D9">
              <w:rPr>
                <w:rFonts w:ascii="Arial Narrow" w:hAnsi="Arial Narrow" w:cs="Open Sans"/>
                <w:color w:val="333333"/>
                <w:sz w:val="18"/>
                <w:szCs w:val="18"/>
              </w:rPr>
              <w:t>cm;</w:t>
            </w:r>
            <w:proofErr w:type="gramEnd"/>
            <w:r w:rsidRPr="002327D9">
              <w:rPr>
                <w:rFonts w:ascii="Arial Narrow" w:hAnsi="Arial Narrow" w:cs="Open Sans"/>
                <w:color w:val="333333"/>
                <w:sz w:val="18"/>
                <w:szCs w:val="18"/>
              </w:rPr>
              <w:t xml:space="preserve"> or</w:t>
            </w:r>
          </w:p>
        </w:tc>
      </w:tr>
      <w:tr w:rsidR="00685ED6" w:rsidRPr="002327D9" w14:paraId="24EEBB6A" w14:textId="77777777" w:rsidTr="00F527AB">
        <w:tc>
          <w:tcPr>
            <w:tcW w:w="988" w:type="dxa"/>
          </w:tcPr>
          <w:p w14:paraId="03A18C0B" w14:textId="25DA2B78"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67864415"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Patient must be female and must not have a height greater than or equal to 155.0 cm</w:t>
            </w:r>
          </w:p>
        </w:tc>
      </w:tr>
      <w:tr w:rsidR="00685ED6" w:rsidRPr="002327D9" w14:paraId="748DB282" w14:textId="77777777" w:rsidTr="00F527AB">
        <w:tc>
          <w:tcPr>
            <w:tcW w:w="988" w:type="dxa"/>
          </w:tcPr>
          <w:p w14:paraId="7598868E" w14:textId="77777777" w:rsidR="00685ED6" w:rsidRPr="002327D9" w:rsidRDefault="00685ED6" w:rsidP="008A5ACA">
            <w:pPr>
              <w:jc w:val="center"/>
              <w:rPr>
                <w:rFonts w:ascii="Arial Narrow" w:hAnsi="Arial Narrow" w:cs="Open Sans"/>
                <w:color w:val="333333"/>
                <w:sz w:val="18"/>
                <w:szCs w:val="18"/>
              </w:rPr>
            </w:pPr>
          </w:p>
        </w:tc>
        <w:tc>
          <w:tcPr>
            <w:tcW w:w="8221" w:type="dxa"/>
            <w:hideMark/>
          </w:tcPr>
          <w:p w14:paraId="776EE680"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AND</w:t>
            </w:r>
          </w:p>
        </w:tc>
      </w:tr>
      <w:tr w:rsidR="00685ED6" w:rsidRPr="002327D9" w14:paraId="7E79395F" w14:textId="77777777" w:rsidTr="00F527AB">
        <w:tc>
          <w:tcPr>
            <w:tcW w:w="988" w:type="dxa"/>
          </w:tcPr>
          <w:p w14:paraId="7B0628B9" w14:textId="3DC26D04"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36553905"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Clinical criteria:</w:t>
            </w:r>
          </w:p>
        </w:tc>
      </w:tr>
      <w:tr w:rsidR="00685ED6" w:rsidRPr="002327D9" w14:paraId="1FD3CB0A" w14:textId="77777777" w:rsidTr="00F527AB">
        <w:tc>
          <w:tcPr>
            <w:tcW w:w="988" w:type="dxa"/>
          </w:tcPr>
          <w:p w14:paraId="0B9AF96F" w14:textId="66DD04CC"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535FDDFB"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Patient must be male and must not have a bone age of 15.5 years or more; or</w:t>
            </w:r>
          </w:p>
        </w:tc>
      </w:tr>
      <w:tr w:rsidR="00685ED6" w:rsidRPr="002327D9" w14:paraId="5518B986" w14:textId="77777777" w:rsidTr="00F527AB">
        <w:tc>
          <w:tcPr>
            <w:tcW w:w="988" w:type="dxa"/>
          </w:tcPr>
          <w:p w14:paraId="1B2104D8" w14:textId="480DF7DA"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5CC38D83"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Patient must be female and must not have a bone age of 13.5 years or more</w:t>
            </w:r>
          </w:p>
        </w:tc>
      </w:tr>
      <w:tr w:rsidR="00685ED6" w:rsidRPr="002327D9" w14:paraId="0B8DFF8A" w14:textId="77777777" w:rsidTr="008A5ACA">
        <w:tc>
          <w:tcPr>
            <w:tcW w:w="988" w:type="dxa"/>
          </w:tcPr>
          <w:p w14:paraId="309228D7" w14:textId="77777777" w:rsidR="00685ED6" w:rsidRPr="002327D9" w:rsidRDefault="00685ED6" w:rsidP="008A5ACA">
            <w:pPr>
              <w:jc w:val="center"/>
              <w:textAlignment w:val="baseline"/>
              <w:rPr>
                <w:rFonts w:ascii="Arial Narrow" w:hAnsi="Arial Narrow" w:cs="Open Sans"/>
                <w:color w:val="333333"/>
                <w:sz w:val="18"/>
                <w:szCs w:val="18"/>
              </w:rPr>
            </w:pPr>
          </w:p>
        </w:tc>
        <w:tc>
          <w:tcPr>
            <w:tcW w:w="8221" w:type="dxa"/>
          </w:tcPr>
          <w:p w14:paraId="72358DCE" w14:textId="77777777" w:rsidR="00685ED6" w:rsidRPr="002327D9" w:rsidRDefault="00685ED6" w:rsidP="008A5ACA">
            <w:pPr>
              <w:ind w:left="-57"/>
              <w:rPr>
                <w:rFonts w:ascii="Arial Narrow" w:hAnsi="Arial Narrow" w:cs="Open Sans"/>
                <w:color w:val="333333"/>
                <w:sz w:val="18"/>
                <w:szCs w:val="18"/>
              </w:rPr>
            </w:pPr>
          </w:p>
        </w:tc>
      </w:tr>
      <w:tr w:rsidR="00685ED6" w:rsidRPr="002327D9" w14:paraId="247F117E" w14:textId="77777777" w:rsidTr="00F527AB">
        <w:tc>
          <w:tcPr>
            <w:tcW w:w="988" w:type="dxa"/>
          </w:tcPr>
          <w:p w14:paraId="61911398" w14:textId="5AEA35B1"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15A98C7B"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Treatment criteria:</w:t>
            </w:r>
          </w:p>
        </w:tc>
      </w:tr>
      <w:tr w:rsidR="00685ED6" w:rsidRPr="002327D9" w14:paraId="7DEC0EB6" w14:textId="77777777" w:rsidTr="00F527AB">
        <w:tc>
          <w:tcPr>
            <w:tcW w:w="988" w:type="dxa"/>
          </w:tcPr>
          <w:p w14:paraId="39CEDB33" w14:textId="661ABCC9"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4FBC17DB"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 xml:space="preserve">Must </w:t>
            </w:r>
            <w:proofErr w:type="gramStart"/>
            <w:r w:rsidRPr="002327D9">
              <w:rPr>
                <w:rFonts w:ascii="Arial Narrow" w:hAnsi="Arial Narrow" w:cs="Open Sans"/>
                <w:color w:val="333333"/>
                <w:sz w:val="18"/>
                <w:szCs w:val="18"/>
              </w:rPr>
              <w:t>be treated</w:t>
            </w:r>
            <w:proofErr w:type="gramEnd"/>
            <w:r w:rsidRPr="002327D9">
              <w:rPr>
                <w:rFonts w:ascii="Arial Narrow" w:hAnsi="Arial Narrow" w:cs="Open Sans"/>
                <w:color w:val="333333"/>
                <w:sz w:val="18"/>
                <w:szCs w:val="18"/>
              </w:rPr>
              <w:t xml:space="preserve"> by a medical practitioner in consultation with a nominated specialist or consultant physician in paediatric endocrinology; or</w:t>
            </w:r>
          </w:p>
        </w:tc>
      </w:tr>
      <w:tr w:rsidR="00685ED6" w:rsidRPr="002327D9" w14:paraId="2CF4B1F9" w14:textId="77777777" w:rsidTr="00F527AB">
        <w:tc>
          <w:tcPr>
            <w:tcW w:w="988" w:type="dxa"/>
          </w:tcPr>
          <w:p w14:paraId="63FD5A5F" w14:textId="2AC96408"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0980CAE7"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 xml:space="preserve">Must </w:t>
            </w:r>
            <w:proofErr w:type="gramStart"/>
            <w:r w:rsidRPr="002327D9">
              <w:rPr>
                <w:rFonts w:ascii="Arial Narrow" w:hAnsi="Arial Narrow" w:cs="Open Sans"/>
                <w:color w:val="333333"/>
                <w:sz w:val="18"/>
                <w:szCs w:val="18"/>
              </w:rPr>
              <w:t>be treated</w:t>
            </w:r>
            <w:proofErr w:type="gramEnd"/>
            <w:r w:rsidRPr="002327D9">
              <w:rPr>
                <w:rFonts w:ascii="Arial Narrow" w:hAnsi="Arial Narrow" w:cs="Open Sans"/>
                <w:color w:val="333333"/>
                <w:sz w:val="18"/>
                <w:szCs w:val="18"/>
              </w:rPr>
              <w:t xml:space="preserve"> by a medical practitioner in consultation with a nominated specialist or consultant physician in general paediatrics</w:t>
            </w:r>
          </w:p>
        </w:tc>
      </w:tr>
      <w:tr w:rsidR="00685ED6" w:rsidRPr="002327D9" w14:paraId="3CB0B0B9" w14:textId="77777777" w:rsidTr="00F527AB">
        <w:tc>
          <w:tcPr>
            <w:tcW w:w="988" w:type="dxa"/>
          </w:tcPr>
          <w:p w14:paraId="425C5DD2" w14:textId="77777777" w:rsidR="00685ED6" w:rsidRPr="002327D9" w:rsidRDefault="00685ED6" w:rsidP="008A5ACA">
            <w:pPr>
              <w:jc w:val="center"/>
              <w:rPr>
                <w:rFonts w:ascii="Arial Narrow" w:hAnsi="Arial Narrow" w:cs="Open Sans"/>
                <w:color w:val="333333"/>
                <w:sz w:val="18"/>
                <w:szCs w:val="18"/>
              </w:rPr>
            </w:pPr>
          </w:p>
        </w:tc>
        <w:tc>
          <w:tcPr>
            <w:tcW w:w="8221" w:type="dxa"/>
            <w:hideMark/>
          </w:tcPr>
          <w:p w14:paraId="6C881C40"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AND</w:t>
            </w:r>
          </w:p>
        </w:tc>
      </w:tr>
      <w:tr w:rsidR="00685ED6" w:rsidRPr="002327D9" w14:paraId="5CAFC410" w14:textId="77777777" w:rsidTr="00F527AB">
        <w:tc>
          <w:tcPr>
            <w:tcW w:w="988" w:type="dxa"/>
          </w:tcPr>
          <w:p w14:paraId="61786B38" w14:textId="0B0F47CC"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63B61E28"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Treatment criteria:</w:t>
            </w:r>
          </w:p>
        </w:tc>
      </w:tr>
      <w:tr w:rsidR="00685ED6" w:rsidRPr="002327D9" w14:paraId="494AFADE" w14:textId="77777777" w:rsidTr="00F527AB">
        <w:tc>
          <w:tcPr>
            <w:tcW w:w="988" w:type="dxa"/>
          </w:tcPr>
          <w:p w14:paraId="5E018A5A" w14:textId="64421C1F"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7C259827" w14:textId="77777777" w:rsidR="00685ED6" w:rsidRPr="002327D9" w:rsidRDefault="00685ED6" w:rsidP="008A5ACA">
            <w:pPr>
              <w:ind w:left="-57"/>
              <w:rPr>
                <w:rFonts w:ascii="Arial Narrow" w:hAnsi="Arial Narrow" w:cs="Open Sans"/>
                <w:color w:val="333333"/>
                <w:sz w:val="18"/>
                <w:szCs w:val="18"/>
              </w:rPr>
            </w:pPr>
            <w:r w:rsidRPr="002327D9">
              <w:rPr>
                <w:rFonts w:ascii="Arial Narrow" w:hAnsi="Arial Narrow" w:cs="Open Sans"/>
                <w:color w:val="333333"/>
                <w:sz w:val="18"/>
                <w:szCs w:val="18"/>
              </w:rPr>
              <w:t>Patient must be undergoing treatment for the stated indication with only one growth hormone at any given time</w:t>
            </w:r>
          </w:p>
        </w:tc>
      </w:tr>
      <w:tr w:rsidR="00685ED6" w:rsidRPr="002327D9" w14:paraId="292DDB43" w14:textId="77777777" w:rsidTr="008A5ACA">
        <w:tc>
          <w:tcPr>
            <w:tcW w:w="988" w:type="dxa"/>
          </w:tcPr>
          <w:p w14:paraId="5C86E34C" w14:textId="77777777" w:rsidR="00685ED6" w:rsidRPr="002327D9" w:rsidRDefault="00685ED6" w:rsidP="008A5ACA">
            <w:pPr>
              <w:jc w:val="center"/>
              <w:textAlignment w:val="baseline"/>
              <w:rPr>
                <w:rFonts w:ascii="Arial Narrow" w:hAnsi="Arial Narrow" w:cs="Open Sans"/>
                <w:color w:val="333333"/>
                <w:sz w:val="18"/>
                <w:szCs w:val="18"/>
              </w:rPr>
            </w:pPr>
          </w:p>
        </w:tc>
        <w:tc>
          <w:tcPr>
            <w:tcW w:w="8221" w:type="dxa"/>
          </w:tcPr>
          <w:p w14:paraId="3DCAD3D8" w14:textId="77777777" w:rsidR="00685ED6" w:rsidRPr="002327D9" w:rsidRDefault="00685ED6" w:rsidP="008A5ACA">
            <w:pPr>
              <w:ind w:left="-57"/>
              <w:rPr>
                <w:rFonts w:ascii="Arial Narrow" w:hAnsi="Arial Narrow" w:cs="Open Sans"/>
                <w:color w:val="333333"/>
                <w:sz w:val="18"/>
                <w:szCs w:val="18"/>
              </w:rPr>
            </w:pPr>
          </w:p>
        </w:tc>
      </w:tr>
      <w:tr w:rsidR="00685ED6" w:rsidRPr="002327D9" w14:paraId="257A901B" w14:textId="77777777" w:rsidTr="00F527AB">
        <w:tc>
          <w:tcPr>
            <w:tcW w:w="988" w:type="dxa"/>
          </w:tcPr>
          <w:p w14:paraId="3DF757EF" w14:textId="573DC83F"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54F55266"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Prescribing Instructions:</w:t>
            </w:r>
          </w:p>
          <w:p w14:paraId="62670671"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 xml:space="preserve">Applications for authorisation under this treatment phase must </w:t>
            </w:r>
            <w:proofErr w:type="gramStart"/>
            <w:r w:rsidRPr="002327D9">
              <w:rPr>
                <w:rFonts w:ascii="Arial Narrow" w:hAnsi="Arial Narrow" w:cs="Open Sans"/>
                <w:color w:val="333333"/>
                <w:sz w:val="18"/>
                <w:szCs w:val="18"/>
              </w:rPr>
              <w:t>be made</w:t>
            </w:r>
            <w:proofErr w:type="gramEnd"/>
            <w:r w:rsidRPr="002327D9">
              <w:rPr>
                <w:rFonts w:ascii="Arial Narrow" w:hAnsi="Arial Narrow" w:cs="Open Sans"/>
                <w:color w:val="333333"/>
                <w:sz w:val="18"/>
                <w:szCs w:val="18"/>
              </w:rPr>
              <w:t xml:space="preserve"> via the Online PBS Authorities System (real time assessment) or in writing via HPOS form upload or mail and must include:</w:t>
            </w:r>
          </w:p>
          <w:p w14:paraId="256F12C4"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1.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a patient had a chronological age greater than 2.5 years at commencement of treatment; OR</w:t>
            </w:r>
          </w:p>
          <w:p w14:paraId="312FAA64"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 xml:space="preserve">(b) Height and weight measurements from within three months prior to commencement of treatment for a patient whose height was at or below the </w:t>
            </w:r>
            <w:proofErr w:type="gramStart"/>
            <w:r w:rsidRPr="002327D9">
              <w:rPr>
                <w:rFonts w:ascii="Arial Narrow" w:hAnsi="Arial Narrow" w:cs="Open Sans"/>
                <w:color w:val="333333"/>
                <w:sz w:val="18"/>
                <w:szCs w:val="18"/>
              </w:rPr>
              <w:t>1</w:t>
            </w:r>
            <w:r w:rsidRPr="002327D9">
              <w:rPr>
                <w:rFonts w:ascii="Arial Narrow" w:hAnsi="Arial Narrow" w:cs="Open Sans"/>
                <w:color w:val="333333"/>
                <w:sz w:val="18"/>
                <w:szCs w:val="18"/>
                <w:bdr w:val="none" w:sz="0" w:space="0" w:color="auto" w:frame="1"/>
                <w:vertAlign w:val="superscript"/>
              </w:rPr>
              <w:t>st</w:t>
            </w:r>
            <w:proofErr w:type="gramEnd"/>
            <w:r w:rsidRPr="002327D9">
              <w:rPr>
                <w:rFonts w:ascii="Arial Narrow" w:hAnsi="Arial Narrow" w:cs="Open Sans"/>
                <w:color w:val="333333"/>
                <w:sz w:val="18"/>
                <w:szCs w:val="18"/>
              </w:rPr>
              <w:t> percentile for age plus sex immediately prior to commencing treatment.</w:t>
            </w:r>
          </w:p>
          <w:p w14:paraId="0CA89938"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 xml:space="preserve">2. Growth data (height and weight) for the most recent </w:t>
            </w:r>
            <w:proofErr w:type="gramStart"/>
            <w:r w:rsidRPr="002327D9">
              <w:rPr>
                <w:rFonts w:ascii="Arial Narrow" w:hAnsi="Arial Narrow" w:cs="Open Sans"/>
                <w:color w:val="333333"/>
                <w:sz w:val="18"/>
                <w:szCs w:val="18"/>
              </w:rPr>
              <w:t>6 month</w:t>
            </w:r>
            <w:proofErr w:type="gramEnd"/>
            <w:r w:rsidRPr="002327D9">
              <w:rPr>
                <w:rFonts w:ascii="Arial Narrow" w:hAnsi="Arial Narrow" w:cs="Open Sans"/>
                <w:color w:val="333333"/>
                <w:sz w:val="18"/>
                <w:szCs w:val="18"/>
              </w:rPr>
              <w:t xml:space="preserve"> treatment period, including data at both the start and end of the treatment period. The most recent data must not be older than three months.</w:t>
            </w:r>
          </w:p>
          <w:p w14:paraId="3B0AB97C"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3. A bone age result performed within the last 12 months where the patient has chronological age greater than 2.5 years.</w:t>
            </w:r>
          </w:p>
        </w:tc>
      </w:tr>
      <w:tr w:rsidR="00685ED6" w:rsidRPr="002327D9" w14:paraId="2E211736" w14:textId="77777777" w:rsidTr="00F527AB">
        <w:tc>
          <w:tcPr>
            <w:tcW w:w="988" w:type="dxa"/>
          </w:tcPr>
          <w:p w14:paraId="33021181" w14:textId="783803CE"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7166569B"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Prescribing Instructions:</w:t>
            </w:r>
          </w:p>
          <w:p w14:paraId="7E1562DA"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 xml:space="preserve">If the application </w:t>
            </w:r>
            <w:proofErr w:type="gramStart"/>
            <w:r w:rsidRPr="002327D9">
              <w:rPr>
                <w:rFonts w:ascii="Arial Narrow" w:hAnsi="Arial Narrow" w:cs="Open Sans"/>
                <w:color w:val="333333"/>
                <w:sz w:val="18"/>
                <w:szCs w:val="18"/>
              </w:rPr>
              <w:t>is submitted</w:t>
            </w:r>
            <w:proofErr w:type="gramEnd"/>
            <w:r w:rsidRPr="002327D9">
              <w:rPr>
                <w:rFonts w:ascii="Arial Narrow" w:hAnsi="Arial Narrow" w:cs="Open Sans"/>
                <w:color w:val="333333"/>
                <w:sz w:val="18"/>
                <w:szCs w:val="18"/>
              </w:rPr>
              <w:t xml:space="preserve"> through HPOS form upload or mail, it must include:</w:t>
            </w:r>
          </w:p>
          <w:p w14:paraId="157E50CA"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(i) A completed authority prescription form; and</w:t>
            </w:r>
          </w:p>
          <w:p w14:paraId="29EE1825"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(ii) A completed authority application form relevant to the indication and treatment phase (the latest version is located on the website specified in the Administrative Advice).</w:t>
            </w:r>
          </w:p>
        </w:tc>
      </w:tr>
      <w:tr w:rsidR="00685ED6" w:rsidRPr="002327D9" w14:paraId="10410998" w14:textId="77777777" w:rsidTr="00F527AB">
        <w:tc>
          <w:tcPr>
            <w:tcW w:w="988" w:type="dxa"/>
          </w:tcPr>
          <w:p w14:paraId="46844F4E" w14:textId="17F6FDC2"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5CE33143"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Prescribing Instructions:</w:t>
            </w:r>
          </w:p>
          <w:p w14:paraId="12E5AD96"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lastRenderedPageBreak/>
              <w:t>Prescribe an appropriate amount of drug (maximum quantity in units) outlined within the 'Notes' section of this restriction.</w:t>
            </w:r>
          </w:p>
        </w:tc>
      </w:tr>
      <w:tr w:rsidR="00685ED6" w:rsidRPr="002327D9" w14:paraId="4538AE53" w14:textId="77777777" w:rsidTr="00F527AB">
        <w:tc>
          <w:tcPr>
            <w:tcW w:w="988" w:type="dxa"/>
          </w:tcPr>
          <w:p w14:paraId="39B097C4" w14:textId="7971C221"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46BB158A"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Prescribing Instructions:</w:t>
            </w:r>
          </w:p>
          <w:p w14:paraId="12363916"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 xml:space="preserve">Prescribers must keep a copy of any clinical records relating to the prescription, including such records required to demonstrate that the prescription </w:t>
            </w:r>
            <w:proofErr w:type="gramStart"/>
            <w:r w:rsidRPr="002327D9">
              <w:rPr>
                <w:rFonts w:ascii="Arial Narrow" w:hAnsi="Arial Narrow" w:cs="Open Sans"/>
                <w:color w:val="333333"/>
                <w:sz w:val="18"/>
                <w:szCs w:val="18"/>
              </w:rPr>
              <w:t>was written</w:t>
            </w:r>
            <w:proofErr w:type="gramEnd"/>
            <w:r w:rsidRPr="002327D9">
              <w:rPr>
                <w:rFonts w:ascii="Arial Narrow" w:hAnsi="Arial Narrow" w:cs="Open Sans"/>
                <w:color w:val="333333"/>
                <w:sz w:val="18"/>
                <w:szCs w:val="18"/>
              </w:rPr>
              <w:t xml:space="preserve"> in compliance with any relevant circumstances and/or purposes. These records must </w:t>
            </w:r>
            <w:proofErr w:type="gramStart"/>
            <w:r w:rsidRPr="002327D9">
              <w:rPr>
                <w:rFonts w:ascii="Arial Narrow" w:hAnsi="Arial Narrow" w:cs="Open Sans"/>
                <w:color w:val="333333"/>
                <w:sz w:val="18"/>
                <w:szCs w:val="18"/>
              </w:rPr>
              <w:t>be kept</w:t>
            </w:r>
            <w:proofErr w:type="gramEnd"/>
            <w:r w:rsidRPr="002327D9">
              <w:rPr>
                <w:rFonts w:ascii="Arial Narrow" w:hAnsi="Arial Narrow" w:cs="Open Sans"/>
                <w:color w:val="333333"/>
                <w:sz w:val="18"/>
                <w:szCs w:val="18"/>
              </w:rPr>
              <w:t xml:space="preserve"> for 2 years after the date the prescription to which the records relate is written.</w:t>
            </w:r>
          </w:p>
        </w:tc>
      </w:tr>
      <w:tr w:rsidR="00685ED6" w:rsidRPr="002327D9" w14:paraId="0831B9C6" w14:textId="77777777" w:rsidTr="00F527AB">
        <w:tc>
          <w:tcPr>
            <w:tcW w:w="988" w:type="dxa"/>
          </w:tcPr>
          <w:p w14:paraId="3790EC0F" w14:textId="1C317735" w:rsidR="00685ED6" w:rsidRPr="002327D9" w:rsidRDefault="00685ED6" w:rsidP="008A5ACA">
            <w:pPr>
              <w:jc w:val="center"/>
              <w:textAlignment w:val="baseline"/>
              <w:rPr>
                <w:rFonts w:ascii="Arial Narrow" w:hAnsi="Arial Narrow" w:cs="Open Sans"/>
                <w:color w:val="333333"/>
                <w:sz w:val="18"/>
                <w:szCs w:val="18"/>
              </w:rPr>
            </w:pPr>
          </w:p>
        </w:tc>
        <w:tc>
          <w:tcPr>
            <w:tcW w:w="8221" w:type="dxa"/>
            <w:hideMark/>
          </w:tcPr>
          <w:p w14:paraId="4DBCD151"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b/>
                <w:bCs/>
                <w:color w:val="333333"/>
                <w:sz w:val="18"/>
                <w:szCs w:val="18"/>
                <w:bdr w:val="none" w:sz="0" w:space="0" w:color="auto" w:frame="1"/>
              </w:rPr>
              <w:t>Prescribing Instructions:</w:t>
            </w:r>
          </w:p>
          <w:p w14:paraId="5FB6F068" w14:textId="77777777" w:rsidR="00685ED6" w:rsidRPr="002327D9" w:rsidRDefault="00685ED6" w:rsidP="008A5ACA">
            <w:pPr>
              <w:ind w:left="-57"/>
              <w:textAlignment w:val="baseline"/>
              <w:rPr>
                <w:rFonts w:ascii="Arial Narrow" w:hAnsi="Arial Narrow" w:cs="Open Sans"/>
                <w:color w:val="333333"/>
                <w:sz w:val="18"/>
                <w:szCs w:val="18"/>
              </w:rPr>
            </w:pPr>
            <w:r w:rsidRPr="002327D9">
              <w:rPr>
                <w:rFonts w:ascii="Arial Narrow" w:hAnsi="Arial Narrow" w:cs="Open Sans"/>
                <w:color w:val="333333"/>
                <w:sz w:val="18"/>
                <w:szCs w:val="18"/>
              </w:rPr>
              <w:t>In children with diabetes mellitus prescribers must ascertain that a growth failure is not due to poor diabetes control, diabetes control is adequate, and regular screening occurs for diabetes complications, particularly retinopathy.</w:t>
            </w:r>
          </w:p>
        </w:tc>
      </w:tr>
    </w:tbl>
    <w:p w14:paraId="76B09B4C" w14:textId="77777777" w:rsidR="00685ED6" w:rsidRDefault="00685ED6" w:rsidP="00685ED6"/>
    <w:p w14:paraId="51F10D47" w14:textId="77777777" w:rsidR="009670FC" w:rsidRPr="00073551" w:rsidRDefault="009670FC" w:rsidP="009670FC">
      <w:pPr>
        <w:spacing w:after="120"/>
        <w:rPr>
          <w:rFonts w:asciiTheme="minorHAnsi" w:eastAsiaTheme="minorHAnsi" w:hAnsiTheme="minorHAnsi" w:cstheme="minorBidi"/>
          <w:b/>
          <w:i/>
          <w:szCs w:val="22"/>
        </w:rPr>
      </w:pPr>
      <w:bookmarkStart w:id="58" w:name="_Toc134493596"/>
      <w:bookmarkEnd w:id="55"/>
      <w:bookmarkEnd w:id="56"/>
      <w:r w:rsidRPr="00073551">
        <w:rPr>
          <w:rFonts w:asciiTheme="minorHAnsi" w:eastAsiaTheme="minorHAnsi" w:hAnsiTheme="minorHAnsi" w:cstheme="minorBidi"/>
          <w:b/>
          <w:i/>
          <w:szCs w:val="22"/>
        </w:rPr>
        <w:t xml:space="preserve">This restriction may be subject to further review. Should there be any changes made to the restriction the sponsor will </w:t>
      </w:r>
      <w:proofErr w:type="gramStart"/>
      <w:r w:rsidRPr="00073551">
        <w:rPr>
          <w:rFonts w:asciiTheme="minorHAnsi" w:eastAsiaTheme="minorHAnsi" w:hAnsiTheme="minorHAnsi" w:cstheme="minorBidi"/>
          <w:b/>
          <w:i/>
          <w:szCs w:val="22"/>
        </w:rPr>
        <w:t>be informed</w:t>
      </w:r>
      <w:proofErr w:type="gramEnd"/>
      <w:r w:rsidRPr="00073551">
        <w:rPr>
          <w:rFonts w:asciiTheme="minorHAnsi" w:eastAsiaTheme="minorHAnsi" w:hAnsiTheme="minorHAnsi" w:cstheme="minorBidi"/>
          <w:b/>
          <w:i/>
          <w:szCs w:val="22"/>
        </w:rPr>
        <w:t>.</w:t>
      </w:r>
    </w:p>
    <w:p w14:paraId="5828D512" w14:textId="74CC3B41" w:rsidR="00525125" w:rsidRPr="00525125" w:rsidRDefault="00525125" w:rsidP="00525125">
      <w:pPr>
        <w:pStyle w:val="2-SectionHeading"/>
      </w:pPr>
      <w:r w:rsidRPr="00525125">
        <w:t>Context for Decision</w:t>
      </w:r>
    </w:p>
    <w:p w14:paraId="3182F59F" w14:textId="77777777" w:rsidR="00525125" w:rsidRPr="007129F2" w:rsidRDefault="00525125" w:rsidP="00525125">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815A5B0" w14:textId="6E6BE669" w:rsidR="00525125" w:rsidRPr="00525125" w:rsidRDefault="00525125" w:rsidP="00525125">
      <w:pPr>
        <w:pStyle w:val="2-SectionHeading"/>
      </w:pPr>
      <w:r>
        <w:t>Sponsor’s Comment</w:t>
      </w:r>
    </w:p>
    <w:p w14:paraId="4019EBAD" w14:textId="6EF382E4" w:rsidR="00990D75" w:rsidRPr="00D50F55" w:rsidRDefault="00525125" w:rsidP="00D50F55">
      <w:pPr>
        <w:spacing w:after="120"/>
        <w:ind w:left="426" w:firstLine="294"/>
        <w:rPr>
          <w:rFonts w:asciiTheme="minorHAnsi" w:hAnsiTheme="minorHAnsi"/>
          <w:bCs/>
        </w:rPr>
      </w:pPr>
      <w:r w:rsidRPr="00C07617">
        <w:rPr>
          <w:rFonts w:asciiTheme="minorHAnsi" w:hAnsiTheme="minorHAnsi"/>
          <w:bCs/>
        </w:rPr>
        <w:t>The sponsor had no comment.</w:t>
      </w:r>
      <w:bookmarkEnd w:id="58"/>
    </w:p>
    <w:sectPr w:rsidR="00990D75" w:rsidRPr="00D50F55" w:rsidSect="006171EA">
      <w:headerReference w:type="default" r:id="rId8"/>
      <w:footerReference w:type="default" r:id="rId9"/>
      <w:headerReference w:type="first" r:id="rId10"/>
      <w:footerReference w:type="first" r:id="rId11"/>
      <w:pgSz w:w="11907" w:h="16840" w:code="9"/>
      <w:pgMar w:top="1440" w:right="1440" w:bottom="1440" w:left="1440" w:header="1440" w:footer="14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420E" w14:textId="77777777" w:rsidR="00067F24" w:rsidRDefault="00067F24" w:rsidP="00124A51">
      <w:r>
        <w:separator/>
      </w:r>
    </w:p>
    <w:p w14:paraId="292EEAAE" w14:textId="77777777" w:rsidR="00067F24" w:rsidRDefault="00067F24"/>
  </w:endnote>
  <w:endnote w:type="continuationSeparator" w:id="0">
    <w:p w14:paraId="4A2A233C" w14:textId="77777777" w:rsidR="00067F24" w:rsidRDefault="00067F24" w:rsidP="00124A51">
      <w:r>
        <w:continuationSeparator/>
      </w:r>
    </w:p>
    <w:p w14:paraId="4D969E25" w14:textId="77777777" w:rsidR="00067F24" w:rsidRDefault="00067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087674"/>
      <w:docPartObj>
        <w:docPartGallery w:val="Page Numbers (Bottom of Page)"/>
        <w:docPartUnique/>
      </w:docPartObj>
    </w:sdtPr>
    <w:sdtEndPr>
      <w:rPr>
        <w:b/>
        <w:bCs/>
        <w:noProof/>
      </w:rPr>
    </w:sdtEndPr>
    <w:sdtContent>
      <w:p w14:paraId="1223E2D9" w14:textId="77777777" w:rsidR="00907F20" w:rsidRDefault="00907F20">
        <w:pPr>
          <w:pStyle w:val="Footer"/>
          <w:jc w:val="center"/>
        </w:pPr>
      </w:p>
      <w:p w14:paraId="10451355" w14:textId="6710FF6D" w:rsidR="00907F20" w:rsidRPr="00907F20" w:rsidRDefault="00907F20">
        <w:pPr>
          <w:pStyle w:val="Footer"/>
          <w:jc w:val="center"/>
          <w:rPr>
            <w:b/>
            <w:bCs/>
          </w:rPr>
        </w:pPr>
        <w:r w:rsidRPr="00907F20">
          <w:rPr>
            <w:b/>
            <w:bCs/>
          </w:rPr>
          <w:fldChar w:fldCharType="begin"/>
        </w:r>
        <w:r w:rsidRPr="00907F20">
          <w:rPr>
            <w:b/>
            <w:bCs/>
          </w:rPr>
          <w:instrText xml:space="preserve"> PAGE   \* MERGEFORMAT </w:instrText>
        </w:r>
        <w:r w:rsidRPr="00907F20">
          <w:rPr>
            <w:b/>
            <w:bCs/>
          </w:rPr>
          <w:fldChar w:fldCharType="separate"/>
        </w:r>
        <w:r w:rsidRPr="00907F20">
          <w:rPr>
            <w:b/>
            <w:bCs/>
            <w:noProof/>
          </w:rPr>
          <w:t>2</w:t>
        </w:r>
        <w:r w:rsidRPr="00907F20">
          <w:rPr>
            <w:b/>
            <w:bCs/>
            <w:noProof/>
          </w:rPr>
          <w:fldChar w:fldCharType="end"/>
        </w:r>
      </w:p>
    </w:sdtContent>
  </w:sdt>
  <w:p w14:paraId="37EA933B" w14:textId="77777777" w:rsidR="006171EA" w:rsidRDefault="006171EA" w:rsidP="003246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1A6A" w14:textId="77777777" w:rsidR="00907F20" w:rsidRDefault="00907F20">
    <w:pPr>
      <w:pStyle w:val="Footer"/>
      <w:jc w:val="center"/>
    </w:pPr>
  </w:p>
  <w:sdt>
    <w:sdtPr>
      <w:id w:val="865338980"/>
      <w:docPartObj>
        <w:docPartGallery w:val="Page Numbers (Bottom of Page)"/>
        <w:docPartUnique/>
      </w:docPartObj>
    </w:sdtPr>
    <w:sdtEndPr>
      <w:rPr>
        <w:noProof/>
      </w:rPr>
    </w:sdtEndPr>
    <w:sdtContent>
      <w:p w14:paraId="10EC6F4B" w14:textId="42583DA1" w:rsidR="00907F20" w:rsidRDefault="00907F20">
        <w:pPr>
          <w:pStyle w:val="Footer"/>
          <w:jc w:val="center"/>
        </w:pPr>
        <w:r w:rsidRPr="00907F20">
          <w:rPr>
            <w:b/>
            <w:bCs/>
          </w:rPr>
          <w:fldChar w:fldCharType="begin"/>
        </w:r>
        <w:r w:rsidRPr="00907F20">
          <w:rPr>
            <w:b/>
            <w:bCs/>
          </w:rPr>
          <w:instrText xml:space="preserve"> PAGE   \* MERGEFORMAT </w:instrText>
        </w:r>
        <w:r w:rsidRPr="00907F20">
          <w:rPr>
            <w:b/>
            <w:bCs/>
          </w:rPr>
          <w:fldChar w:fldCharType="separate"/>
        </w:r>
        <w:r w:rsidRPr="00907F20">
          <w:rPr>
            <w:b/>
            <w:bCs/>
            <w:noProof/>
          </w:rPr>
          <w:t>2</w:t>
        </w:r>
        <w:r w:rsidRPr="00907F20">
          <w:rPr>
            <w:b/>
            <w:bCs/>
            <w:noProof/>
          </w:rPr>
          <w:fldChar w:fldCharType="end"/>
        </w:r>
      </w:p>
    </w:sdtContent>
  </w:sdt>
  <w:p w14:paraId="140D340C" w14:textId="512EF150" w:rsidR="00907F20" w:rsidRDefault="00907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70360" w14:textId="77777777" w:rsidR="00067F24" w:rsidRDefault="00067F24" w:rsidP="00124A51">
      <w:r>
        <w:separator/>
      </w:r>
    </w:p>
    <w:p w14:paraId="30F9566A" w14:textId="77777777" w:rsidR="00067F24" w:rsidRDefault="00067F24"/>
  </w:footnote>
  <w:footnote w:type="continuationSeparator" w:id="0">
    <w:p w14:paraId="66D5469F" w14:textId="77777777" w:rsidR="00067F24" w:rsidRDefault="00067F24" w:rsidP="00124A51">
      <w:r>
        <w:continuationSeparator/>
      </w:r>
    </w:p>
    <w:p w14:paraId="1F031D7A" w14:textId="77777777" w:rsidR="00067F24" w:rsidRDefault="00067F24"/>
  </w:footnote>
  <w:footnote w:id="1">
    <w:p w14:paraId="028567A9" w14:textId="77777777" w:rsidR="00AC397B" w:rsidRPr="0027731D" w:rsidRDefault="00AC397B" w:rsidP="00AC397B">
      <w:pPr>
        <w:pStyle w:val="ListParagraph"/>
        <w:numPr>
          <w:ilvl w:val="0"/>
          <w:numId w:val="0"/>
        </w:numPr>
        <w:spacing w:line="259" w:lineRule="auto"/>
        <w:ind w:left="357"/>
        <w:rPr>
          <w:rFonts w:cstheme="minorHAnsi"/>
          <w:sz w:val="20"/>
          <w:szCs w:val="20"/>
        </w:rPr>
      </w:pPr>
      <w:r w:rsidRPr="0027731D">
        <w:rPr>
          <w:rStyle w:val="FootnoteReference"/>
        </w:rPr>
        <w:footnoteRef/>
      </w:r>
      <w:r w:rsidRPr="0027731D">
        <w:t xml:space="preserve"> </w:t>
      </w:r>
      <w:r w:rsidRPr="0027731D">
        <w:rPr>
          <w:rFonts w:cstheme="minorHAnsi"/>
          <w:sz w:val="20"/>
          <w:szCs w:val="20"/>
        </w:rPr>
        <w:t>Hughes, I.P., et al. (2012), Growth hormone regimens in Australia: analysis of the first 3 years of treatment for idiopathic growth hormone deficiency and idiopathic short stature. Clinical Endocrinology, 77: 62-71. https://doi.org/10.1111/j.1365-2265.2011.04230.x</w:t>
      </w:r>
    </w:p>
    <w:p w14:paraId="52E65DCA" w14:textId="77777777" w:rsidR="00AC397B" w:rsidRDefault="00AC397B" w:rsidP="00AC397B">
      <w:pPr>
        <w:pStyle w:val="FootnoteText"/>
      </w:pPr>
    </w:p>
  </w:footnote>
  <w:footnote w:id="2">
    <w:p w14:paraId="3F3A83C0" w14:textId="77777777" w:rsidR="00570DB2" w:rsidRDefault="00570DB2" w:rsidP="00570DB2">
      <w:pPr>
        <w:pStyle w:val="FootnoteText"/>
      </w:pPr>
      <w:r>
        <w:rPr>
          <w:rStyle w:val="FootnoteReference"/>
        </w:rPr>
        <w:footnoteRef/>
      </w:r>
      <w:r>
        <w:t xml:space="preserve"> </w:t>
      </w:r>
      <w:r w:rsidRPr="00535873">
        <w:t xml:space="preserve">Isojima T, </w:t>
      </w:r>
      <w:r>
        <w:t>et al., (2017)</w:t>
      </w:r>
      <w:r w:rsidRPr="00535873">
        <w:t xml:space="preserve"> The response to growth hormone treatment in prepubertal children with growth hormone deficiency in Japan: Comparing three consecutive years of treatment data of The Foundation for Growth Science in Japan between the 1990s and 2000s. Endocr J. 2017 Sep 30;64(9):851-858. doi: 10.1507/</w:t>
      </w:r>
      <w:proofErr w:type="gramStart"/>
      <w:r w:rsidRPr="00535873">
        <w:t>endocrj.EJ</w:t>
      </w:r>
      <w:proofErr w:type="gramEnd"/>
      <w:r w:rsidRPr="00535873">
        <w:t>17-0063. Epub 2017 Jul 4. PMID: 28679975.</w:t>
      </w:r>
    </w:p>
  </w:footnote>
  <w:footnote w:id="3">
    <w:p w14:paraId="42DD456D" w14:textId="77777777" w:rsidR="00570DB2" w:rsidRDefault="00570DB2" w:rsidP="00570DB2">
      <w:pPr>
        <w:pStyle w:val="FootnoteText"/>
      </w:pPr>
      <w:r>
        <w:rPr>
          <w:rStyle w:val="FootnoteReference"/>
        </w:rPr>
        <w:footnoteRef/>
      </w:r>
      <w:r>
        <w:t xml:space="preserve"> </w:t>
      </w:r>
      <w:r w:rsidRPr="00535873">
        <w:t>van den Broeck,</w:t>
      </w:r>
      <w:r>
        <w:t xml:space="preserve"> J, et al. (2000),</w:t>
      </w:r>
      <w:r w:rsidRPr="00535873">
        <w:t xml:space="preserve"> Growth Response to Recombinant Human Growth Hormone (GH) in Children with Idiopathic Growth Retardation by Level of Maximum GH Peak during GH Stimulation Tests. Hormone Research 1 July 2000; 53 (6): 267–273. https://doi.org/10.1159/000053182</w:t>
      </w:r>
    </w:p>
  </w:footnote>
  <w:footnote w:id="4">
    <w:p w14:paraId="2535BDAA" w14:textId="77777777" w:rsidR="00570DB2" w:rsidRDefault="00570DB2" w:rsidP="00570DB2">
      <w:pPr>
        <w:pStyle w:val="FootnoteText"/>
      </w:pPr>
      <w:r>
        <w:rPr>
          <w:rStyle w:val="FootnoteReference"/>
        </w:rPr>
        <w:footnoteRef/>
      </w:r>
      <w:r>
        <w:t xml:space="preserve"> </w:t>
      </w:r>
      <w:r w:rsidRPr="00535873">
        <w:t xml:space="preserve">Cardoso, D. F., </w:t>
      </w:r>
      <w:r>
        <w:t>et al.,</w:t>
      </w:r>
      <w:r w:rsidRPr="00535873">
        <w:t xml:space="preserve"> (2014). Comparison between the growth response to growth hormone (GH) therapy in children with partial GH insensitivity or mild GH deficiency. Arquivos Brasileiros De Endocrinologia &amp; Metabologia, 58(1), 23–29. https://doi.org/10.1590/0004-2730000002793</w:t>
      </w:r>
    </w:p>
  </w:footnote>
  <w:footnote w:id="5">
    <w:p w14:paraId="36462395" w14:textId="77777777" w:rsidR="004A59CA" w:rsidRDefault="004A59CA" w:rsidP="004A59CA">
      <w:pPr>
        <w:pStyle w:val="FootnoteText"/>
      </w:pPr>
      <w:r>
        <w:rPr>
          <w:rStyle w:val="FootnoteReference"/>
        </w:rPr>
        <w:footnoteRef/>
      </w:r>
      <w:r>
        <w:t xml:space="preserve"> </w:t>
      </w:r>
      <w:r w:rsidRPr="00535873">
        <w:t xml:space="preserve">Cole TJ, </w:t>
      </w:r>
      <w:r>
        <w:t xml:space="preserve">et al. (2004), </w:t>
      </w:r>
      <w:r w:rsidRPr="00535873">
        <w:t>Growth hormone (GH) provocation tests and the response to GH treatment in GH deficiency</w:t>
      </w:r>
      <w:r>
        <w:t xml:space="preserve">, </w:t>
      </w:r>
      <w:r w:rsidRPr="00535873">
        <w:t>Archives of Disease in Childhood 2004;89:1024-1027.</w:t>
      </w:r>
    </w:p>
  </w:footnote>
  <w:footnote w:id="6">
    <w:p w14:paraId="667E4389" w14:textId="77777777" w:rsidR="004A59CA" w:rsidRDefault="004A59CA" w:rsidP="004A59CA">
      <w:pPr>
        <w:pStyle w:val="FootnoteText"/>
      </w:pPr>
      <w:r>
        <w:rPr>
          <w:rStyle w:val="FootnoteReference"/>
        </w:rPr>
        <w:footnoteRef/>
      </w:r>
      <w:r>
        <w:t xml:space="preserve"> </w:t>
      </w:r>
      <w:r w:rsidRPr="00832993">
        <w:t>Collett-Solberg P</w:t>
      </w:r>
      <w:r>
        <w:t>.</w:t>
      </w:r>
      <w:r w:rsidRPr="00832993">
        <w:t>F</w:t>
      </w:r>
      <w:r>
        <w:t>.</w:t>
      </w:r>
      <w:r w:rsidRPr="00832993">
        <w:t xml:space="preserve">, </w:t>
      </w:r>
      <w:r>
        <w:t>et al.</w:t>
      </w:r>
      <w:r w:rsidRPr="00832993">
        <w:t xml:space="preserve"> Diagnosis, Genetics, and Therapy of Short Stature in Children: A Growth Hormone Research Society International Perspective. Horm Res Paediatr. 2019;92(1):1-14. doi: 10.1159/000502231. Epub 2019 Sep 12. PMID: 31514194; PMCID: PMC6979443.</w:t>
      </w:r>
    </w:p>
  </w:footnote>
  <w:footnote w:id="7">
    <w:p w14:paraId="6EF0ADB4" w14:textId="3244D84A" w:rsidR="00961EBE" w:rsidRDefault="00961EBE">
      <w:pPr>
        <w:pStyle w:val="FootnoteText"/>
      </w:pPr>
      <w:r>
        <w:rPr>
          <w:rStyle w:val="FootnoteReference"/>
        </w:rPr>
        <w:footnoteRef/>
      </w:r>
      <w:r>
        <w:t xml:space="preserve"> </w:t>
      </w:r>
      <w:r w:rsidRPr="00961EBE">
        <w:t>TRIM-CGHD-O</w:t>
      </w:r>
      <w:r>
        <w:t xml:space="preserve">: </w:t>
      </w:r>
      <w:r w:rsidRPr="00961EBE">
        <w:t>Treatment Related Impact Measure – Child-Growth Hormone Deficiency Observer, TB-CGHD-O</w:t>
      </w:r>
      <w:r w:rsidR="00E64124">
        <w:t xml:space="preserve">: </w:t>
      </w:r>
      <w:r w:rsidR="00E64124" w:rsidRPr="00E64124">
        <w:t>Treatment Burden Measure – Child-Growth Hormone Deficiency – Observer</w:t>
      </w:r>
      <w:r w:rsidRPr="00961EBE">
        <w:t>, and TB-CGHD-P</w:t>
      </w:r>
      <w:r w:rsidR="00E64124">
        <w:t xml:space="preserve">: </w:t>
      </w:r>
      <w:r w:rsidR="00E64124" w:rsidRPr="00E64124">
        <w:t>Treatment Burden Measure – Child-Growth Hormone Deficiency – Parent/Guardian</w:t>
      </w:r>
      <w:r w:rsidR="00B039E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6B61" w14:textId="0929169A" w:rsidR="00907F20" w:rsidRPr="000D5F13" w:rsidRDefault="00B22120" w:rsidP="00907F20">
    <w:pPr>
      <w:pStyle w:val="Header"/>
      <w:rPr>
        <w:rFonts w:asciiTheme="minorHAnsi" w:hAnsiTheme="minorHAnsi"/>
        <w:i/>
        <w:iCs/>
        <w:color w:val="808080"/>
      </w:rPr>
    </w:pPr>
    <w:r w:rsidRPr="00A370B8">
      <w:rPr>
        <w:rFonts w:asciiTheme="minorHAnsi" w:hAnsiTheme="minorHAnsi" w:cstheme="minorHAnsi"/>
        <w:i/>
        <w:color w:val="808080"/>
      </w:rPr>
      <w:t>Public Summary Document</w:t>
    </w:r>
    <w:r w:rsidRPr="00895E96">
      <w:rPr>
        <w:rFonts w:asciiTheme="minorHAnsi" w:hAnsiTheme="minorHAnsi" w:cstheme="minorHAnsi"/>
        <w:i/>
        <w:color w:val="808080"/>
        <w:sz w:val="22"/>
      </w:rPr>
      <w:t xml:space="preserve"> </w:t>
    </w:r>
    <w:r w:rsidR="00907F20" w:rsidRPr="000D5F13">
      <w:rPr>
        <w:rFonts w:asciiTheme="minorHAnsi" w:hAnsiTheme="minorHAnsi"/>
        <w:i/>
        <w:iCs/>
        <w:color w:val="808080"/>
      </w:rPr>
      <w:t>- July 2023 PBAC Meeting</w:t>
    </w:r>
  </w:p>
  <w:p w14:paraId="43E93D01" w14:textId="77777777" w:rsidR="004A461D" w:rsidRPr="008C7ECB" w:rsidRDefault="004A461D" w:rsidP="00BD63D0">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AA10" w14:textId="543F9F8F" w:rsidR="00990D75" w:rsidRPr="00B23A0C" w:rsidRDefault="00525125" w:rsidP="00990D75">
    <w:pPr>
      <w:pStyle w:val="Header"/>
      <w:rPr>
        <w:rFonts w:asciiTheme="minorHAnsi" w:hAnsiTheme="minorHAnsi"/>
        <w:i/>
        <w:iCs/>
        <w:color w:val="808080"/>
      </w:rPr>
    </w:pPr>
    <w:bookmarkStart w:id="59" w:name="_Hlk136866601"/>
    <w:bookmarkStart w:id="60" w:name="_Hlk136866602"/>
    <w:bookmarkStart w:id="61" w:name="_Hlk136866605"/>
    <w:bookmarkStart w:id="62" w:name="_Hlk136866606"/>
    <w:bookmarkStart w:id="63" w:name="_Hlk136866610"/>
    <w:bookmarkStart w:id="64" w:name="_Hlk136866611"/>
    <w:r w:rsidRPr="00525125">
      <w:rPr>
        <w:rFonts w:asciiTheme="minorHAnsi" w:hAnsiTheme="minorHAnsi"/>
        <w:i/>
        <w:iCs/>
        <w:color w:val="808080"/>
      </w:rPr>
      <w:t xml:space="preserve">Public Summary Document </w:t>
    </w:r>
    <w:r w:rsidR="00907F20" w:rsidRPr="00B23A0C">
      <w:rPr>
        <w:rFonts w:asciiTheme="minorHAnsi" w:hAnsiTheme="minorHAnsi"/>
        <w:i/>
        <w:iCs/>
        <w:color w:val="808080"/>
      </w:rPr>
      <w:t xml:space="preserve">- </w:t>
    </w:r>
    <w:r w:rsidR="00990D75" w:rsidRPr="00B23A0C">
      <w:rPr>
        <w:rFonts w:asciiTheme="minorHAnsi" w:hAnsiTheme="minorHAnsi"/>
        <w:i/>
        <w:iCs/>
        <w:color w:val="808080"/>
      </w:rPr>
      <w:t>July 2023 PBAC Meeting</w:t>
    </w:r>
  </w:p>
  <w:bookmarkEnd w:id="59"/>
  <w:bookmarkEnd w:id="60"/>
  <w:bookmarkEnd w:id="61"/>
  <w:bookmarkEnd w:id="62"/>
  <w:bookmarkEnd w:id="63"/>
  <w:bookmarkEnd w:id="64"/>
  <w:p w14:paraId="2286A5ED" w14:textId="77777777" w:rsidR="00990D75" w:rsidRDefault="00990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ACC8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E3285"/>
    <w:multiLevelType w:val="multilevel"/>
    <w:tmpl w:val="6A3600AA"/>
    <w:styleLink w:val="Mydot1"/>
    <w:lvl w:ilvl="0">
      <w:numFmt w:val="bullet"/>
      <w:lvlText w:val=""/>
      <w:lvlJc w:val="left"/>
      <w:pPr>
        <w:ind w:left="363" w:hanging="363"/>
      </w:pPr>
      <w:rPr>
        <w:rFonts w:ascii="Symbol" w:eastAsiaTheme="minorHAnsi" w:hAnsi="Symbol" w:cstheme="minorBidi" w:hint="default"/>
      </w:rPr>
    </w:lvl>
    <w:lvl w:ilvl="1">
      <w:start w:val="1"/>
      <w:numFmt w:val="bullet"/>
      <w:lvlText w:val="o"/>
      <w:lvlJc w:val="left"/>
      <w:pPr>
        <w:ind w:left="720" w:hanging="357"/>
      </w:pPr>
      <w:rPr>
        <w:rFonts w:ascii="Courier New" w:hAnsi="Courier New" w:hint="default"/>
      </w:rPr>
    </w:lvl>
    <w:lvl w:ilvl="2">
      <w:start w:val="1"/>
      <w:numFmt w:val="bullet"/>
      <w:lvlText w:val=""/>
      <w:lvlJc w:val="left"/>
      <w:pPr>
        <w:ind w:left="1070" w:hanging="360"/>
      </w:pPr>
      <w:rPr>
        <w:rFonts w:ascii="Wingdings" w:hAnsi="Wingdings" w:hint="default"/>
      </w:rPr>
    </w:lvl>
    <w:lvl w:ilvl="3">
      <w:start w:val="1"/>
      <w:numFmt w:val="bullet"/>
      <w:lvlText w:val=""/>
      <w:lvlJc w:val="left"/>
      <w:pPr>
        <w:ind w:left="1496" w:hanging="360"/>
      </w:pPr>
      <w:rPr>
        <w:rFonts w:ascii="Symbol" w:hAnsi="Symbol" w:hint="default"/>
      </w:rPr>
    </w:lvl>
    <w:lvl w:ilvl="4">
      <w:start w:val="1"/>
      <w:numFmt w:val="bullet"/>
      <w:lvlText w:val="o"/>
      <w:lvlJc w:val="left"/>
      <w:pPr>
        <w:ind w:left="1922" w:hanging="360"/>
      </w:pPr>
      <w:rPr>
        <w:rFonts w:ascii="Courier New" w:hAnsi="Courier New" w:cs="Courier New" w:hint="default"/>
      </w:rPr>
    </w:lvl>
    <w:lvl w:ilvl="5">
      <w:start w:val="1"/>
      <w:numFmt w:val="bullet"/>
      <w:lvlText w:val=""/>
      <w:lvlJc w:val="left"/>
      <w:pPr>
        <w:ind w:left="2348" w:hanging="360"/>
      </w:pPr>
      <w:rPr>
        <w:rFonts w:ascii="Wingdings" w:hAnsi="Wingdings" w:hint="default"/>
      </w:rPr>
    </w:lvl>
    <w:lvl w:ilvl="6">
      <w:start w:val="1"/>
      <w:numFmt w:val="bullet"/>
      <w:lvlText w:val=""/>
      <w:lvlJc w:val="left"/>
      <w:pPr>
        <w:ind w:left="2774" w:hanging="360"/>
      </w:pPr>
      <w:rPr>
        <w:rFonts w:ascii="Symbol" w:hAnsi="Symbol" w:hint="default"/>
      </w:rPr>
    </w:lvl>
    <w:lvl w:ilvl="7">
      <w:start w:val="1"/>
      <w:numFmt w:val="bullet"/>
      <w:lvlText w:val="o"/>
      <w:lvlJc w:val="left"/>
      <w:pPr>
        <w:ind w:left="3200" w:hanging="360"/>
      </w:pPr>
      <w:rPr>
        <w:rFonts w:ascii="Courier New" w:hAnsi="Courier New" w:cs="Courier New" w:hint="default"/>
      </w:rPr>
    </w:lvl>
    <w:lvl w:ilvl="8">
      <w:start w:val="1"/>
      <w:numFmt w:val="bullet"/>
      <w:lvlText w:val=""/>
      <w:lvlJc w:val="left"/>
      <w:pPr>
        <w:ind w:left="3626" w:hanging="360"/>
      </w:pPr>
      <w:rPr>
        <w:rFonts w:ascii="Wingdings" w:hAnsi="Wingdings" w:hint="default"/>
      </w:rPr>
    </w:lvl>
  </w:abstractNum>
  <w:abstractNum w:abstractNumId="2" w15:restartNumberingAfterBreak="0">
    <w:nsid w:val="11076D67"/>
    <w:multiLevelType w:val="hybridMultilevel"/>
    <w:tmpl w:val="AA24B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61EAA"/>
    <w:multiLevelType w:val="hybridMultilevel"/>
    <w:tmpl w:val="984E6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17BA6"/>
    <w:multiLevelType w:val="multilevel"/>
    <w:tmpl w:val="7F5EB45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7F1B23"/>
    <w:multiLevelType w:val="multilevel"/>
    <w:tmpl w:val="7EB8FD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C45076"/>
    <w:multiLevelType w:val="hybridMultilevel"/>
    <w:tmpl w:val="40A8F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C569E"/>
    <w:multiLevelType w:val="hybridMultilevel"/>
    <w:tmpl w:val="97BC791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4A0245"/>
    <w:multiLevelType w:val="hybridMultilevel"/>
    <w:tmpl w:val="9B5CA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68820BC8"/>
    <w:multiLevelType w:val="hybridMultilevel"/>
    <w:tmpl w:val="3EF24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3E36B1"/>
    <w:multiLevelType w:val="hybridMultilevel"/>
    <w:tmpl w:val="ADBED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8429064">
    <w:abstractNumId w:val="13"/>
  </w:num>
  <w:num w:numId="2" w16cid:durableId="28796498">
    <w:abstractNumId w:val="9"/>
  </w:num>
  <w:num w:numId="3" w16cid:durableId="617906165">
    <w:abstractNumId w:val="10"/>
  </w:num>
  <w:num w:numId="4" w16cid:durableId="654991689">
    <w:abstractNumId w:val="0"/>
  </w:num>
  <w:num w:numId="5" w16cid:durableId="1366566874">
    <w:abstractNumId w:val="13"/>
  </w:num>
  <w:num w:numId="6" w16cid:durableId="1473063655">
    <w:abstractNumId w:val="11"/>
  </w:num>
  <w:num w:numId="7" w16cid:durableId="452864024">
    <w:abstractNumId w:val="2"/>
  </w:num>
  <w:num w:numId="8" w16cid:durableId="2014801299">
    <w:abstractNumId w:val="12"/>
  </w:num>
  <w:num w:numId="9" w16cid:durableId="1560901943">
    <w:abstractNumId w:val="6"/>
  </w:num>
  <w:num w:numId="10" w16cid:durableId="146479823">
    <w:abstractNumId w:val="3"/>
  </w:num>
  <w:num w:numId="11" w16cid:durableId="58292558">
    <w:abstractNumId w:val="14"/>
  </w:num>
  <w:num w:numId="12" w16cid:durableId="290401615">
    <w:abstractNumId w:val="4"/>
  </w:num>
  <w:num w:numId="13" w16cid:durableId="1930960531">
    <w:abstractNumId w:val="8"/>
  </w:num>
  <w:num w:numId="14" w16cid:durableId="118374992">
    <w:abstractNumId w:val="1"/>
  </w:num>
  <w:num w:numId="15" w16cid:durableId="497035717">
    <w:abstractNumId w:val="7"/>
  </w:num>
  <w:num w:numId="16" w16cid:durableId="121381289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A21"/>
    <w:rsid w:val="00000CF4"/>
    <w:rsid w:val="0000110B"/>
    <w:rsid w:val="00001AD0"/>
    <w:rsid w:val="00002155"/>
    <w:rsid w:val="0000295B"/>
    <w:rsid w:val="00002D43"/>
    <w:rsid w:val="00003499"/>
    <w:rsid w:val="00003501"/>
    <w:rsid w:val="0000353D"/>
    <w:rsid w:val="000039B7"/>
    <w:rsid w:val="00003CA4"/>
    <w:rsid w:val="0000412C"/>
    <w:rsid w:val="000056B9"/>
    <w:rsid w:val="000059F0"/>
    <w:rsid w:val="0000602D"/>
    <w:rsid w:val="0000639A"/>
    <w:rsid w:val="00006704"/>
    <w:rsid w:val="00006F8B"/>
    <w:rsid w:val="0000783B"/>
    <w:rsid w:val="00007FA9"/>
    <w:rsid w:val="00010395"/>
    <w:rsid w:val="00010494"/>
    <w:rsid w:val="00010B24"/>
    <w:rsid w:val="00010FEF"/>
    <w:rsid w:val="00011543"/>
    <w:rsid w:val="00011751"/>
    <w:rsid w:val="0001181A"/>
    <w:rsid w:val="0001220E"/>
    <w:rsid w:val="00012260"/>
    <w:rsid w:val="0001243D"/>
    <w:rsid w:val="0001298D"/>
    <w:rsid w:val="00012C54"/>
    <w:rsid w:val="00012D2E"/>
    <w:rsid w:val="000131B3"/>
    <w:rsid w:val="00013245"/>
    <w:rsid w:val="00013247"/>
    <w:rsid w:val="00013515"/>
    <w:rsid w:val="000135DE"/>
    <w:rsid w:val="00013B8F"/>
    <w:rsid w:val="00013C9D"/>
    <w:rsid w:val="0001428F"/>
    <w:rsid w:val="000147ED"/>
    <w:rsid w:val="00015283"/>
    <w:rsid w:val="00015527"/>
    <w:rsid w:val="00015886"/>
    <w:rsid w:val="000162EF"/>
    <w:rsid w:val="00016D3F"/>
    <w:rsid w:val="00017061"/>
    <w:rsid w:val="00017894"/>
    <w:rsid w:val="0002012F"/>
    <w:rsid w:val="000207C9"/>
    <w:rsid w:val="00020F03"/>
    <w:rsid w:val="000213E5"/>
    <w:rsid w:val="00021446"/>
    <w:rsid w:val="0002180B"/>
    <w:rsid w:val="00021907"/>
    <w:rsid w:val="0002225F"/>
    <w:rsid w:val="0002255E"/>
    <w:rsid w:val="00022835"/>
    <w:rsid w:val="00022985"/>
    <w:rsid w:val="00022BFF"/>
    <w:rsid w:val="00022C73"/>
    <w:rsid w:val="000233EE"/>
    <w:rsid w:val="0002365D"/>
    <w:rsid w:val="00023763"/>
    <w:rsid w:val="00023C5C"/>
    <w:rsid w:val="00024525"/>
    <w:rsid w:val="00024DBD"/>
    <w:rsid w:val="00024E05"/>
    <w:rsid w:val="00024EB5"/>
    <w:rsid w:val="00025234"/>
    <w:rsid w:val="0002597E"/>
    <w:rsid w:val="000265A4"/>
    <w:rsid w:val="0002692E"/>
    <w:rsid w:val="000274B8"/>
    <w:rsid w:val="00027757"/>
    <w:rsid w:val="00027A88"/>
    <w:rsid w:val="0003037A"/>
    <w:rsid w:val="0003146B"/>
    <w:rsid w:val="00032186"/>
    <w:rsid w:val="00032574"/>
    <w:rsid w:val="000327B5"/>
    <w:rsid w:val="000328C1"/>
    <w:rsid w:val="0003295F"/>
    <w:rsid w:val="00032A0C"/>
    <w:rsid w:val="00032F94"/>
    <w:rsid w:val="00033863"/>
    <w:rsid w:val="000338FB"/>
    <w:rsid w:val="00034399"/>
    <w:rsid w:val="000354B4"/>
    <w:rsid w:val="00035C28"/>
    <w:rsid w:val="00035DC0"/>
    <w:rsid w:val="00036829"/>
    <w:rsid w:val="00036C58"/>
    <w:rsid w:val="00037040"/>
    <w:rsid w:val="00037EBB"/>
    <w:rsid w:val="000400B3"/>
    <w:rsid w:val="00040895"/>
    <w:rsid w:val="00040BEB"/>
    <w:rsid w:val="00040F24"/>
    <w:rsid w:val="000410A0"/>
    <w:rsid w:val="00041328"/>
    <w:rsid w:val="00041F3D"/>
    <w:rsid w:val="00042F40"/>
    <w:rsid w:val="000433A4"/>
    <w:rsid w:val="000435EE"/>
    <w:rsid w:val="00043C37"/>
    <w:rsid w:val="0004446A"/>
    <w:rsid w:val="00044995"/>
    <w:rsid w:val="00044FBD"/>
    <w:rsid w:val="00045017"/>
    <w:rsid w:val="00045A2B"/>
    <w:rsid w:val="00045C77"/>
    <w:rsid w:val="00045CB9"/>
    <w:rsid w:val="00045CDE"/>
    <w:rsid w:val="00045CEB"/>
    <w:rsid w:val="00045D07"/>
    <w:rsid w:val="00046356"/>
    <w:rsid w:val="00046392"/>
    <w:rsid w:val="0004698F"/>
    <w:rsid w:val="00046D27"/>
    <w:rsid w:val="00046D64"/>
    <w:rsid w:val="00050288"/>
    <w:rsid w:val="000503DE"/>
    <w:rsid w:val="000508C2"/>
    <w:rsid w:val="00050B3D"/>
    <w:rsid w:val="0005100A"/>
    <w:rsid w:val="00051595"/>
    <w:rsid w:val="00051868"/>
    <w:rsid w:val="00051F67"/>
    <w:rsid w:val="00051FE1"/>
    <w:rsid w:val="00052163"/>
    <w:rsid w:val="000526D9"/>
    <w:rsid w:val="000539D0"/>
    <w:rsid w:val="00054621"/>
    <w:rsid w:val="000546D7"/>
    <w:rsid w:val="000548B1"/>
    <w:rsid w:val="00054A8D"/>
    <w:rsid w:val="000550C0"/>
    <w:rsid w:val="0005516C"/>
    <w:rsid w:val="000554CE"/>
    <w:rsid w:val="00055C45"/>
    <w:rsid w:val="00055D47"/>
    <w:rsid w:val="000565F8"/>
    <w:rsid w:val="00056ECF"/>
    <w:rsid w:val="00057FEC"/>
    <w:rsid w:val="0006034A"/>
    <w:rsid w:val="00060379"/>
    <w:rsid w:val="000603DF"/>
    <w:rsid w:val="000604DF"/>
    <w:rsid w:val="00061388"/>
    <w:rsid w:val="00061E27"/>
    <w:rsid w:val="00061F29"/>
    <w:rsid w:val="00061FC7"/>
    <w:rsid w:val="00062532"/>
    <w:rsid w:val="00062576"/>
    <w:rsid w:val="000626F4"/>
    <w:rsid w:val="00062811"/>
    <w:rsid w:val="000640FA"/>
    <w:rsid w:val="000643DA"/>
    <w:rsid w:val="00064C0F"/>
    <w:rsid w:val="000653B5"/>
    <w:rsid w:val="0006555E"/>
    <w:rsid w:val="000658E0"/>
    <w:rsid w:val="00066360"/>
    <w:rsid w:val="00066AF8"/>
    <w:rsid w:val="00067030"/>
    <w:rsid w:val="00067814"/>
    <w:rsid w:val="00067E0B"/>
    <w:rsid w:val="00067F24"/>
    <w:rsid w:val="00070939"/>
    <w:rsid w:val="00070B62"/>
    <w:rsid w:val="00070B7F"/>
    <w:rsid w:val="00071248"/>
    <w:rsid w:val="000712B7"/>
    <w:rsid w:val="000714C3"/>
    <w:rsid w:val="0007158F"/>
    <w:rsid w:val="0007185D"/>
    <w:rsid w:val="000720B9"/>
    <w:rsid w:val="0007301E"/>
    <w:rsid w:val="00073260"/>
    <w:rsid w:val="000732F5"/>
    <w:rsid w:val="00073551"/>
    <w:rsid w:val="000737F7"/>
    <w:rsid w:val="0007397C"/>
    <w:rsid w:val="0007496A"/>
    <w:rsid w:val="00074BF8"/>
    <w:rsid w:val="00075074"/>
    <w:rsid w:val="000751CF"/>
    <w:rsid w:val="00075354"/>
    <w:rsid w:val="00075808"/>
    <w:rsid w:val="0007672F"/>
    <w:rsid w:val="00076949"/>
    <w:rsid w:val="00076B54"/>
    <w:rsid w:val="0007726D"/>
    <w:rsid w:val="000774F0"/>
    <w:rsid w:val="0007772E"/>
    <w:rsid w:val="00077835"/>
    <w:rsid w:val="00077E9F"/>
    <w:rsid w:val="00077EF7"/>
    <w:rsid w:val="00077F9C"/>
    <w:rsid w:val="00080909"/>
    <w:rsid w:val="000811E9"/>
    <w:rsid w:val="000812CA"/>
    <w:rsid w:val="00081689"/>
    <w:rsid w:val="00081D31"/>
    <w:rsid w:val="00081E63"/>
    <w:rsid w:val="0008258D"/>
    <w:rsid w:val="00082D03"/>
    <w:rsid w:val="00083937"/>
    <w:rsid w:val="00083944"/>
    <w:rsid w:val="00083E99"/>
    <w:rsid w:val="00083FB6"/>
    <w:rsid w:val="00084436"/>
    <w:rsid w:val="000849BA"/>
    <w:rsid w:val="00084FA8"/>
    <w:rsid w:val="0008560A"/>
    <w:rsid w:val="000856C5"/>
    <w:rsid w:val="00085C31"/>
    <w:rsid w:val="000867BA"/>
    <w:rsid w:val="00086DE3"/>
    <w:rsid w:val="00086E2A"/>
    <w:rsid w:val="0008727C"/>
    <w:rsid w:val="000875E9"/>
    <w:rsid w:val="0008775E"/>
    <w:rsid w:val="000877AD"/>
    <w:rsid w:val="00087E90"/>
    <w:rsid w:val="000902D9"/>
    <w:rsid w:val="00090C7E"/>
    <w:rsid w:val="00090F26"/>
    <w:rsid w:val="000911AC"/>
    <w:rsid w:val="00092317"/>
    <w:rsid w:val="00092600"/>
    <w:rsid w:val="0009262B"/>
    <w:rsid w:val="00092EC5"/>
    <w:rsid w:val="00092F94"/>
    <w:rsid w:val="000930F4"/>
    <w:rsid w:val="00093143"/>
    <w:rsid w:val="00093310"/>
    <w:rsid w:val="00093386"/>
    <w:rsid w:val="000942AD"/>
    <w:rsid w:val="0009445C"/>
    <w:rsid w:val="00094CB5"/>
    <w:rsid w:val="00095200"/>
    <w:rsid w:val="0009591C"/>
    <w:rsid w:val="00095FE5"/>
    <w:rsid w:val="000961D5"/>
    <w:rsid w:val="00096234"/>
    <w:rsid w:val="00096284"/>
    <w:rsid w:val="000964F7"/>
    <w:rsid w:val="0009655A"/>
    <w:rsid w:val="0009673A"/>
    <w:rsid w:val="0009693F"/>
    <w:rsid w:val="000970C1"/>
    <w:rsid w:val="000974C8"/>
    <w:rsid w:val="00097712"/>
    <w:rsid w:val="000A042B"/>
    <w:rsid w:val="000A0925"/>
    <w:rsid w:val="000A0C8A"/>
    <w:rsid w:val="000A0CAA"/>
    <w:rsid w:val="000A0D7A"/>
    <w:rsid w:val="000A0F13"/>
    <w:rsid w:val="000A141C"/>
    <w:rsid w:val="000A16BC"/>
    <w:rsid w:val="000A1807"/>
    <w:rsid w:val="000A1BC0"/>
    <w:rsid w:val="000A1FDC"/>
    <w:rsid w:val="000A22A5"/>
    <w:rsid w:val="000A254E"/>
    <w:rsid w:val="000A2F6D"/>
    <w:rsid w:val="000A2F9E"/>
    <w:rsid w:val="000A328A"/>
    <w:rsid w:val="000A3779"/>
    <w:rsid w:val="000A3CFE"/>
    <w:rsid w:val="000A3E47"/>
    <w:rsid w:val="000A4110"/>
    <w:rsid w:val="000A4D69"/>
    <w:rsid w:val="000A4FCF"/>
    <w:rsid w:val="000A522B"/>
    <w:rsid w:val="000A55B4"/>
    <w:rsid w:val="000A57FF"/>
    <w:rsid w:val="000A6039"/>
    <w:rsid w:val="000A66C1"/>
    <w:rsid w:val="000A6D63"/>
    <w:rsid w:val="000A70CD"/>
    <w:rsid w:val="000A717E"/>
    <w:rsid w:val="000A7453"/>
    <w:rsid w:val="000A779A"/>
    <w:rsid w:val="000A7C39"/>
    <w:rsid w:val="000A7D08"/>
    <w:rsid w:val="000B0121"/>
    <w:rsid w:val="000B0459"/>
    <w:rsid w:val="000B0670"/>
    <w:rsid w:val="000B0CAE"/>
    <w:rsid w:val="000B0E75"/>
    <w:rsid w:val="000B1B65"/>
    <w:rsid w:val="000B261C"/>
    <w:rsid w:val="000B26DF"/>
    <w:rsid w:val="000B2DCB"/>
    <w:rsid w:val="000B3049"/>
    <w:rsid w:val="000B339E"/>
    <w:rsid w:val="000B3BC8"/>
    <w:rsid w:val="000B3E09"/>
    <w:rsid w:val="000B3FFC"/>
    <w:rsid w:val="000B48FD"/>
    <w:rsid w:val="000B51C2"/>
    <w:rsid w:val="000B5CE0"/>
    <w:rsid w:val="000B5D60"/>
    <w:rsid w:val="000B60AD"/>
    <w:rsid w:val="000B64EE"/>
    <w:rsid w:val="000B6562"/>
    <w:rsid w:val="000B668B"/>
    <w:rsid w:val="000B6987"/>
    <w:rsid w:val="000B6CA7"/>
    <w:rsid w:val="000B6CAC"/>
    <w:rsid w:val="000B7507"/>
    <w:rsid w:val="000B7612"/>
    <w:rsid w:val="000B78AE"/>
    <w:rsid w:val="000C02FB"/>
    <w:rsid w:val="000C0CA2"/>
    <w:rsid w:val="000C1A58"/>
    <w:rsid w:val="000C2E90"/>
    <w:rsid w:val="000C2FD4"/>
    <w:rsid w:val="000C314D"/>
    <w:rsid w:val="000C3709"/>
    <w:rsid w:val="000C3DF9"/>
    <w:rsid w:val="000C44A4"/>
    <w:rsid w:val="000C4CF2"/>
    <w:rsid w:val="000C58AD"/>
    <w:rsid w:val="000C58FC"/>
    <w:rsid w:val="000C59D2"/>
    <w:rsid w:val="000C5A57"/>
    <w:rsid w:val="000C5AC2"/>
    <w:rsid w:val="000C5FA5"/>
    <w:rsid w:val="000C6083"/>
    <w:rsid w:val="000C6713"/>
    <w:rsid w:val="000C6C61"/>
    <w:rsid w:val="000C71F8"/>
    <w:rsid w:val="000C73BF"/>
    <w:rsid w:val="000C75EB"/>
    <w:rsid w:val="000C77C9"/>
    <w:rsid w:val="000C78CB"/>
    <w:rsid w:val="000C7A39"/>
    <w:rsid w:val="000C7F2E"/>
    <w:rsid w:val="000D091C"/>
    <w:rsid w:val="000D12A6"/>
    <w:rsid w:val="000D1BFC"/>
    <w:rsid w:val="000D1D5D"/>
    <w:rsid w:val="000D1E3A"/>
    <w:rsid w:val="000D220D"/>
    <w:rsid w:val="000D281A"/>
    <w:rsid w:val="000D2848"/>
    <w:rsid w:val="000D2B40"/>
    <w:rsid w:val="000D308B"/>
    <w:rsid w:val="000D326A"/>
    <w:rsid w:val="000D3D8B"/>
    <w:rsid w:val="000D4A61"/>
    <w:rsid w:val="000D4C00"/>
    <w:rsid w:val="000D50CB"/>
    <w:rsid w:val="000D51FB"/>
    <w:rsid w:val="000D58C3"/>
    <w:rsid w:val="000D5F13"/>
    <w:rsid w:val="000D6249"/>
    <w:rsid w:val="000D6C20"/>
    <w:rsid w:val="000D74CD"/>
    <w:rsid w:val="000D7CBC"/>
    <w:rsid w:val="000D7CDF"/>
    <w:rsid w:val="000E01E8"/>
    <w:rsid w:val="000E0640"/>
    <w:rsid w:val="000E0CBE"/>
    <w:rsid w:val="000E0E49"/>
    <w:rsid w:val="000E0F82"/>
    <w:rsid w:val="000E135D"/>
    <w:rsid w:val="000E1512"/>
    <w:rsid w:val="000E1A0F"/>
    <w:rsid w:val="000E1CC8"/>
    <w:rsid w:val="000E2136"/>
    <w:rsid w:val="000E2BF4"/>
    <w:rsid w:val="000E3529"/>
    <w:rsid w:val="000E3657"/>
    <w:rsid w:val="000E384B"/>
    <w:rsid w:val="000E4375"/>
    <w:rsid w:val="000E518B"/>
    <w:rsid w:val="000E53D4"/>
    <w:rsid w:val="000E55FA"/>
    <w:rsid w:val="000E57FE"/>
    <w:rsid w:val="000E5A65"/>
    <w:rsid w:val="000E5A8A"/>
    <w:rsid w:val="000E6352"/>
    <w:rsid w:val="000E7070"/>
    <w:rsid w:val="000E78F6"/>
    <w:rsid w:val="000E7BC5"/>
    <w:rsid w:val="000F00BA"/>
    <w:rsid w:val="000F0391"/>
    <w:rsid w:val="000F04A7"/>
    <w:rsid w:val="000F0BB4"/>
    <w:rsid w:val="000F109B"/>
    <w:rsid w:val="000F1B73"/>
    <w:rsid w:val="000F1CD6"/>
    <w:rsid w:val="000F243D"/>
    <w:rsid w:val="000F24BF"/>
    <w:rsid w:val="000F316A"/>
    <w:rsid w:val="000F3C74"/>
    <w:rsid w:val="000F3DA2"/>
    <w:rsid w:val="000F3F5A"/>
    <w:rsid w:val="000F4BB8"/>
    <w:rsid w:val="000F4EF0"/>
    <w:rsid w:val="000F4FA9"/>
    <w:rsid w:val="000F5005"/>
    <w:rsid w:val="000F503B"/>
    <w:rsid w:val="000F5218"/>
    <w:rsid w:val="000F52F0"/>
    <w:rsid w:val="000F53FB"/>
    <w:rsid w:val="000F5607"/>
    <w:rsid w:val="000F571C"/>
    <w:rsid w:val="000F57D9"/>
    <w:rsid w:val="000F6B2B"/>
    <w:rsid w:val="000F70FD"/>
    <w:rsid w:val="000F7127"/>
    <w:rsid w:val="000F7133"/>
    <w:rsid w:val="000F76EE"/>
    <w:rsid w:val="000F7B54"/>
    <w:rsid w:val="001000B3"/>
    <w:rsid w:val="001003F8"/>
    <w:rsid w:val="0010046A"/>
    <w:rsid w:val="001004F9"/>
    <w:rsid w:val="00100816"/>
    <w:rsid w:val="00100F8A"/>
    <w:rsid w:val="001011DD"/>
    <w:rsid w:val="001011EE"/>
    <w:rsid w:val="0010151B"/>
    <w:rsid w:val="001015FF"/>
    <w:rsid w:val="00101E52"/>
    <w:rsid w:val="001022EB"/>
    <w:rsid w:val="001024D0"/>
    <w:rsid w:val="001029B2"/>
    <w:rsid w:val="00103DAA"/>
    <w:rsid w:val="0010452E"/>
    <w:rsid w:val="00104BF1"/>
    <w:rsid w:val="001052B5"/>
    <w:rsid w:val="0010556B"/>
    <w:rsid w:val="00105A20"/>
    <w:rsid w:val="00105AE2"/>
    <w:rsid w:val="00106055"/>
    <w:rsid w:val="001060C6"/>
    <w:rsid w:val="001069BC"/>
    <w:rsid w:val="00106B80"/>
    <w:rsid w:val="00106E8D"/>
    <w:rsid w:val="00107084"/>
    <w:rsid w:val="0011017C"/>
    <w:rsid w:val="0011032E"/>
    <w:rsid w:val="001106CF"/>
    <w:rsid w:val="00110A22"/>
    <w:rsid w:val="00110A64"/>
    <w:rsid w:val="00110E67"/>
    <w:rsid w:val="0011192E"/>
    <w:rsid w:val="00111D26"/>
    <w:rsid w:val="00112203"/>
    <w:rsid w:val="0011348B"/>
    <w:rsid w:val="00113554"/>
    <w:rsid w:val="00113D8B"/>
    <w:rsid w:val="00114BC5"/>
    <w:rsid w:val="00114F02"/>
    <w:rsid w:val="00115982"/>
    <w:rsid w:val="00115D96"/>
    <w:rsid w:val="001160D5"/>
    <w:rsid w:val="001167EE"/>
    <w:rsid w:val="00116C53"/>
    <w:rsid w:val="00117AF4"/>
    <w:rsid w:val="00117DF0"/>
    <w:rsid w:val="00117F7C"/>
    <w:rsid w:val="001202C5"/>
    <w:rsid w:val="00120A2F"/>
    <w:rsid w:val="00121253"/>
    <w:rsid w:val="00121677"/>
    <w:rsid w:val="00121799"/>
    <w:rsid w:val="001217AF"/>
    <w:rsid w:val="001222FC"/>
    <w:rsid w:val="00122C21"/>
    <w:rsid w:val="0012352D"/>
    <w:rsid w:val="00123902"/>
    <w:rsid w:val="00123EC5"/>
    <w:rsid w:val="00123F81"/>
    <w:rsid w:val="001246EF"/>
    <w:rsid w:val="00124A51"/>
    <w:rsid w:val="00124CCA"/>
    <w:rsid w:val="00125191"/>
    <w:rsid w:val="0012550B"/>
    <w:rsid w:val="00125EDD"/>
    <w:rsid w:val="0012608A"/>
    <w:rsid w:val="00126621"/>
    <w:rsid w:val="0012682C"/>
    <w:rsid w:val="00126B1D"/>
    <w:rsid w:val="00126E48"/>
    <w:rsid w:val="001271E5"/>
    <w:rsid w:val="00127473"/>
    <w:rsid w:val="0012782D"/>
    <w:rsid w:val="00127BF5"/>
    <w:rsid w:val="00127EA6"/>
    <w:rsid w:val="001301E9"/>
    <w:rsid w:val="001306D1"/>
    <w:rsid w:val="00131A86"/>
    <w:rsid w:val="00131D82"/>
    <w:rsid w:val="0013249C"/>
    <w:rsid w:val="00132B22"/>
    <w:rsid w:val="00132DE5"/>
    <w:rsid w:val="001334EF"/>
    <w:rsid w:val="00133D36"/>
    <w:rsid w:val="00133F00"/>
    <w:rsid w:val="001340AC"/>
    <w:rsid w:val="00134790"/>
    <w:rsid w:val="00134E53"/>
    <w:rsid w:val="00135377"/>
    <w:rsid w:val="00135A30"/>
    <w:rsid w:val="0013624F"/>
    <w:rsid w:val="001369E5"/>
    <w:rsid w:val="00137645"/>
    <w:rsid w:val="00137BD5"/>
    <w:rsid w:val="0014015A"/>
    <w:rsid w:val="0014039E"/>
    <w:rsid w:val="001406A2"/>
    <w:rsid w:val="001406D2"/>
    <w:rsid w:val="00140E99"/>
    <w:rsid w:val="0014191E"/>
    <w:rsid w:val="0014215F"/>
    <w:rsid w:val="001421B5"/>
    <w:rsid w:val="00142C72"/>
    <w:rsid w:val="00143AB2"/>
    <w:rsid w:val="00143F67"/>
    <w:rsid w:val="001446D4"/>
    <w:rsid w:val="00144755"/>
    <w:rsid w:val="001447B3"/>
    <w:rsid w:val="00144FF8"/>
    <w:rsid w:val="00145234"/>
    <w:rsid w:val="00145540"/>
    <w:rsid w:val="00145664"/>
    <w:rsid w:val="001456B0"/>
    <w:rsid w:val="00145B92"/>
    <w:rsid w:val="00145BF1"/>
    <w:rsid w:val="00145CC9"/>
    <w:rsid w:val="00145D80"/>
    <w:rsid w:val="00145E95"/>
    <w:rsid w:val="00146353"/>
    <w:rsid w:val="0014678C"/>
    <w:rsid w:val="00146818"/>
    <w:rsid w:val="00147055"/>
    <w:rsid w:val="001473BD"/>
    <w:rsid w:val="001478AF"/>
    <w:rsid w:val="00147D5B"/>
    <w:rsid w:val="00147DF9"/>
    <w:rsid w:val="00150343"/>
    <w:rsid w:val="00150ADB"/>
    <w:rsid w:val="00151376"/>
    <w:rsid w:val="00151E69"/>
    <w:rsid w:val="0015310A"/>
    <w:rsid w:val="00153715"/>
    <w:rsid w:val="0015374B"/>
    <w:rsid w:val="00154202"/>
    <w:rsid w:val="0015466F"/>
    <w:rsid w:val="001547AB"/>
    <w:rsid w:val="00155576"/>
    <w:rsid w:val="00155EA4"/>
    <w:rsid w:val="00156139"/>
    <w:rsid w:val="001561F1"/>
    <w:rsid w:val="001564C4"/>
    <w:rsid w:val="00156BAA"/>
    <w:rsid w:val="00156BFA"/>
    <w:rsid w:val="00156F8F"/>
    <w:rsid w:val="00157130"/>
    <w:rsid w:val="001576B1"/>
    <w:rsid w:val="0016010F"/>
    <w:rsid w:val="0016047B"/>
    <w:rsid w:val="00160485"/>
    <w:rsid w:val="00160971"/>
    <w:rsid w:val="00160A2C"/>
    <w:rsid w:val="00160A4C"/>
    <w:rsid w:val="00161A41"/>
    <w:rsid w:val="00161C5E"/>
    <w:rsid w:val="00161F2F"/>
    <w:rsid w:val="00161F50"/>
    <w:rsid w:val="00162198"/>
    <w:rsid w:val="00162644"/>
    <w:rsid w:val="00162913"/>
    <w:rsid w:val="00163EFF"/>
    <w:rsid w:val="00163F66"/>
    <w:rsid w:val="001644B3"/>
    <w:rsid w:val="0016478E"/>
    <w:rsid w:val="00164C1E"/>
    <w:rsid w:val="00165E69"/>
    <w:rsid w:val="00165EC4"/>
    <w:rsid w:val="00165FED"/>
    <w:rsid w:val="00166052"/>
    <w:rsid w:val="001661FB"/>
    <w:rsid w:val="00166246"/>
    <w:rsid w:val="0016626E"/>
    <w:rsid w:val="00166606"/>
    <w:rsid w:val="001667E7"/>
    <w:rsid w:val="001671A0"/>
    <w:rsid w:val="0016767F"/>
    <w:rsid w:val="0017116B"/>
    <w:rsid w:val="001716DB"/>
    <w:rsid w:val="00171A83"/>
    <w:rsid w:val="001726E3"/>
    <w:rsid w:val="00172C95"/>
    <w:rsid w:val="001734F6"/>
    <w:rsid w:val="00173565"/>
    <w:rsid w:val="00173B07"/>
    <w:rsid w:val="00173ED1"/>
    <w:rsid w:val="001751FA"/>
    <w:rsid w:val="00175346"/>
    <w:rsid w:val="00175358"/>
    <w:rsid w:val="00175876"/>
    <w:rsid w:val="00175A41"/>
    <w:rsid w:val="00176703"/>
    <w:rsid w:val="00176B0D"/>
    <w:rsid w:val="00176CB6"/>
    <w:rsid w:val="0017744E"/>
    <w:rsid w:val="001774C3"/>
    <w:rsid w:val="0017756C"/>
    <w:rsid w:val="0017798E"/>
    <w:rsid w:val="00177AAE"/>
    <w:rsid w:val="001807D4"/>
    <w:rsid w:val="00180BAB"/>
    <w:rsid w:val="00180C97"/>
    <w:rsid w:val="00180E45"/>
    <w:rsid w:val="001810BB"/>
    <w:rsid w:val="001812A0"/>
    <w:rsid w:val="00181C10"/>
    <w:rsid w:val="00181D9C"/>
    <w:rsid w:val="00182017"/>
    <w:rsid w:val="00182162"/>
    <w:rsid w:val="00182700"/>
    <w:rsid w:val="00182F22"/>
    <w:rsid w:val="001834F9"/>
    <w:rsid w:val="001837FF"/>
    <w:rsid w:val="00183D1B"/>
    <w:rsid w:val="00184B0E"/>
    <w:rsid w:val="00184BAC"/>
    <w:rsid w:val="00187371"/>
    <w:rsid w:val="0018746D"/>
    <w:rsid w:val="0018752F"/>
    <w:rsid w:val="00187AA1"/>
    <w:rsid w:val="00190279"/>
    <w:rsid w:val="00190C6C"/>
    <w:rsid w:val="00190D1C"/>
    <w:rsid w:val="00190D52"/>
    <w:rsid w:val="001912DF"/>
    <w:rsid w:val="001919FA"/>
    <w:rsid w:val="00191AE7"/>
    <w:rsid w:val="00191B72"/>
    <w:rsid w:val="00192868"/>
    <w:rsid w:val="00193393"/>
    <w:rsid w:val="00193838"/>
    <w:rsid w:val="001938B3"/>
    <w:rsid w:val="00193B33"/>
    <w:rsid w:val="0019404A"/>
    <w:rsid w:val="0019448C"/>
    <w:rsid w:val="001946FE"/>
    <w:rsid w:val="00194AD8"/>
    <w:rsid w:val="00195222"/>
    <w:rsid w:val="00195452"/>
    <w:rsid w:val="00195661"/>
    <w:rsid w:val="00195B32"/>
    <w:rsid w:val="001975D8"/>
    <w:rsid w:val="0019785A"/>
    <w:rsid w:val="00197B48"/>
    <w:rsid w:val="001A001C"/>
    <w:rsid w:val="001A0AB6"/>
    <w:rsid w:val="001A1042"/>
    <w:rsid w:val="001A178E"/>
    <w:rsid w:val="001A31B5"/>
    <w:rsid w:val="001A3C31"/>
    <w:rsid w:val="001A3C52"/>
    <w:rsid w:val="001A43FA"/>
    <w:rsid w:val="001A47C5"/>
    <w:rsid w:val="001A4C5B"/>
    <w:rsid w:val="001A4FAF"/>
    <w:rsid w:val="001A523D"/>
    <w:rsid w:val="001A564F"/>
    <w:rsid w:val="001A59FB"/>
    <w:rsid w:val="001A5E57"/>
    <w:rsid w:val="001A5E9E"/>
    <w:rsid w:val="001A6061"/>
    <w:rsid w:val="001A6146"/>
    <w:rsid w:val="001A62F5"/>
    <w:rsid w:val="001A6354"/>
    <w:rsid w:val="001A6366"/>
    <w:rsid w:val="001A6522"/>
    <w:rsid w:val="001A67BF"/>
    <w:rsid w:val="001A6BE7"/>
    <w:rsid w:val="001A6C5E"/>
    <w:rsid w:val="001A773F"/>
    <w:rsid w:val="001A7AE8"/>
    <w:rsid w:val="001B047F"/>
    <w:rsid w:val="001B0E97"/>
    <w:rsid w:val="001B1171"/>
    <w:rsid w:val="001B1311"/>
    <w:rsid w:val="001B1687"/>
    <w:rsid w:val="001B16F2"/>
    <w:rsid w:val="001B191D"/>
    <w:rsid w:val="001B195A"/>
    <w:rsid w:val="001B1AA4"/>
    <w:rsid w:val="001B1ADF"/>
    <w:rsid w:val="001B204E"/>
    <w:rsid w:val="001B2372"/>
    <w:rsid w:val="001B2C42"/>
    <w:rsid w:val="001B302B"/>
    <w:rsid w:val="001B30F6"/>
    <w:rsid w:val="001B32F8"/>
    <w:rsid w:val="001B3323"/>
    <w:rsid w:val="001B3443"/>
    <w:rsid w:val="001B38DB"/>
    <w:rsid w:val="001B45AE"/>
    <w:rsid w:val="001B4CE8"/>
    <w:rsid w:val="001B4D20"/>
    <w:rsid w:val="001B4F6D"/>
    <w:rsid w:val="001B5D1F"/>
    <w:rsid w:val="001B5E22"/>
    <w:rsid w:val="001B7F84"/>
    <w:rsid w:val="001C03A5"/>
    <w:rsid w:val="001C0AEE"/>
    <w:rsid w:val="001C0CEE"/>
    <w:rsid w:val="001C1230"/>
    <w:rsid w:val="001C1DE5"/>
    <w:rsid w:val="001C200A"/>
    <w:rsid w:val="001C22E0"/>
    <w:rsid w:val="001C2573"/>
    <w:rsid w:val="001C275F"/>
    <w:rsid w:val="001C2A9B"/>
    <w:rsid w:val="001C2AE4"/>
    <w:rsid w:val="001C2E43"/>
    <w:rsid w:val="001C2F24"/>
    <w:rsid w:val="001C352A"/>
    <w:rsid w:val="001C3C49"/>
    <w:rsid w:val="001C3DD6"/>
    <w:rsid w:val="001C4169"/>
    <w:rsid w:val="001C4299"/>
    <w:rsid w:val="001C4322"/>
    <w:rsid w:val="001C4874"/>
    <w:rsid w:val="001C54B1"/>
    <w:rsid w:val="001C5AE1"/>
    <w:rsid w:val="001C5BE3"/>
    <w:rsid w:val="001C5E76"/>
    <w:rsid w:val="001C5F94"/>
    <w:rsid w:val="001C6E66"/>
    <w:rsid w:val="001C733E"/>
    <w:rsid w:val="001C7437"/>
    <w:rsid w:val="001C7807"/>
    <w:rsid w:val="001D07ED"/>
    <w:rsid w:val="001D0D05"/>
    <w:rsid w:val="001D0E4E"/>
    <w:rsid w:val="001D0F81"/>
    <w:rsid w:val="001D1100"/>
    <w:rsid w:val="001D1391"/>
    <w:rsid w:val="001D1BFE"/>
    <w:rsid w:val="001D2306"/>
    <w:rsid w:val="001D25D7"/>
    <w:rsid w:val="001D47D8"/>
    <w:rsid w:val="001D4F28"/>
    <w:rsid w:val="001D50B2"/>
    <w:rsid w:val="001D549E"/>
    <w:rsid w:val="001D5EEE"/>
    <w:rsid w:val="001D5F12"/>
    <w:rsid w:val="001D605E"/>
    <w:rsid w:val="001D63C7"/>
    <w:rsid w:val="001D66C3"/>
    <w:rsid w:val="001D6785"/>
    <w:rsid w:val="001D6C6F"/>
    <w:rsid w:val="001D6D40"/>
    <w:rsid w:val="001D70F8"/>
    <w:rsid w:val="001D7108"/>
    <w:rsid w:val="001D71F4"/>
    <w:rsid w:val="001D7645"/>
    <w:rsid w:val="001D77CF"/>
    <w:rsid w:val="001D7D1F"/>
    <w:rsid w:val="001E0492"/>
    <w:rsid w:val="001E0733"/>
    <w:rsid w:val="001E0B7D"/>
    <w:rsid w:val="001E14CA"/>
    <w:rsid w:val="001E154F"/>
    <w:rsid w:val="001E1E86"/>
    <w:rsid w:val="001E238E"/>
    <w:rsid w:val="001E2483"/>
    <w:rsid w:val="001E28C4"/>
    <w:rsid w:val="001E2B1E"/>
    <w:rsid w:val="001E2CFF"/>
    <w:rsid w:val="001E2EF0"/>
    <w:rsid w:val="001E2F24"/>
    <w:rsid w:val="001E30D4"/>
    <w:rsid w:val="001E33D8"/>
    <w:rsid w:val="001E34DF"/>
    <w:rsid w:val="001E380C"/>
    <w:rsid w:val="001E3F47"/>
    <w:rsid w:val="001E4B08"/>
    <w:rsid w:val="001E52EB"/>
    <w:rsid w:val="001E53AC"/>
    <w:rsid w:val="001E5918"/>
    <w:rsid w:val="001E61D2"/>
    <w:rsid w:val="001E64DB"/>
    <w:rsid w:val="001E65F2"/>
    <w:rsid w:val="001E740C"/>
    <w:rsid w:val="001F068C"/>
    <w:rsid w:val="001F0E15"/>
    <w:rsid w:val="001F1071"/>
    <w:rsid w:val="001F1235"/>
    <w:rsid w:val="001F1CB3"/>
    <w:rsid w:val="001F1FAE"/>
    <w:rsid w:val="001F2337"/>
    <w:rsid w:val="001F25B3"/>
    <w:rsid w:val="001F25E2"/>
    <w:rsid w:val="001F2783"/>
    <w:rsid w:val="001F2824"/>
    <w:rsid w:val="001F2922"/>
    <w:rsid w:val="001F348B"/>
    <w:rsid w:val="001F38B5"/>
    <w:rsid w:val="001F39C7"/>
    <w:rsid w:val="001F3DD0"/>
    <w:rsid w:val="001F4061"/>
    <w:rsid w:val="001F4081"/>
    <w:rsid w:val="001F43C0"/>
    <w:rsid w:val="001F454B"/>
    <w:rsid w:val="001F4EFA"/>
    <w:rsid w:val="001F4FFC"/>
    <w:rsid w:val="001F59F8"/>
    <w:rsid w:val="001F5E96"/>
    <w:rsid w:val="001F6559"/>
    <w:rsid w:val="001F6636"/>
    <w:rsid w:val="001F679C"/>
    <w:rsid w:val="001F6912"/>
    <w:rsid w:val="001F730C"/>
    <w:rsid w:val="001F7361"/>
    <w:rsid w:val="001F7ADA"/>
    <w:rsid w:val="002000FE"/>
    <w:rsid w:val="002011B0"/>
    <w:rsid w:val="0020124D"/>
    <w:rsid w:val="00201929"/>
    <w:rsid w:val="00201FB8"/>
    <w:rsid w:val="00201FE3"/>
    <w:rsid w:val="00202804"/>
    <w:rsid w:val="00202AD8"/>
    <w:rsid w:val="00202C32"/>
    <w:rsid w:val="00203181"/>
    <w:rsid w:val="00203589"/>
    <w:rsid w:val="0020365C"/>
    <w:rsid w:val="00203783"/>
    <w:rsid w:val="0020385F"/>
    <w:rsid w:val="0020429C"/>
    <w:rsid w:val="0020522A"/>
    <w:rsid w:val="0020554B"/>
    <w:rsid w:val="00205761"/>
    <w:rsid w:val="00205A2C"/>
    <w:rsid w:val="00205D14"/>
    <w:rsid w:val="002061FE"/>
    <w:rsid w:val="00206649"/>
    <w:rsid w:val="002068A0"/>
    <w:rsid w:val="00207021"/>
    <w:rsid w:val="00207307"/>
    <w:rsid w:val="0020732F"/>
    <w:rsid w:val="00207BEF"/>
    <w:rsid w:val="00207C54"/>
    <w:rsid w:val="00207D00"/>
    <w:rsid w:val="00207EA5"/>
    <w:rsid w:val="00210021"/>
    <w:rsid w:val="0021033D"/>
    <w:rsid w:val="0021059D"/>
    <w:rsid w:val="002105C1"/>
    <w:rsid w:val="00210892"/>
    <w:rsid w:val="00211242"/>
    <w:rsid w:val="00211611"/>
    <w:rsid w:val="002116FD"/>
    <w:rsid w:val="00211717"/>
    <w:rsid w:val="00211934"/>
    <w:rsid w:val="0021258A"/>
    <w:rsid w:val="002126D0"/>
    <w:rsid w:val="00212777"/>
    <w:rsid w:val="00212E3B"/>
    <w:rsid w:val="00212E7B"/>
    <w:rsid w:val="00212EC9"/>
    <w:rsid w:val="00212FC2"/>
    <w:rsid w:val="00213017"/>
    <w:rsid w:val="00213BA3"/>
    <w:rsid w:val="00213DD0"/>
    <w:rsid w:val="00213EF5"/>
    <w:rsid w:val="002146D1"/>
    <w:rsid w:val="00214764"/>
    <w:rsid w:val="00214C52"/>
    <w:rsid w:val="00214C74"/>
    <w:rsid w:val="00214EA2"/>
    <w:rsid w:val="0021515E"/>
    <w:rsid w:val="002154D8"/>
    <w:rsid w:val="00215840"/>
    <w:rsid w:val="00216BF5"/>
    <w:rsid w:val="00216C88"/>
    <w:rsid w:val="00217311"/>
    <w:rsid w:val="00217ED1"/>
    <w:rsid w:val="00220753"/>
    <w:rsid w:val="00220879"/>
    <w:rsid w:val="00220C55"/>
    <w:rsid w:val="00220CA6"/>
    <w:rsid w:val="00220F09"/>
    <w:rsid w:val="00221061"/>
    <w:rsid w:val="002210F2"/>
    <w:rsid w:val="00221D30"/>
    <w:rsid w:val="00221E1A"/>
    <w:rsid w:val="0022215E"/>
    <w:rsid w:val="00223558"/>
    <w:rsid w:val="002235B0"/>
    <w:rsid w:val="002235E1"/>
    <w:rsid w:val="00223B49"/>
    <w:rsid w:val="00223D5A"/>
    <w:rsid w:val="00223FEE"/>
    <w:rsid w:val="00224484"/>
    <w:rsid w:val="002246FE"/>
    <w:rsid w:val="0022497E"/>
    <w:rsid w:val="00224C97"/>
    <w:rsid w:val="00224DD3"/>
    <w:rsid w:val="00224DD4"/>
    <w:rsid w:val="00224F81"/>
    <w:rsid w:val="00225DFB"/>
    <w:rsid w:val="00226116"/>
    <w:rsid w:val="00226452"/>
    <w:rsid w:val="00227298"/>
    <w:rsid w:val="0022740D"/>
    <w:rsid w:val="002274A8"/>
    <w:rsid w:val="002278A0"/>
    <w:rsid w:val="002278CC"/>
    <w:rsid w:val="00227B0C"/>
    <w:rsid w:val="00230403"/>
    <w:rsid w:val="00230916"/>
    <w:rsid w:val="0023099E"/>
    <w:rsid w:val="002309AE"/>
    <w:rsid w:val="002309CC"/>
    <w:rsid w:val="00230E97"/>
    <w:rsid w:val="00231BA9"/>
    <w:rsid w:val="00231CEB"/>
    <w:rsid w:val="00231ED6"/>
    <w:rsid w:val="00232051"/>
    <w:rsid w:val="0023209F"/>
    <w:rsid w:val="00232194"/>
    <w:rsid w:val="00232456"/>
    <w:rsid w:val="002324B6"/>
    <w:rsid w:val="00232BF8"/>
    <w:rsid w:val="0023308D"/>
    <w:rsid w:val="002333A8"/>
    <w:rsid w:val="00233C01"/>
    <w:rsid w:val="0023413C"/>
    <w:rsid w:val="00234285"/>
    <w:rsid w:val="002346F0"/>
    <w:rsid w:val="002356EF"/>
    <w:rsid w:val="002357F2"/>
    <w:rsid w:val="002358D7"/>
    <w:rsid w:val="0023595F"/>
    <w:rsid w:val="00235C01"/>
    <w:rsid w:val="0023629D"/>
    <w:rsid w:val="0023669B"/>
    <w:rsid w:val="002368AC"/>
    <w:rsid w:val="002368D4"/>
    <w:rsid w:val="00236B7A"/>
    <w:rsid w:val="00237255"/>
    <w:rsid w:val="00237B71"/>
    <w:rsid w:val="00237CF7"/>
    <w:rsid w:val="00237FA3"/>
    <w:rsid w:val="002402BE"/>
    <w:rsid w:val="002404BF"/>
    <w:rsid w:val="0024075F"/>
    <w:rsid w:val="00241510"/>
    <w:rsid w:val="00241688"/>
    <w:rsid w:val="00242021"/>
    <w:rsid w:val="002424AF"/>
    <w:rsid w:val="00242641"/>
    <w:rsid w:val="00242C7A"/>
    <w:rsid w:val="00242D67"/>
    <w:rsid w:val="00242DF1"/>
    <w:rsid w:val="0024319F"/>
    <w:rsid w:val="00243303"/>
    <w:rsid w:val="002439DC"/>
    <w:rsid w:val="002441D2"/>
    <w:rsid w:val="00244DC8"/>
    <w:rsid w:val="00245248"/>
    <w:rsid w:val="002457BE"/>
    <w:rsid w:val="002458BA"/>
    <w:rsid w:val="00245CE9"/>
    <w:rsid w:val="0024636C"/>
    <w:rsid w:val="002468F8"/>
    <w:rsid w:val="00246956"/>
    <w:rsid w:val="00246C90"/>
    <w:rsid w:val="00246D22"/>
    <w:rsid w:val="00247325"/>
    <w:rsid w:val="00247925"/>
    <w:rsid w:val="0025010B"/>
    <w:rsid w:val="00250774"/>
    <w:rsid w:val="00250BBA"/>
    <w:rsid w:val="00250C8E"/>
    <w:rsid w:val="00250F99"/>
    <w:rsid w:val="00251006"/>
    <w:rsid w:val="002511E5"/>
    <w:rsid w:val="0025120D"/>
    <w:rsid w:val="00251DE9"/>
    <w:rsid w:val="002521C2"/>
    <w:rsid w:val="002524D5"/>
    <w:rsid w:val="00252A32"/>
    <w:rsid w:val="00252B1D"/>
    <w:rsid w:val="00253B1D"/>
    <w:rsid w:val="002540FB"/>
    <w:rsid w:val="00254DCF"/>
    <w:rsid w:val="00254DD6"/>
    <w:rsid w:val="002551C2"/>
    <w:rsid w:val="0025534B"/>
    <w:rsid w:val="00255B1B"/>
    <w:rsid w:val="00255BB7"/>
    <w:rsid w:val="00255C6B"/>
    <w:rsid w:val="00255E05"/>
    <w:rsid w:val="00256813"/>
    <w:rsid w:val="00257541"/>
    <w:rsid w:val="002579DC"/>
    <w:rsid w:val="00257A39"/>
    <w:rsid w:val="00257AC4"/>
    <w:rsid w:val="00257BBE"/>
    <w:rsid w:val="00257F72"/>
    <w:rsid w:val="00257F84"/>
    <w:rsid w:val="00260382"/>
    <w:rsid w:val="002603EA"/>
    <w:rsid w:val="0026083E"/>
    <w:rsid w:val="0026085E"/>
    <w:rsid w:val="00260889"/>
    <w:rsid w:val="00261627"/>
    <w:rsid w:val="002616A9"/>
    <w:rsid w:val="00261EEF"/>
    <w:rsid w:val="0026227B"/>
    <w:rsid w:val="0026257A"/>
    <w:rsid w:val="00262A1A"/>
    <w:rsid w:val="00262A87"/>
    <w:rsid w:val="00262DC0"/>
    <w:rsid w:val="00262EAE"/>
    <w:rsid w:val="002632F7"/>
    <w:rsid w:val="00263453"/>
    <w:rsid w:val="002638B3"/>
    <w:rsid w:val="002644DD"/>
    <w:rsid w:val="00264A2E"/>
    <w:rsid w:val="00264BF9"/>
    <w:rsid w:val="00264D26"/>
    <w:rsid w:val="00265CB7"/>
    <w:rsid w:val="00266966"/>
    <w:rsid w:val="00267642"/>
    <w:rsid w:val="00267AEA"/>
    <w:rsid w:val="00267B35"/>
    <w:rsid w:val="00267D63"/>
    <w:rsid w:val="00267EDB"/>
    <w:rsid w:val="002700E6"/>
    <w:rsid w:val="00270BE9"/>
    <w:rsid w:val="00270E72"/>
    <w:rsid w:val="00270ECC"/>
    <w:rsid w:val="00271408"/>
    <w:rsid w:val="00271655"/>
    <w:rsid w:val="00271740"/>
    <w:rsid w:val="00271AC4"/>
    <w:rsid w:val="00271B87"/>
    <w:rsid w:val="00271F3A"/>
    <w:rsid w:val="00272281"/>
    <w:rsid w:val="00272417"/>
    <w:rsid w:val="00272736"/>
    <w:rsid w:val="0027294B"/>
    <w:rsid w:val="00272B47"/>
    <w:rsid w:val="00273037"/>
    <w:rsid w:val="002735D5"/>
    <w:rsid w:val="00273AB7"/>
    <w:rsid w:val="00273EB4"/>
    <w:rsid w:val="00274682"/>
    <w:rsid w:val="002747E7"/>
    <w:rsid w:val="00275007"/>
    <w:rsid w:val="00275158"/>
    <w:rsid w:val="002753E1"/>
    <w:rsid w:val="00275C5A"/>
    <w:rsid w:val="002762D2"/>
    <w:rsid w:val="0027636C"/>
    <w:rsid w:val="00276BB3"/>
    <w:rsid w:val="0027731D"/>
    <w:rsid w:val="002775FA"/>
    <w:rsid w:val="00277A8B"/>
    <w:rsid w:val="00277E31"/>
    <w:rsid w:val="002801DE"/>
    <w:rsid w:val="00280E4A"/>
    <w:rsid w:val="00280F62"/>
    <w:rsid w:val="00280F76"/>
    <w:rsid w:val="00281014"/>
    <w:rsid w:val="00281023"/>
    <w:rsid w:val="002812A0"/>
    <w:rsid w:val="002819EF"/>
    <w:rsid w:val="00281ECD"/>
    <w:rsid w:val="0028205D"/>
    <w:rsid w:val="002822D1"/>
    <w:rsid w:val="002823AD"/>
    <w:rsid w:val="002828BF"/>
    <w:rsid w:val="00282C47"/>
    <w:rsid w:val="00282E1B"/>
    <w:rsid w:val="002830FD"/>
    <w:rsid w:val="002834BA"/>
    <w:rsid w:val="00283523"/>
    <w:rsid w:val="00283E9D"/>
    <w:rsid w:val="00284148"/>
    <w:rsid w:val="00284A91"/>
    <w:rsid w:val="00284AA6"/>
    <w:rsid w:val="00284BB6"/>
    <w:rsid w:val="00285393"/>
    <w:rsid w:val="002856FE"/>
    <w:rsid w:val="00285852"/>
    <w:rsid w:val="00285BCE"/>
    <w:rsid w:val="00286101"/>
    <w:rsid w:val="0028617A"/>
    <w:rsid w:val="0028665D"/>
    <w:rsid w:val="00286CC1"/>
    <w:rsid w:val="00286D66"/>
    <w:rsid w:val="002873C7"/>
    <w:rsid w:val="0029034A"/>
    <w:rsid w:val="0029079F"/>
    <w:rsid w:val="00290A23"/>
    <w:rsid w:val="00290F6B"/>
    <w:rsid w:val="00291984"/>
    <w:rsid w:val="00291CE5"/>
    <w:rsid w:val="00291D81"/>
    <w:rsid w:val="002920C1"/>
    <w:rsid w:val="00292159"/>
    <w:rsid w:val="0029222D"/>
    <w:rsid w:val="002928F7"/>
    <w:rsid w:val="00292C37"/>
    <w:rsid w:val="00293B60"/>
    <w:rsid w:val="00293CE8"/>
    <w:rsid w:val="00293F3B"/>
    <w:rsid w:val="00294055"/>
    <w:rsid w:val="0029476A"/>
    <w:rsid w:val="002948DA"/>
    <w:rsid w:val="00294F3B"/>
    <w:rsid w:val="00294FD0"/>
    <w:rsid w:val="0029541A"/>
    <w:rsid w:val="00296549"/>
    <w:rsid w:val="00296BD7"/>
    <w:rsid w:val="00296F6E"/>
    <w:rsid w:val="00297EFD"/>
    <w:rsid w:val="002A0352"/>
    <w:rsid w:val="002A05C4"/>
    <w:rsid w:val="002A082D"/>
    <w:rsid w:val="002A0933"/>
    <w:rsid w:val="002A0950"/>
    <w:rsid w:val="002A138A"/>
    <w:rsid w:val="002A143C"/>
    <w:rsid w:val="002A14AB"/>
    <w:rsid w:val="002A1701"/>
    <w:rsid w:val="002A2840"/>
    <w:rsid w:val="002A2A13"/>
    <w:rsid w:val="002A2ADE"/>
    <w:rsid w:val="002A2E83"/>
    <w:rsid w:val="002A2F50"/>
    <w:rsid w:val="002A307C"/>
    <w:rsid w:val="002A3ED4"/>
    <w:rsid w:val="002A434C"/>
    <w:rsid w:val="002A44E9"/>
    <w:rsid w:val="002A4866"/>
    <w:rsid w:val="002A56A1"/>
    <w:rsid w:val="002A5A0E"/>
    <w:rsid w:val="002A5F16"/>
    <w:rsid w:val="002A6262"/>
    <w:rsid w:val="002A6330"/>
    <w:rsid w:val="002A6A71"/>
    <w:rsid w:val="002A6DDC"/>
    <w:rsid w:val="002A70A2"/>
    <w:rsid w:val="002A72F6"/>
    <w:rsid w:val="002A742C"/>
    <w:rsid w:val="002A7545"/>
    <w:rsid w:val="002A7943"/>
    <w:rsid w:val="002A79BD"/>
    <w:rsid w:val="002A7DF5"/>
    <w:rsid w:val="002B05A1"/>
    <w:rsid w:val="002B09A4"/>
    <w:rsid w:val="002B1C1F"/>
    <w:rsid w:val="002B22D0"/>
    <w:rsid w:val="002B26EA"/>
    <w:rsid w:val="002B2AF8"/>
    <w:rsid w:val="002B38A0"/>
    <w:rsid w:val="002B3FA6"/>
    <w:rsid w:val="002B432F"/>
    <w:rsid w:val="002B4947"/>
    <w:rsid w:val="002B59A9"/>
    <w:rsid w:val="002B5B4F"/>
    <w:rsid w:val="002B6205"/>
    <w:rsid w:val="002B62B3"/>
    <w:rsid w:val="002B6498"/>
    <w:rsid w:val="002B6754"/>
    <w:rsid w:val="002B6CCE"/>
    <w:rsid w:val="002B7FE4"/>
    <w:rsid w:val="002C097B"/>
    <w:rsid w:val="002C0B99"/>
    <w:rsid w:val="002C0F7C"/>
    <w:rsid w:val="002C10E1"/>
    <w:rsid w:val="002C1A6C"/>
    <w:rsid w:val="002C2032"/>
    <w:rsid w:val="002C22B2"/>
    <w:rsid w:val="002C2510"/>
    <w:rsid w:val="002C2775"/>
    <w:rsid w:val="002C27C1"/>
    <w:rsid w:val="002C27FA"/>
    <w:rsid w:val="002C2B28"/>
    <w:rsid w:val="002C2C36"/>
    <w:rsid w:val="002C36E3"/>
    <w:rsid w:val="002C45FC"/>
    <w:rsid w:val="002C5099"/>
    <w:rsid w:val="002C528B"/>
    <w:rsid w:val="002C52DA"/>
    <w:rsid w:val="002C585E"/>
    <w:rsid w:val="002C5889"/>
    <w:rsid w:val="002C62F8"/>
    <w:rsid w:val="002C64EA"/>
    <w:rsid w:val="002C6DA4"/>
    <w:rsid w:val="002C6E5E"/>
    <w:rsid w:val="002C71CE"/>
    <w:rsid w:val="002C731F"/>
    <w:rsid w:val="002C757D"/>
    <w:rsid w:val="002C790F"/>
    <w:rsid w:val="002C7B09"/>
    <w:rsid w:val="002C7C51"/>
    <w:rsid w:val="002C7D13"/>
    <w:rsid w:val="002D0206"/>
    <w:rsid w:val="002D0271"/>
    <w:rsid w:val="002D046E"/>
    <w:rsid w:val="002D064D"/>
    <w:rsid w:val="002D082D"/>
    <w:rsid w:val="002D08AA"/>
    <w:rsid w:val="002D08F8"/>
    <w:rsid w:val="002D0935"/>
    <w:rsid w:val="002D1649"/>
    <w:rsid w:val="002D2233"/>
    <w:rsid w:val="002D23B7"/>
    <w:rsid w:val="002D2C6A"/>
    <w:rsid w:val="002D2E0B"/>
    <w:rsid w:val="002D2E8F"/>
    <w:rsid w:val="002D3431"/>
    <w:rsid w:val="002D365E"/>
    <w:rsid w:val="002D3FF7"/>
    <w:rsid w:val="002D425B"/>
    <w:rsid w:val="002D4974"/>
    <w:rsid w:val="002D4A19"/>
    <w:rsid w:val="002D572C"/>
    <w:rsid w:val="002D577C"/>
    <w:rsid w:val="002D58B4"/>
    <w:rsid w:val="002D5FDA"/>
    <w:rsid w:val="002D6022"/>
    <w:rsid w:val="002D638B"/>
    <w:rsid w:val="002D714E"/>
    <w:rsid w:val="002D7397"/>
    <w:rsid w:val="002D7502"/>
    <w:rsid w:val="002D7832"/>
    <w:rsid w:val="002D7A57"/>
    <w:rsid w:val="002E04E7"/>
    <w:rsid w:val="002E0BF5"/>
    <w:rsid w:val="002E1071"/>
    <w:rsid w:val="002E15B9"/>
    <w:rsid w:val="002E165D"/>
    <w:rsid w:val="002E1EA6"/>
    <w:rsid w:val="002E204B"/>
    <w:rsid w:val="002E2158"/>
    <w:rsid w:val="002E27CA"/>
    <w:rsid w:val="002E2D5C"/>
    <w:rsid w:val="002E374F"/>
    <w:rsid w:val="002E3AC1"/>
    <w:rsid w:val="002E3C6E"/>
    <w:rsid w:val="002E4282"/>
    <w:rsid w:val="002E48F1"/>
    <w:rsid w:val="002E4E7C"/>
    <w:rsid w:val="002E4F02"/>
    <w:rsid w:val="002E4F8F"/>
    <w:rsid w:val="002E502E"/>
    <w:rsid w:val="002E595D"/>
    <w:rsid w:val="002E75D5"/>
    <w:rsid w:val="002E7618"/>
    <w:rsid w:val="002E7722"/>
    <w:rsid w:val="002F0193"/>
    <w:rsid w:val="002F02D9"/>
    <w:rsid w:val="002F0459"/>
    <w:rsid w:val="002F07BA"/>
    <w:rsid w:val="002F0D68"/>
    <w:rsid w:val="002F0DA9"/>
    <w:rsid w:val="002F0F8E"/>
    <w:rsid w:val="002F1014"/>
    <w:rsid w:val="002F1095"/>
    <w:rsid w:val="002F1E3B"/>
    <w:rsid w:val="002F1E65"/>
    <w:rsid w:val="002F23BF"/>
    <w:rsid w:val="002F27C0"/>
    <w:rsid w:val="002F2846"/>
    <w:rsid w:val="002F2C01"/>
    <w:rsid w:val="002F2CAD"/>
    <w:rsid w:val="002F30BF"/>
    <w:rsid w:val="002F37D6"/>
    <w:rsid w:val="002F3903"/>
    <w:rsid w:val="002F3E0D"/>
    <w:rsid w:val="002F4019"/>
    <w:rsid w:val="002F4BBD"/>
    <w:rsid w:val="002F513A"/>
    <w:rsid w:val="002F5368"/>
    <w:rsid w:val="002F5464"/>
    <w:rsid w:val="002F6278"/>
    <w:rsid w:val="002F643C"/>
    <w:rsid w:val="002F65C3"/>
    <w:rsid w:val="002F67FD"/>
    <w:rsid w:val="002F6A9E"/>
    <w:rsid w:val="002F6E38"/>
    <w:rsid w:val="002F71C0"/>
    <w:rsid w:val="002F7379"/>
    <w:rsid w:val="002F73B4"/>
    <w:rsid w:val="002F74F1"/>
    <w:rsid w:val="002F78A1"/>
    <w:rsid w:val="002F7E7F"/>
    <w:rsid w:val="00300BD0"/>
    <w:rsid w:val="00300C17"/>
    <w:rsid w:val="00301017"/>
    <w:rsid w:val="0030155F"/>
    <w:rsid w:val="00301B8D"/>
    <w:rsid w:val="00301BF2"/>
    <w:rsid w:val="00301CC2"/>
    <w:rsid w:val="00302F5E"/>
    <w:rsid w:val="00303048"/>
    <w:rsid w:val="003032E3"/>
    <w:rsid w:val="0030474F"/>
    <w:rsid w:val="0030501B"/>
    <w:rsid w:val="0030542A"/>
    <w:rsid w:val="0030587B"/>
    <w:rsid w:val="00305CFB"/>
    <w:rsid w:val="00305FC5"/>
    <w:rsid w:val="00306209"/>
    <w:rsid w:val="00306A9D"/>
    <w:rsid w:val="00306D98"/>
    <w:rsid w:val="0030710B"/>
    <w:rsid w:val="003072A4"/>
    <w:rsid w:val="0030738F"/>
    <w:rsid w:val="00307740"/>
    <w:rsid w:val="00307758"/>
    <w:rsid w:val="0030786C"/>
    <w:rsid w:val="00307B48"/>
    <w:rsid w:val="00307CD4"/>
    <w:rsid w:val="003102EC"/>
    <w:rsid w:val="0031031A"/>
    <w:rsid w:val="00310981"/>
    <w:rsid w:val="00310C91"/>
    <w:rsid w:val="00310D3A"/>
    <w:rsid w:val="0031113E"/>
    <w:rsid w:val="00311D9B"/>
    <w:rsid w:val="003120E6"/>
    <w:rsid w:val="003121C5"/>
    <w:rsid w:val="003124D9"/>
    <w:rsid w:val="00312594"/>
    <w:rsid w:val="00312E02"/>
    <w:rsid w:val="003134E9"/>
    <w:rsid w:val="003136B9"/>
    <w:rsid w:val="00313D88"/>
    <w:rsid w:val="00314C5C"/>
    <w:rsid w:val="00314F9E"/>
    <w:rsid w:val="00315498"/>
    <w:rsid w:val="00315F9C"/>
    <w:rsid w:val="00316474"/>
    <w:rsid w:val="003166E8"/>
    <w:rsid w:val="00316993"/>
    <w:rsid w:val="00316DA5"/>
    <w:rsid w:val="00317809"/>
    <w:rsid w:val="00317CA6"/>
    <w:rsid w:val="00317D1D"/>
    <w:rsid w:val="003201C9"/>
    <w:rsid w:val="00321867"/>
    <w:rsid w:val="00321AC8"/>
    <w:rsid w:val="00321E81"/>
    <w:rsid w:val="0032208E"/>
    <w:rsid w:val="00322107"/>
    <w:rsid w:val="00322355"/>
    <w:rsid w:val="00322425"/>
    <w:rsid w:val="00322846"/>
    <w:rsid w:val="003231C2"/>
    <w:rsid w:val="0032321C"/>
    <w:rsid w:val="003239CC"/>
    <w:rsid w:val="003244DA"/>
    <w:rsid w:val="003245CE"/>
    <w:rsid w:val="00324631"/>
    <w:rsid w:val="00324654"/>
    <w:rsid w:val="003246E9"/>
    <w:rsid w:val="00325913"/>
    <w:rsid w:val="00326301"/>
    <w:rsid w:val="00326661"/>
    <w:rsid w:val="00326DA7"/>
    <w:rsid w:val="003270E4"/>
    <w:rsid w:val="003272CE"/>
    <w:rsid w:val="00327619"/>
    <w:rsid w:val="00327E21"/>
    <w:rsid w:val="0033031F"/>
    <w:rsid w:val="003305E9"/>
    <w:rsid w:val="00330694"/>
    <w:rsid w:val="00330897"/>
    <w:rsid w:val="00330DAA"/>
    <w:rsid w:val="00330DE5"/>
    <w:rsid w:val="00330F5C"/>
    <w:rsid w:val="003315A5"/>
    <w:rsid w:val="0033170F"/>
    <w:rsid w:val="00331710"/>
    <w:rsid w:val="0033191D"/>
    <w:rsid w:val="003322B5"/>
    <w:rsid w:val="00332EFD"/>
    <w:rsid w:val="003333D9"/>
    <w:rsid w:val="00333E90"/>
    <w:rsid w:val="00334F01"/>
    <w:rsid w:val="00335632"/>
    <w:rsid w:val="00335A9D"/>
    <w:rsid w:val="00335CCB"/>
    <w:rsid w:val="00336135"/>
    <w:rsid w:val="003366C9"/>
    <w:rsid w:val="00336EED"/>
    <w:rsid w:val="003371B0"/>
    <w:rsid w:val="00340712"/>
    <w:rsid w:val="00340DF1"/>
    <w:rsid w:val="00341014"/>
    <w:rsid w:val="0034202B"/>
    <w:rsid w:val="003427D0"/>
    <w:rsid w:val="00343DD4"/>
    <w:rsid w:val="00344233"/>
    <w:rsid w:val="00344392"/>
    <w:rsid w:val="00345A60"/>
    <w:rsid w:val="00345AA4"/>
    <w:rsid w:val="00346037"/>
    <w:rsid w:val="003466A5"/>
    <w:rsid w:val="00346973"/>
    <w:rsid w:val="00346CA7"/>
    <w:rsid w:val="00347891"/>
    <w:rsid w:val="00347E58"/>
    <w:rsid w:val="00350428"/>
    <w:rsid w:val="003517F9"/>
    <w:rsid w:val="00351836"/>
    <w:rsid w:val="00351A82"/>
    <w:rsid w:val="00351BA9"/>
    <w:rsid w:val="003523AC"/>
    <w:rsid w:val="0035266E"/>
    <w:rsid w:val="00352671"/>
    <w:rsid w:val="003532FD"/>
    <w:rsid w:val="00354BD2"/>
    <w:rsid w:val="00354F64"/>
    <w:rsid w:val="003552E6"/>
    <w:rsid w:val="0035589E"/>
    <w:rsid w:val="00355B31"/>
    <w:rsid w:val="00355CE5"/>
    <w:rsid w:val="003560EF"/>
    <w:rsid w:val="0035620E"/>
    <w:rsid w:val="0035742D"/>
    <w:rsid w:val="0035756F"/>
    <w:rsid w:val="003575BE"/>
    <w:rsid w:val="0035771A"/>
    <w:rsid w:val="00357B31"/>
    <w:rsid w:val="00357BF3"/>
    <w:rsid w:val="00360345"/>
    <w:rsid w:val="0036052A"/>
    <w:rsid w:val="00360AB1"/>
    <w:rsid w:val="003614D8"/>
    <w:rsid w:val="00361A05"/>
    <w:rsid w:val="00361AE9"/>
    <w:rsid w:val="00362097"/>
    <w:rsid w:val="003624C4"/>
    <w:rsid w:val="00362930"/>
    <w:rsid w:val="00362C60"/>
    <w:rsid w:val="00363A6A"/>
    <w:rsid w:val="00363B00"/>
    <w:rsid w:val="00364079"/>
    <w:rsid w:val="0036502D"/>
    <w:rsid w:val="003654AC"/>
    <w:rsid w:val="00365972"/>
    <w:rsid w:val="00365DAA"/>
    <w:rsid w:val="0036611F"/>
    <w:rsid w:val="0036649B"/>
    <w:rsid w:val="003668E6"/>
    <w:rsid w:val="003671E8"/>
    <w:rsid w:val="00367676"/>
    <w:rsid w:val="003676E9"/>
    <w:rsid w:val="00367C38"/>
    <w:rsid w:val="00370019"/>
    <w:rsid w:val="00370051"/>
    <w:rsid w:val="003703B2"/>
    <w:rsid w:val="003703DC"/>
    <w:rsid w:val="0037065A"/>
    <w:rsid w:val="00370BA1"/>
    <w:rsid w:val="00370FF4"/>
    <w:rsid w:val="003710CF"/>
    <w:rsid w:val="003714BE"/>
    <w:rsid w:val="00372227"/>
    <w:rsid w:val="00372326"/>
    <w:rsid w:val="00373211"/>
    <w:rsid w:val="0037358A"/>
    <w:rsid w:val="003737AB"/>
    <w:rsid w:val="00373DE3"/>
    <w:rsid w:val="00373FB1"/>
    <w:rsid w:val="003750F6"/>
    <w:rsid w:val="00375A27"/>
    <w:rsid w:val="00375E8B"/>
    <w:rsid w:val="003760FC"/>
    <w:rsid w:val="003761B8"/>
    <w:rsid w:val="0037635C"/>
    <w:rsid w:val="0037668F"/>
    <w:rsid w:val="00376E0D"/>
    <w:rsid w:val="00377480"/>
    <w:rsid w:val="003776AE"/>
    <w:rsid w:val="00377ADD"/>
    <w:rsid w:val="00377E6A"/>
    <w:rsid w:val="00380008"/>
    <w:rsid w:val="003809D1"/>
    <w:rsid w:val="00380BE2"/>
    <w:rsid w:val="00380EF7"/>
    <w:rsid w:val="0038152F"/>
    <w:rsid w:val="0038189A"/>
    <w:rsid w:val="003826E2"/>
    <w:rsid w:val="00382B87"/>
    <w:rsid w:val="00382DCF"/>
    <w:rsid w:val="0038305C"/>
    <w:rsid w:val="00383373"/>
    <w:rsid w:val="0038365C"/>
    <w:rsid w:val="0038369B"/>
    <w:rsid w:val="00383B78"/>
    <w:rsid w:val="00383F8D"/>
    <w:rsid w:val="00384F7E"/>
    <w:rsid w:val="00385A9D"/>
    <w:rsid w:val="00386A8E"/>
    <w:rsid w:val="00386CF0"/>
    <w:rsid w:val="00386E01"/>
    <w:rsid w:val="00387121"/>
    <w:rsid w:val="00387251"/>
    <w:rsid w:val="00387D97"/>
    <w:rsid w:val="003902B1"/>
    <w:rsid w:val="003909F3"/>
    <w:rsid w:val="00390ADE"/>
    <w:rsid w:val="00391159"/>
    <w:rsid w:val="00391783"/>
    <w:rsid w:val="0039179C"/>
    <w:rsid w:val="00391D03"/>
    <w:rsid w:val="003922DA"/>
    <w:rsid w:val="00392B87"/>
    <w:rsid w:val="00392F3E"/>
    <w:rsid w:val="00393B62"/>
    <w:rsid w:val="00393E90"/>
    <w:rsid w:val="00393F00"/>
    <w:rsid w:val="00395B90"/>
    <w:rsid w:val="00396896"/>
    <w:rsid w:val="00396AB2"/>
    <w:rsid w:val="00396CE2"/>
    <w:rsid w:val="00396FD0"/>
    <w:rsid w:val="003971DB"/>
    <w:rsid w:val="003975D5"/>
    <w:rsid w:val="003A05A9"/>
    <w:rsid w:val="003A0661"/>
    <w:rsid w:val="003A179F"/>
    <w:rsid w:val="003A1A7A"/>
    <w:rsid w:val="003A2392"/>
    <w:rsid w:val="003A257B"/>
    <w:rsid w:val="003A2831"/>
    <w:rsid w:val="003A3154"/>
    <w:rsid w:val="003A3304"/>
    <w:rsid w:val="003A3CB6"/>
    <w:rsid w:val="003A3ED1"/>
    <w:rsid w:val="003A4124"/>
    <w:rsid w:val="003A44DB"/>
    <w:rsid w:val="003A4C14"/>
    <w:rsid w:val="003A55A3"/>
    <w:rsid w:val="003A5734"/>
    <w:rsid w:val="003A60A9"/>
    <w:rsid w:val="003A69CF"/>
    <w:rsid w:val="003A6FB9"/>
    <w:rsid w:val="003A71F6"/>
    <w:rsid w:val="003A7422"/>
    <w:rsid w:val="003B0349"/>
    <w:rsid w:val="003B090A"/>
    <w:rsid w:val="003B09FB"/>
    <w:rsid w:val="003B0C08"/>
    <w:rsid w:val="003B12FF"/>
    <w:rsid w:val="003B16B6"/>
    <w:rsid w:val="003B18AF"/>
    <w:rsid w:val="003B19DA"/>
    <w:rsid w:val="003B1A86"/>
    <w:rsid w:val="003B1B1A"/>
    <w:rsid w:val="003B2057"/>
    <w:rsid w:val="003B2727"/>
    <w:rsid w:val="003B2D47"/>
    <w:rsid w:val="003B2F22"/>
    <w:rsid w:val="003B3971"/>
    <w:rsid w:val="003B399F"/>
    <w:rsid w:val="003B3CEF"/>
    <w:rsid w:val="003B442F"/>
    <w:rsid w:val="003B4435"/>
    <w:rsid w:val="003B54D0"/>
    <w:rsid w:val="003B5578"/>
    <w:rsid w:val="003B55D1"/>
    <w:rsid w:val="003B5A0D"/>
    <w:rsid w:val="003B5B61"/>
    <w:rsid w:val="003B6307"/>
    <w:rsid w:val="003B65D4"/>
    <w:rsid w:val="003B671D"/>
    <w:rsid w:val="003B6B27"/>
    <w:rsid w:val="003B6E37"/>
    <w:rsid w:val="003B71E0"/>
    <w:rsid w:val="003B731E"/>
    <w:rsid w:val="003C026E"/>
    <w:rsid w:val="003C045B"/>
    <w:rsid w:val="003C1278"/>
    <w:rsid w:val="003C1654"/>
    <w:rsid w:val="003C2A0D"/>
    <w:rsid w:val="003C2CF0"/>
    <w:rsid w:val="003C3023"/>
    <w:rsid w:val="003C33C2"/>
    <w:rsid w:val="003C5044"/>
    <w:rsid w:val="003C5542"/>
    <w:rsid w:val="003C56D5"/>
    <w:rsid w:val="003C5742"/>
    <w:rsid w:val="003C6685"/>
    <w:rsid w:val="003C6E5F"/>
    <w:rsid w:val="003C7223"/>
    <w:rsid w:val="003C7473"/>
    <w:rsid w:val="003C7A44"/>
    <w:rsid w:val="003C7C15"/>
    <w:rsid w:val="003C7D19"/>
    <w:rsid w:val="003C7D2F"/>
    <w:rsid w:val="003C7F8E"/>
    <w:rsid w:val="003D0334"/>
    <w:rsid w:val="003D0504"/>
    <w:rsid w:val="003D0C18"/>
    <w:rsid w:val="003D0C5A"/>
    <w:rsid w:val="003D0D2D"/>
    <w:rsid w:val="003D0E9C"/>
    <w:rsid w:val="003D1828"/>
    <w:rsid w:val="003D1B92"/>
    <w:rsid w:val="003D1DE4"/>
    <w:rsid w:val="003D1E9A"/>
    <w:rsid w:val="003D1F48"/>
    <w:rsid w:val="003D2422"/>
    <w:rsid w:val="003D2692"/>
    <w:rsid w:val="003D2E1E"/>
    <w:rsid w:val="003D2E6A"/>
    <w:rsid w:val="003D3270"/>
    <w:rsid w:val="003D39A1"/>
    <w:rsid w:val="003D3F26"/>
    <w:rsid w:val="003D3FBF"/>
    <w:rsid w:val="003D4A30"/>
    <w:rsid w:val="003D4E1B"/>
    <w:rsid w:val="003D5821"/>
    <w:rsid w:val="003D5DD3"/>
    <w:rsid w:val="003D7135"/>
    <w:rsid w:val="003D7452"/>
    <w:rsid w:val="003D78C3"/>
    <w:rsid w:val="003D79BB"/>
    <w:rsid w:val="003D7C98"/>
    <w:rsid w:val="003D7D9D"/>
    <w:rsid w:val="003D7DA1"/>
    <w:rsid w:val="003E0543"/>
    <w:rsid w:val="003E06EB"/>
    <w:rsid w:val="003E081E"/>
    <w:rsid w:val="003E0A79"/>
    <w:rsid w:val="003E1799"/>
    <w:rsid w:val="003E18D4"/>
    <w:rsid w:val="003E195E"/>
    <w:rsid w:val="003E2DDE"/>
    <w:rsid w:val="003E3076"/>
    <w:rsid w:val="003E3AF4"/>
    <w:rsid w:val="003E3EA9"/>
    <w:rsid w:val="003E4130"/>
    <w:rsid w:val="003E4169"/>
    <w:rsid w:val="003E48D1"/>
    <w:rsid w:val="003E5189"/>
    <w:rsid w:val="003E5603"/>
    <w:rsid w:val="003E5E8C"/>
    <w:rsid w:val="003E63AA"/>
    <w:rsid w:val="003E6650"/>
    <w:rsid w:val="003E749E"/>
    <w:rsid w:val="003E75AF"/>
    <w:rsid w:val="003E7610"/>
    <w:rsid w:val="003E7A87"/>
    <w:rsid w:val="003F0441"/>
    <w:rsid w:val="003F061F"/>
    <w:rsid w:val="003F125C"/>
    <w:rsid w:val="003F17D8"/>
    <w:rsid w:val="003F2455"/>
    <w:rsid w:val="003F2651"/>
    <w:rsid w:val="003F2CF4"/>
    <w:rsid w:val="003F2F05"/>
    <w:rsid w:val="003F3063"/>
    <w:rsid w:val="003F315D"/>
    <w:rsid w:val="003F3BC4"/>
    <w:rsid w:val="003F3E0D"/>
    <w:rsid w:val="003F4156"/>
    <w:rsid w:val="003F41D9"/>
    <w:rsid w:val="003F4BA4"/>
    <w:rsid w:val="003F4BC6"/>
    <w:rsid w:val="003F572C"/>
    <w:rsid w:val="003F5ADF"/>
    <w:rsid w:val="003F5D5C"/>
    <w:rsid w:val="003F63F8"/>
    <w:rsid w:val="003F6605"/>
    <w:rsid w:val="003F6BF7"/>
    <w:rsid w:val="003F711A"/>
    <w:rsid w:val="003F73E0"/>
    <w:rsid w:val="003F751B"/>
    <w:rsid w:val="003F7705"/>
    <w:rsid w:val="00400479"/>
    <w:rsid w:val="00400B0B"/>
    <w:rsid w:val="00400B29"/>
    <w:rsid w:val="00400E0A"/>
    <w:rsid w:val="00400EEB"/>
    <w:rsid w:val="004012F7"/>
    <w:rsid w:val="0040169F"/>
    <w:rsid w:val="00401981"/>
    <w:rsid w:val="00402499"/>
    <w:rsid w:val="00402812"/>
    <w:rsid w:val="00402BC2"/>
    <w:rsid w:val="00403256"/>
    <w:rsid w:val="004045F4"/>
    <w:rsid w:val="004046C9"/>
    <w:rsid w:val="0040504B"/>
    <w:rsid w:val="004053E4"/>
    <w:rsid w:val="004055FD"/>
    <w:rsid w:val="0040578B"/>
    <w:rsid w:val="004059F4"/>
    <w:rsid w:val="0040660E"/>
    <w:rsid w:val="00406805"/>
    <w:rsid w:val="004073CC"/>
    <w:rsid w:val="00407F24"/>
    <w:rsid w:val="00407FE5"/>
    <w:rsid w:val="004101B0"/>
    <w:rsid w:val="00410326"/>
    <w:rsid w:val="004104E5"/>
    <w:rsid w:val="00410708"/>
    <w:rsid w:val="00410EC7"/>
    <w:rsid w:val="00410F16"/>
    <w:rsid w:val="00411064"/>
    <w:rsid w:val="004116D9"/>
    <w:rsid w:val="00411B39"/>
    <w:rsid w:val="00411D86"/>
    <w:rsid w:val="00412277"/>
    <w:rsid w:val="0041255E"/>
    <w:rsid w:val="00412786"/>
    <w:rsid w:val="004127A7"/>
    <w:rsid w:val="00412ED0"/>
    <w:rsid w:val="00412EDC"/>
    <w:rsid w:val="00413025"/>
    <w:rsid w:val="004136DB"/>
    <w:rsid w:val="00413972"/>
    <w:rsid w:val="00413A1E"/>
    <w:rsid w:val="00413C43"/>
    <w:rsid w:val="0041402C"/>
    <w:rsid w:val="00414476"/>
    <w:rsid w:val="00414C2E"/>
    <w:rsid w:val="004151CF"/>
    <w:rsid w:val="00415281"/>
    <w:rsid w:val="00415527"/>
    <w:rsid w:val="0041558D"/>
    <w:rsid w:val="00415632"/>
    <w:rsid w:val="004157B4"/>
    <w:rsid w:val="004161C6"/>
    <w:rsid w:val="00416364"/>
    <w:rsid w:val="00416A05"/>
    <w:rsid w:val="00416C3B"/>
    <w:rsid w:val="004175B2"/>
    <w:rsid w:val="00417E16"/>
    <w:rsid w:val="004202D1"/>
    <w:rsid w:val="0042047F"/>
    <w:rsid w:val="00420911"/>
    <w:rsid w:val="00420AA6"/>
    <w:rsid w:val="00420B9F"/>
    <w:rsid w:val="004213D2"/>
    <w:rsid w:val="0042192C"/>
    <w:rsid w:val="00421C53"/>
    <w:rsid w:val="00421F7B"/>
    <w:rsid w:val="00422109"/>
    <w:rsid w:val="00422161"/>
    <w:rsid w:val="00422260"/>
    <w:rsid w:val="0042264E"/>
    <w:rsid w:val="00422A38"/>
    <w:rsid w:val="004237DE"/>
    <w:rsid w:val="00423C69"/>
    <w:rsid w:val="00423F8A"/>
    <w:rsid w:val="0042413F"/>
    <w:rsid w:val="0042501A"/>
    <w:rsid w:val="00425097"/>
    <w:rsid w:val="00425897"/>
    <w:rsid w:val="00425F34"/>
    <w:rsid w:val="0042600C"/>
    <w:rsid w:val="00426176"/>
    <w:rsid w:val="00426DA3"/>
    <w:rsid w:val="00427022"/>
    <w:rsid w:val="00427213"/>
    <w:rsid w:val="004275C8"/>
    <w:rsid w:val="004278E3"/>
    <w:rsid w:val="00427C91"/>
    <w:rsid w:val="00427D8F"/>
    <w:rsid w:val="00430028"/>
    <w:rsid w:val="0043028B"/>
    <w:rsid w:val="004319F8"/>
    <w:rsid w:val="00431C4C"/>
    <w:rsid w:val="00431E55"/>
    <w:rsid w:val="004321F6"/>
    <w:rsid w:val="00432311"/>
    <w:rsid w:val="00432DEB"/>
    <w:rsid w:val="00432E83"/>
    <w:rsid w:val="00432FD5"/>
    <w:rsid w:val="00433044"/>
    <w:rsid w:val="00433181"/>
    <w:rsid w:val="00433277"/>
    <w:rsid w:val="00433496"/>
    <w:rsid w:val="00434088"/>
    <w:rsid w:val="004343DC"/>
    <w:rsid w:val="00434414"/>
    <w:rsid w:val="00434424"/>
    <w:rsid w:val="00434D5A"/>
    <w:rsid w:val="00434DEF"/>
    <w:rsid w:val="004358C1"/>
    <w:rsid w:val="00435E3D"/>
    <w:rsid w:val="00436337"/>
    <w:rsid w:val="00436358"/>
    <w:rsid w:val="0043670F"/>
    <w:rsid w:val="004368BE"/>
    <w:rsid w:val="00436BAA"/>
    <w:rsid w:val="0043745A"/>
    <w:rsid w:val="004375B9"/>
    <w:rsid w:val="00437792"/>
    <w:rsid w:val="00437E81"/>
    <w:rsid w:val="004400F2"/>
    <w:rsid w:val="004404C3"/>
    <w:rsid w:val="00440BC4"/>
    <w:rsid w:val="0044130C"/>
    <w:rsid w:val="004418FC"/>
    <w:rsid w:val="004420EB"/>
    <w:rsid w:val="004428D0"/>
    <w:rsid w:val="004430E8"/>
    <w:rsid w:val="004433D1"/>
    <w:rsid w:val="004434C7"/>
    <w:rsid w:val="0044380B"/>
    <w:rsid w:val="00443999"/>
    <w:rsid w:val="00443C51"/>
    <w:rsid w:val="00443D1C"/>
    <w:rsid w:val="00443DC4"/>
    <w:rsid w:val="00444185"/>
    <w:rsid w:val="00444359"/>
    <w:rsid w:val="004443A7"/>
    <w:rsid w:val="0044442C"/>
    <w:rsid w:val="004444A6"/>
    <w:rsid w:val="004449F7"/>
    <w:rsid w:val="00444A6A"/>
    <w:rsid w:val="00444B72"/>
    <w:rsid w:val="004451FB"/>
    <w:rsid w:val="00445310"/>
    <w:rsid w:val="00445812"/>
    <w:rsid w:val="00445941"/>
    <w:rsid w:val="00445955"/>
    <w:rsid w:val="0044597C"/>
    <w:rsid w:val="00445A5F"/>
    <w:rsid w:val="004464EB"/>
    <w:rsid w:val="00446F0C"/>
    <w:rsid w:val="00447AB1"/>
    <w:rsid w:val="00447D26"/>
    <w:rsid w:val="00447DFC"/>
    <w:rsid w:val="00450003"/>
    <w:rsid w:val="0045011D"/>
    <w:rsid w:val="00450BCE"/>
    <w:rsid w:val="00450D90"/>
    <w:rsid w:val="00451CC1"/>
    <w:rsid w:val="00453709"/>
    <w:rsid w:val="00453750"/>
    <w:rsid w:val="00453894"/>
    <w:rsid w:val="00453A64"/>
    <w:rsid w:val="004545CB"/>
    <w:rsid w:val="00454B12"/>
    <w:rsid w:val="00455822"/>
    <w:rsid w:val="00455A31"/>
    <w:rsid w:val="00455D45"/>
    <w:rsid w:val="00456D74"/>
    <w:rsid w:val="00456EC7"/>
    <w:rsid w:val="004575C7"/>
    <w:rsid w:val="0045774B"/>
    <w:rsid w:val="00460038"/>
    <w:rsid w:val="004609EA"/>
    <w:rsid w:val="00460A4C"/>
    <w:rsid w:val="00460E8D"/>
    <w:rsid w:val="00461B77"/>
    <w:rsid w:val="004621A9"/>
    <w:rsid w:val="00462599"/>
    <w:rsid w:val="00462D4F"/>
    <w:rsid w:val="00463542"/>
    <w:rsid w:val="00464588"/>
    <w:rsid w:val="00464595"/>
    <w:rsid w:val="00464CDC"/>
    <w:rsid w:val="004658B5"/>
    <w:rsid w:val="004658C6"/>
    <w:rsid w:val="0046645B"/>
    <w:rsid w:val="0046656F"/>
    <w:rsid w:val="00466B8A"/>
    <w:rsid w:val="0046744E"/>
    <w:rsid w:val="0046782A"/>
    <w:rsid w:val="004679FB"/>
    <w:rsid w:val="00470485"/>
    <w:rsid w:val="00470655"/>
    <w:rsid w:val="0047093C"/>
    <w:rsid w:val="00470B32"/>
    <w:rsid w:val="00471584"/>
    <w:rsid w:val="004717CC"/>
    <w:rsid w:val="00471A56"/>
    <w:rsid w:val="00471C1A"/>
    <w:rsid w:val="00471EA5"/>
    <w:rsid w:val="00472A79"/>
    <w:rsid w:val="00472BB5"/>
    <w:rsid w:val="00473A17"/>
    <w:rsid w:val="00473F19"/>
    <w:rsid w:val="00474EB3"/>
    <w:rsid w:val="0047588F"/>
    <w:rsid w:val="00475CB1"/>
    <w:rsid w:val="00475E22"/>
    <w:rsid w:val="00476061"/>
    <w:rsid w:val="00477552"/>
    <w:rsid w:val="0047772D"/>
    <w:rsid w:val="004778CC"/>
    <w:rsid w:val="00477A9B"/>
    <w:rsid w:val="00477BCC"/>
    <w:rsid w:val="00477C2D"/>
    <w:rsid w:val="00480375"/>
    <w:rsid w:val="0048088E"/>
    <w:rsid w:val="004809CC"/>
    <w:rsid w:val="00480F2B"/>
    <w:rsid w:val="00481004"/>
    <w:rsid w:val="004810BE"/>
    <w:rsid w:val="004817FA"/>
    <w:rsid w:val="00481F21"/>
    <w:rsid w:val="00482373"/>
    <w:rsid w:val="00482720"/>
    <w:rsid w:val="00482AB2"/>
    <w:rsid w:val="00482D84"/>
    <w:rsid w:val="00482FE4"/>
    <w:rsid w:val="004835E7"/>
    <w:rsid w:val="00483DCA"/>
    <w:rsid w:val="004848CE"/>
    <w:rsid w:val="0048514A"/>
    <w:rsid w:val="00485966"/>
    <w:rsid w:val="004859E1"/>
    <w:rsid w:val="00485DC3"/>
    <w:rsid w:val="00486432"/>
    <w:rsid w:val="004867E2"/>
    <w:rsid w:val="00486849"/>
    <w:rsid w:val="00486C68"/>
    <w:rsid w:val="0048727E"/>
    <w:rsid w:val="00487945"/>
    <w:rsid w:val="00490476"/>
    <w:rsid w:val="004907F6"/>
    <w:rsid w:val="00490B17"/>
    <w:rsid w:val="00490D81"/>
    <w:rsid w:val="0049162D"/>
    <w:rsid w:val="00491B3A"/>
    <w:rsid w:val="00492755"/>
    <w:rsid w:val="004927CF"/>
    <w:rsid w:val="00492A15"/>
    <w:rsid w:val="00492CFD"/>
    <w:rsid w:val="00493090"/>
    <w:rsid w:val="004939D9"/>
    <w:rsid w:val="00493A11"/>
    <w:rsid w:val="00494207"/>
    <w:rsid w:val="00494DD5"/>
    <w:rsid w:val="00494DF8"/>
    <w:rsid w:val="00494EC6"/>
    <w:rsid w:val="00495079"/>
    <w:rsid w:val="004953FB"/>
    <w:rsid w:val="0049579C"/>
    <w:rsid w:val="00495BE3"/>
    <w:rsid w:val="00495FEC"/>
    <w:rsid w:val="004962D2"/>
    <w:rsid w:val="00496681"/>
    <w:rsid w:val="00496CB6"/>
    <w:rsid w:val="00496E23"/>
    <w:rsid w:val="0049778B"/>
    <w:rsid w:val="00497E46"/>
    <w:rsid w:val="004A0DA1"/>
    <w:rsid w:val="004A0F69"/>
    <w:rsid w:val="004A1108"/>
    <w:rsid w:val="004A11CE"/>
    <w:rsid w:val="004A13D6"/>
    <w:rsid w:val="004A14A3"/>
    <w:rsid w:val="004A1924"/>
    <w:rsid w:val="004A1AE0"/>
    <w:rsid w:val="004A1BBA"/>
    <w:rsid w:val="004A3A44"/>
    <w:rsid w:val="004A3BEE"/>
    <w:rsid w:val="004A445E"/>
    <w:rsid w:val="004A461D"/>
    <w:rsid w:val="004A46FA"/>
    <w:rsid w:val="004A47CA"/>
    <w:rsid w:val="004A52E9"/>
    <w:rsid w:val="004A588C"/>
    <w:rsid w:val="004A59CA"/>
    <w:rsid w:val="004A5C8C"/>
    <w:rsid w:val="004A5FD3"/>
    <w:rsid w:val="004A6040"/>
    <w:rsid w:val="004A655E"/>
    <w:rsid w:val="004A6597"/>
    <w:rsid w:val="004A7196"/>
    <w:rsid w:val="004A725D"/>
    <w:rsid w:val="004A7848"/>
    <w:rsid w:val="004A793B"/>
    <w:rsid w:val="004B1C9B"/>
    <w:rsid w:val="004B1CB4"/>
    <w:rsid w:val="004B214C"/>
    <w:rsid w:val="004B2224"/>
    <w:rsid w:val="004B2F18"/>
    <w:rsid w:val="004B3145"/>
    <w:rsid w:val="004B3417"/>
    <w:rsid w:val="004B380E"/>
    <w:rsid w:val="004B3DDB"/>
    <w:rsid w:val="004B43AA"/>
    <w:rsid w:val="004B44FD"/>
    <w:rsid w:val="004B47CC"/>
    <w:rsid w:val="004B4F6B"/>
    <w:rsid w:val="004B5C80"/>
    <w:rsid w:val="004B5CFC"/>
    <w:rsid w:val="004B5F0D"/>
    <w:rsid w:val="004B6660"/>
    <w:rsid w:val="004B6E35"/>
    <w:rsid w:val="004B6F79"/>
    <w:rsid w:val="004B75D7"/>
    <w:rsid w:val="004B774D"/>
    <w:rsid w:val="004B7A66"/>
    <w:rsid w:val="004B7C1E"/>
    <w:rsid w:val="004B7E31"/>
    <w:rsid w:val="004C0B76"/>
    <w:rsid w:val="004C0FCE"/>
    <w:rsid w:val="004C1214"/>
    <w:rsid w:val="004C1453"/>
    <w:rsid w:val="004C1712"/>
    <w:rsid w:val="004C19BA"/>
    <w:rsid w:val="004C1BE1"/>
    <w:rsid w:val="004C1C2D"/>
    <w:rsid w:val="004C2264"/>
    <w:rsid w:val="004C2AC2"/>
    <w:rsid w:val="004C3294"/>
    <w:rsid w:val="004C37A2"/>
    <w:rsid w:val="004C3A65"/>
    <w:rsid w:val="004C3EF1"/>
    <w:rsid w:val="004C412A"/>
    <w:rsid w:val="004C41D2"/>
    <w:rsid w:val="004C48C9"/>
    <w:rsid w:val="004C4AED"/>
    <w:rsid w:val="004C4D4E"/>
    <w:rsid w:val="004C5254"/>
    <w:rsid w:val="004C5C87"/>
    <w:rsid w:val="004C624F"/>
    <w:rsid w:val="004C65F8"/>
    <w:rsid w:val="004C6975"/>
    <w:rsid w:val="004C6EEC"/>
    <w:rsid w:val="004C769E"/>
    <w:rsid w:val="004C7A31"/>
    <w:rsid w:val="004D036D"/>
    <w:rsid w:val="004D03B0"/>
    <w:rsid w:val="004D06C3"/>
    <w:rsid w:val="004D15A3"/>
    <w:rsid w:val="004D1AD2"/>
    <w:rsid w:val="004D2226"/>
    <w:rsid w:val="004D2C2D"/>
    <w:rsid w:val="004D2DBA"/>
    <w:rsid w:val="004D344C"/>
    <w:rsid w:val="004D3714"/>
    <w:rsid w:val="004D397B"/>
    <w:rsid w:val="004D3A6F"/>
    <w:rsid w:val="004D3D53"/>
    <w:rsid w:val="004D3E22"/>
    <w:rsid w:val="004D3F6D"/>
    <w:rsid w:val="004D40A1"/>
    <w:rsid w:val="004D41B6"/>
    <w:rsid w:val="004D42E1"/>
    <w:rsid w:val="004D5209"/>
    <w:rsid w:val="004D6159"/>
    <w:rsid w:val="004D6388"/>
    <w:rsid w:val="004D69B5"/>
    <w:rsid w:val="004D6D72"/>
    <w:rsid w:val="004D7227"/>
    <w:rsid w:val="004D7548"/>
    <w:rsid w:val="004D7B5E"/>
    <w:rsid w:val="004D7CFD"/>
    <w:rsid w:val="004D7F2D"/>
    <w:rsid w:val="004E01CB"/>
    <w:rsid w:val="004E02D2"/>
    <w:rsid w:val="004E08AE"/>
    <w:rsid w:val="004E0E7F"/>
    <w:rsid w:val="004E0EB8"/>
    <w:rsid w:val="004E18E9"/>
    <w:rsid w:val="004E2298"/>
    <w:rsid w:val="004E29ED"/>
    <w:rsid w:val="004E2ADC"/>
    <w:rsid w:val="004E2D22"/>
    <w:rsid w:val="004E43B2"/>
    <w:rsid w:val="004E4A36"/>
    <w:rsid w:val="004E4C6A"/>
    <w:rsid w:val="004E512D"/>
    <w:rsid w:val="004E6974"/>
    <w:rsid w:val="004E6B46"/>
    <w:rsid w:val="004E7021"/>
    <w:rsid w:val="004E734F"/>
    <w:rsid w:val="004E78FE"/>
    <w:rsid w:val="004E7A2D"/>
    <w:rsid w:val="004E7F0B"/>
    <w:rsid w:val="004F05B4"/>
    <w:rsid w:val="004F0A57"/>
    <w:rsid w:val="004F132A"/>
    <w:rsid w:val="004F141B"/>
    <w:rsid w:val="004F19E3"/>
    <w:rsid w:val="004F1BAC"/>
    <w:rsid w:val="004F1D02"/>
    <w:rsid w:val="004F25B2"/>
    <w:rsid w:val="004F2679"/>
    <w:rsid w:val="004F2A83"/>
    <w:rsid w:val="004F2B48"/>
    <w:rsid w:val="004F2F21"/>
    <w:rsid w:val="004F2FFD"/>
    <w:rsid w:val="004F3496"/>
    <w:rsid w:val="004F3DE5"/>
    <w:rsid w:val="004F40A2"/>
    <w:rsid w:val="004F4230"/>
    <w:rsid w:val="004F4441"/>
    <w:rsid w:val="004F6913"/>
    <w:rsid w:val="004F7013"/>
    <w:rsid w:val="004F70F0"/>
    <w:rsid w:val="004F7865"/>
    <w:rsid w:val="0050174E"/>
    <w:rsid w:val="00501854"/>
    <w:rsid w:val="0050219B"/>
    <w:rsid w:val="0050288F"/>
    <w:rsid w:val="00502E4E"/>
    <w:rsid w:val="00503402"/>
    <w:rsid w:val="00503847"/>
    <w:rsid w:val="0050396F"/>
    <w:rsid w:val="00503EF2"/>
    <w:rsid w:val="00503F17"/>
    <w:rsid w:val="00503F3A"/>
    <w:rsid w:val="0050487A"/>
    <w:rsid w:val="005049A0"/>
    <w:rsid w:val="00504CA6"/>
    <w:rsid w:val="0050518B"/>
    <w:rsid w:val="005052B1"/>
    <w:rsid w:val="00505AF7"/>
    <w:rsid w:val="0050625D"/>
    <w:rsid w:val="00506742"/>
    <w:rsid w:val="00506928"/>
    <w:rsid w:val="00506A3B"/>
    <w:rsid w:val="00506E82"/>
    <w:rsid w:val="005077EF"/>
    <w:rsid w:val="00510C8D"/>
    <w:rsid w:val="00511AD5"/>
    <w:rsid w:val="00511DC7"/>
    <w:rsid w:val="00511E32"/>
    <w:rsid w:val="00512D08"/>
    <w:rsid w:val="005142C5"/>
    <w:rsid w:val="00514482"/>
    <w:rsid w:val="005145D2"/>
    <w:rsid w:val="0051474E"/>
    <w:rsid w:val="00514860"/>
    <w:rsid w:val="00514DC9"/>
    <w:rsid w:val="0051501B"/>
    <w:rsid w:val="00515092"/>
    <w:rsid w:val="005152B5"/>
    <w:rsid w:val="00515741"/>
    <w:rsid w:val="00515886"/>
    <w:rsid w:val="00515E4E"/>
    <w:rsid w:val="005165E4"/>
    <w:rsid w:val="00516793"/>
    <w:rsid w:val="005178D7"/>
    <w:rsid w:val="00517F37"/>
    <w:rsid w:val="00520E4B"/>
    <w:rsid w:val="0052123C"/>
    <w:rsid w:val="00521319"/>
    <w:rsid w:val="0052211F"/>
    <w:rsid w:val="00522223"/>
    <w:rsid w:val="00522509"/>
    <w:rsid w:val="0052281A"/>
    <w:rsid w:val="00522B84"/>
    <w:rsid w:val="00522BC8"/>
    <w:rsid w:val="005235D4"/>
    <w:rsid w:val="00523764"/>
    <w:rsid w:val="005238D7"/>
    <w:rsid w:val="005239E4"/>
    <w:rsid w:val="00523C28"/>
    <w:rsid w:val="00523DDD"/>
    <w:rsid w:val="00523EDA"/>
    <w:rsid w:val="00524FEE"/>
    <w:rsid w:val="00525125"/>
    <w:rsid w:val="00525D90"/>
    <w:rsid w:val="00525F12"/>
    <w:rsid w:val="00526314"/>
    <w:rsid w:val="00526418"/>
    <w:rsid w:val="00526EA6"/>
    <w:rsid w:val="0052704A"/>
    <w:rsid w:val="00527BAF"/>
    <w:rsid w:val="00527BCA"/>
    <w:rsid w:val="0053014E"/>
    <w:rsid w:val="0053037D"/>
    <w:rsid w:val="00530D9E"/>
    <w:rsid w:val="00531321"/>
    <w:rsid w:val="0053176B"/>
    <w:rsid w:val="00532136"/>
    <w:rsid w:val="00533A3B"/>
    <w:rsid w:val="00533BB5"/>
    <w:rsid w:val="00533DFB"/>
    <w:rsid w:val="0053418F"/>
    <w:rsid w:val="005341B3"/>
    <w:rsid w:val="0053423E"/>
    <w:rsid w:val="00534914"/>
    <w:rsid w:val="0053538E"/>
    <w:rsid w:val="00535873"/>
    <w:rsid w:val="005359D9"/>
    <w:rsid w:val="00535FED"/>
    <w:rsid w:val="00536F42"/>
    <w:rsid w:val="00536F61"/>
    <w:rsid w:val="00537182"/>
    <w:rsid w:val="0053770C"/>
    <w:rsid w:val="00537A1B"/>
    <w:rsid w:val="00540943"/>
    <w:rsid w:val="00541EDD"/>
    <w:rsid w:val="0054225C"/>
    <w:rsid w:val="005423C4"/>
    <w:rsid w:val="00542631"/>
    <w:rsid w:val="00542743"/>
    <w:rsid w:val="005429E6"/>
    <w:rsid w:val="00542C2D"/>
    <w:rsid w:val="00542C35"/>
    <w:rsid w:val="00543744"/>
    <w:rsid w:val="005438ED"/>
    <w:rsid w:val="00543F79"/>
    <w:rsid w:val="0054493C"/>
    <w:rsid w:val="00545CF1"/>
    <w:rsid w:val="00545EB2"/>
    <w:rsid w:val="00546A1D"/>
    <w:rsid w:val="00546D40"/>
    <w:rsid w:val="00546E7D"/>
    <w:rsid w:val="005478BD"/>
    <w:rsid w:val="005479E3"/>
    <w:rsid w:val="005505DE"/>
    <w:rsid w:val="005512D0"/>
    <w:rsid w:val="00551555"/>
    <w:rsid w:val="00551619"/>
    <w:rsid w:val="0055166C"/>
    <w:rsid w:val="0055176D"/>
    <w:rsid w:val="005517CA"/>
    <w:rsid w:val="00551985"/>
    <w:rsid w:val="00552224"/>
    <w:rsid w:val="0055253D"/>
    <w:rsid w:val="005526A1"/>
    <w:rsid w:val="00552BD3"/>
    <w:rsid w:val="00552F44"/>
    <w:rsid w:val="005532A0"/>
    <w:rsid w:val="005532C0"/>
    <w:rsid w:val="005535E9"/>
    <w:rsid w:val="0055381E"/>
    <w:rsid w:val="00553D15"/>
    <w:rsid w:val="00554259"/>
    <w:rsid w:val="0055448B"/>
    <w:rsid w:val="00554531"/>
    <w:rsid w:val="005545E2"/>
    <w:rsid w:val="00554649"/>
    <w:rsid w:val="00555109"/>
    <w:rsid w:val="00555610"/>
    <w:rsid w:val="005557F1"/>
    <w:rsid w:val="00555BDD"/>
    <w:rsid w:val="005567A5"/>
    <w:rsid w:val="0055687D"/>
    <w:rsid w:val="00556B35"/>
    <w:rsid w:val="0055741A"/>
    <w:rsid w:val="00557AFF"/>
    <w:rsid w:val="00557BC5"/>
    <w:rsid w:val="00557E2C"/>
    <w:rsid w:val="00560711"/>
    <w:rsid w:val="005611B7"/>
    <w:rsid w:val="0056175F"/>
    <w:rsid w:val="005618D4"/>
    <w:rsid w:val="00561C71"/>
    <w:rsid w:val="00561E12"/>
    <w:rsid w:val="00561FE6"/>
    <w:rsid w:val="005629BC"/>
    <w:rsid w:val="00562F94"/>
    <w:rsid w:val="00564314"/>
    <w:rsid w:val="0056479B"/>
    <w:rsid w:val="00564867"/>
    <w:rsid w:val="00564BDE"/>
    <w:rsid w:val="005652A9"/>
    <w:rsid w:val="00565B5F"/>
    <w:rsid w:val="00565C79"/>
    <w:rsid w:val="00565DF0"/>
    <w:rsid w:val="0056696F"/>
    <w:rsid w:val="0056791A"/>
    <w:rsid w:val="005706A1"/>
    <w:rsid w:val="00570C46"/>
    <w:rsid w:val="00570DB2"/>
    <w:rsid w:val="00571653"/>
    <w:rsid w:val="00571A24"/>
    <w:rsid w:val="00571B28"/>
    <w:rsid w:val="00571B9A"/>
    <w:rsid w:val="00572269"/>
    <w:rsid w:val="0057244A"/>
    <w:rsid w:val="00572F26"/>
    <w:rsid w:val="00573321"/>
    <w:rsid w:val="00573C9D"/>
    <w:rsid w:val="00574094"/>
    <w:rsid w:val="005746F2"/>
    <w:rsid w:val="00574833"/>
    <w:rsid w:val="00574866"/>
    <w:rsid w:val="005750C5"/>
    <w:rsid w:val="00575153"/>
    <w:rsid w:val="005752DE"/>
    <w:rsid w:val="0057597F"/>
    <w:rsid w:val="00575D60"/>
    <w:rsid w:val="00575D8D"/>
    <w:rsid w:val="00575F41"/>
    <w:rsid w:val="005760FD"/>
    <w:rsid w:val="00576499"/>
    <w:rsid w:val="00576886"/>
    <w:rsid w:val="00576972"/>
    <w:rsid w:val="00576C68"/>
    <w:rsid w:val="00576E30"/>
    <w:rsid w:val="00577248"/>
    <w:rsid w:val="005773DD"/>
    <w:rsid w:val="0058017D"/>
    <w:rsid w:val="005801AD"/>
    <w:rsid w:val="00580370"/>
    <w:rsid w:val="0058042E"/>
    <w:rsid w:val="00580514"/>
    <w:rsid w:val="00580854"/>
    <w:rsid w:val="00580F09"/>
    <w:rsid w:val="005810E9"/>
    <w:rsid w:val="005816B5"/>
    <w:rsid w:val="0058270B"/>
    <w:rsid w:val="00582B42"/>
    <w:rsid w:val="00583699"/>
    <w:rsid w:val="00583CFB"/>
    <w:rsid w:val="005842DE"/>
    <w:rsid w:val="00584E8C"/>
    <w:rsid w:val="0058508F"/>
    <w:rsid w:val="005856A2"/>
    <w:rsid w:val="00585CDD"/>
    <w:rsid w:val="00586962"/>
    <w:rsid w:val="00586EB6"/>
    <w:rsid w:val="00587058"/>
    <w:rsid w:val="0058742D"/>
    <w:rsid w:val="005876BE"/>
    <w:rsid w:val="0058792B"/>
    <w:rsid w:val="00587EE6"/>
    <w:rsid w:val="005901A2"/>
    <w:rsid w:val="0059091B"/>
    <w:rsid w:val="00590B41"/>
    <w:rsid w:val="00591093"/>
    <w:rsid w:val="00591315"/>
    <w:rsid w:val="00591957"/>
    <w:rsid w:val="00592527"/>
    <w:rsid w:val="00593606"/>
    <w:rsid w:val="00594175"/>
    <w:rsid w:val="00594308"/>
    <w:rsid w:val="0059432D"/>
    <w:rsid w:val="0059486A"/>
    <w:rsid w:val="00594F3F"/>
    <w:rsid w:val="005950F1"/>
    <w:rsid w:val="00595127"/>
    <w:rsid w:val="00595706"/>
    <w:rsid w:val="00595D23"/>
    <w:rsid w:val="00595E6F"/>
    <w:rsid w:val="00595F6D"/>
    <w:rsid w:val="00596B7B"/>
    <w:rsid w:val="005974E1"/>
    <w:rsid w:val="00597BF9"/>
    <w:rsid w:val="005A0688"/>
    <w:rsid w:val="005A0A52"/>
    <w:rsid w:val="005A0C11"/>
    <w:rsid w:val="005A1833"/>
    <w:rsid w:val="005A1844"/>
    <w:rsid w:val="005A243F"/>
    <w:rsid w:val="005A259A"/>
    <w:rsid w:val="005A28B6"/>
    <w:rsid w:val="005A2CE0"/>
    <w:rsid w:val="005A309A"/>
    <w:rsid w:val="005A373D"/>
    <w:rsid w:val="005A4366"/>
    <w:rsid w:val="005A4A20"/>
    <w:rsid w:val="005A53B6"/>
    <w:rsid w:val="005A58CB"/>
    <w:rsid w:val="005A597D"/>
    <w:rsid w:val="005A6794"/>
    <w:rsid w:val="005A67A0"/>
    <w:rsid w:val="005A7184"/>
    <w:rsid w:val="005A74C3"/>
    <w:rsid w:val="005A7856"/>
    <w:rsid w:val="005B0210"/>
    <w:rsid w:val="005B0B58"/>
    <w:rsid w:val="005B2538"/>
    <w:rsid w:val="005B25A1"/>
    <w:rsid w:val="005B29B8"/>
    <w:rsid w:val="005B38DA"/>
    <w:rsid w:val="005B4746"/>
    <w:rsid w:val="005B4E53"/>
    <w:rsid w:val="005B5137"/>
    <w:rsid w:val="005B514A"/>
    <w:rsid w:val="005B51FB"/>
    <w:rsid w:val="005B5857"/>
    <w:rsid w:val="005B5A49"/>
    <w:rsid w:val="005B606A"/>
    <w:rsid w:val="005B6300"/>
    <w:rsid w:val="005B67F0"/>
    <w:rsid w:val="005B6F5D"/>
    <w:rsid w:val="005B72F9"/>
    <w:rsid w:val="005B754B"/>
    <w:rsid w:val="005B7BBF"/>
    <w:rsid w:val="005B7D7C"/>
    <w:rsid w:val="005B7D8A"/>
    <w:rsid w:val="005B7FCF"/>
    <w:rsid w:val="005C018D"/>
    <w:rsid w:val="005C033B"/>
    <w:rsid w:val="005C0884"/>
    <w:rsid w:val="005C17A7"/>
    <w:rsid w:val="005C17B1"/>
    <w:rsid w:val="005C18D6"/>
    <w:rsid w:val="005C19C4"/>
    <w:rsid w:val="005C1B83"/>
    <w:rsid w:val="005C1BFC"/>
    <w:rsid w:val="005C1D90"/>
    <w:rsid w:val="005C24DB"/>
    <w:rsid w:val="005C259D"/>
    <w:rsid w:val="005C25FF"/>
    <w:rsid w:val="005C2D55"/>
    <w:rsid w:val="005C346B"/>
    <w:rsid w:val="005C39F1"/>
    <w:rsid w:val="005C3EFA"/>
    <w:rsid w:val="005C43E7"/>
    <w:rsid w:val="005C4B6A"/>
    <w:rsid w:val="005C4BBF"/>
    <w:rsid w:val="005C55EA"/>
    <w:rsid w:val="005C5822"/>
    <w:rsid w:val="005C5ABC"/>
    <w:rsid w:val="005C6102"/>
    <w:rsid w:val="005C6410"/>
    <w:rsid w:val="005C666E"/>
    <w:rsid w:val="005C66E1"/>
    <w:rsid w:val="005C676C"/>
    <w:rsid w:val="005C78B0"/>
    <w:rsid w:val="005D035C"/>
    <w:rsid w:val="005D044D"/>
    <w:rsid w:val="005D04CD"/>
    <w:rsid w:val="005D06A0"/>
    <w:rsid w:val="005D09EA"/>
    <w:rsid w:val="005D0ABD"/>
    <w:rsid w:val="005D0D34"/>
    <w:rsid w:val="005D146A"/>
    <w:rsid w:val="005D14FD"/>
    <w:rsid w:val="005D16AF"/>
    <w:rsid w:val="005D1840"/>
    <w:rsid w:val="005D18AD"/>
    <w:rsid w:val="005D19D3"/>
    <w:rsid w:val="005D26B4"/>
    <w:rsid w:val="005D28C2"/>
    <w:rsid w:val="005D2F5C"/>
    <w:rsid w:val="005D32CC"/>
    <w:rsid w:val="005D39FB"/>
    <w:rsid w:val="005D3F95"/>
    <w:rsid w:val="005D4356"/>
    <w:rsid w:val="005D4362"/>
    <w:rsid w:val="005D45EF"/>
    <w:rsid w:val="005D62C4"/>
    <w:rsid w:val="005D6DCD"/>
    <w:rsid w:val="005D73FF"/>
    <w:rsid w:val="005E01F0"/>
    <w:rsid w:val="005E085A"/>
    <w:rsid w:val="005E0A8E"/>
    <w:rsid w:val="005E0F15"/>
    <w:rsid w:val="005E1412"/>
    <w:rsid w:val="005E1458"/>
    <w:rsid w:val="005E17C8"/>
    <w:rsid w:val="005E1995"/>
    <w:rsid w:val="005E2BC8"/>
    <w:rsid w:val="005E3345"/>
    <w:rsid w:val="005E348E"/>
    <w:rsid w:val="005E3B26"/>
    <w:rsid w:val="005E3F69"/>
    <w:rsid w:val="005E4A08"/>
    <w:rsid w:val="005E4B7B"/>
    <w:rsid w:val="005E4DEF"/>
    <w:rsid w:val="005E56DE"/>
    <w:rsid w:val="005E5722"/>
    <w:rsid w:val="005E58E3"/>
    <w:rsid w:val="005E5945"/>
    <w:rsid w:val="005E5C3C"/>
    <w:rsid w:val="005E5CC5"/>
    <w:rsid w:val="005E5F74"/>
    <w:rsid w:val="005E60D2"/>
    <w:rsid w:val="005E6240"/>
    <w:rsid w:val="005E6766"/>
    <w:rsid w:val="005E6CBC"/>
    <w:rsid w:val="005E6ECD"/>
    <w:rsid w:val="005E72FF"/>
    <w:rsid w:val="005E73C0"/>
    <w:rsid w:val="005E747F"/>
    <w:rsid w:val="005E77A3"/>
    <w:rsid w:val="005E7CB9"/>
    <w:rsid w:val="005E7DE4"/>
    <w:rsid w:val="005F042E"/>
    <w:rsid w:val="005F07ED"/>
    <w:rsid w:val="005F0BCC"/>
    <w:rsid w:val="005F1C7B"/>
    <w:rsid w:val="005F2706"/>
    <w:rsid w:val="005F2CF3"/>
    <w:rsid w:val="005F33B0"/>
    <w:rsid w:val="005F4D45"/>
    <w:rsid w:val="005F4EF8"/>
    <w:rsid w:val="005F506F"/>
    <w:rsid w:val="005F50C8"/>
    <w:rsid w:val="005F5BB3"/>
    <w:rsid w:val="005F6812"/>
    <w:rsid w:val="005F6890"/>
    <w:rsid w:val="005F68F3"/>
    <w:rsid w:val="005F6A8F"/>
    <w:rsid w:val="005F6BB7"/>
    <w:rsid w:val="005F6E3A"/>
    <w:rsid w:val="005F72D9"/>
    <w:rsid w:val="005F7588"/>
    <w:rsid w:val="006001A3"/>
    <w:rsid w:val="00601281"/>
    <w:rsid w:val="00601A86"/>
    <w:rsid w:val="00602265"/>
    <w:rsid w:val="0060256C"/>
    <w:rsid w:val="00602EF4"/>
    <w:rsid w:val="006032E6"/>
    <w:rsid w:val="00603DB9"/>
    <w:rsid w:val="006041DA"/>
    <w:rsid w:val="0060464E"/>
    <w:rsid w:val="00604C4C"/>
    <w:rsid w:val="00604D78"/>
    <w:rsid w:val="00605A60"/>
    <w:rsid w:val="0060603F"/>
    <w:rsid w:val="00606439"/>
    <w:rsid w:val="00606FBA"/>
    <w:rsid w:val="00607669"/>
    <w:rsid w:val="006076F4"/>
    <w:rsid w:val="00607AFD"/>
    <w:rsid w:val="00607EC0"/>
    <w:rsid w:val="00607F33"/>
    <w:rsid w:val="006103B7"/>
    <w:rsid w:val="006104E9"/>
    <w:rsid w:val="006104FC"/>
    <w:rsid w:val="00610D40"/>
    <w:rsid w:val="00610FE1"/>
    <w:rsid w:val="00611B12"/>
    <w:rsid w:val="00611CF3"/>
    <w:rsid w:val="0061265F"/>
    <w:rsid w:val="006127F2"/>
    <w:rsid w:val="00612E5A"/>
    <w:rsid w:val="00612F97"/>
    <w:rsid w:val="0061345D"/>
    <w:rsid w:val="00613910"/>
    <w:rsid w:val="00613A0C"/>
    <w:rsid w:val="00613E80"/>
    <w:rsid w:val="00613F63"/>
    <w:rsid w:val="00614999"/>
    <w:rsid w:val="00615059"/>
    <w:rsid w:val="00615438"/>
    <w:rsid w:val="0061549B"/>
    <w:rsid w:val="00615546"/>
    <w:rsid w:val="00615771"/>
    <w:rsid w:val="00615B1F"/>
    <w:rsid w:val="0061644E"/>
    <w:rsid w:val="006166C7"/>
    <w:rsid w:val="00616802"/>
    <w:rsid w:val="00616985"/>
    <w:rsid w:val="006171EA"/>
    <w:rsid w:val="006172CF"/>
    <w:rsid w:val="00617549"/>
    <w:rsid w:val="00617D09"/>
    <w:rsid w:val="00617E12"/>
    <w:rsid w:val="006207A5"/>
    <w:rsid w:val="00620C25"/>
    <w:rsid w:val="00621283"/>
    <w:rsid w:val="00621477"/>
    <w:rsid w:val="00621A4C"/>
    <w:rsid w:val="00621ADA"/>
    <w:rsid w:val="00621B8B"/>
    <w:rsid w:val="00621F6F"/>
    <w:rsid w:val="00622003"/>
    <w:rsid w:val="00622139"/>
    <w:rsid w:val="0062239F"/>
    <w:rsid w:val="0062292E"/>
    <w:rsid w:val="00622B56"/>
    <w:rsid w:val="00622DA2"/>
    <w:rsid w:val="00622E1E"/>
    <w:rsid w:val="006235BC"/>
    <w:rsid w:val="00623875"/>
    <w:rsid w:val="006238E8"/>
    <w:rsid w:val="00623F0A"/>
    <w:rsid w:val="00623F7B"/>
    <w:rsid w:val="00624187"/>
    <w:rsid w:val="00624569"/>
    <w:rsid w:val="00624BD4"/>
    <w:rsid w:val="00624DF1"/>
    <w:rsid w:val="006250DC"/>
    <w:rsid w:val="0062528E"/>
    <w:rsid w:val="00625363"/>
    <w:rsid w:val="00625A21"/>
    <w:rsid w:val="00625AF4"/>
    <w:rsid w:val="00625CF1"/>
    <w:rsid w:val="00625E87"/>
    <w:rsid w:val="0062637D"/>
    <w:rsid w:val="006267D5"/>
    <w:rsid w:val="00626E2B"/>
    <w:rsid w:val="00626FE3"/>
    <w:rsid w:val="006271CA"/>
    <w:rsid w:val="0062738D"/>
    <w:rsid w:val="0062755B"/>
    <w:rsid w:val="00627839"/>
    <w:rsid w:val="00627D21"/>
    <w:rsid w:val="00630603"/>
    <w:rsid w:val="0063158F"/>
    <w:rsid w:val="00631D61"/>
    <w:rsid w:val="00631D6B"/>
    <w:rsid w:val="00632183"/>
    <w:rsid w:val="00632282"/>
    <w:rsid w:val="006329CF"/>
    <w:rsid w:val="006330A1"/>
    <w:rsid w:val="00633495"/>
    <w:rsid w:val="006334AA"/>
    <w:rsid w:val="00634409"/>
    <w:rsid w:val="00634437"/>
    <w:rsid w:val="0063479F"/>
    <w:rsid w:val="00634D7A"/>
    <w:rsid w:val="006353F0"/>
    <w:rsid w:val="0063564F"/>
    <w:rsid w:val="006357B5"/>
    <w:rsid w:val="00635A5C"/>
    <w:rsid w:val="00635E5E"/>
    <w:rsid w:val="00635F71"/>
    <w:rsid w:val="006364A1"/>
    <w:rsid w:val="0063678E"/>
    <w:rsid w:val="00637BFD"/>
    <w:rsid w:val="00637C5C"/>
    <w:rsid w:val="00640186"/>
    <w:rsid w:val="006404DA"/>
    <w:rsid w:val="00640C2A"/>
    <w:rsid w:val="00641654"/>
    <w:rsid w:val="00641C4E"/>
    <w:rsid w:val="00641E1B"/>
    <w:rsid w:val="00641FB3"/>
    <w:rsid w:val="0064213A"/>
    <w:rsid w:val="00642D8E"/>
    <w:rsid w:val="00642ECD"/>
    <w:rsid w:val="00643067"/>
    <w:rsid w:val="006431B5"/>
    <w:rsid w:val="00643433"/>
    <w:rsid w:val="00643519"/>
    <w:rsid w:val="0064434C"/>
    <w:rsid w:val="006447A9"/>
    <w:rsid w:val="006448BE"/>
    <w:rsid w:val="00644B6B"/>
    <w:rsid w:val="00644EB2"/>
    <w:rsid w:val="006450E8"/>
    <w:rsid w:val="0064568F"/>
    <w:rsid w:val="00645A46"/>
    <w:rsid w:val="00645BE4"/>
    <w:rsid w:val="00645DE0"/>
    <w:rsid w:val="0064647E"/>
    <w:rsid w:val="006471CC"/>
    <w:rsid w:val="006472FE"/>
    <w:rsid w:val="00647A29"/>
    <w:rsid w:val="00647CE1"/>
    <w:rsid w:val="00647CE7"/>
    <w:rsid w:val="00647D78"/>
    <w:rsid w:val="00647F0D"/>
    <w:rsid w:val="00647F3D"/>
    <w:rsid w:val="0065079F"/>
    <w:rsid w:val="006509B2"/>
    <w:rsid w:val="00650F0E"/>
    <w:rsid w:val="00650FBD"/>
    <w:rsid w:val="00651704"/>
    <w:rsid w:val="00651884"/>
    <w:rsid w:val="00652A28"/>
    <w:rsid w:val="00652B2A"/>
    <w:rsid w:val="00652C65"/>
    <w:rsid w:val="0065379F"/>
    <w:rsid w:val="00653AC2"/>
    <w:rsid w:val="00654A94"/>
    <w:rsid w:val="006556C4"/>
    <w:rsid w:val="00655C13"/>
    <w:rsid w:val="00655F44"/>
    <w:rsid w:val="00656188"/>
    <w:rsid w:val="00656D8D"/>
    <w:rsid w:val="0065715A"/>
    <w:rsid w:val="0065766E"/>
    <w:rsid w:val="00657F35"/>
    <w:rsid w:val="00660594"/>
    <w:rsid w:val="00660E36"/>
    <w:rsid w:val="006610F1"/>
    <w:rsid w:val="00661299"/>
    <w:rsid w:val="00661B44"/>
    <w:rsid w:val="00661C6B"/>
    <w:rsid w:val="00662465"/>
    <w:rsid w:val="00662999"/>
    <w:rsid w:val="00662D3E"/>
    <w:rsid w:val="00663175"/>
    <w:rsid w:val="006635E7"/>
    <w:rsid w:val="0066364F"/>
    <w:rsid w:val="006636A6"/>
    <w:rsid w:val="00664ADB"/>
    <w:rsid w:val="00664DF1"/>
    <w:rsid w:val="006653A1"/>
    <w:rsid w:val="006653EE"/>
    <w:rsid w:val="006658FE"/>
    <w:rsid w:val="00666595"/>
    <w:rsid w:val="00666827"/>
    <w:rsid w:val="00666B3E"/>
    <w:rsid w:val="00666D7D"/>
    <w:rsid w:val="00667784"/>
    <w:rsid w:val="00667B8F"/>
    <w:rsid w:val="00667BE3"/>
    <w:rsid w:val="00667F07"/>
    <w:rsid w:val="00670C4B"/>
    <w:rsid w:val="00670C82"/>
    <w:rsid w:val="00670D73"/>
    <w:rsid w:val="00670FD8"/>
    <w:rsid w:val="00671004"/>
    <w:rsid w:val="00671326"/>
    <w:rsid w:val="0067240B"/>
    <w:rsid w:val="00672646"/>
    <w:rsid w:val="0067291F"/>
    <w:rsid w:val="00672E12"/>
    <w:rsid w:val="00673434"/>
    <w:rsid w:val="006736C5"/>
    <w:rsid w:val="00673733"/>
    <w:rsid w:val="00673CC2"/>
    <w:rsid w:val="00673D08"/>
    <w:rsid w:val="00673DD4"/>
    <w:rsid w:val="00674E42"/>
    <w:rsid w:val="00675773"/>
    <w:rsid w:val="00676563"/>
    <w:rsid w:val="006766FA"/>
    <w:rsid w:val="0067683B"/>
    <w:rsid w:val="00676B36"/>
    <w:rsid w:val="00677FF1"/>
    <w:rsid w:val="006813F8"/>
    <w:rsid w:val="00681934"/>
    <w:rsid w:val="00681A06"/>
    <w:rsid w:val="00682112"/>
    <w:rsid w:val="0068213D"/>
    <w:rsid w:val="00682269"/>
    <w:rsid w:val="0068254E"/>
    <w:rsid w:val="00682BA6"/>
    <w:rsid w:val="00682C78"/>
    <w:rsid w:val="00682DFC"/>
    <w:rsid w:val="006832B1"/>
    <w:rsid w:val="00683AA5"/>
    <w:rsid w:val="00683D6D"/>
    <w:rsid w:val="00683ECB"/>
    <w:rsid w:val="00684076"/>
    <w:rsid w:val="00684AF5"/>
    <w:rsid w:val="00684E3A"/>
    <w:rsid w:val="0068531E"/>
    <w:rsid w:val="00685750"/>
    <w:rsid w:val="00685ED6"/>
    <w:rsid w:val="00686957"/>
    <w:rsid w:val="00686B70"/>
    <w:rsid w:val="00686DD4"/>
    <w:rsid w:val="0068727E"/>
    <w:rsid w:val="006872BA"/>
    <w:rsid w:val="00687C26"/>
    <w:rsid w:val="00690703"/>
    <w:rsid w:val="00690795"/>
    <w:rsid w:val="00690E5B"/>
    <w:rsid w:val="0069141A"/>
    <w:rsid w:val="00691648"/>
    <w:rsid w:val="006917D7"/>
    <w:rsid w:val="00692074"/>
    <w:rsid w:val="006921C1"/>
    <w:rsid w:val="006924F4"/>
    <w:rsid w:val="00692ADA"/>
    <w:rsid w:val="00693698"/>
    <w:rsid w:val="006941EE"/>
    <w:rsid w:val="0069434C"/>
    <w:rsid w:val="00694821"/>
    <w:rsid w:val="00694846"/>
    <w:rsid w:val="00694EAB"/>
    <w:rsid w:val="00694F44"/>
    <w:rsid w:val="00695027"/>
    <w:rsid w:val="0069557E"/>
    <w:rsid w:val="00696887"/>
    <w:rsid w:val="00696EBE"/>
    <w:rsid w:val="00696EF9"/>
    <w:rsid w:val="00696F51"/>
    <w:rsid w:val="0069725F"/>
    <w:rsid w:val="006979A5"/>
    <w:rsid w:val="00697C6C"/>
    <w:rsid w:val="006A016F"/>
    <w:rsid w:val="006A0DD3"/>
    <w:rsid w:val="006A0DF7"/>
    <w:rsid w:val="006A209E"/>
    <w:rsid w:val="006A2352"/>
    <w:rsid w:val="006A3B2C"/>
    <w:rsid w:val="006A3CED"/>
    <w:rsid w:val="006A3ED6"/>
    <w:rsid w:val="006A4321"/>
    <w:rsid w:val="006A43D9"/>
    <w:rsid w:val="006A4427"/>
    <w:rsid w:val="006A4718"/>
    <w:rsid w:val="006A4743"/>
    <w:rsid w:val="006A4E32"/>
    <w:rsid w:val="006A52A7"/>
    <w:rsid w:val="006A5A37"/>
    <w:rsid w:val="006A5A7D"/>
    <w:rsid w:val="006A5F89"/>
    <w:rsid w:val="006A6B99"/>
    <w:rsid w:val="006A6CF4"/>
    <w:rsid w:val="006A71E2"/>
    <w:rsid w:val="006A7465"/>
    <w:rsid w:val="006A7579"/>
    <w:rsid w:val="006A7D3B"/>
    <w:rsid w:val="006A7DBE"/>
    <w:rsid w:val="006A7E5F"/>
    <w:rsid w:val="006A7E83"/>
    <w:rsid w:val="006B03DB"/>
    <w:rsid w:val="006B04BD"/>
    <w:rsid w:val="006B0645"/>
    <w:rsid w:val="006B07F2"/>
    <w:rsid w:val="006B0833"/>
    <w:rsid w:val="006B0A5F"/>
    <w:rsid w:val="006B0B2B"/>
    <w:rsid w:val="006B0FE1"/>
    <w:rsid w:val="006B12FB"/>
    <w:rsid w:val="006B154A"/>
    <w:rsid w:val="006B1B61"/>
    <w:rsid w:val="006B261B"/>
    <w:rsid w:val="006B2B46"/>
    <w:rsid w:val="006B2C90"/>
    <w:rsid w:val="006B2EDA"/>
    <w:rsid w:val="006B30BF"/>
    <w:rsid w:val="006B35AA"/>
    <w:rsid w:val="006B35E6"/>
    <w:rsid w:val="006B3D16"/>
    <w:rsid w:val="006B4357"/>
    <w:rsid w:val="006B4512"/>
    <w:rsid w:val="006B465A"/>
    <w:rsid w:val="006B48D5"/>
    <w:rsid w:val="006B4FB6"/>
    <w:rsid w:val="006B58CE"/>
    <w:rsid w:val="006B67B3"/>
    <w:rsid w:val="006B6DD0"/>
    <w:rsid w:val="006B6E40"/>
    <w:rsid w:val="006B6F0C"/>
    <w:rsid w:val="006C0399"/>
    <w:rsid w:val="006C08E3"/>
    <w:rsid w:val="006C0CE5"/>
    <w:rsid w:val="006C1078"/>
    <w:rsid w:val="006C1845"/>
    <w:rsid w:val="006C1D91"/>
    <w:rsid w:val="006C200A"/>
    <w:rsid w:val="006C205A"/>
    <w:rsid w:val="006C20DB"/>
    <w:rsid w:val="006C22FC"/>
    <w:rsid w:val="006C275C"/>
    <w:rsid w:val="006C2865"/>
    <w:rsid w:val="006C2A8E"/>
    <w:rsid w:val="006C2FBB"/>
    <w:rsid w:val="006C3255"/>
    <w:rsid w:val="006C32B3"/>
    <w:rsid w:val="006C347A"/>
    <w:rsid w:val="006C3643"/>
    <w:rsid w:val="006C3DE2"/>
    <w:rsid w:val="006C3E20"/>
    <w:rsid w:val="006C3F26"/>
    <w:rsid w:val="006C4345"/>
    <w:rsid w:val="006C5A0B"/>
    <w:rsid w:val="006C6B3B"/>
    <w:rsid w:val="006C6F2F"/>
    <w:rsid w:val="006C733B"/>
    <w:rsid w:val="006C74BA"/>
    <w:rsid w:val="006C7540"/>
    <w:rsid w:val="006C76DB"/>
    <w:rsid w:val="006D0328"/>
    <w:rsid w:val="006D0A02"/>
    <w:rsid w:val="006D0C62"/>
    <w:rsid w:val="006D0D17"/>
    <w:rsid w:val="006D0FA4"/>
    <w:rsid w:val="006D1027"/>
    <w:rsid w:val="006D132F"/>
    <w:rsid w:val="006D153D"/>
    <w:rsid w:val="006D185B"/>
    <w:rsid w:val="006D1AC3"/>
    <w:rsid w:val="006D1F9A"/>
    <w:rsid w:val="006D28D5"/>
    <w:rsid w:val="006D2CEE"/>
    <w:rsid w:val="006D2F04"/>
    <w:rsid w:val="006D3C7D"/>
    <w:rsid w:val="006D3D79"/>
    <w:rsid w:val="006D443C"/>
    <w:rsid w:val="006D4659"/>
    <w:rsid w:val="006D522C"/>
    <w:rsid w:val="006D5320"/>
    <w:rsid w:val="006D5D5F"/>
    <w:rsid w:val="006D68FB"/>
    <w:rsid w:val="006D6A6C"/>
    <w:rsid w:val="006D6F1D"/>
    <w:rsid w:val="006D7949"/>
    <w:rsid w:val="006E01B1"/>
    <w:rsid w:val="006E044C"/>
    <w:rsid w:val="006E08B1"/>
    <w:rsid w:val="006E183D"/>
    <w:rsid w:val="006E1FC3"/>
    <w:rsid w:val="006E23F3"/>
    <w:rsid w:val="006E2440"/>
    <w:rsid w:val="006E255A"/>
    <w:rsid w:val="006E2670"/>
    <w:rsid w:val="006E2868"/>
    <w:rsid w:val="006E2A3B"/>
    <w:rsid w:val="006E3512"/>
    <w:rsid w:val="006E3813"/>
    <w:rsid w:val="006E3977"/>
    <w:rsid w:val="006E48D6"/>
    <w:rsid w:val="006E491C"/>
    <w:rsid w:val="006E5A0F"/>
    <w:rsid w:val="006E6BCD"/>
    <w:rsid w:val="006E6CE7"/>
    <w:rsid w:val="006E6E5F"/>
    <w:rsid w:val="006E75F8"/>
    <w:rsid w:val="006E798C"/>
    <w:rsid w:val="006E7EEF"/>
    <w:rsid w:val="006F0AEB"/>
    <w:rsid w:val="006F0D98"/>
    <w:rsid w:val="006F0ED8"/>
    <w:rsid w:val="006F123F"/>
    <w:rsid w:val="006F13A6"/>
    <w:rsid w:val="006F15AB"/>
    <w:rsid w:val="006F2033"/>
    <w:rsid w:val="006F210B"/>
    <w:rsid w:val="006F28C4"/>
    <w:rsid w:val="006F306C"/>
    <w:rsid w:val="006F3D77"/>
    <w:rsid w:val="006F3E1B"/>
    <w:rsid w:val="006F4BF7"/>
    <w:rsid w:val="006F4E45"/>
    <w:rsid w:val="006F50DA"/>
    <w:rsid w:val="006F5199"/>
    <w:rsid w:val="006F5553"/>
    <w:rsid w:val="006F5605"/>
    <w:rsid w:val="006F57BC"/>
    <w:rsid w:val="006F5F9F"/>
    <w:rsid w:val="006F63A5"/>
    <w:rsid w:val="006F6E5A"/>
    <w:rsid w:val="00700738"/>
    <w:rsid w:val="00700B1B"/>
    <w:rsid w:val="0070119D"/>
    <w:rsid w:val="0070142B"/>
    <w:rsid w:val="0070188C"/>
    <w:rsid w:val="00701E07"/>
    <w:rsid w:val="007023AA"/>
    <w:rsid w:val="007023C6"/>
    <w:rsid w:val="007025BE"/>
    <w:rsid w:val="0070276E"/>
    <w:rsid w:val="00702B8F"/>
    <w:rsid w:val="00702C3B"/>
    <w:rsid w:val="00702C5E"/>
    <w:rsid w:val="00702F38"/>
    <w:rsid w:val="00702F8F"/>
    <w:rsid w:val="0070337A"/>
    <w:rsid w:val="00703ED7"/>
    <w:rsid w:val="00704ABA"/>
    <w:rsid w:val="007050F7"/>
    <w:rsid w:val="0070535B"/>
    <w:rsid w:val="007053D7"/>
    <w:rsid w:val="00705945"/>
    <w:rsid w:val="007059CB"/>
    <w:rsid w:val="00706705"/>
    <w:rsid w:val="00706927"/>
    <w:rsid w:val="007073B7"/>
    <w:rsid w:val="007073CE"/>
    <w:rsid w:val="0070774A"/>
    <w:rsid w:val="007079FC"/>
    <w:rsid w:val="00710B63"/>
    <w:rsid w:val="00710F1B"/>
    <w:rsid w:val="00710FD6"/>
    <w:rsid w:val="00711225"/>
    <w:rsid w:val="00711A36"/>
    <w:rsid w:val="00712063"/>
    <w:rsid w:val="0071216B"/>
    <w:rsid w:val="007125D3"/>
    <w:rsid w:val="007137E5"/>
    <w:rsid w:val="007146F5"/>
    <w:rsid w:val="00714981"/>
    <w:rsid w:val="007149F0"/>
    <w:rsid w:val="00714C26"/>
    <w:rsid w:val="00714C83"/>
    <w:rsid w:val="00715082"/>
    <w:rsid w:val="007150D6"/>
    <w:rsid w:val="0071529C"/>
    <w:rsid w:val="0071579C"/>
    <w:rsid w:val="007159A6"/>
    <w:rsid w:val="0071621F"/>
    <w:rsid w:val="007164D7"/>
    <w:rsid w:val="007170DA"/>
    <w:rsid w:val="007171CF"/>
    <w:rsid w:val="007172AD"/>
    <w:rsid w:val="00717546"/>
    <w:rsid w:val="00720801"/>
    <w:rsid w:val="00720A9B"/>
    <w:rsid w:val="0072115D"/>
    <w:rsid w:val="00721805"/>
    <w:rsid w:val="00721BA8"/>
    <w:rsid w:val="00722B1B"/>
    <w:rsid w:val="00722FC4"/>
    <w:rsid w:val="0072362C"/>
    <w:rsid w:val="00723C8A"/>
    <w:rsid w:val="00723FE1"/>
    <w:rsid w:val="00724024"/>
    <w:rsid w:val="0072416F"/>
    <w:rsid w:val="00724201"/>
    <w:rsid w:val="007242AE"/>
    <w:rsid w:val="0072445E"/>
    <w:rsid w:val="00724F4E"/>
    <w:rsid w:val="007250D3"/>
    <w:rsid w:val="0072573B"/>
    <w:rsid w:val="00726464"/>
    <w:rsid w:val="00727AA7"/>
    <w:rsid w:val="00727C94"/>
    <w:rsid w:val="0073084C"/>
    <w:rsid w:val="00730DC3"/>
    <w:rsid w:val="0073104E"/>
    <w:rsid w:val="00731B0A"/>
    <w:rsid w:val="00731E81"/>
    <w:rsid w:val="00731EAE"/>
    <w:rsid w:val="007329BD"/>
    <w:rsid w:val="00732B08"/>
    <w:rsid w:val="00732F60"/>
    <w:rsid w:val="00733073"/>
    <w:rsid w:val="00733D32"/>
    <w:rsid w:val="0073403B"/>
    <w:rsid w:val="007340BA"/>
    <w:rsid w:val="0073433B"/>
    <w:rsid w:val="007348B4"/>
    <w:rsid w:val="00734E64"/>
    <w:rsid w:val="00735033"/>
    <w:rsid w:val="00735328"/>
    <w:rsid w:val="0073543A"/>
    <w:rsid w:val="007358ED"/>
    <w:rsid w:val="0073670C"/>
    <w:rsid w:val="0073685B"/>
    <w:rsid w:val="00736993"/>
    <w:rsid w:val="00736A76"/>
    <w:rsid w:val="00737570"/>
    <w:rsid w:val="007402FE"/>
    <w:rsid w:val="0074054B"/>
    <w:rsid w:val="00740553"/>
    <w:rsid w:val="007408A2"/>
    <w:rsid w:val="00740C5F"/>
    <w:rsid w:val="00740FA0"/>
    <w:rsid w:val="007411A9"/>
    <w:rsid w:val="007412FD"/>
    <w:rsid w:val="00741605"/>
    <w:rsid w:val="00741A05"/>
    <w:rsid w:val="00741C33"/>
    <w:rsid w:val="00742967"/>
    <w:rsid w:val="00742AF0"/>
    <w:rsid w:val="00743715"/>
    <w:rsid w:val="007438B3"/>
    <w:rsid w:val="00744108"/>
    <w:rsid w:val="0074413C"/>
    <w:rsid w:val="007449BF"/>
    <w:rsid w:val="00744BF9"/>
    <w:rsid w:val="007452BA"/>
    <w:rsid w:val="007455BE"/>
    <w:rsid w:val="00745A2B"/>
    <w:rsid w:val="00745BF3"/>
    <w:rsid w:val="00746315"/>
    <w:rsid w:val="007463FE"/>
    <w:rsid w:val="00746428"/>
    <w:rsid w:val="0074676F"/>
    <w:rsid w:val="0074681F"/>
    <w:rsid w:val="00746A03"/>
    <w:rsid w:val="00746BC0"/>
    <w:rsid w:val="0074752F"/>
    <w:rsid w:val="0075017E"/>
    <w:rsid w:val="00750206"/>
    <w:rsid w:val="007510B4"/>
    <w:rsid w:val="00751357"/>
    <w:rsid w:val="00752142"/>
    <w:rsid w:val="007523F9"/>
    <w:rsid w:val="00752803"/>
    <w:rsid w:val="00752B9E"/>
    <w:rsid w:val="00752C44"/>
    <w:rsid w:val="0075357E"/>
    <w:rsid w:val="00753969"/>
    <w:rsid w:val="007539A4"/>
    <w:rsid w:val="00753B29"/>
    <w:rsid w:val="007540A1"/>
    <w:rsid w:val="00755A14"/>
    <w:rsid w:val="00755D60"/>
    <w:rsid w:val="00756A05"/>
    <w:rsid w:val="00756F00"/>
    <w:rsid w:val="007571A9"/>
    <w:rsid w:val="007573E8"/>
    <w:rsid w:val="0076000E"/>
    <w:rsid w:val="00760215"/>
    <w:rsid w:val="00760654"/>
    <w:rsid w:val="00760B90"/>
    <w:rsid w:val="00760C4E"/>
    <w:rsid w:val="00760E39"/>
    <w:rsid w:val="00760F9E"/>
    <w:rsid w:val="00761411"/>
    <w:rsid w:val="0076160A"/>
    <w:rsid w:val="007616E6"/>
    <w:rsid w:val="007616EE"/>
    <w:rsid w:val="0076186A"/>
    <w:rsid w:val="00761DC8"/>
    <w:rsid w:val="00761F51"/>
    <w:rsid w:val="00762166"/>
    <w:rsid w:val="007627BE"/>
    <w:rsid w:val="00762EE8"/>
    <w:rsid w:val="00763B6E"/>
    <w:rsid w:val="00764177"/>
    <w:rsid w:val="007647F3"/>
    <w:rsid w:val="00764F03"/>
    <w:rsid w:val="0076517F"/>
    <w:rsid w:val="00765B1A"/>
    <w:rsid w:val="00765DC1"/>
    <w:rsid w:val="0076624B"/>
    <w:rsid w:val="007674AA"/>
    <w:rsid w:val="00770035"/>
    <w:rsid w:val="0077004A"/>
    <w:rsid w:val="0077017B"/>
    <w:rsid w:val="007702B1"/>
    <w:rsid w:val="00771186"/>
    <w:rsid w:val="00771810"/>
    <w:rsid w:val="007728A8"/>
    <w:rsid w:val="00772A7C"/>
    <w:rsid w:val="00772A7F"/>
    <w:rsid w:val="00772ABD"/>
    <w:rsid w:val="00772ACC"/>
    <w:rsid w:val="00773568"/>
    <w:rsid w:val="007736C1"/>
    <w:rsid w:val="00773C67"/>
    <w:rsid w:val="00773CED"/>
    <w:rsid w:val="007759B4"/>
    <w:rsid w:val="007761C3"/>
    <w:rsid w:val="007768D7"/>
    <w:rsid w:val="00777335"/>
    <w:rsid w:val="00777548"/>
    <w:rsid w:val="007806D2"/>
    <w:rsid w:val="00780895"/>
    <w:rsid w:val="00780E5E"/>
    <w:rsid w:val="00781382"/>
    <w:rsid w:val="0078235F"/>
    <w:rsid w:val="0078277C"/>
    <w:rsid w:val="007828D5"/>
    <w:rsid w:val="007828DF"/>
    <w:rsid w:val="00784150"/>
    <w:rsid w:val="007843F2"/>
    <w:rsid w:val="00784499"/>
    <w:rsid w:val="007846FA"/>
    <w:rsid w:val="00785078"/>
    <w:rsid w:val="00785260"/>
    <w:rsid w:val="0078537A"/>
    <w:rsid w:val="007855DC"/>
    <w:rsid w:val="00785885"/>
    <w:rsid w:val="00785A9F"/>
    <w:rsid w:val="00786967"/>
    <w:rsid w:val="00786D02"/>
    <w:rsid w:val="00787228"/>
    <w:rsid w:val="00787403"/>
    <w:rsid w:val="007876FD"/>
    <w:rsid w:val="00787DA3"/>
    <w:rsid w:val="0079082E"/>
    <w:rsid w:val="00790B21"/>
    <w:rsid w:val="007917A6"/>
    <w:rsid w:val="007920F2"/>
    <w:rsid w:val="007925DF"/>
    <w:rsid w:val="0079287D"/>
    <w:rsid w:val="007928C8"/>
    <w:rsid w:val="00792E48"/>
    <w:rsid w:val="007946B4"/>
    <w:rsid w:val="00794D4A"/>
    <w:rsid w:val="007955D2"/>
    <w:rsid w:val="00795684"/>
    <w:rsid w:val="00795C19"/>
    <w:rsid w:val="00795CA2"/>
    <w:rsid w:val="00795FB6"/>
    <w:rsid w:val="00795FCF"/>
    <w:rsid w:val="0079615D"/>
    <w:rsid w:val="00796A8B"/>
    <w:rsid w:val="0079745A"/>
    <w:rsid w:val="00797468"/>
    <w:rsid w:val="007A0177"/>
    <w:rsid w:val="007A0520"/>
    <w:rsid w:val="007A0838"/>
    <w:rsid w:val="007A08AA"/>
    <w:rsid w:val="007A0A12"/>
    <w:rsid w:val="007A0AFD"/>
    <w:rsid w:val="007A1092"/>
    <w:rsid w:val="007A116D"/>
    <w:rsid w:val="007A132D"/>
    <w:rsid w:val="007A1345"/>
    <w:rsid w:val="007A13D8"/>
    <w:rsid w:val="007A14C0"/>
    <w:rsid w:val="007A1C26"/>
    <w:rsid w:val="007A2DDB"/>
    <w:rsid w:val="007A38F3"/>
    <w:rsid w:val="007A3DE3"/>
    <w:rsid w:val="007A4D26"/>
    <w:rsid w:val="007A5206"/>
    <w:rsid w:val="007A58A3"/>
    <w:rsid w:val="007A5999"/>
    <w:rsid w:val="007A5A84"/>
    <w:rsid w:val="007A6179"/>
    <w:rsid w:val="007A64C0"/>
    <w:rsid w:val="007A6A47"/>
    <w:rsid w:val="007A6A50"/>
    <w:rsid w:val="007A70BA"/>
    <w:rsid w:val="007A7718"/>
    <w:rsid w:val="007B042B"/>
    <w:rsid w:val="007B0641"/>
    <w:rsid w:val="007B0D68"/>
    <w:rsid w:val="007B1087"/>
    <w:rsid w:val="007B11F1"/>
    <w:rsid w:val="007B1C02"/>
    <w:rsid w:val="007B1C03"/>
    <w:rsid w:val="007B1C5C"/>
    <w:rsid w:val="007B2165"/>
    <w:rsid w:val="007B2217"/>
    <w:rsid w:val="007B251D"/>
    <w:rsid w:val="007B3533"/>
    <w:rsid w:val="007B41E6"/>
    <w:rsid w:val="007B41FD"/>
    <w:rsid w:val="007B456E"/>
    <w:rsid w:val="007B47B1"/>
    <w:rsid w:val="007B4AA7"/>
    <w:rsid w:val="007B4E8C"/>
    <w:rsid w:val="007B4F58"/>
    <w:rsid w:val="007B528D"/>
    <w:rsid w:val="007B5667"/>
    <w:rsid w:val="007B63CA"/>
    <w:rsid w:val="007B6644"/>
    <w:rsid w:val="007B67BF"/>
    <w:rsid w:val="007B7559"/>
    <w:rsid w:val="007B77D1"/>
    <w:rsid w:val="007B7EB7"/>
    <w:rsid w:val="007C0105"/>
    <w:rsid w:val="007C0364"/>
    <w:rsid w:val="007C07C7"/>
    <w:rsid w:val="007C0895"/>
    <w:rsid w:val="007C08D6"/>
    <w:rsid w:val="007C0C4F"/>
    <w:rsid w:val="007C0C84"/>
    <w:rsid w:val="007C1A44"/>
    <w:rsid w:val="007C1CD9"/>
    <w:rsid w:val="007C2852"/>
    <w:rsid w:val="007C2C6B"/>
    <w:rsid w:val="007C320F"/>
    <w:rsid w:val="007C32EF"/>
    <w:rsid w:val="007C3301"/>
    <w:rsid w:val="007C3399"/>
    <w:rsid w:val="007C361D"/>
    <w:rsid w:val="007C3FA7"/>
    <w:rsid w:val="007C4419"/>
    <w:rsid w:val="007C4B84"/>
    <w:rsid w:val="007C4C0D"/>
    <w:rsid w:val="007C4D02"/>
    <w:rsid w:val="007C66B3"/>
    <w:rsid w:val="007C66DF"/>
    <w:rsid w:val="007C6CEF"/>
    <w:rsid w:val="007C70FF"/>
    <w:rsid w:val="007C7C25"/>
    <w:rsid w:val="007C7ED0"/>
    <w:rsid w:val="007D004F"/>
    <w:rsid w:val="007D035F"/>
    <w:rsid w:val="007D06B2"/>
    <w:rsid w:val="007D0A5E"/>
    <w:rsid w:val="007D0B38"/>
    <w:rsid w:val="007D0FC2"/>
    <w:rsid w:val="007D11DD"/>
    <w:rsid w:val="007D1526"/>
    <w:rsid w:val="007D167C"/>
    <w:rsid w:val="007D17F8"/>
    <w:rsid w:val="007D18CC"/>
    <w:rsid w:val="007D25A3"/>
    <w:rsid w:val="007D3274"/>
    <w:rsid w:val="007D3B88"/>
    <w:rsid w:val="007D3D03"/>
    <w:rsid w:val="007D4666"/>
    <w:rsid w:val="007D4ACF"/>
    <w:rsid w:val="007D4ED1"/>
    <w:rsid w:val="007D4FA6"/>
    <w:rsid w:val="007D5440"/>
    <w:rsid w:val="007D5F00"/>
    <w:rsid w:val="007D62A9"/>
    <w:rsid w:val="007D69EB"/>
    <w:rsid w:val="007D6AB4"/>
    <w:rsid w:val="007E09A2"/>
    <w:rsid w:val="007E1216"/>
    <w:rsid w:val="007E128F"/>
    <w:rsid w:val="007E1E48"/>
    <w:rsid w:val="007E25F2"/>
    <w:rsid w:val="007E3C5C"/>
    <w:rsid w:val="007E3E56"/>
    <w:rsid w:val="007E4B31"/>
    <w:rsid w:val="007E6133"/>
    <w:rsid w:val="007E6425"/>
    <w:rsid w:val="007E671F"/>
    <w:rsid w:val="007E6B8A"/>
    <w:rsid w:val="007E6C7F"/>
    <w:rsid w:val="007E6F9D"/>
    <w:rsid w:val="007E7478"/>
    <w:rsid w:val="007E76A6"/>
    <w:rsid w:val="007F05B3"/>
    <w:rsid w:val="007F0890"/>
    <w:rsid w:val="007F1017"/>
    <w:rsid w:val="007F1919"/>
    <w:rsid w:val="007F1A63"/>
    <w:rsid w:val="007F1E7D"/>
    <w:rsid w:val="007F249D"/>
    <w:rsid w:val="007F2EB7"/>
    <w:rsid w:val="007F3B34"/>
    <w:rsid w:val="007F3E7F"/>
    <w:rsid w:val="007F45D9"/>
    <w:rsid w:val="007F4A3F"/>
    <w:rsid w:val="007F4A61"/>
    <w:rsid w:val="007F5255"/>
    <w:rsid w:val="007F52C5"/>
    <w:rsid w:val="007F56CC"/>
    <w:rsid w:val="007F5735"/>
    <w:rsid w:val="007F60C0"/>
    <w:rsid w:val="007F61C2"/>
    <w:rsid w:val="007F625D"/>
    <w:rsid w:val="007F6712"/>
    <w:rsid w:val="007F6F28"/>
    <w:rsid w:val="007F76F6"/>
    <w:rsid w:val="007F7A90"/>
    <w:rsid w:val="007F7C8B"/>
    <w:rsid w:val="00800550"/>
    <w:rsid w:val="00800AF4"/>
    <w:rsid w:val="00801291"/>
    <w:rsid w:val="008016F1"/>
    <w:rsid w:val="00801A07"/>
    <w:rsid w:val="00801E9D"/>
    <w:rsid w:val="0080249F"/>
    <w:rsid w:val="00802DE7"/>
    <w:rsid w:val="00803D4E"/>
    <w:rsid w:val="00804440"/>
    <w:rsid w:val="00804EFF"/>
    <w:rsid w:val="00804F69"/>
    <w:rsid w:val="00805142"/>
    <w:rsid w:val="00805172"/>
    <w:rsid w:val="00805309"/>
    <w:rsid w:val="008056ED"/>
    <w:rsid w:val="008059DA"/>
    <w:rsid w:val="00805F90"/>
    <w:rsid w:val="00805FCE"/>
    <w:rsid w:val="00806D0B"/>
    <w:rsid w:val="00806D71"/>
    <w:rsid w:val="00806DBB"/>
    <w:rsid w:val="00806F42"/>
    <w:rsid w:val="008075CE"/>
    <w:rsid w:val="0080794A"/>
    <w:rsid w:val="00807A8B"/>
    <w:rsid w:val="00807E78"/>
    <w:rsid w:val="00810547"/>
    <w:rsid w:val="00810736"/>
    <w:rsid w:val="00810C69"/>
    <w:rsid w:val="00811383"/>
    <w:rsid w:val="0081156B"/>
    <w:rsid w:val="00812149"/>
    <w:rsid w:val="00812BF4"/>
    <w:rsid w:val="00812CAC"/>
    <w:rsid w:val="008133E9"/>
    <w:rsid w:val="00814041"/>
    <w:rsid w:val="0081445B"/>
    <w:rsid w:val="008151E2"/>
    <w:rsid w:val="00815357"/>
    <w:rsid w:val="008162E4"/>
    <w:rsid w:val="00816361"/>
    <w:rsid w:val="008166EF"/>
    <w:rsid w:val="0081672E"/>
    <w:rsid w:val="00816BD0"/>
    <w:rsid w:val="00816FEF"/>
    <w:rsid w:val="0081711A"/>
    <w:rsid w:val="00817157"/>
    <w:rsid w:val="0081768E"/>
    <w:rsid w:val="00817C7A"/>
    <w:rsid w:val="00817DD0"/>
    <w:rsid w:val="00820A8C"/>
    <w:rsid w:val="00821407"/>
    <w:rsid w:val="008215FB"/>
    <w:rsid w:val="00822081"/>
    <w:rsid w:val="008220CC"/>
    <w:rsid w:val="00822529"/>
    <w:rsid w:val="00822790"/>
    <w:rsid w:val="008227A5"/>
    <w:rsid w:val="00823174"/>
    <w:rsid w:val="00823DCF"/>
    <w:rsid w:val="008245E8"/>
    <w:rsid w:val="00824A22"/>
    <w:rsid w:val="00824C05"/>
    <w:rsid w:val="00824F84"/>
    <w:rsid w:val="00825677"/>
    <w:rsid w:val="00825751"/>
    <w:rsid w:val="00825A1E"/>
    <w:rsid w:val="00825A1F"/>
    <w:rsid w:val="00826056"/>
    <w:rsid w:val="008264EB"/>
    <w:rsid w:val="0082660A"/>
    <w:rsid w:val="0082687A"/>
    <w:rsid w:val="008268CE"/>
    <w:rsid w:val="00826987"/>
    <w:rsid w:val="008271B0"/>
    <w:rsid w:val="00827C23"/>
    <w:rsid w:val="00827FC8"/>
    <w:rsid w:val="00830B1B"/>
    <w:rsid w:val="00830FED"/>
    <w:rsid w:val="0083181F"/>
    <w:rsid w:val="00831994"/>
    <w:rsid w:val="00831B08"/>
    <w:rsid w:val="00831C18"/>
    <w:rsid w:val="00831D49"/>
    <w:rsid w:val="00831F6A"/>
    <w:rsid w:val="00831FD7"/>
    <w:rsid w:val="00832359"/>
    <w:rsid w:val="00832993"/>
    <w:rsid w:val="008337F6"/>
    <w:rsid w:val="00833A47"/>
    <w:rsid w:val="00833B05"/>
    <w:rsid w:val="008344FF"/>
    <w:rsid w:val="0083474F"/>
    <w:rsid w:val="00835463"/>
    <w:rsid w:val="008356FF"/>
    <w:rsid w:val="00835EC1"/>
    <w:rsid w:val="00835EED"/>
    <w:rsid w:val="008362B4"/>
    <w:rsid w:val="008363A1"/>
    <w:rsid w:val="00836626"/>
    <w:rsid w:val="00836F45"/>
    <w:rsid w:val="008372AB"/>
    <w:rsid w:val="0083781A"/>
    <w:rsid w:val="008379D3"/>
    <w:rsid w:val="00837B6C"/>
    <w:rsid w:val="00840081"/>
    <w:rsid w:val="008401D7"/>
    <w:rsid w:val="00840291"/>
    <w:rsid w:val="00840C74"/>
    <w:rsid w:val="00840CA2"/>
    <w:rsid w:val="00840CDD"/>
    <w:rsid w:val="00840F43"/>
    <w:rsid w:val="00841634"/>
    <w:rsid w:val="008419CF"/>
    <w:rsid w:val="00841DD3"/>
    <w:rsid w:val="0084350D"/>
    <w:rsid w:val="008436C5"/>
    <w:rsid w:val="0084374F"/>
    <w:rsid w:val="00843A62"/>
    <w:rsid w:val="00843D5A"/>
    <w:rsid w:val="00844A22"/>
    <w:rsid w:val="00844A2D"/>
    <w:rsid w:val="00844C6C"/>
    <w:rsid w:val="0084500A"/>
    <w:rsid w:val="008453F7"/>
    <w:rsid w:val="00845B12"/>
    <w:rsid w:val="00845EC7"/>
    <w:rsid w:val="008460F5"/>
    <w:rsid w:val="00846395"/>
    <w:rsid w:val="00846C53"/>
    <w:rsid w:val="00846DE2"/>
    <w:rsid w:val="00847703"/>
    <w:rsid w:val="00847AA1"/>
    <w:rsid w:val="00847DF5"/>
    <w:rsid w:val="00850A44"/>
    <w:rsid w:val="00850F25"/>
    <w:rsid w:val="008516C5"/>
    <w:rsid w:val="00851FDB"/>
    <w:rsid w:val="00852001"/>
    <w:rsid w:val="00852523"/>
    <w:rsid w:val="0085265E"/>
    <w:rsid w:val="00852710"/>
    <w:rsid w:val="0085309D"/>
    <w:rsid w:val="00853C5E"/>
    <w:rsid w:val="00853F78"/>
    <w:rsid w:val="00854A61"/>
    <w:rsid w:val="00855406"/>
    <w:rsid w:val="008557AA"/>
    <w:rsid w:val="008557E9"/>
    <w:rsid w:val="00855901"/>
    <w:rsid w:val="00855A32"/>
    <w:rsid w:val="0085630A"/>
    <w:rsid w:val="00856473"/>
    <w:rsid w:val="008566FC"/>
    <w:rsid w:val="00856897"/>
    <w:rsid w:val="00856B70"/>
    <w:rsid w:val="00856DA9"/>
    <w:rsid w:val="00856E9A"/>
    <w:rsid w:val="00857990"/>
    <w:rsid w:val="00860093"/>
    <w:rsid w:val="0086017C"/>
    <w:rsid w:val="00860274"/>
    <w:rsid w:val="008606AE"/>
    <w:rsid w:val="0086075D"/>
    <w:rsid w:val="00860D28"/>
    <w:rsid w:val="00860FEE"/>
    <w:rsid w:val="00860FF4"/>
    <w:rsid w:val="0086116A"/>
    <w:rsid w:val="0086144F"/>
    <w:rsid w:val="008617F3"/>
    <w:rsid w:val="00862502"/>
    <w:rsid w:val="00862C26"/>
    <w:rsid w:val="00862CC1"/>
    <w:rsid w:val="008630F3"/>
    <w:rsid w:val="00863ACE"/>
    <w:rsid w:val="00863F6B"/>
    <w:rsid w:val="008642A7"/>
    <w:rsid w:val="00864846"/>
    <w:rsid w:val="008649BF"/>
    <w:rsid w:val="00864BC8"/>
    <w:rsid w:val="00865A32"/>
    <w:rsid w:val="008660D4"/>
    <w:rsid w:val="00866C2F"/>
    <w:rsid w:val="00866EB5"/>
    <w:rsid w:val="008672F4"/>
    <w:rsid w:val="00867428"/>
    <w:rsid w:val="00867442"/>
    <w:rsid w:val="00867880"/>
    <w:rsid w:val="00867941"/>
    <w:rsid w:val="00867B7A"/>
    <w:rsid w:val="00867F59"/>
    <w:rsid w:val="00870007"/>
    <w:rsid w:val="00870853"/>
    <w:rsid w:val="008709FC"/>
    <w:rsid w:val="00871995"/>
    <w:rsid w:val="00871A79"/>
    <w:rsid w:val="00871FA9"/>
    <w:rsid w:val="008720D5"/>
    <w:rsid w:val="00872466"/>
    <w:rsid w:val="008728E9"/>
    <w:rsid w:val="00873411"/>
    <w:rsid w:val="008736BE"/>
    <w:rsid w:val="00873712"/>
    <w:rsid w:val="0087420B"/>
    <w:rsid w:val="00874B53"/>
    <w:rsid w:val="00874C3D"/>
    <w:rsid w:val="00876181"/>
    <w:rsid w:val="00877703"/>
    <w:rsid w:val="00877E5D"/>
    <w:rsid w:val="008802FB"/>
    <w:rsid w:val="00880C6A"/>
    <w:rsid w:val="0088132F"/>
    <w:rsid w:val="00881F7E"/>
    <w:rsid w:val="00882291"/>
    <w:rsid w:val="008825FE"/>
    <w:rsid w:val="00882874"/>
    <w:rsid w:val="00882E3C"/>
    <w:rsid w:val="0088308A"/>
    <w:rsid w:val="008833C1"/>
    <w:rsid w:val="00883787"/>
    <w:rsid w:val="00883911"/>
    <w:rsid w:val="00883D68"/>
    <w:rsid w:val="008843CD"/>
    <w:rsid w:val="00884649"/>
    <w:rsid w:val="008855E4"/>
    <w:rsid w:val="00885748"/>
    <w:rsid w:val="00886CD2"/>
    <w:rsid w:val="00887674"/>
    <w:rsid w:val="00887823"/>
    <w:rsid w:val="0089031F"/>
    <w:rsid w:val="00891DC6"/>
    <w:rsid w:val="00891E6F"/>
    <w:rsid w:val="00892223"/>
    <w:rsid w:val="0089275D"/>
    <w:rsid w:val="00892A36"/>
    <w:rsid w:val="00893239"/>
    <w:rsid w:val="008932A4"/>
    <w:rsid w:val="008937CA"/>
    <w:rsid w:val="008937DE"/>
    <w:rsid w:val="00894489"/>
    <w:rsid w:val="0089460E"/>
    <w:rsid w:val="00894CC6"/>
    <w:rsid w:val="00894CD6"/>
    <w:rsid w:val="0089547D"/>
    <w:rsid w:val="0089587E"/>
    <w:rsid w:val="00895A60"/>
    <w:rsid w:val="00895D0A"/>
    <w:rsid w:val="008960C4"/>
    <w:rsid w:val="00896347"/>
    <w:rsid w:val="008963A5"/>
    <w:rsid w:val="00896690"/>
    <w:rsid w:val="00896C13"/>
    <w:rsid w:val="00896D5D"/>
    <w:rsid w:val="00896E33"/>
    <w:rsid w:val="00896EBC"/>
    <w:rsid w:val="00897C6E"/>
    <w:rsid w:val="00897EC8"/>
    <w:rsid w:val="00897EE2"/>
    <w:rsid w:val="00897FEA"/>
    <w:rsid w:val="008A0FC2"/>
    <w:rsid w:val="008A1D2F"/>
    <w:rsid w:val="008A213B"/>
    <w:rsid w:val="008A2777"/>
    <w:rsid w:val="008A2BDA"/>
    <w:rsid w:val="008A3158"/>
    <w:rsid w:val="008A3253"/>
    <w:rsid w:val="008A3363"/>
    <w:rsid w:val="008A3371"/>
    <w:rsid w:val="008A3683"/>
    <w:rsid w:val="008A3B6A"/>
    <w:rsid w:val="008A3C3E"/>
    <w:rsid w:val="008A3C59"/>
    <w:rsid w:val="008A3D32"/>
    <w:rsid w:val="008A474C"/>
    <w:rsid w:val="008A48F5"/>
    <w:rsid w:val="008A498A"/>
    <w:rsid w:val="008A4DED"/>
    <w:rsid w:val="008A516D"/>
    <w:rsid w:val="008A548D"/>
    <w:rsid w:val="008A5C4D"/>
    <w:rsid w:val="008A6099"/>
    <w:rsid w:val="008A6122"/>
    <w:rsid w:val="008A625F"/>
    <w:rsid w:val="008A66C0"/>
    <w:rsid w:val="008A766C"/>
    <w:rsid w:val="008A7679"/>
    <w:rsid w:val="008A7857"/>
    <w:rsid w:val="008A79DE"/>
    <w:rsid w:val="008B071A"/>
    <w:rsid w:val="008B0B9B"/>
    <w:rsid w:val="008B1757"/>
    <w:rsid w:val="008B1972"/>
    <w:rsid w:val="008B1C33"/>
    <w:rsid w:val="008B1E68"/>
    <w:rsid w:val="008B1FFF"/>
    <w:rsid w:val="008B2510"/>
    <w:rsid w:val="008B2B6B"/>
    <w:rsid w:val="008B2E09"/>
    <w:rsid w:val="008B2E5A"/>
    <w:rsid w:val="008B4B6F"/>
    <w:rsid w:val="008B4DDB"/>
    <w:rsid w:val="008B50E2"/>
    <w:rsid w:val="008B5227"/>
    <w:rsid w:val="008B5365"/>
    <w:rsid w:val="008B578F"/>
    <w:rsid w:val="008B5D62"/>
    <w:rsid w:val="008B6069"/>
    <w:rsid w:val="008B683D"/>
    <w:rsid w:val="008B6D6B"/>
    <w:rsid w:val="008B6D77"/>
    <w:rsid w:val="008B78FB"/>
    <w:rsid w:val="008B7992"/>
    <w:rsid w:val="008B7D3E"/>
    <w:rsid w:val="008B7D7E"/>
    <w:rsid w:val="008C055C"/>
    <w:rsid w:val="008C104F"/>
    <w:rsid w:val="008C2749"/>
    <w:rsid w:val="008C3088"/>
    <w:rsid w:val="008C3336"/>
    <w:rsid w:val="008C3360"/>
    <w:rsid w:val="008C3A94"/>
    <w:rsid w:val="008C3DA0"/>
    <w:rsid w:val="008C3DAC"/>
    <w:rsid w:val="008C48C1"/>
    <w:rsid w:val="008C52B3"/>
    <w:rsid w:val="008C5610"/>
    <w:rsid w:val="008C5629"/>
    <w:rsid w:val="008C5739"/>
    <w:rsid w:val="008C5BC3"/>
    <w:rsid w:val="008C6D80"/>
    <w:rsid w:val="008C7282"/>
    <w:rsid w:val="008C7318"/>
    <w:rsid w:val="008C7501"/>
    <w:rsid w:val="008C75B3"/>
    <w:rsid w:val="008C79C2"/>
    <w:rsid w:val="008C7ECB"/>
    <w:rsid w:val="008D0572"/>
    <w:rsid w:val="008D1751"/>
    <w:rsid w:val="008D22CF"/>
    <w:rsid w:val="008D250A"/>
    <w:rsid w:val="008D2D40"/>
    <w:rsid w:val="008D3B86"/>
    <w:rsid w:val="008D43FD"/>
    <w:rsid w:val="008D4755"/>
    <w:rsid w:val="008D49A8"/>
    <w:rsid w:val="008D4C3D"/>
    <w:rsid w:val="008D4C7D"/>
    <w:rsid w:val="008D5515"/>
    <w:rsid w:val="008D5AD8"/>
    <w:rsid w:val="008D5DB9"/>
    <w:rsid w:val="008D6696"/>
    <w:rsid w:val="008D68FD"/>
    <w:rsid w:val="008D6C2D"/>
    <w:rsid w:val="008D743C"/>
    <w:rsid w:val="008D76FC"/>
    <w:rsid w:val="008D7F52"/>
    <w:rsid w:val="008E01D2"/>
    <w:rsid w:val="008E0443"/>
    <w:rsid w:val="008E07D4"/>
    <w:rsid w:val="008E0D3C"/>
    <w:rsid w:val="008E0D78"/>
    <w:rsid w:val="008E0FE0"/>
    <w:rsid w:val="008E1B9E"/>
    <w:rsid w:val="008E1F32"/>
    <w:rsid w:val="008E26F2"/>
    <w:rsid w:val="008E27CE"/>
    <w:rsid w:val="008E2AB1"/>
    <w:rsid w:val="008E2E09"/>
    <w:rsid w:val="008E2EF1"/>
    <w:rsid w:val="008E2FCE"/>
    <w:rsid w:val="008E4298"/>
    <w:rsid w:val="008E43B1"/>
    <w:rsid w:val="008E486C"/>
    <w:rsid w:val="008E48E9"/>
    <w:rsid w:val="008E4CAE"/>
    <w:rsid w:val="008E4FBA"/>
    <w:rsid w:val="008E4FE2"/>
    <w:rsid w:val="008E5151"/>
    <w:rsid w:val="008E55AB"/>
    <w:rsid w:val="008E563E"/>
    <w:rsid w:val="008E5EF4"/>
    <w:rsid w:val="008E64AB"/>
    <w:rsid w:val="008E6587"/>
    <w:rsid w:val="008E6D9C"/>
    <w:rsid w:val="008E72DD"/>
    <w:rsid w:val="008E74AC"/>
    <w:rsid w:val="008E785F"/>
    <w:rsid w:val="008E7E0F"/>
    <w:rsid w:val="008F021E"/>
    <w:rsid w:val="008F0A49"/>
    <w:rsid w:val="008F0A8C"/>
    <w:rsid w:val="008F0E58"/>
    <w:rsid w:val="008F0EC4"/>
    <w:rsid w:val="008F1165"/>
    <w:rsid w:val="008F1197"/>
    <w:rsid w:val="008F120A"/>
    <w:rsid w:val="008F2339"/>
    <w:rsid w:val="008F27E0"/>
    <w:rsid w:val="008F302A"/>
    <w:rsid w:val="008F3CB4"/>
    <w:rsid w:val="008F3FF6"/>
    <w:rsid w:val="008F48EB"/>
    <w:rsid w:val="008F4AA1"/>
    <w:rsid w:val="008F4BFB"/>
    <w:rsid w:val="008F4F0B"/>
    <w:rsid w:val="008F562A"/>
    <w:rsid w:val="008F56E0"/>
    <w:rsid w:val="008F5798"/>
    <w:rsid w:val="008F5BD3"/>
    <w:rsid w:val="008F65F2"/>
    <w:rsid w:val="008F6DBA"/>
    <w:rsid w:val="008F6DBD"/>
    <w:rsid w:val="008F71F9"/>
    <w:rsid w:val="008F74E2"/>
    <w:rsid w:val="008F79FB"/>
    <w:rsid w:val="008F7C54"/>
    <w:rsid w:val="008F7D1D"/>
    <w:rsid w:val="00900028"/>
    <w:rsid w:val="00900455"/>
    <w:rsid w:val="009009D1"/>
    <w:rsid w:val="00900BA3"/>
    <w:rsid w:val="00901564"/>
    <w:rsid w:val="00901638"/>
    <w:rsid w:val="00901AAB"/>
    <w:rsid w:val="00902392"/>
    <w:rsid w:val="00902F43"/>
    <w:rsid w:val="00903850"/>
    <w:rsid w:val="00903D93"/>
    <w:rsid w:val="00903E6B"/>
    <w:rsid w:val="009046C4"/>
    <w:rsid w:val="00904A23"/>
    <w:rsid w:val="0090621D"/>
    <w:rsid w:val="009062A5"/>
    <w:rsid w:val="00906614"/>
    <w:rsid w:val="00906B63"/>
    <w:rsid w:val="00906FB0"/>
    <w:rsid w:val="00907409"/>
    <w:rsid w:val="0090760D"/>
    <w:rsid w:val="00907673"/>
    <w:rsid w:val="00907699"/>
    <w:rsid w:val="00907EAA"/>
    <w:rsid w:val="00907F20"/>
    <w:rsid w:val="009102CA"/>
    <w:rsid w:val="00910500"/>
    <w:rsid w:val="0091092A"/>
    <w:rsid w:val="00910C57"/>
    <w:rsid w:val="00910FA7"/>
    <w:rsid w:val="00911272"/>
    <w:rsid w:val="00911339"/>
    <w:rsid w:val="00911DF3"/>
    <w:rsid w:val="00912115"/>
    <w:rsid w:val="009135D6"/>
    <w:rsid w:val="00913812"/>
    <w:rsid w:val="0091383B"/>
    <w:rsid w:val="00913D31"/>
    <w:rsid w:val="00913F04"/>
    <w:rsid w:val="00913F1E"/>
    <w:rsid w:val="00914ADE"/>
    <w:rsid w:val="00914C77"/>
    <w:rsid w:val="00914CE5"/>
    <w:rsid w:val="00914E76"/>
    <w:rsid w:val="0091654A"/>
    <w:rsid w:val="009167CC"/>
    <w:rsid w:val="00916B73"/>
    <w:rsid w:val="0091758F"/>
    <w:rsid w:val="0091783E"/>
    <w:rsid w:val="00917DDC"/>
    <w:rsid w:val="00920EEA"/>
    <w:rsid w:val="00921140"/>
    <w:rsid w:val="0092125E"/>
    <w:rsid w:val="00921ACB"/>
    <w:rsid w:val="009221E9"/>
    <w:rsid w:val="00922691"/>
    <w:rsid w:val="009228EC"/>
    <w:rsid w:val="00922935"/>
    <w:rsid w:val="009229E3"/>
    <w:rsid w:val="00922A98"/>
    <w:rsid w:val="0092320A"/>
    <w:rsid w:val="0092369B"/>
    <w:rsid w:val="0092440D"/>
    <w:rsid w:val="009252EC"/>
    <w:rsid w:val="00925AE2"/>
    <w:rsid w:val="00926055"/>
    <w:rsid w:val="009265FD"/>
    <w:rsid w:val="009269F5"/>
    <w:rsid w:val="00926BED"/>
    <w:rsid w:val="00927435"/>
    <w:rsid w:val="00927479"/>
    <w:rsid w:val="00927708"/>
    <w:rsid w:val="00927917"/>
    <w:rsid w:val="00927B70"/>
    <w:rsid w:val="00930C00"/>
    <w:rsid w:val="00931116"/>
    <w:rsid w:val="009312A2"/>
    <w:rsid w:val="00931656"/>
    <w:rsid w:val="00931709"/>
    <w:rsid w:val="00931826"/>
    <w:rsid w:val="00931A2D"/>
    <w:rsid w:val="00931B73"/>
    <w:rsid w:val="00932547"/>
    <w:rsid w:val="00933259"/>
    <w:rsid w:val="00933652"/>
    <w:rsid w:val="009337A0"/>
    <w:rsid w:val="00933F3B"/>
    <w:rsid w:val="009345A0"/>
    <w:rsid w:val="0093490D"/>
    <w:rsid w:val="00934988"/>
    <w:rsid w:val="00934B1A"/>
    <w:rsid w:val="0093540B"/>
    <w:rsid w:val="00935556"/>
    <w:rsid w:val="00935C07"/>
    <w:rsid w:val="00935C35"/>
    <w:rsid w:val="00935EC3"/>
    <w:rsid w:val="00936293"/>
    <w:rsid w:val="009365BB"/>
    <w:rsid w:val="00936A26"/>
    <w:rsid w:val="00936D61"/>
    <w:rsid w:val="00936EAA"/>
    <w:rsid w:val="00937089"/>
    <w:rsid w:val="0093720C"/>
    <w:rsid w:val="0093727A"/>
    <w:rsid w:val="00937822"/>
    <w:rsid w:val="00937AAA"/>
    <w:rsid w:val="00940A13"/>
    <w:rsid w:val="00941004"/>
    <w:rsid w:val="00941169"/>
    <w:rsid w:val="0094126F"/>
    <w:rsid w:val="00942264"/>
    <w:rsid w:val="00942511"/>
    <w:rsid w:val="00942743"/>
    <w:rsid w:val="009429FE"/>
    <w:rsid w:val="00942AA2"/>
    <w:rsid w:val="0094309A"/>
    <w:rsid w:val="00943313"/>
    <w:rsid w:val="009444A9"/>
    <w:rsid w:val="00944952"/>
    <w:rsid w:val="00944F8A"/>
    <w:rsid w:val="009454A1"/>
    <w:rsid w:val="009456C4"/>
    <w:rsid w:val="00947622"/>
    <w:rsid w:val="009477BC"/>
    <w:rsid w:val="009479D8"/>
    <w:rsid w:val="00947CAA"/>
    <w:rsid w:val="00947D68"/>
    <w:rsid w:val="00947FCE"/>
    <w:rsid w:val="00950534"/>
    <w:rsid w:val="0095055A"/>
    <w:rsid w:val="009510A2"/>
    <w:rsid w:val="00951375"/>
    <w:rsid w:val="0095164B"/>
    <w:rsid w:val="009517B8"/>
    <w:rsid w:val="00952CD9"/>
    <w:rsid w:val="00953257"/>
    <w:rsid w:val="00953618"/>
    <w:rsid w:val="00953DF4"/>
    <w:rsid w:val="00953F45"/>
    <w:rsid w:val="00954489"/>
    <w:rsid w:val="0095474C"/>
    <w:rsid w:val="009547BC"/>
    <w:rsid w:val="009553A5"/>
    <w:rsid w:val="0095548F"/>
    <w:rsid w:val="0095566C"/>
    <w:rsid w:val="00955AD2"/>
    <w:rsid w:val="00955CCD"/>
    <w:rsid w:val="00955D01"/>
    <w:rsid w:val="00957089"/>
    <w:rsid w:val="00957D92"/>
    <w:rsid w:val="00960A34"/>
    <w:rsid w:val="009612A5"/>
    <w:rsid w:val="00961EBE"/>
    <w:rsid w:val="00962158"/>
    <w:rsid w:val="00962679"/>
    <w:rsid w:val="00962CB9"/>
    <w:rsid w:val="00962FEA"/>
    <w:rsid w:val="00963190"/>
    <w:rsid w:val="009633CD"/>
    <w:rsid w:val="00963413"/>
    <w:rsid w:val="00963539"/>
    <w:rsid w:val="00963785"/>
    <w:rsid w:val="009640A6"/>
    <w:rsid w:val="00964312"/>
    <w:rsid w:val="00965B8A"/>
    <w:rsid w:val="0096634D"/>
    <w:rsid w:val="00966586"/>
    <w:rsid w:val="009670FC"/>
    <w:rsid w:val="00967233"/>
    <w:rsid w:val="00967669"/>
    <w:rsid w:val="009700F7"/>
    <w:rsid w:val="009706AB"/>
    <w:rsid w:val="0097071F"/>
    <w:rsid w:val="00970ED6"/>
    <w:rsid w:val="009717AC"/>
    <w:rsid w:val="00972451"/>
    <w:rsid w:val="00973354"/>
    <w:rsid w:val="00973651"/>
    <w:rsid w:val="00973DEB"/>
    <w:rsid w:val="009741C4"/>
    <w:rsid w:val="009741CE"/>
    <w:rsid w:val="009744C0"/>
    <w:rsid w:val="009748AA"/>
    <w:rsid w:val="00974A05"/>
    <w:rsid w:val="00974A51"/>
    <w:rsid w:val="009751C1"/>
    <w:rsid w:val="00975215"/>
    <w:rsid w:val="009758DF"/>
    <w:rsid w:val="00975BE8"/>
    <w:rsid w:val="0097632C"/>
    <w:rsid w:val="009765DD"/>
    <w:rsid w:val="009766DC"/>
    <w:rsid w:val="00976750"/>
    <w:rsid w:val="009775F7"/>
    <w:rsid w:val="00980304"/>
    <w:rsid w:val="0098049E"/>
    <w:rsid w:val="0098064F"/>
    <w:rsid w:val="0098101E"/>
    <w:rsid w:val="009811F1"/>
    <w:rsid w:val="00981405"/>
    <w:rsid w:val="0098169A"/>
    <w:rsid w:val="00981A4E"/>
    <w:rsid w:val="00981CB0"/>
    <w:rsid w:val="00983E57"/>
    <w:rsid w:val="0098403E"/>
    <w:rsid w:val="009843E8"/>
    <w:rsid w:val="00984482"/>
    <w:rsid w:val="009849D4"/>
    <w:rsid w:val="00984A01"/>
    <w:rsid w:val="00984A97"/>
    <w:rsid w:val="00985DE2"/>
    <w:rsid w:val="00985EBD"/>
    <w:rsid w:val="00985F98"/>
    <w:rsid w:val="0098675D"/>
    <w:rsid w:val="00986D18"/>
    <w:rsid w:val="009872ED"/>
    <w:rsid w:val="0098737B"/>
    <w:rsid w:val="00987BA4"/>
    <w:rsid w:val="00987CDA"/>
    <w:rsid w:val="00987F35"/>
    <w:rsid w:val="009903E0"/>
    <w:rsid w:val="009904EB"/>
    <w:rsid w:val="00990D75"/>
    <w:rsid w:val="00990FA3"/>
    <w:rsid w:val="00991247"/>
    <w:rsid w:val="0099145B"/>
    <w:rsid w:val="009917DD"/>
    <w:rsid w:val="00991B27"/>
    <w:rsid w:val="00992460"/>
    <w:rsid w:val="00992477"/>
    <w:rsid w:val="009926E0"/>
    <w:rsid w:val="00993266"/>
    <w:rsid w:val="009934D2"/>
    <w:rsid w:val="0099378F"/>
    <w:rsid w:val="0099451E"/>
    <w:rsid w:val="00994B90"/>
    <w:rsid w:val="00994EB5"/>
    <w:rsid w:val="009951A6"/>
    <w:rsid w:val="00996B1A"/>
    <w:rsid w:val="00996B39"/>
    <w:rsid w:val="0099753D"/>
    <w:rsid w:val="00997F2B"/>
    <w:rsid w:val="009A03B6"/>
    <w:rsid w:val="009A13BC"/>
    <w:rsid w:val="009A1664"/>
    <w:rsid w:val="009A1870"/>
    <w:rsid w:val="009A18F6"/>
    <w:rsid w:val="009A1C1E"/>
    <w:rsid w:val="009A1D57"/>
    <w:rsid w:val="009A23B3"/>
    <w:rsid w:val="009A2DCC"/>
    <w:rsid w:val="009A354A"/>
    <w:rsid w:val="009A4184"/>
    <w:rsid w:val="009A46FC"/>
    <w:rsid w:val="009A4C02"/>
    <w:rsid w:val="009A5466"/>
    <w:rsid w:val="009A5ABC"/>
    <w:rsid w:val="009A60E1"/>
    <w:rsid w:val="009A648F"/>
    <w:rsid w:val="009A65BC"/>
    <w:rsid w:val="009A68FA"/>
    <w:rsid w:val="009A6B59"/>
    <w:rsid w:val="009A74D7"/>
    <w:rsid w:val="009A77D2"/>
    <w:rsid w:val="009A7D2A"/>
    <w:rsid w:val="009A7F10"/>
    <w:rsid w:val="009B0964"/>
    <w:rsid w:val="009B0E92"/>
    <w:rsid w:val="009B0FE2"/>
    <w:rsid w:val="009B142D"/>
    <w:rsid w:val="009B159D"/>
    <w:rsid w:val="009B173E"/>
    <w:rsid w:val="009B2B2A"/>
    <w:rsid w:val="009B2DC1"/>
    <w:rsid w:val="009B30C3"/>
    <w:rsid w:val="009B3E26"/>
    <w:rsid w:val="009B4092"/>
    <w:rsid w:val="009B410E"/>
    <w:rsid w:val="009B439B"/>
    <w:rsid w:val="009B4804"/>
    <w:rsid w:val="009B4E2C"/>
    <w:rsid w:val="009B4EF3"/>
    <w:rsid w:val="009B4FB6"/>
    <w:rsid w:val="009B5104"/>
    <w:rsid w:val="009B5337"/>
    <w:rsid w:val="009B5DAD"/>
    <w:rsid w:val="009B5E57"/>
    <w:rsid w:val="009B62E1"/>
    <w:rsid w:val="009B65C7"/>
    <w:rsid w:val="009B676C"/>
    <w:rsid w:val="009B7040"/>
    <w:rsid w:val="009B76A1"/>
    <w:rsid w:val="009B7CB9"/>
    <w:rsid w:val="009B7E15"/>
    <w:rsid w:val="009C014E"/>
    <w:rsid w:val="009C1271"/>
    <w:rsid w:val="009C163A"/>
    <w:rsid w:val="009C1740"/>
    <w:rsid w:val="009C18EE"/>
    <w:rsid w:val="009C1A5F"/>
    <w:rsid w:val="009C1AFB"/>
    <w:rsid w:val="009C1DAE"/>
    <w:rsid w:val="009C2523"/>
    <w:rsid w:val="009C2843"/>
    <w:rsid w:val="009C2F5C"/>
    <w:rsid w:val="009C35F6"/>
    <w:rsid w:val="009C3706"/>
    <w:rsid w:val="009C3A3A"/>
    <w:rsid w:val="009C4822"/>
    <w:rsid w:val="009C4E85"/>
    <w:rsid w:val="009C4FD8"/>
    <w:rsid w:val="009C511F"/>
    <w:rsid w:val="009C5390"/>
    <w:rsid w:val="009C5FA2"/>
    <w:rsid w:val="009C66F4"/>
    <w:rsid w:val="009C6CEA"/>
    <w:rsid w:val="009C72B8"/>
    <w:rsid w:val="009C7493"/>
    <w:rsid w:val="009C7B85"/>
    <w:rsid w:val="009C7C68"/>
    <w:rsid w:val="009D00C8"/>
    <w:rsid w:val="009D0254"/>
    <w:rsid w:val="009D0303"/>
    <w:rsid w:val="009D06F2"/>
    <w:rsid w:val="009D0B9D"/>
    <w:rsid w:val="009D10A1"/>
    <w:rsid w:val="009D1201"/>
    <w:rsid w:val="009D1A64"/>
    <w:rsid w:val="009D24B2"/>
    <w:rsid w:val="009D25E4"/>
    <w:rsid w:val="009D26AF"/>
    <w:rsid w:val="009D28F0"/>
    <w:rsid w:val="009D41FD"/>
    <w:rsid w:val="009D4630"/>
    <w:rsid w:val="009D4D45"/>
    <w:rsid w:val="009D4E05"/>
    <w:rsid w:val="009D5839"/>
    <w:rsid w:val="009D5B91"/>
    <w:rsid w:val="009D6741"/>
    <w:rsid w:val="009D67C4"/>
    <w:rsid w:val="009D67E5"/>
    <w:rsid w:val="009D6A6B"/>
    <w:rsid w:val="009D70D9"/>
    <w:rsid w:val="009D71EF"/>
    <w:rsid w:val="009D792E"/>
    <w:rsid w:val="009E0253"/>
    <w:rsid w:val="009E0524"/>
    <w:rsid w:val="009E068D"/>
    <w:rsid w:val="009E0739"/>
    <w:rsid w:val="009E08CB"/>
    <w:rsid w:val="009E0DFE"/>
    <w:rsid w:val="009E11D2"/>
    <w:rsid w:val="009E16CE"/>
    <w:rsid w:val="009E19D0"/>
    <w:rsid w:val="009E1F18"/>
    <w:rsid w:val="009E2E09"/>
    <w:rsid w:val="009E31F6"/>
    <w:rsid w:val="009E3384"/>
    <w:rsid w:val="009E3854"/>
    <w:rsid w:val="009E3E23"/>
    <w:rsid w:val="009E4C07"/>
    <w:rsid w:val="009E4CC5"/>
    <w:rsid w:val="009E5133"/>
    <w:rsid w:val="009E5F1B"/>
    <w:rsid w:val="009E6773"/>
    <w:rsid w:val="009E777F"/>
    <w:rsid w:val="009E7BBA"/>
    <w:rsid w:val="009F00FD"/>
    <w:rsid w:val="009F0F0D"/>
    <w:rsid w:val="009F1076"/>
    <w:rsid w:val="009F130E"/>
    <w:rsid w:val="009F14DB"/>
    <w:rsid w:val="009F1559"/>
    <w:rsid w:val="009F163A"/>
    <w:rsid w:val="009F1883"/>
    <w:rsid w:val="009F18E0"/>
    <w:rsid w:val="009F1E1A"/>
    <w:rsid w:val="009F2087"/>
    <w:rsid w:val="009F2154"/>
    <w:rsid w:val="009F235B"/>
    <w:rsid w:val="009F28F7"/>
    <w:rsid w:val="009F357F"/>
    <w:rsid w:val="009F471C"/>
    <w:rsid w:val="009F5A3C"/>
    <w:rsid w:val="009F6120"/>
    <w:rsid w:val="009F6413"/>
    <w:rsid w:val="009F6437"/>
    <w:rsid w:val="009F718B"/>
    <w:rsid w:val="009F7379"/>
    <w:rsid w:val="009F741E"/>
    <w:rsid w:val="009F7CD3"/>
    <w:rsid w:val="00A0014E"/>
    <w:rsid w:val="00A00532"/>
    <w:rsid w:val="00A00D76"/>
    <w:rsid w:val="00A00D7A"/>
    <w:rsid w:val="00A00E01"/>
    <w:rsid w:val="00A01184"/>
    <w:rsid w:val="00A012E0"/>
    <w:rsid w:val="00A01449"/>
    <w:rsid w:val="00A02286"/>
    <w:rsid w:val="00A02344"/>
    <w:rsid w:val="00A0277E"/>
    <w:rsid w:val="00A02B6D"/>
    <w:rsid w:val="00A02F3E"/>
    <w:rsid w:val="00A030DF"/>
    <w:rsid w:val="00A037C2"/>
    <w:rsid w:val="00A03D43"/>
    <w:rsid w:val="00A04380"/>
    <w:rsid w:val="00A04786"/>
    <w:rsid w:val="00A04971"/>
    <w:rsid w:val="00A05472"/>
    <w:rsid w:val="00A059DB"/>
    <w:rsid w:val="00A05C32"/>
    <w:rsid w:val="00A05EF3"/>
    <w:rsid w:val="00A0653F"/>
    <w:rsid w:val="00A0735F"/>
    <w:rsid w:val="00A0776D"/>
    <w:rsid w:val="00A0783F"/>
    <w:rsid w:val="00A10EF8"/>
    <w:rsid w:val="00A113AD"/>
    <w:rsid w:val="00A114BD"/>
    <w:rsid w:val="00A118E8"/>
    <w:rsid w:val="00A11AEF"/>
    <w:rsid w:val="00A11CD0"/>
    <w:rsid w:val="00A1275C"/>
    <w:rsid w:val="00A12D25"/>
    <w:rsid w:val="00A13172"/>
    <w:rsid w:val="00A13948"/>
    <w:rsid w:val="00A13DBE"/>
    <w:rsid w:val="00A141CD"/>
    <w:rsid w:val="00A14AC8"/>
    <w:rsid w:val="00A14D7B"/>
    <w:rsid w:val="00A14F7D"/>
    <w:rsid w:val="00A1555A"/>
    <w:rsid w:val="00A1555B"/>
    <w:rsid w:val="00A155C5"/>
    <w:rsid w:val="00A155EA"/>
    <w:rsid w:val="00A159C6"/>
    <w:rsid w:val="00A16025"/>
    <w:rsid w:val="00A1637A"/>
    <w:rsid w:val="00A16AD8"/>
    <w:rsid w:val="00A17879"/>
    <w:rsid w:val="00A17A32"/>
    <w:rsid w:val="00A17B4F"/>
    <w:rsid w:val="00A17EAD"/>
    <w:rsid w:val="00A201F1"/>
    <w:rsid w:val="00A2021E"/>
    <w:rsid w:val="00A206CD"/>
    <w:rsid w:val="00A20F5E"/>
    <w:rsid w:val="00A2107B"/>
    <w:rsid w:val="00A21195"/>
    <w:rsid w:val="00A21C95"/>
    <w:rsid w:val="00A21CF3"/>
    <w:rsid w:val="00A228C6"/>
    <w:rsid w:val="00A22A61"/>
    <w:rsid w:val="00A23638"/>
    <w:rsid w:val="00A23F27"/>
    <w:rsid w:val="00A241E9"/>
    <w:rsid w:val="00A24636"/>
    <w:rsid w:val="00A24813"/>
    <w:rsid w:val="00A2565D"/>
    <w:rsid w:val="00A25DCC"/>
    <w:rsid w:val="00A25E16"/>
    <w:rsid w:val="00A270D9"/>
    <w:rsid w:val="00A273EC"/>
    <w:rsid w:val="00A27AEC"/>
    <w:rsid w:val="00A27E3F"/>
    <w:rsid w:val="00A27FCB"/>
    <w:rsid w:val="00A303E2"/>
    <w:rsid w:val="00A31AD1"/>
    <w:rsid w:val="00A31E66"/>
    <w:rsid w:val="00A32094"/>
    <w:rsid w:val="00A320DB"/>
    <w:rsid w:val="00A3246E"/>
    <w:rsid w:val="00A327F5"/>
    <w:rsid w:val="00A32B17"/>
    <w:rsid w:val="00A32BCA"/>
    <w:rsid w:val="00A332BD"/>
    <w:rsid w:val="00A333BF"/>
    <w:rsid w:val="00A33554"/>
    <w:rsid w:val="00A3581B"/>
    <w:rsid w:val="00A358F4"/>
    <w:rsid w:val="00A35A9F"/>
    <w:rsid w:val="00A35D16"/>
    <w:rsid w:val="00A362D6"/>
    <w:rsid w:val="00A36445"/>
    <w:rsid w:val="00A36796"/>
    <w:rsid w:val="00A36952"/>
    <w:rsid w:val="00A370B8"/>
    <w:rsid w:val="00A37112"/>
    <w:rsid w:val="00A37B19"/>
    <w:rsid w:val="00A37BCD"/>
    <w:rsid w:val="00A37D01"/>
    <w:rsid w:val="00A37D91"/>
    <w:rsid w:val="00A4140A"/>
    <w:rsid w:val="00A41689"/>
    <w:rsid w:val="00A41A9E"/>
    <w:rsid w:val="00A42592"/>
    <w:rsid w:val="00A427E2"/>
    <w:rsid w:val="00A42D66"/>
    <w:rsid w:val="00A43C59"/>
    <w:rsid w:val="00A43FA1"/>
    <w:rsid w:val="00A4410A"/>
    <w:rsid w:val="00A44EB4"/>
    <w:rsid w:val="00A452A1"/>
    <w:rsid w:val="00A45640"/>
    <w:rsid w:val="00A45DED"/>
    <w:rsid w:val="00A45F9A"/>
    <w:rsid w:val="00A46770"/>
    <w:rsid w:val="00A471EB"/>
    <w:rsid w:val="00A4788C"/>
    <w:rsid w:val="00A5021A"/>
    <w:rsid w:val="00A502E4"/>
    <w:rsid w:val="00A50ECD"/>
    <w:rsid w:val="00A514A4"/>
    <w:rsid w:val="00A51727"/>
    <w:rsid w:val="00A518F3"/>
    <w:rsid w:val="00A519EC"/>
    <w:rsid w:val="00A51BC8"/>
    <w:rsid w:val="00A51CB0"/>
    <w:rsid w:val="00A52313"/>
    <w:rsid w:val="00A52729"/>
    <w:rsid w:val="00A5276D"/>
    <w:rsid w:val="00A5287E"/>
    <w:rsid w:val="00A52FE7"/>
    <w:rsid w:val="00A531B9"/>
    <w:rsid w:val="00A531FF"/>
    <w:rsid w:val="00A53675"/>
    <w:rsid w:val="00A53BC4"/>
    <w:rsid w:val="00A54183"/>
    <w:rsid w:val="00A5490A"/>
    <w:rsid w:val="00A54B76"/>
    <w:rsid w:val="00A55375"/>
    <w:rsid w:val="00A564D7"/>
    <w:rsid w:val="00A5659F"/>
    <w:rsid w:val="00A56635"/>
    <w:rsid w:val="00A56649"/>
    <w:rsid w:val="00A56A34"/>
    <w:rsid w:val="00A56AF6"/>
    <w:rsid w:val="00A56B6A"/>
    <w:rsid w:val="00A571D4"/>
    <w:rsid w:val="00A5757A"/>
    <w:rsid w:val="00A578DC"/>
    <w:rsid w:val="00A57C34"/>
    <w:rsid w:val="00A57DBF"/>
    <w:rsid w:val="00A61C58"/>
    <w:rsid w:val="00A61D1B"/>
    <w:rsid w:val="00A61E61"/>
    <w:rsid w:val="00A62555"/>
    <w:rsid w:val="00A6278D"/>
    <w:rsid w:val="00A62B00"/>
    <w:rsid w:val="00A62D3C"/>
    <w:rsid w:val="00A63418"/>
    <w:rsid w:val="00A640E2"/>
    <w:rsid w:val="00A6494C"/>
    <w:rsid w:val="00A64D65"/>
    <w:rsid w:val="00A64D95"/>
    <w:rsid w:val="00A660D4"/>
    <w:rsid w:val="00A66F12"/>
    <w:rsid w:val="00A6725B"/>
    <w:rsid w:val="00A673A9"/>
    <w:rsid w:val="00A673FF"/>
    <w:rsid w:val="00A67429"/>
    <w:rsid w:val="00A7035E"/>
    <w:rsid w:val="00A70605"/>
    <w:rsid w:val="00A70ACA"/>
    <w:rsid w:val="00A70C48"/>
    <w:rsid w:val="00A71686"/>
    <w:rsid w:val="00A71AF1"/>
    <w:rsid w:val="00A71C75"/>
    <w:rsid w:val="00A71D9E"/>
    <w:rsid w:val="00A71F52"/>
    <w:rsid w:val="00A72A59"/>
    <w:rsid w:val="00A72C50"/>
    <w:rsid w:val="00A73114"/>
    <w:rsid w:val="00A73134"/>
    <w:rsid w:val="00A73314"/>
    <w:rsid w:val="00A7365A"/>
    <w:rsid w:val="00A73A93"/>
    <w:rsid w:val="00A73F17"/>
    <w:rsid w:val="00A7474E"/>
    <w:rsid w:val="00A752DB"/>
    <w:rsid w:val="00A75E9D"/>
    <w:rsid w:val="00A76001"/>
    <w:rsid w:val="00A767DD"/>
    <w:rsid w:val="00A768A1"/>
    <w:rsid w:val="00A76CB6"/>
    <w:rsid w:val="00A777B2"/>
    <w:rsid w:val="00A77D7F"/>
    <w:rsid w:val="00A80207"/>
    <w:rsid w:val="00A80768"/>
    <w:rsid w:val="00A80A27"/>
    <w:rsid w:val="00A811F6"/>
    <w:rsid w:val="00A8150A"/>
    <w:rsid w:val="00A8162B"/>
    <w:rsid w:val="00A817B2"/>
    <w:rsid w:val="00A81C55"/>
    <w:rsid w:val="00A82573"/>
    <w:rsid w:val="00A825D4"/>
    <w:rsid w:val="00A828F6"/>
    <w:rsid w:val="00A829A3"/>
    <w:rsid w:val="00A82A22"/>
    <w:rsid w:val="00A82B73"/>
    <w:rsid w:val="00A8309C"/>
    <w:rsid w:val="00A8347C"/>
    <w:rsid w:val="00A83530"/>
    <w:rsid w:val="00A83724"/>
    <w:rsid w:val="00A83B91"/>
    <w:rsid w:val="00A83D7C"/>
    <w:rsid w:val="00A845C5"/>
    <w:rsid w:val="00A84AB7"/>
    <w:rsid w:val="00A84C67"/>
    <w:rsid w:val="00A84E5A"/>
    <w:rsid w:val="00A8522C"/>
    <w:rsid w:val="00A856A8"/>
    <w:rsid w:val="00A858F4"/>
    <w:rsid w:val="00A85E34"/>
    <w:rsid w:val="00A86978"/>
    <w:rsid w:val="00A86E8B"/>
    <w:rsid w:val="00A87164"/>
    <w:rsid w:val="00A87192"/>
    <w:rsid w:val="00A874AB"/>
    <w:rsid w:val="00A87A86"/>
    <w:rsid w:val="00A915D2"/>
    <w:rsid w:val="00A916A4"/>
    <w:rsid w:val="00A91900"/>
    <w:rsid w:val="00A9195A"/>
    <w:rsid w:val="00A93072"/>
    <w:rsid w:val="00A93550"/>
    <w:rsid w:val="00A938BD"/>
    <w:rsid w:val="00A93953"/>
    <w:rsid w:val="00A93C4A"/>
    <w:rsid w:val="00A93CE5"/>
    <w:rsid w:val="00A93D54"/>
    <w:rsid w:val="00A94959"/>
    <w:rsid w:val="00A94A9D"/>
    <w:rsid w:val="00A954CF"/>
    <w:rsid w:val="00A95591"/>
    <w:rsid w:val="00A95706"/>
    <w:rsid w:val="00A959D8"/>
    <w:rsid w:val="00A95A36"/>
    <w:rsid w:val="00A9616F"/>
    <w:rsid w:val="00A970B1"/>
    <w:rsid w:val="00A979EB"/>
    <w:rsid w:val="00AA0FD3"/>
    <w:rsid w:val="00AA113D"/>
    <w:rsid w:val="00AA1999"/>
    <w:rsid w:val="00AA1D09"/>
    <w:rsid w:val="00AA2038"/>
    <w:rsid w:val="00AA21E4"/>
    <w:rsid w:val="00AA2EB0"/>
    <w:rsid w:val="00AA3160"/>
    <w:rsid w:val="00AA3F81"/>
    <w:rsid w:val="00AA4057"/>
    <w:rsid w:val="00AA497B"/>
    <w:rsid w:val="00AA4999"/>
    <w:rsid w:val="00AA6BD5"/>
    <w:rsid w:val="00AA6BD8"/>
    <w:rsid w:val="00AA6C7D"/>
    <w:rsid w:val="00AA7383"/>
    <w:rsid w:val="00AA7B04"/>
    <w:rsid w:val="00AA7CF3"/>
    <w:rsid w:val="00AA7FD6"/>
    <w:rsid w:val="00AB042A"/>
    <w:rsid w:val="00AB11AD"/>
    <w:rsid w:val="00AB17C6"/>
    <w:rsid w:val="00AB1913"/>
    <w:rsid w:val="00AB19EF"/>
    <w:rsid w:val="00AB20C0"/>
    <w:rsid w:val="00AB2340"/>
    <w:rsid w:val="00AB246E"/>
    <w:rsid w:val="00AB2495"/>
    <w:rsid w:val="00AB2D14"/>
    <w:rsid w:val="00AB2D34"/>
    <w:rsid w:val="00AB3430"/>
    <w:rsid w:val="00AB37B9"/>
    <w:rsid w:val="00AB3DF2"/>
    <w:rsid w:val="00AB4AD1"/>
    <w:rsid w:val="00AB4B2B"/>
    <w:rsid w:val="00AB4BB6"/>
    <w:rsid w:val="00AB536D"/>
    <w:rsid w:val="00AB5E07"/>
    <w:rsid w:val="00AB5FE6"/>
    <w:rsid w:val="00AB5FF3"/>
    <w:rsid w:val="00AB6109"/>
    <w:rsid w:val="00AB611E"/>
    <w:rsid w:val="00AB6B04"/>
    <w:rsid w:val="00AB6B5F"/>
    <w:rsid w:val="00AB6D8B"/>
    <w:rsid w:val="00AB705C"/>
    <w:rsid w:val="00AB71AD"/>
    <w:rsid w:val="00AB753D"/>
    <w:rsid w:val="00AB7683"/>
    <w:rsid w:val="00AB780C"/>
    <w:rsid w:val="00AB7CFA"/>
    <w:rsid w:val="00AC05BC"/>
    <w:rsid w:val="00AC160B"/>
    <w:rsid w:val="00AC1DB3"/>
    <w:rsid w:val="00AC1EB9"/>
    <w:rsid w:val="00AC2F26"/>
    <w:rsid w:val="00AC324B"/>
    <w:rsid w:val="00AC349C"/>
    <w:rsid w:val="00AC38F0"/>
    <w:rsid w:val="00AC397B"/>
    <w:rsid w:val="00AC3A0A"/>
    <w:rsid w:val="00AC3DE4"/>
    <w:rsid w:val="00AC4B5F"/>
    <w:rsid w:val="00AC4F8C"/>
    <w:rsid w:val="00AC540E"/>
    <w:rsid w:val="00AC5698"/>
    <w:rsid w:val="00AC5901"/>
    <w:rsid w:val="00AC5A37"/>
    <w:rsid w:val="00AC5B1B"/>
    <w:rsid w:val="00AC5B42"/>
    <w:rsid w:val="00AC5B48"/>
    <w:rsid w:val="00AC62B3"/>
    <w:rsid w:val="00AC658A"/>
    <w:rsid w:val="00AC6615"/>
    <w:rsid w:val="00AC67EA"/>
    <w:rsid w:val="00AC6B9F"/>
    <w:rsid w:val="00AC7205"/>
    <w:rsid w:val="00AC77B4"/>
    <w:rsid w:val="00AC7A62"/>
    <w:rsid w:val="00AD05C3"/>
    <w:rsid w:val="00AD0C0D"/>
    <w:rsid w:val="00AD1179"/>
    <w:rsid w:val="00AD12EC"/>
    <w:rsid w:val="00AD1450"/>
    <w:rsid w:val="00AD15E8"/>
    <w:rsid w:val="00AD24AF"/>
    <w:rsid w:val="00AD2A1A"/>
    <w:rsid w:val="00AD2F3E"/>
    <w:rsid w:val="00AD3083"/>
    <w:rsid w:val="00AD356D"/>
    <w:rsid w:val="00AD3572"/>
    <w:rsid w:val="00AD4244"/>
    <w:rsid w:val="00AD449B"/>
    <w:rsid w:val="00AD46CE"/>
    <w:rsid w:val="00AD47AD"/>
    <w:rsid w:val="00AD510F"/>
    <w:rsid w:val="00AD5298"/>
    <w:rsid w:val="00AD52F6"/>
    <w:rsid w:val="00AD6094"/>
    <w:rsid w:val="00AD64B4"/>
    <w:rsid w:val="00AD6502"/>
    <w:rsid w:val="00AD6787"/>
    <w:rsid w:val="00AD7620"/>
    <w:rsid w:val="00AD7977"/>
    <w:rsid w:val="00AD7F8F"/>
    <w:rsid w:val="00AE04DB"/>
    <w:rsid w:val="00AE0695"/>
    <w:rsid w:val="00AE07E5"/>
    <w:rsid w:val="00AE07F7"/>
    <w:rsid w:val="00AE0F21"/>
    <w:rsid w:val="00AE1811"/>
    <w:rsid w:val="00AE19A0"/>
    <w:rsid w:val="00AE226E"/>
    <w:rsid w:val="00AE270E"/>
    <w:rsid w:val="00AE28FE"/>
    <w:rsid w:val="00AE2B2D"/>
    <w:rsid w:val="00AE2B7C"/>
    <w:rsid w:val="00AE2BC8"/>
    <w:rsid w:val="00AE2E65"/>
    <w:rsid w:val="00AE2F05"/>
    <w:rsid w:val="00AE3286"/>
    <w:rsid w:val="00AE3E7E"/>
    <w:rsid w:val="00AE4057"/>
    <w:rsid w:val="00AE434A"/>
    <w:rsid w:val="00AE48CD"/>
    <w:rsid w:val="00AE4D12"/>
    <w:rsid w:val="00AE6098"/>
    <w:rsid w:val="00AE6BD2"/>
    <w:rsid w:val="00AE6DA2"/>
    <w:rsid w:val="00AE74C0"/>
    <w:rsid w:val="00AE75C0"/>
    <w:rsid w:val="00AE77CD"/>
    <w:rsid w:val="00AE794E"/>
    <w:rsid w:val="00AE7C84"/>
    <w:rsid w:val="00AE7E53"/>
    <w:rsid w:val="00AF1315"/>
    <w:rsid w:val="00AF1963"/>
    <w:rsid w:val="00AF19BF"/>
    <w:rsid w:val="00AF2417"/>
    <w:rsid w:val="00AF25BB"/>
    <w:rsid w:val="00AF2ABC"/>
    <w:rsid w:val="00AF2CC7"/>
    <w:rsid w:val="00AF2DC3"/>
    <w:rsid w:val="00AF2FD0"/>
    <w:rsid w:val="00AF389B"/>
    <w:rsid w:val="00AF3977"/>
    <w:rsid w:val="00AF3C16"/>
    <w:rsid w:val="00AF4DA0"/>
    <w:rsid w:val="00AF4F06"/>
    <w:rsid w:val="00AF52ED"/>
    <w:rsid w:val="00AF55CD"/>
    <w:rsid w:val="00AF607A"/>
    <w:rsid w:val="00AF6C4F"/>
    <w:rsid w:val="00AF70A8"/>
    <w:rsid w:val="00AF7A5B"/>
    <w:rsid w:val="00AF7DFD"/>
    <w:rsid w:val="00AF7E84"/>
    <w:rsid w:val="00AF7ED3"/>
    <w:rsid w:val="00B01086"/>
    <w:rsid w:val="00B01CF7"/>
    <w:rsid w:val="00B0221F"/>
    <w:rsid w:val="00B02587"/>
    <w:rsid w:val="00B02D9E"/>
    <w:rsid w:val="00B0318F"/>
    <w:rsid w:val="00B033E5"/>
    <w:rsid w:val="00B039EA"/>
    <w:rsid w:val="00B03A63"/>
    <w:rsid w:val="00B04244"/>
    <w:rsid w:val="00B044AC"/>
    <w:rsid w:val="00B04A62"/>
    <w:rsid w:val="00B04DF7"/>
    <w:rsid w:val="00B06045"/>
    <w:rsid w:val="00B06267"/>
    <w:rsid w:val="00B06A08"/>
    <w:rsid w:val="00B06EC4"/>
    <w:rsid w:val="00B071F6"/>
    <w:rsid w:val="00B074D5"/>
    <w:rsid w:val="00B076E5"/>
    <w:rsid w:val="00B079B4"/>
    <w:rsid w:val="00B1027D"/>
    <w:rsid w:val="00B10319"/>
    <w:rsid w:val="00B103D6"/>
    <w:rsid w:val="00B1170E"/>
    <w:rsid w:val="00B11E5D"/>
    <w:rsid w:val="00B1200B"/>
    <w:rsid w:val="00B129A4"/>
    <w:rsid w:val="00B13483"/>
    <w:rsid w:val="00B13983"/>
    <w:rsid w:val="00B147A4"/>
    <w:rsid w:val="00B14A3E"/>
    <w:rsid w:val="00B15673"/>
    <w:rsid w:val="00B16A2D"/>
    <w:rsid w:val="00B16DFD"/>
    <w:rsid w:val="00B1796C"/>
    <w:rsid w:val="00B17EF3"/>
    <w:rsid w:val="00B201A4"/>
    <w:rsid w:val="00B201D1"/>
    <w:rsid w:val="00B2086E"/>
    <w:rsid w:val="00B20C8B"/>
    <w:rsid w:val="00B213A6"/>
    <w:rsid w:val="00B21859"/>
    <w:rsid w:val="00B21CDC"/>
    <w:rsid w:val="00B22120"/>
    <w:rsid w:val="00B2223B"/>
    <w:rsid w:val="00B22931"/>
    <w:rsid w:val="00B235B0"/>
    <w:rsid w:val="00B23618"/>
    <w:rsid w:val="00B2384C"/>
    <w:rsid w:val="00B23A0C"/>
    <w:rsid w:val="00B23C13"/>
    <w:rsid w:val="00B24DF6"/>
    <w:rsid w:val="00B25A02"/>
    <w:rsid w:val="00B26040"/>
    <w:rsid w:val="00B26423"/>
    <w:rsid w:val="00B2647D"/>
    <w:rsid w:val="00B26DC6"/>
    <w:rsid w:val="00B26E79"/>
    <w:rsid w:val="00B27A61"/>
    <w:rsid w:val="00B27A8C"/>
    <w:rsid w:val="00B30C2F"/>
    <w:rsid w:val="00B3144D"/>
    <w:rsid w:val="00B3145E"/>
    <w:rsid w:val="00B31E07"/>
    <w:rsid w:val="00B31F1C"/>
    <w:rsid w:val="00B3248F"/>
    <w:rsid w:val="00B324A7"/>
    <w:rsid w:val="00B3263F"/>
    <w:rsid w:val="00B32DB3"/>
    <w:rsid w:val="00B331A2"/>
    <w:rsid w:val="00B334DC"/>
    <w:rsid w:val="00B33A04"/>
    <w:rsid w:val="00B34FE2"/>
    <w:rsid w:val="00B35166"/>
    <w:rsid w:val="00B357D8"/>
    <w:rsid w:val="00B3600B"/>
    <w:rsid w:val="00B360F4"/>
    <w:rsid w:val="00B364E9"/>
    <w:rsid w:val="00B366D8"/>
    <w:rsid w:val="00B367D8"/>
    <w:rsid w:val="00B36A00"/>
    <w:rsid w:val="00B36FB6"/>
    <w:rsid w:val="00B370FF"/>
    <w:rsid w:val="00B3792B"/>
    <w:rsid w:val="00B37BFC"/>
    <w:rsid w:val="00B40358"/>
    <w:rsid w:val="00B407BD"/>
    <w:rsid w:val="00B40B91"/>
    <w:rsid w:val="00B41614"/>
    <w:rsid w:val="00B41B69"/>
    <w:rsid w:val="00B41E50"/>
    <w:rsid w:val="00B41E80"/>
    <w:rsid w:val="00B41FD6"/>
    <w:rsid w:val="00B42380"/>
    <w:rsid w:val="00B4244F"/>
    <w:rsid w:val="00B42851"/>
    <w:rsid w:val="00B42BAA"/>
    <w:rsid w:val="00B42F80"/>
    <w:rsid w:val="00B435CB"/>
    <w:rsid w:val="00B439DA"/>
    <w:rsid w:val="00B44220"/>
    <w:rsid w:val="00B44404"/>
    <w:rsid w:val="00B45189"/>
    <w:rsid w:val="00B4524F"/>
    <w:rsid w:val="00B465EC"/>
    <w:rsid w:val="00B46A39"/>
    <w:rsid w:val="00B46D11"/>
    <w:rsid w:val="00B46E9E"/>
    <w:rsid w:val="00B47064"/>
    <w:rsid w:val="00B473B2"/>
    <w:rsid w:val="00B473E1"/>
    <w:rsid w:val="00B476F8"/>
    <w:rsid w:val="00B478F4"/>
    <w:rsid w:val="00B505C8"/>
    <w:rsid w:val="00B50DB8"/>
    <w:rsid w:val="00B511AD"/>
    <w:rsid w:val="00B52171"/>
    <w:rsid w:val="00B523FB"/>
    <w:rsid w:val="00B52E95"/>
    <w:rsid w:val="00B53654"/>
    <w:rsid w:val="00B53905"/>
    <w:rsid w:val="00B53BBE"/>
    <w:rsid w:val="00B53D18"/>
    <w:rsid w:val="00B53FD6"/>
    <w:rsid w:val="00B546DB"/>
    <w:rsid w:val="00B5479F"/>
    <w:rsid w:val="00B54B5B"/>
    <w:rsid w:val="00B55092"/>
    <w:rsid w:val="00B5545E"/>
    <w:rsid w:val="00B5562E"/>
    <w:rsid w:val="00B5575A"/>
    <w:rsid w:val="00B55862"/>
    <w:rsid w:val="00B55D65"/>
    <w:rsid w:val="00B56305"/>
    <w:rsid w:val="00B56CDE"/>
    <w:rsid w:val="00B57000"/>
    <w:rsid w:val="00B570DA"/>
    <w:rsid w:val="00B572DF"/>
    <w:rsid w:val="00B5747E"/>
    <w:rsid w:val="00B5751D"/>
    <w:rsid w:val="00B57DB6"/>
    <w:rsid w:val="00B600A5"/>
    <w:rsid w:val="00B600BF"/>
    <w:rsid w:val="00B60158"/>
    <w:rsid w:val="00B60244"/>
    <w:rsid w:val="00B60263"/>
    <w:rsid w:val="00B60939"/>
    <w:rsid w:val="00B609FF"/>
    <w:rsid w:val="00B60AFD"/>
    <w:rsid w:val="00B61A61"/>
    <w:rsid w:val="00B62429"/>
    <w:rsid w:val="00B62715"/>
    <w:rsid w:val="00B62819"/>
    <w:rsid w:val="00B62AA8"/>
    <w:rsid w:val="00B6368C"/>
    <w:rsid w:val="00B6389F"/>
    <w:rsid w:val="00B63EC0"/>
    <w:rsid w:val="00B64225"/>
    <w:rsid w:val="00B64435"/>
    <w:rsid w:val="00B64E60"/>
    <w:rsid w:val="00B6510E"/>
    <w:rsid w:val="00B654A1"/>
    <w:rsid w:val="00B65611"/>
    <w:rsid w:val="00B65A84"/>
    <w:rsid w:val="00B65EF1"/>
    <w:rsid w:val="00B660D2"/>
    <w:rsid w:val="00B668CA"/>
    <w:rsid w:val="00B6793E"/>
    <w:rsid w:val="00B67D03"/>
    <w:rsid w:val="00B67DAC"/>
    <w:rsid w:val="00B700F9"/>
    <w:rsid w:val="00B70AE3"/>
    <w:rsid w:val="00B70E8E"/>
    <w:rsid w:val="00B71361"/>
    <w:rsid w:val="00B71F7D"/>
    <w:rsid w:val="00B723DF"/>
    <w:rsid w:val="00B72706"/>
    <w:rsid w:val="00B728C6"/>
    <w:rsid w:val="00B7299B"/>
    <w:rsid w:val="00B7320B"/>
    <w:rsid w:val="00B73555"/>
    <w:rsid w:val="00B74A92"/>
    <w:rsid w:val="00B74F7D"/>
    <w:rsid w:val="00B75287"/>
    <w:rsid w:val="00B752C4"/>
    <w:rsid w:val="00B7673B"/>
    <w:rsid w:val="00B76886"/>
    <w:rsid w:val="00B76C92"/>
    <w:rsid w:val="00B76CCB"/>
    <w:rsid w:val="00B76D6E"/>
    <w:rsid w:val="00B77598"/>
    <w:rsid w:val="00B77B03"/>
    <w:rsid w:val="00B77BE1"/>
    <w:rsid w:val="00B80361"/>
    <w:rsid w:val="00B80E6E"/>
    <w:rsid w:val="00B80EFD"/>
    <w:rsid w:val="00B80F98"/>
    <w:rsid w:val="00B8109E"/>
    <w:rsid w:val="00B818A4"/>
    <w:rsid w:val="00B81C52"/>
    <w:rsid w:val="00B81E50"/>
    <w:rsid w:val="00B8231B"/>
    <w:rsid w:val="00B824D4"/>
    <w:rsid w:val="00B833B6"/>
    <w:rsid w:val="00B83739"/>
    <w:rsid w:val="00B83A57"/>
    <w:rsid w:val="00B83AF7"/>
    <w:rsid w:val="00B84117"/>
    <w:rsid w:val="00B84354"/>
    <w:rsid w:val="00B84D76"/>
    <w:rsid w:val="00B84F51"/>
    <w:rsid w:val="00B858F0"/>
    <w:rsid w:val="00B85A03"/>
    <w:rsid w:val="00B85AA2"/>
    <w:rsid w:val="00B8649C"/>
    <w:rsid w:val="00B8695D"/>
    <w:rsid w:val="00B875AE"/>
    <w:rsid w:val="00B87A88"/>
    <w:rsid w:val="00B87F0A"/>
    <w:rsid w:val="00B902B0"/>
    <w:rsid w:val="00B9032A"/>
    <w:rsid w:val="00B906D7"/>
    <w:rsid w:val="00B90A4E"/>
    <w:rsid w:val="00B90DB9"/>
    <w:rsid w:val="00B91000"/>
    <w:rsid w:val="00B911B6"/>
    <w:rsid w:val="00B91521"/>
    <w:rsid w:val="00B9247D"/>
    <w:rsid w:val="00B92B4E"/>
    <w:rsid w:val="00B92D0B"/>
    <w:rsid w:val="00B93D65"/>
    <w:rsid w:val="00B93E93"/>
    <w:rsid w:val="00B943A3"/>
    <w:rsid w:val="00B944BC"/>
    <w:rsid w:val="00B94945"/>
    <w:rsid w:val="00B94D13"/>
    <w:rsid w:val="00B94DD6"/>
    <w:rsid w:val="00B94F59"/>
    <w:rsid w:val="00B95BF4"/>
    <w:rsid w:val="00B95F82"/>
    <w:rsid w:val="00B96007"/>
    <w:rsid w:val="00B967AA"/>
    <w:rsid w:val="00B97279"/>
    <w:rsid w:val="00B97520"/>
    <w:rsid w:val="00B97B3F"/>
    <w:rsid w:val="00BA04B0"/>
    <w:rsid w:val="00BA079C"/>
    <w:rsid w:val="00BA0E02"/>
    <w:rsid w:val="00BA0F3A"/>
    <w:rsid w:val="00BA11CC"/>
    <w:rsid w:val="00BA1400"/>
    <w:rsid w:val="00BA1E5D"/>
    <w:rsid w:val="00BA298A"/>
    <w:rsid w:val="00BA29D3"/>
    <w:rsid w:val="00BA2B77"/>
    <w:rsid w:val="00BA3030"/>
    <w:rsid w:val="00BA31E3"/>
    <w:rsid w:val="00BA322D"/>
    <w:rsid w:val="00BA34D1"/>
    <w:rsid w:val="00BA3EF3"/>
    <w:rsid w:val="00BA403F"/>
    <w:rsid w:val="00BA48FB"/>
    <w:rsid w:val="00BA4938"/>
    <w:rsid w:val="00BA4E0D"/>
    <w:rsid w:val="00BA4F3A"/>
    <w:rsid w:val="00BA5084"/>
    <w:rsid w:val="00BA589D"/>
    <w:rsid w:val="00BA63FA"/>
    <w:rsid w:val="00BA6E27"/>
    <w:rsid w:val="00BA755D"/>
    <w:rsid w:val="00BB00B3"/>
    <w:rsid w:val="00BB0115"/>
    <w:rsid w:val="00BB0264"/>
    <w:rsid w:val="00BB04EE"/>
    <w:rsid w:val="00BB07B6"/>
    <w:rsid w:val="00BB0AA9"/>
    <w:rsid w:val="00BB0BDD"/>
    <w:rsid w:val="00BB136F"/>
    <w:rsid w:val="00BB1404"/>
    <w:rsid w:val="00BB176C"/>
    <w:rsid w:val="00BB18B8"/>
    <w:rsid w:val="00BB25DC"/>
    <w:rsid w:val="00BB2A73"/>
    <w:rsid w:val="00BB31B9"/>
    <w:rsid w:val="00BB35E6"/>
    <w:rsid w:val="00BB3A45"/>
    <w:rsid w:val="00BB4217"/>
    <w:rsid w:val="00BB46B9"/>
    <w:rsid w:val="00BB4785"/>
    <w:rsid w:val="00BB4A9F"/>
    <w:rsid w:val="00BB4ACC"/>
    <w:rsid w:val="00BB4FD5"/>
    <w:rsid w:val="00BB5283"/>
    <w:rsid w:val="00BB564F"/>
    <w:rsid w:val="00BB5671"/>
    <w:rsid w:val="00BB6142"/>
    <w:rsid w:val="00BB61EF"/>
    <w:rsid w:val="00BB703E"/>
    <w:rsid w:val="00BB732D"/>
    <w:rsid w:val="00BB7405"/>
    <w:rsid w:val="00BB7577"/>
    <w:rsid w:val="00BB78AD"/>
    <w:rsid w:val="00BB7A70"/>
    <w:rsid w:val="00BC0C75"/>
    <w:rsid w:val="00BC1D13"/>
    <w:rsid w:val="00BC1F87"/>
    <w:rsid w:val="00BC1FCD"/>
    <w:rsid w:val="00BC256F"/>
    <w:rsid w:val="00BC2833"/>
    <w:rsid w:val="00BC33DA"/>
    <w:rsid w:val="00BC3631"/>
    <w:rsid w:val="00BC392D"/>
    <w:rsid w:val="00BC4526"/>
    <w:rsid w:val="00BC4A4A"/>
    <w:rsid w:val="00BC5446"/>
    <w:rsid w:val="00BC5890"/>
    <w:rsid w:val="00BC591F"/>
    <w:rsid w:val="00BC5E0D"/>
    <w:rsid w:val="00BC61E4"/>
    <w:rsid w:val="00BC6374"/>
    <w:rsid w:val="00BC65AE"/>
    <w:rsid w:val="00BC6ED5"/>
    <w:rsid w:val="00BC7265"/>
    <w:rsid w:val="00BC73C8"/>
    <w:rsid w:val="00BC74AF"/>
    <w:rsid w:val="00BC7D6D"/>
    <w:rsid w:val="00BD171C"/>
    <w:rsid w:val="00BD1B38"/>
    <w:rsid w:val="00BD1C14"/>
    <w:rsid w:val="00BD205E"/>
    <w:rsid w:val="00BD2108"/>
    <w:rsid w:val="00BD24AF"/>
    <w:rsid w:val="00BD262F"/>
    <w:rsid w:val="00BD2C8A"/>
    <w:rsid w:val="00BD30BC"/>
    <w:rsid w:val="00BD4013"/>
    <w:rsid w:val="00BD414D"/>
    <w:rsid w:val="00BD43CE"/>
    <w:rsid w:val="00BD4851"/>
    <w:rsid w:val="00BD4F3C"/>
    <w:rsid w:val="00BD63D0"/>
    <w:rsid w:val="00BD654D"/>
    <w:rsid w:val="00BD68A3"/>
    <w:rsid w:val="00BD6938"/>
    <w:rsid w:val="00BD6CF3"/>
    <w:rsid w:val="00BD7125"/>
    <w:rsid w:val="00BD75D6"/>
    <w:rsid w:val="00BD76A7"/>
    <w:rsid w:val="00BD7909"/>
    <w:rsid w:val="00BD7F72"/>
    <w:rsid w:val="00BE08E6"/>
    <w:rsid w:val="00BE0C92"/>
    <w:rsid w:val="00BE0ECA"/>
    <w:rsid w:val="00BE1033"/>
    <w:rsid w:val="00BE11DA"/>
    <w:rsid w:val="00BE145E"/>
    <w:rsid w:val="00BE2180"/>
    <w:rsid w:val="00BE21F2"/>
    <w:rsid w:val="00BE2BD9"/>
    <w:rsid w:val="00BE2E83"/>
    <w:rsid w:val="00BE4275"/>
    <w:rsid w:val="00BE4C1C"/>
    <w:rsid w:val="00BE567C"/>
    <w:rsid w:val="00BE5F98"/>
    <w:rsid w:val="00BE69D2"/>
    <w:rsid w:val="00BE6FCB"/>
    <w:rsid w:val="00BF003D"/>
    <w:rsid w:val="00BF06AE"/>
    <w:rsid w:val="00BF0C08"/>
    <w:rsid w:val="00BF0F95"/>
    <w:rsid w:val="00BF10F8"/>
    <w:rsid w:val="00BF17D9"/>
    <w:rsid w:val="00BF18A9"/>
    <w:rsid w:val="00BF1FBD"/>
    <w:rsid w:val="00BF22DA"/>
    <w:rsid w:val="00BF2433"/>
    <w:rsid w:val="00BF2463"/>
    <w:rsid w:val="00BF246D"/>
    <w:rsid w:val="00BF2D2D"/>
    <w:rsid w:val="00BF2E6E"/>
    <w:rsid w:val="00BF2E7A"/>
    <w:rsid w:val="00BF2E9A"/>
    <w:rsid w:val="00BF34BD"/>
    <w:rsid w:val="00BF39A4"/>
    <w:rsid w:val="00BF3D14"/>
    <w:rsid w:val="00BF4188"/>
    <w:rsid w:val="00BF45A5"/>
    <w:rsid w:val="00BF4ACE"/>
    <w:rsid w:val="00BF4CF2"/>
    <w:rsid w:val="00BF61C9"/>
    <w:rsid w:val="00BF6C94"/>
    <w:rsid w:val="00BF72FD"/>
    <w:rsid w:val="00BF7320"/>
    <w:rsid w:val="00C0039D"/>
    <w:rsid w:val="00C00424"/>
    <w:rsid w:val="00C00826"/>
    <w:rsid w:val="00C00BB0"/>
    <w:rsid w:val="00C00D91"/>
    <w:rsid w:val="00C0111F"/>
    <w:rsid w:val="00C01433"/>
    <w:rsid w:val="00C01CC0"/>
    <w:rsid w:val="00C02671"/>
    <w:rsid w:val="00C02887"/>
    <w:rsid w:val="00C028BD"/>
    <w:rsid w:val="00C02936"/>
    <w:rsid w:val="00C032EF"/>
    <w:rsid w:val="00C0350F"/>
    <w:rsid w:val="00C03AFA"/>
    <w:rsid w:val="00C04768"/>
    <w:rsid w:val="00C04959"/>
    <w:rsid w:val="00C05108"/>
    <w:rsid w:val="00C05BBE"/>
    <w:rsid w:val="00C060DD"/>
    <w:rsid w:val="00C06383"/>
    <w:rsid w:val="00C06775"/>
    <w:rsid w:val="00C06A68"/>
    <w:rsid w:val="00C073A6"/>
    <w:rsid w:val="00C076A0"/>
    <w:rsid w:val="00C07904"/>
    <w:rsid w:val="00C07946"/>
    <w:rsid w:val="00C0798A"/>
    <w:rsid w:val="00C07C6D"/>
    <w:rsid w:val="00C1005A"/>
    <w:rsid w:val="00C10482"/>
    <w:rsid w:val="00C10494"/>
    <w:rsid w:val="00C10579"/>
    <w:rsid w:val="00C1068C"/>
    <w:rsid w:val="00C107E7"/>
    <w:rsid w:val="00C10FF4"/>
    <w:rsid w:val="00C1179F"/>
    <w:rsid w:val="00C1186F"/>
    <w:rsid w:val="00C1225D"/>
    <w:rsid w:val="00C127B9"/>
    <w:rsid w:val="00C128FA"/>
    <w:rsid w:val="00C12C14"/>
    <w:rsid w:val="00C12FA5"/>
    <w:rsid w:val="00C13963"/>
    <w:rsid w:val="00C140F1"/>
    <w:rsid w:val="00C141A4"/>
    <w:rsid w:val="00C15F04"/>
    <w:rsid w:val="00C16E09"/>
    <w:rsid w:val="00C179B3"/>
    <w:rsid w:val="00C17E3F"/>
    <w:rsid w:val="00C200AA"/>
    <w:rsid w:val="00C20574"/>
    <w:rsid w:val="00C215D2"/>
    <w:rsid w:val="00C219B1"/>
    <w:rsid w:val="00C21A56"/>
    <w:rsid w:val="00C22114"/>
    <w:rsid w:val="00C22484"/>
    <w:rsid w:val="00C2327C"/>
    <w:rsid w:val="00C237ED"/>
    <w:rsid w:val="00C23D45"/>
    <w:rsid w:val="00C240A2"/>
    <w:rsid w:val="00C2427C"/>
    <w:rsid w:val="00C24522"/>
    <w:rsid w:val="00C24632"/>
    <w:rsid w:val="00C24749"/>
    <w:rsid w:val="00C24CA1"/>
    <w:rsid w:val="00C24FE1"/>
    <w:rsid w:val="00C25418"/>
    <w:rsid w:val="00C25911"/>
    <w:rsid w:val="00C25C18"/>
    <w:rsid w:val="00C25D9C"/>
    <w:rsid w:val="00C25DF0"/>
    <w:rsid w:val="00C25E77"/>
    <w:rsid w:val="00C25FEE"/>
    <w:rsid w:val="00C261CE"/>
    <w:rsid w:val="00C262C0"/>
    <w:rsid w:val="00C26926"/>
    <w:rsid w:val="00C27015"/>
    <w:rsid w:val="00C272E2"/>
    <w:rsid w:val="00C273F5"/>
    <w:rsid w:val="00C2745C"/>
    <w:rsid w:val="00C2761F"/>
    <w:rsid w:val="00C27682"/>
    <w:rsid w:val="00C2778B"/>
    <w:rsid w:val="00C27C5E"/>
    <w:rsid w:val="00C30170"/>
    <w:rsid w:val="00C30514"/>
    <w:rsid w:val="00C307C6"/>
    <w:rsid w:val="00C30A74"/>
    <w:rsid w:val="00C30C25"/>
    <w:rsid w:val="00C30C7E"/>
    <w:rsid w:val="00C30F5E"/>
    <w:rsid w:val="00C31649"/>
    <w:rsid w:val="00C318F4"/>
    <w:rsid w:val="00C31C3C"/>
    <w:rsid w:val="00C32945"/>
    <w:rsid w:val="00C33043"/>
    <w:rsid w:val="00C335E5"/>
    <w:rsid w:val="00C33659"/>
    <w:rsid w:val="00C33DDC"/>
    <w:rsid w:val="00C33ED5"/>
    <w:rsid w:val="00C3434C"/>
    <w:rsid w:val="00C34B08"/>
    <w:rsid w:val="00C34EE3"/>
    <w:rsid w:val="00C35287"/>
    <w:rsid w:val="00C35378"/>
    <w:rsid w:val="00C355BE"/>
    <w:rsid w:val="00C35894"/>
    <w:rsid w:val="00C35921"/>
    <w:rsid w:val="00C35D95"/>
    <w:rsid w:val="00C35DAB"/>
    <w:rsid w:val="00C35EB9"/>
    <w:rsid w:val="00C35FA0"/>
    <w:rsid w:val="00C3752D"/>
    <w:rsid w:val="00C37B09"/>
    <w:rsid w:val="00C37BAD"/>
    <w:rsid w:val="00C40385"/>
    <w:rsid w:val="00C40525"/>
    <w:rsid w:val="00C40748"/>
    <w:rsid w:val="00C40870"/>
    <w:rsid w:val="00C40CC2"/>
    <w:rsid w:val="00C40D16"/>
    <w:rsid w:val="00C41253"/>
    <w:rsid w:val="00C41768"/>
    <w:rsid w:val="00C41CF8"/>
    <w:rsid w:val="00C41D94"/>
    <w:rsid w:val="00C420F2"/>
    <w:rsid w:val="00C421BB"/>
    <w:rsid w:val="00C43690"/>
    <w:rsid w:val="00C43781"/>
    <w:rsid w:val="00C439E5"/>
    <w:rsid w:val="00C439F3"/>
    <w:rsid w:val="00C44B37"/>
    <w:rsid w:val="00C44CD5"/>
    <w:rsid w:val="00C44ED6"/>
    <w:rsid w:val="00C451E5"/>
    <w:rsid w:val="00C45E84"/>
    <w:rsid w:val="00C46747"/>
    <w:rsid w:val="00C4691D"/>
    <w:rsid w:val="00C46B2C"/>
    <w:rsid w:val="00C46D2E"/>
    <w:rsid w:val="00C474E5"/>
    <w:rsid w:val="00C475AA"/>
    <w:rsid w:val="00C501E3"/>
    <w:rsid w:val="00C503C2"/>
    <w:rsid w:val="00C503DC"/>
    <w:rsid w:val="00C50849"/>
    <w:rsid w:val="00C5085B"/>
    <w:rsid w:val="00C50B20"/>
    <w:rsid w:val="00C5145D"/>
    <w:rsid w:val="00C5152C"/>
    <w:rsid w:val="00C517EC"/>
    <w:rsid w:val="00C5202D"/>
    <w:rsid w:val="00C527C7"/>
    <w:rsid w:val="00C53382"/>
    <w:rsid w:val="00C53C8F"/>
    <w:rsid w:val="00C53C98"/>
    <w:rsid w:val="00C53EC9"/>
    <w:rsid w:val="00C54307"/>
    <w:rsid w:val="00C5450F"/>
    <w:rsid w:val="00C545E3"/>
    <w:rsid w:val="00C54A3F"/>
    <w:rsid w:val="00C54EC6"/>
    <w:rsid w:val="00C55A0A"/>
    <w:rsid w:val="00C56929"/>
    <w:rsid w:val="00C56FCF"/>
    <w:rsid w:val="00C57195"/>
    <w:rsid w:val="00C57759"/>
    <w:rsid w:val="00C577F7"/>
    <w:rsid w:val="00C579F1"/>
    <w:rsid w:val="00C57B6C"/>
    <w:rsid w:val="00C57E54"/>
    <w:rsid w:val="00C604B0"/>
    <w:rsid w:val="00C604B7"/>
    <w:rsid w:val="00C61A59"/>
    <w:rsid w:val="00C61DC2"/>
    <w:rsid w:val="00C61EC6"/>
    <w:rsid w:val="00C6217A"/>
    <w:rsid w:val="00C62285"/>
    <w:rsid w:val="00C6281E"/>
    <w:rsid w:val="00C628A6"/>
    <w:rsid w:val="00C631F5"/>
    <w:rsid w:val="00C64344"/>
    <w:rsid w:val="00C64B59"/>
    <w:rsid w:val="00C64C46"/>
    <w:rsid w:val="00C65108"/>
    <w:rsid w:val="00C65422"/>
    <w:rsid w:val="00C65576"/>
    <w:rsid w:val="00C65759"/>
    <w:rsid w:val="00C66165"/>
    <w:rsid w:val="00C66367"/>
    <w:rsid w:val="00C66728"/>
    <w:rsid w:val="00C66770"/>
    <w:rsid w:val="00C6713C"/>
    <w:rsid w:val="00C67A9E"/>
    <w:rsid w:val="00C7060A"/>
    <w:rsid w:val="00C7060C"/>
    <w:rsid w:val="00C7151A"/>
    <w:rsid w:val="00C71566"/>
    <w:rsid w:val="00C7177D"/>
    <w:rsid w:val="00C717E3"/>
    <w:rsid w:val="00C719C5"/>
    <w:rsid w:val="00C71F60"/>
    <w:rsid w:val="00C71FFB"/>
    <w:rsid w:val="00C72241"/>
    <w:rsid w:val="00C72ACE"/>
    <w:rsid w:val="00C72CBB"/>
    <w:rsid w:val="00C7325B"/>
    <w:rsid w:val="00C732D0"/>
    <w:rsid w:val="00C732FE"/>
    <w:rsid w:val="00C744A7"/>
    <w:rsid w:val="00C74EA5"/>
    <w:rsid w:val="00C750C8"/>
    <w:rsid w:val="00C7560F"/>
    <w:rsid w:val="00C7638D"/>
    <w:rsid w:val="00C7707A"/>
    <w:rsid w:val="00C778E2"/>
    <w:rsid w:val="00C77CB0"/>
    <w:rsid w:val="00C804B0"/>
    <w:rsid w:val="00C80A0E"/>
    <w:rsid w:val="00C80D5E"/>
    <w:rsid w:val="00C80DDA"/>
    <w:rsid w:val="00C814CA"/>
    <w:rsid w:val="00C8213F"/>
    <w:rsid w:val="00C823BD"/>
    <w:rsid w:val="00C82B0E"/>
    <w:rsid w:val="00C8303F"/>
    <w:rsid w:val="00C83523"/>
    <w:rsid w:val="00C84C2D"/>
    <w:rsid w:val="00C84DB3"/>
    <w:rsid w:val="00C85154"/>
    <w:rsid w:val="00C85385"/>
    <w:rsid w:val="00C85935"/>
    <w:rsid w:val="00C85A70"/>
    <w:rsid w:val="00C85AEB"/>
    <w:rsid w:val="00C85B39"/>
    <w:rsid w:val="00C86468"/>
    <w:rsid w:val="00C86BB4"/>
    <w:rsid w:val="00C86BDC"/>
    <w:rsid w:val="00C86BDF"/>
    <w:rsid w:val="00C8797A"/>
    <w:rsid w:val="00C87D9F"/>
    <w:rsid w:val="00C87F38"/>
    <w:rsid w:val="00C900B8"/>
    <w:rsid w:val="00C9014D"/>
    <w:rsid w:val="00C90197"/>
    <w:rsid w:val="00C90C71"/>
    <w:rsid w:val="00C90DE7"/>
    <w:rsid w:val="00C915A5"/>
    <w:rsid w:val="00C915E6"/>
    <w:rsid w:val="00C91823"/>
    <w:rsid w:val="00C91FD1"/>
    <w:rsid w:val="00C9287D"/>
    <w:rsid w:val="00C92ABC"/>
    <w:rsid w:val="00C92E29"/>
    <w:rsid w:val="00C931CF"/>
    <w:rsid w:val="00C938CF"/>
    <w:rsid w:val="00C94053"/>
    <w:rsid w:val="00C9482B"/>
    <w:rsid w:val="00C94BC8"/>
    <w:rsid w:val="00C956B7"/>
    <w:rsid w:val="00C9624D"/>
    <w:rsid w:val="00C96448"/>
    <w:rsid w:val="00C9652C"/>
    <w:rsid w:val="00C96870"/>
    <w:rsid w:val="00C969DA"/>
    <w:rsid w:val="00C96AD7"/>
    <w:rsid w:val="00C96BB2"/>
    <w:rsid w:val="00C97829"/>
    <w:rsid w:val="00C97F1E"/>
    <w:rsid w:val="00C97F4B"/>
    <w:rsid w:val="00CA0550"/>
    <w:rsid w:val="00CA073D"/>
    <w:rsid w:val="00CA0940"/>
    <w:rsid w:val="00CA09A1"/>
    <w:rsid w:val="00CA0AA2"/>
    <w:rsid w:val="00CA1023"/>
    <w:rsid w:val="00CA1601"/>
    <w:rsid w:val="00CA17F7"/>
    <w:rsid w:val="00CA26CA"/>
    <w:rsid w:val="00CA2C0A"/>
    <w:rsid w:val="00CA2C77"/>
    <w:rsid w:val="00CA3040"/>
    <w:rsid w:val="00CA3927"/>
    <w:rsid w:val="00CA3E2B"/>
    <w:rsid w:val="00CA444F"/>
    <w:rsid w:val="00CA4733"/>
    <w:rsid w:val="00CA4C8B"/>
    <w:rsid w:val="00CA501A"/>
    <w:rsid w:val="00CA50FA"/>
    <w:rsid w:val="00CA5245"/>
    <w:rsid w:val="00CA55DB"/>
    <w:rsid w:val="00CA570E"/>
    <w:rsid w:val="00CA57FA"/>
    <w:rsid w:val="00CA581F"/>
    <w:rsid w:val="00CA68A0"/>
    <w:rsid w:val="00CA71F4"/>
    <w:rsid w:val="00CA7519"/>
    <w:rsid w:val="00CA7643"/>
    <w:rsid w:val="00CA7B09"/>
    <w:rsid w:val="00CA7B82"/>
    <w:rsid w:val="00CB003A"/>
    <w:rsid w:val="00CB0904"/>
    <w:rsid w:val="00CB0E51"/>
    <w:rsid w:val="00CB12A5"/>
    <w:rsid w:val="00CB150C"/>
    <w:rsid w:val="00CB1CAC"/>
    <w:rsid w:val="00CB2412"/>
    <w:rsid w:val="00CB25AC"/>
    <w:rsid w:val="00CB2E45"/>
    <w:rsid w:val="00CB2F2A"/>
    <w:rsid w:val="00CB32C0"/>
    <w:rsid w:val="00CB332A"/>
    <w:rsid w:val="00CB349B"/>
    <w:rsid w:val="00CB355D"/>
    <w:rsid w:val="00CB40F3"/>
    <w:rsid w:val="00CB4E2C"/>
    <w:rsid w:val="00CB5517"/>
    <w:rsid w:val="00CB593B"/>
    <w:rsid w:val="00CB5B1A"/>
    <w:rsid w:val="00CB628C"/>
    <w:rsid w:val="00CB635E"/>
    <w:rsid w:val="00CB6B22"/>
    <w:rsid w:val="00CB6C84"/>
    <w:rsid w:val="00CB7501"/>
    <w:rsid w:val="00CB754A"/>
    <w:rsid w:val="00CB75F0"/>
    <w:rsid w:val="00CB7996"/>
    <w:rsid w:val="00CB7C71"/>
    <w:rsid w:val="00CB7F5F"/>
    <w:rsid w:val="00CC0987"/>
    <w:rsid w:val="00CC10C0"/>
    <w:rsid w:val="00CC125E"/>
    <w:rsid w:val="00CC177B"/>
    <w:rsid w:val="00CC1B39"/>
    <w:rsid w:val="00CC1BFA"/>
    <w:rsid w:val="00CC202F"/>
    <w:rsid w:val="00CC2204"/>
    <w:rsid w:val="00CC2E9F"/>
    <w:rsid w:val="00CC35EA"/>
    <w:rsid w:val="00CC3848"/>
    <w:rsid w:val="00CC4E71"/>
    <w:rsid w:val="00CC54FD"/>
    <w:rsid w:val="00CC5633"/>
    <w:rsid w:val="00CC5A9E"/>
    <w:rsid w:val="00CC630D"/>
    <w:rsid w:val="00CC6438"/>
    <w:rsid w:val="00CC6638"/>
    <w:rsid w:val="00CC6C2A"/>
    <w:rsid w:val="00CC6D5E"/>
    <w:rsid w:val="00CC73DA"/>
    <w:rsid w:val="00CC7946"/>
    <w:rsid w:val="00CC7E31"/>
    <w:rsid w:val="00CD0191"/>
    <w:rsid w:val="00CD0200"/>
    <w:rsid w:val="00CD0D89"/>
    <w:rsid w:val="00CD156C"/>
    <w:rsid w:val="00CD1D00"/>
    <w:rsid w:val="00CD278F"/>
    <w:rsid w:val="00CD2D08"/>
    <w:rsid w:val="00CD324E"/>
    <w:rsid w:val="00CD33DE"/>
    <w:rsid w:val="00CD34F7"/>
    <w:rsid w:val="00CD365B"/>
    <w:rsid w:val="00CD3F23"/>
    <w:rsid w:val="00CD3F77"/>
    <w:rsid w:val="00CD4199"/>
    <w:rsid w:val="00CD4431"/>
    <w:rsid w:val="00CD4721"/>
    <w:rsid w:val="00CD4D2A"/>
    <w:rsid w:val="00CD4FEE"/>
    <w:rsid w:val="00CD5D62"/>
    <w:rsid w:val="00CD5F35"/>
    <w:rsid w:val="00CD690B"/>
    <w:rsid w:val="00CD6ADC"/>
    <w:rsid w:val="00CD7193"/>
    <w:rsid w:val="00CD7C55"/>
    <w:rsid w:val="00CE0784"/>
    <w:rsid w:val="00CE08B0"/>
    <w:rsid w:val="00CE0A0C"/>
    <w:rsid w:val="00CE10F7"/>
    <w:rsid w:val="00CE1862"/>
    <w:rsid w:val="00CE1BEB"/>
    <w:rsid w:val="00CE22D9"/>
    <w:rsid w:val="00CE25C7"/>
    <w:rsid w:val="00CE2D50"/>
    <w:rsid w:val="00CE37F1"/>
    <w:rsid w:val="00CE38C8"/>
    <w:rsid w:val="00CE3C07"/>
    <w:rsid w:val="00CE421C"/>
    <w:rsid w:val="00CE472D"/>
    <w:rsid w:val="00CE4797"/>
    <w:rsid w:val="00CE4A44"/>
    <w:rsid w:val="00CE4C38"/>
    <w:rsid w:val="00CE524F"/>
    <w:rsid w:val="00CE58CC"/>
    <w:rsid w:val="00CE595F"/>
    <w:rsid w:val="00CE5EAC"/>
    <w:rsid w:val="00CE5F61"/>
    <w:rsid w:val="00CE6274"/>
    <w:rsid w:val="00CE63AE"/>
    <w:rsid w:val="00CE70B9"/>
    <w:rsid w:val="00CE70BB"/>
    <w:rsid w:val="00CE77B6"/>
    <w:rsid w:val="00CE7A50"/>
    <w:rsid w:val="00CE7ED4"/>
    <w:rsid w:val="00CF0615"/>
    <w:rsid w:val="00CF0A5D"/>
    <w:rsid w:val="00CF0CA0"/>
    <w:rsid w:val="00CF1A8D"/>
    <w:rsid w:val="00CF262E"/>
    <w:rsid w:val="00CF28FC"/>
    <w:rsid w:val="00CF2B8D"/>
    <w:rsid w:val="00CF2B95"/>
    <w:rsid w:val="00CF32AE"/>
    <w:rsid w:val="00CF3A1B"/>
    <w:rsid w:val="00CF3F49"/>
    <w:rsid w:val="00CF4036"/>
    <w:rsid w:val="00CF4385"/>
    <w:rsid w:val="00CF440A"/>
    <w:rsid w:val="00CF456B"/>
    <w:rsid w:val="00CF4590"/>
    <w:rsid w:val="00CF4699"/>
    <w:rsid w:val="00CF4845"/>
    <w:rsid w:val="00CF4E1D"/>
    <w:rsid w:val="00CF5888"/>
    <w:rsid w:val="00CF5A22"/>
    <w:rsid w:val="00CF5A76"/>
    <w:rsid w:val="00CF6521"/>
    <w:rsid w:val="00CF6DDE"/>
    <w:rsid w:val="00CF7213"/>
    <w:rsid w:val="00CF72F1"/>
    <w:rsid w:val="00CF7767"/>
    <w:rsid w:val="00CF7AF0"/>
    <w:rsid w:val="00D00A9F"/>
    <w:rsid w:val="00D00B2E"/>
    <w:rsid w:val="00D0163D"/>
    <w:rsid w:val="00D0179E"/>
    <w:rsid w:val="00D01E07"/>
    <w:rsid w:val="00D021A5"/>
    <w:rsid w:val="00D024E3"/>
    <w:rsid w:val="00D0262E"/>
    <w:rsid w:val="00D033A4"/>
    <w:rsid w:val="00D03679"/>
    <w:rsid w:val="00D0395C"/>
    <w:rsid w:val="00D03EB3"/>
    <w:rsid w:val="00D053D9"/>
    <w:rsid w:val="00D05B3C"/>
    <w:rsid w:val="00D05B84"/>
    <w:rsid w:val="00D05E3D"/>
    <w:rsid w:val="00D06139"/>
    <w:rsid w:val="00D0622B"/>
    <w:rsid w:val="00D064A4"/>
    <w:rsid w:val="00D065ED"/>
    <w:rsid w:val="00D0679C"/>
    <w:rsid w:val="00D072FB"/>
    <w:rsid w:val="00D074F2"/>
    <w:rsid w:val="00D07A4C"/>
    <w:rsid w:val="00D07EB6"/>
    <w:rsid w:val="00D1034E"/>
    <w:rsid w:val="00D10650"/>
    <w:rsid w:val="00D110BD"/>
    <w:rsid w:val="00D11C1F"/>
    <w:rsid w:val="00D12254"/>
    <w:rsid w:val="00D13502"/>
    <w:rsid w:val="00D1358A"/>
    <w:rsid w:val="00D13675"/>
    <w:rsid w:val="00D14097"/>
    <w:rsid w:val="00D141A2"/>
    <w:rsid w:val="00D141E1"/>
    <w:rsid w:val="00D147A2"/>
    <w:rsid w:val="00D148FE"/>
    <w:rsid w:val="00D15314"/>
    <w:rsid w:val="00D15881"/>
    <w:rsid w:val="00D15B48"/>
    <w:rsid w:val="00D15E60"/>
    <w:rsid w:val="00D15FD9"/>
    <w:rsid w:val="00D16FCB"/>
    <w:rsid w:val="00D170C8"/>
    <w:rsid w:val="00D17D6C"/>
    <w:rsid w:val="00D2040C"/>
    <w:rsid w:val="00D206A2"/>
    <w:rsid w:val="00D2098F"/>
    <w:rsid w:val="00D20DD9"/>
    <w:rsid w:val="00D21157"/>
    <w:rsid w:val="00D21329"/>
    <w:rsid w:val="00D2132E"/>
    <w:rsid w:val="00D2155B"/>
    <w:rsid w:val="00D22AFA"/>
    <w:rsid w:val="00D23656"/>
    <w:rsid w:val="00D23896"/>
    <w:rsid w:val="00D23D11"/>
    <w:rsid w:val="00D23D45"/>
    <w:rsid w:val="00D24024"/>
    <w:rsid w:val="00D24372"/>
    <w:rsid w:val="00D244B6"/>
    <w:rsid w:val="00D24710"/>
    <w:rsid w:val="00D24713"/>
    <w:rsid w:val="00D249CC"/>
    <w:rsid w:val="00D24FA5"/>
    <w:rsid w:val="00D25BDE"/>
    <w:rsid w:val="00D262BA"/>
    <w:rsid w:val="00D26322"/>
    <w:rsid w:val="00D2667B"/>
    <w:rsid w:val="00D2754D"/>
    <w:rsid w:val="00D27B27"/>
    <w:rsid w:val="00D27D3C"/>
    <w:rsid w:val="00D300AD"/>
    <w:rsid w:val="00D30994"/>
    <w:rsid w:val="00D30D5B"/>
    <w:rsid w:val="00D31512"/>
    <w:rsid w:val="00D317AC"/>
    <w:rsid w:val="00D32A01"/>
    <w:rsid w:val="00D32C1F"/>
    <w:rsid w:val="00D32D17"/>
    <w:rsid w:val="00D33BE9"/>
    <w:rsid w:val="00D33C0B"/>
    <w:rsid w:val="00D33F93"/>
    <w:rsid w:val="00D34472"/>
    <w:rsid w:val="00D352E5"/>
    <w:rsid w:val="00D3534F"/>
    <w:rsid w:val="00D357FF"/>
    <w:rsid w:val="00D35F55"/>
    <w:rsid w:val="00D367CB"/>
    <w:rsid w:val="00D40704"/>
    <w:rsid w:val="00D41AE1"/>
    <w:rsid w:val="00D41F38"/>
    <w:rsid w:val="00D422D9"/>
    <w:rsid w:val="00D424C7"/>
    <w:rsid w:val="00D42527"/>
    <w:rsid w:val="00D42E9C"/>
    <w:rsid w:val="00D4350C"/>
    <w:rsid w:val="00D43B2A"/>
    <w:rsid w:val="00D43CF1"/>
    <w:rsid w:val="00D43D83"/>
    <w:rsid w:val="00D44296"/>
    <w:rsid w:val="00D4475E"/>
    <w:rsid w:val="00D44B24"/>
    <w:rsid w:val="00D4505A"/>
    <w:rsid w:val="00D45357"/>
    <w:rsid w:val="00D453D8"/>
    <w:rsid w:val="00D45699"/>
    <w:rsid w:val="00D457FF"/>
    <w:rsid w:val="00D4599D"/>
    <w:rsid w:val="00D4601B"/>
    <w:rsid w:val="00D4656B"/>
    <w:rsid w:val="00D46679"/>
    <w:rsid w:val="00D4701B"/>
    <w:rsid w:val="00D474ED"/>
    <w:rsid w:val="00D47575"/>
    <w:rsid w:val="00D5039D"/>
    <w:rsid w:val="00D50551"/>
    <w:rsid w:val="00D508BD"/>
    <w:rsid w:val="00D50CF3"/>
    <w:rsid w:val="00D50D77"/>
    <w:rsid w:val="00D50F55"/>
    <w:rsid w:val="00D516A4"/>
    <w:rsid w:val="00D5243B"/>
    <w:rsid w:val="00D5265B"/>
    <w:rsid w:val="00D532A1"/>
    <w:rsid w:val="00D533EC"/>
    <w:rsid w:val="00D5359F"/>
    <w:rsid w:val="00D53A32"/>
    <w:rsid w:val="00D53B77"/>
    <w:rsid w:val="00D5445E"/>
    <w:rsid w:val="00D54C91"/>
    <w:rsid w:val="00D55B6B"/>
    <w:rsid w:val="00D55BB1"/>
    <w:rsid w:val="00D55F6F"/>
    <w:rsid w:val="00D562BF"/>
    <w:rsid w:val="00D5644C"/>
    <w:rsid w:val="00D56A95"/>
    <w:rsid w:val="00D56D5E"/>
    <w:rsid w:val="00D574D5"/>
    <w:rsid w:val="00D60194"/>
    <w:rsid w:val="00D6037A"/>
    <w:rsid w:val="00D6076E"/>
    <w:rsid w:val="00D613D5"/>
    <w:rsid w:val="00D61949"/>
    <w:rsid w:val="00D62181"/>
    <w:rsid w:val="00D62222"/>
    <w:rsid w:val="00D62493"/>
    <w:rsid w:val="00D6264D"/>
    <w:rsid w:val="00D62726"/>
    <w:rsid w:val="00D63831"/>
    <w:rsid w:val="00D63D26"/>
    <w:rsid w:val="00D64AF0"/>
    <w:rsid w:val="00D657E8"/>
    <w:rsid w:val="00D65C57"/>
    <w:rsid w:val="00D65FD3"/>
    <w:rsid w:val="00D66156"/>
    <w:rsid w:val="00D66281"/>
    <w:rsid w:val="00D66D10"/>
    <w:rsid w:val="00D66FB3"/>
    <w:rsid w:val="00D67364"/>
    <w:rsid w:val="00D673F7"/>
    <w:rsid w:val="00D70EA7"/>
    <w:rsid w:val="00D70F16"/>
    <w:rsid w:val="00D71759"/>
    <w:rsid w:val="00D71A8F"/>
    <w:rsid w:val="00D71C1B"/>
    <w:rsid w:val="00D71D85"/>
    <w:rsid w:val="00D72617"/>
    <w:rsid w:val="00D72D35"/>
    <w:rsid w:val="00D72E01"/>
    <w:rsid w:val="00D72F24"/>
    <w:rsid w:val="00D72F57"/>
    <w:rsid w:val="00D72FCF"/>
    <w:rsid w:val="00D733FD"/>
    <w:rsid w:val="00D73E1F"/>
    <w:rsid w:val="00D749C7"/>
    <w:rsid w:val="00D7530F"/>
    <w:rsid w:val="00D7592F"/>
    <w:rsid w:val="00D75C56"/>
    <w:rsid w:val="00D765CF"/>
    <w:rsid w:val="00D76A44"/>
    <w:rsid w:val="00D777ED"/>
    <w:rsid w:val="00D77CB9"/>
    <w:rsid w:val="00D77CC7"/>
    <w:rsid w:val="00D77CEC"/>
    <w:rsid w:val="00D80530"/>
    <w:rsid w:val="00D80C62"/>
    <w:rsid w:val="00D81458"/>
    <w:rsid w:val="00D815EF"/>
    <w:rsid w:val="00D81949"/>
    <w:rsid w:val="00D81F26"/>
    <w:rsid w:val="00D822E2"/>
    <w:rsid w:val="00D82596"/>
    <w:rsid w:val="00D839BE"/>
    <w:rsid w:val="00D839D8"/>
    <w:rsid w:val="00D843F2"/>
    <w:rsid w:val="00D84E07"/>
    <w:rsid w:val="00D85A06"/>
    <w:rsid w:val="00D85DF0"/>
    <w:rsid w:val="00D85FEB"/>
    <w:rsid w:val="00D86231"/>
    <w:rsid w:val="00D86BB9"/>
    <w:rsid w:val="00D87BE9"/>
    <w:rsid w:val="00D87D14"/>
    <w:rsid w:val="00D87EC4"/>
    <w:rsid w:val="00D90186"/>
    <w:rsid w:val="00D912AB"/>
    <w:rsid w:val="00D912B3"/>
    <w:rsid w:val="00D917C1"/>
    <w:rsid w:val="00D918B1"/>
    <w:rsid w:val="00D91923"/>
    <w:rsid w:val="00D919F7"/>
    <w:rsid w:val="00D92796"/>
    <w:rsid w:val="00D929B8"/>
    <w:rsid w:val="00D92D92"/>
    <w:rsid w:val="00D92E13"/>
    <w:rsid w:val="00D930FC"/>
    <w:rsid w:val="00D93753"/>
    <w:rsid w:val="00D9378E"/>
    <w:rsid w:val="00D938A8"/>
    <w:rsid w:val="00D93A40"/>
    <w:rsid w:val="00D93DD8"/>
    <w:rsid w:val="00D940C0"/>
    <w:rsid w:val="00D948DF"/>
    <w:rsid w:val="00D9561A"/>
    <w:rsid w:val="00D95C8F"/>
    <w:rsid w:val="00D95F35"/>
    <w:rsid w:val="00D95F5C"/>
    <w:rsid w:val="00D96360"/>
    <w:rsid w:val="00D969D0"/>
    <w:rsid w:val="00D96CA0"/>
    <w:rsid w:val="00D96ECD"/>
    <w:rsid w:val="00D96FA6"/>
    <w:rsid w:val="00D97226"/>
    <w:rsid w:val="00D9758F"/>
    <w:rsid w:val="00D97696"/>
    <w:rsid w:val="00D978D5"/>
    <w:rsid w:val="00D978ED"/>
    <w:rsid w:val="00DA0040"/>
    <w:rsid w:val="00DA0B8B"/>
    <w:rsid w:val="00DA0BCD"/>
    <w:rsid w:val="00DA10F9"/>
    <w:rsid w:val="00DA164A"/>
    <w:rsid w:val="00DA1798"/>
    <w:rsid w:val="00DA218E"/>
    <w:rsid w:val="00DA26DA"/>
    <w:rsid w:val="00DA276C"/>
    <w:rsid w:val="00DA2876"/>
    <w:rsid w:val="00DA2A83"/>
    <w:rsid w:val="00DA2DCE"/>
    <w:rsid w:val="00DA2E88"/>
    <w:rsid w:val="00DA3167"/>
    <w:rsid w:val="00DA3B9A"/>
    <w:rsid w:val="00DA3E5F"/>
    <w:rsid w:val="00DA4365"/>
    <w:rsid w:val="00DA4769"/>
    <w:rsid w:val="00DA4D97"/>
    <w:rsid w:val="00DA4DC3"/>
    <w:rsid w:val="00DA4E5F"/>
    <w:rsid w:val="00DA5288"/>
    <w:rsid w:val="00DA53FD"/>
    <w:rsid w:val="00DA593A"/>
    <w:rsid w:val="00DA5B9A"/>
    <w:rsid w:val="00DA5F7D"/>
    <w:rsid w:val="00DA612D"/>
    <w:rsid w:val="00DA6C8F"/>
    <w:rsid w:val="00DA6F95"/>
    <w:rsid w:val="00DA77A5"/>
    <w:rsid w:val="00DB0E36"/>
    <w:rsid w:val="00DB11D5"/>
    <w:rsid w:val="00DB189E"/>
    <w:rsid w:val="00DB29A8"/>
    <w:rsid w:val="00DB2B4A"/>
    <w:rsid w:val="00DB2F81"/>
    <w:rsid w:val="00DB3456"/>
    <w:rsid w:val="00DB3DBF"/>
    <w:rsid w:val="00DB4667"/>
    <w:rsid w:val="00DB4678"/>
    <w:rsid w:val="00DB484F"/>
    <w:rsid w:val="00DB4A7B"/>
    <w:rsid w:val="00DB532B"/>
    <w:rsid w:val="00DB55B9"/>
    <w:rsid w:val="00DB637A"/>
    <w:rsid w:val="00DB658B"/>
    <w:rsid w:val="00DB6D86"/>
    <w:rsid w:val="00DB6FFC"/>
    <w:rsid w:val="00DB7686"/>
    <w:rsid w:val="00DB7AFC"/>
    <w:rsid w:val="00DC04F6"/>
    <w:rsid w:val="00DC0690"/>
    <w:rsid w:val="00DC06AA"/>
    <w:rsid w:val="00DC1223"/>
    <w:rsid w:val="00DC1447"/>
    <w:rsid w:val="00DC1D65"/>
    <w:rsid w:val="00DC27E2"/>
    <w:rsid w:val="00DC34DC"/>
    <w:rsid w:val="00DC3C0C"/>
    <w:rsid w:val="00DC3C57"/>
    <w:rsid w:val="00DC4AEA"/>
    <w:rsid w:val="00DC4D2B"/>
    <w:rsid w:val="00DC4D8E"/>
    <w:rsid w:val="00DC5242"/>
    <w:rsid w:val="00DC5501"/>
    <w:rsid w:val="00DC5DE4"/>
    <w:rsid w:val="00DC60EC"/>
    <w:rsid w:val="00DC6187"/>
    <w:rsid w:val="00DC6213"/>
    <w:rsid w:val="00DC6F0A"/>
    <w:rsid w:val="00DC7154"/>
    <w:rsid w:val="00DC765A"/>
    <w:rsid w:val="00DC7E8A"/>
    <w:rsid w:val="00DC7EFD"/>
    <w:rsid w:val="00DD0EFE"/>
    <w:rsid w:val="00DD0F78"/>
    <w:rsid w:val="00DD12E5"/>
    <w:rsid w:val="00DD1398"/>
    <w:rsid w:val="00DD1A9A"/>
    <w:rsid w:val="00DD1F4D"/>
    <w:rsid w:val="00DD273C"/>
    <w:rsid w:val="00DD28E6"/>
    <w:rsid w:val="00DD2AED"/>
    <w:rsid w:val="00DD2E09"/>
    <w:rsid w:val="00DD2F5B"/>
    <w:rsid w:val="00DD31CD"/>
    <w:rsid w:val="00DD3A65"/>
    <w:rsid w:val="00DD3F28"/>
    <w:rsid w:val="00DD40D0"/>
    <w:rsid w:val="00DD413D"/>
    <w:rsid w:val="00DD4159"/>
    <w:rsid w:val="00DD4283"/>
    <w:rsid w:val="00DD4446"/>
    <w:rsid w:val="00DD4537"/>
    <w:rsid w:val="00DD4C79"/>
    <w:rsid w:val="00DD4D13"/>
    <w:rsid w:val="00DD4E15"/>
    <w:rsid w:val="00DD5AE3"/>
    <w:rsid w:val="00DD6048"/>
    <w:rsid w:val="00DD670C"/>
    <w:rsid w:val="00DD6A64"/>
    <w:rsid w:val="00DD719D"/>
    <w:rsid w:val="00DD772F"/>
    <w:rsid w:val="00DD77FB"/>
    <w:rsid w:val="00DD797A"/>
    <w:rsid w:val="00DD7CAE"/>
    <w:rsid w:val="00DD7E55"/>
    <w:rsid w:val="00DD7F36"/>
    <w:rsid w:val="00DE0784"/>
    <w:rsid w:val="00DE1085"/>
    <w:rsid w:val="00DE151C"/>
    <w:rsid w:val="00DE1633"/>
    <w:rsid w:val="00DE1A59"/>
    <w:rsid w:val="00DE1BEF"/>
    <w:rsid w:val="00DE1C4E"/>
    <w:rsid w:val="00DE205F"/>
    <w:rsid w:val="00DE2304"/>
    <w:rsid w:val="00DE256B"/>
    <w:rsid w:val="00DE286E"/>
    <w:rsid w:val="00DE2967"/>
    <w:rsid w:val="00DE2BBA"/>
    <w:rsid w:val="00DE3138"/>
    <w:rsid w:val="00DE32B4"/>
    <w:rsid w:val="00DE347A"/>
    <w:rsid w:val="00DE37F8"/>
    <w:rsid w:val="00DE3A0B"/>
    <w:rsid w:val="00DE4273"/>
    <w:rsid w:val="00DE4FCB"/>
    <w:rsid w:val="00DE56FC"/>
    <w:rsid w:val="00DE5D07"/>
    <w:rsid w:val="00DE62B3"/>
    <w:rsid w:val="00DE6CC8"/>
    <w:rsid w:val="00DE72A7"/>
    <w:rsid w:val="00DE72F2"/>
    <w:rsid w:val="00DE74F7"/>
    <w:rsid w:val="00DE7832"/>
    <w:rsid w:val="00DE7CB9"/>
    <w:rsid w:val="00DF060B"/>
    <w:rsid w:val="00DF06A0"/>
    <w:rsid w:val="00DF0E53"/>
    <w:rsid w:val="00DF169C"/>
    <w:rsid w:val="00DF18FC"/>
    <w:rsid w:val="00DF1ABC"/>
    <w:rsid w:val="00DF20AA"/>
    <w:rsid w:val="00DF218B"/>
    <w:rsid w:val="00DF2FC4"/>
    <w:rsid w:val="00DF376A"/>
    <w:rsid w:val="00DF3A6D"/>
    <w:rsid w:val="00DF3F0B"/>
    <w:rsid w:val="00DF4182"/>
    <w:rsid w:val="00DF41C7"/>
    <w:rsid w:val="00DF42A7"/>
    <w:rsid w:val="00DF48A0"/>
    <w:rsid w:val="00DF4C7E"/>
    <w:rsid w:val="00DF50B0"/>
    <w:rsid w:val="00DF5158"/>
    <w:rsid w:val="00DF59B7"/>
    <w:rsid w:val="00DF5CA1"/>
    <w:rsid w:val="00DF5D2B"/>
    <w:rsid w:val="00DF5ED0"/>
    <w:rsid w:val="00DF60B8"/>
    <w:rsid w:val="00DF6341"/>
    <w:rsid w:val="00DF672F"/>
    <w:rsid w:val="00DF6CAC"/>
    <w:rsid w:val="00DF7645"/>
    <w:rsid w:val="00DF7CD1"/>
    <w:rsid w:val="00DF7E71"/>
    <w:rsid w:val="00E003FC"/>
    <w:rsid w:val="00E00AC8"/>
    <w:rsid w:val="00E00E8E"/>
    <w:rsid w:val="00E010C0"/>
    <w:rsid w:val="00E01838"/>
    <w:rsid w:val="00E01C84"/>
    <w:rsid w:val="00E02E52"/>
    <w:rsid w:val="00E03543"/>
    <w:rsid w:val="00E036BB"/>
    <w:rsid w:val="00E03C4C"/>
    <w:rsid w:val="00E03FCB"/>
    <w:rsid w:val="00E04153"/>
    <w:rsid w:val="00E04394"/>
    <w:rsid w:val="00E0472B"/>
    <w:rsid w:val="00E0472E"/>
    <w:rsid w:val="00E04B43"/>
    <w:rsid w:val="00E04C9C"/>
    <w:rsid w:val="00E05144"/>
    <w:rsid w:val="00E05168"/>
    <w:rsid w:val="00E05630"/>
    <w:rsid w:val="00E05D32"/>
    <w:rsid w:val="00E0618A"/>
    <w:rsid w:val="00E062AD"/>
    <w:rsid w:val="00E06AA2"/>
    <w:rsid w:val="00E06DBB"/>
    <w:rsid w:val="00E07AA4"/>
    <w:rsid w:val="00E07EF3"/>
    <w:rsid w:val="00E07FCD"/>
    <w:rsid w:val="00E10030"/>
    <w:rsid w:val="00E10149"/>
    <w:rsid w:val="00E101B1"/>
    <w:rsid w:val="00E109B2"/>
    <w:rsid w:val="00E10DD2"/>
    <w:rsid w:val="00E112AF"/>
    <w:rsid w:val="00E11340"/>
    <w:rsid w:val="00E11563"/>
    <w:rsid w:val="00E122A1"/>
    <w:rsid w:val="00E12FEE"/>
    <w:rsid w:val="00E13218"/>
    <w:rsid w:val="00E1327F"/>
    <w:rsid w:val="00E135F3"/>
    <w:rsid w:val="00E1375D"/>
    <w:rsid w:val="00E13DD3"/>
    <w:rsid w:val="00E149A6"/>
    <w:rsid w:val="00E1544C"/>
    <w:rsid w:val="00E15848"/>
    <w:rsid w:val="00E16262"/>
    <w:rsid w:val="00E16372"/>
    <w:rsid w:val="00E16915"/>
    <w:rsid w:val="00E16AD8"/>
    <w:rsid w:val="00E17445"/>
    <w:rsid w:val="00E17855"/>
    <w:rsid w:val="00E17FFA"/>
    <w:rsid w:val="00E20058"/>
    <w:rsid w:val="00E20E4D"/>
    <w:rsid w:val="00E20ED6"/>
    <w:rsid w:val="00E21358"/>
    <w:rsid w:val="00E214D3"/>
    <w:rsid w:val="00E22144"/>
    <w:rsid w:val="00E221AB"/>
    <w:rsid w:val="00E22231"/>
    <w:rsid w:val="00E2249B"/>
    <w:rsid w:val="00E22A0D"/>
    <w:rsid w:val="00E22A75"/>
    <w:rsid w:val="00E22B54"/>
    <w:rsid w:val="00E231C3"/>
    <w:rsid w:val="00E2337E"/>
    <w:rsid w:val="00E23CD7"/>
    <w:rsid w:val="00E23ED5"/>
    <w:rsid w:val="00E2435A"/>
    <w:rsid w:val="00E244F6"/>
    <w:rsid w:val="00E24D12"/>
    <w:rsid w:val="00E258DB"/>
    <w:rsid w:val="00E25CD8"/>
    <w:rsid w:val="00E2640C"/>
    <w:rsid w:val="00E276F8"/>
    <w:rsid w:val="00E2771E"/>
    <w:rsid w:val="00E300A9"/>
    <w:rsid w:val="00E301F2"/>
    <w:rsid w:val="00E30301"/>
    <w:rsid w:val="00E3065D"/>
    <w:rsid w:val="00E310DC"/>
    <w:rsid w:val="00E311EF"/>
    <w:rsid w:val="00E315E1"/>
    <w:rsid w:val="00E31931"/>
    <w:rsid w:val="00E31E9A"/>
    <w:rsid w:val="00E32180"/>
    <w:rsid w:val="00E32713"/>
    <w:rsid w:val="00E327FD"/>
    <w:rsid w:val="00E32921"/>
    <w:rsid w:val="00E32C2E"/>
    <w:rsid w:val="00E33533"/>
    <w:rsid w:val="00E33B52"/>
    <w:rsid w:val="00E33B55"/>
    <w:rsid w:val="00E33C45"/>
    <w:rsid w:val="00E33DA6"/>
    <w:rsid w:val="00E3458E"/>
    <w:rsid w:val="00E34643"/>
    <w:rsid w:val="00E34948"/>
    <w:rsid w:val="00E35249"/>
    <w:rsid w:val="00E3547E"/>
    <w:rsid w:val="00E356B7"/>
    <w:rsid w:val="00E360A0"/>
    <w:rsid w:val="00E3646E"/>
    <w:rsid w:val="00E36859"/>
    <w:rsid w:val="00E372F3"/>
    <w:rsid w:val="00E3749C"/>
    <w:rsid w:val="00E37569"/>
    <w:rsid w:val="00E376A6"/>
    <w:rsid w:val="00E37C27"/>
    <w:rsid w:val="00E37D2D"/>
    <w:rsid w:val="00E40143"/>
    <w:rsid w:val="00E401B2"/>
    <w:rsid w:val="00E40846"/>
    <w:rsid w:val="00E40B7C"/>
    <w:rsid w:val="00E4154F"/>
    <w:rsid w:val="00E41E30"/>
    <w:rsid w:val="00E41F1C"/>
    <w:rsid w:val="00E424B9"/>
    <w:rsid w:val="00E42CDF"/>
    <w:rsid w:val="00E42F65"/>
    <w:rsid w:val="00E42F73"/>
    <w:rsid w:val="00E43424"/>
    <w:rsid w:val="00E43AF2"/>
    <w:rsid w:val="00E43D42"/>
    <w:rsid w:val="00E43D70"/>
    <w:rsid w:val="00E447E9"/>
    <w:rsid w:val="00E454A2"/>
    <w:rsid w:val="00E4639E"/>
    <w:rsid w:val="00E464ED"/>
    <w:rsid w:val="00E466F3"/>
    <w:rsid w:val="00E470E3"/>
    <w:rsid w:val="00E47B2C"/>
    <w:rsid w:val="00E47C30"/>
    <w:rsid w:val="00E47E56"/>
    <w:rsid w:val="00E506CB"/>
    <w:rsid w:val="00E50CD3"/>
    <w:rsid w:val="00E50E46"/>
    <w:rsid w:val="00E5115F"/>
    <w:rsid w:val="00E51351"/>
    <w:rsid w:val="00E513EF"/>
    <w:rsid w:val="00E51560"/>
    <w:rsid w:val="00E51821"/>
    <w:rsid w:val="00E5216A"/>
    <w:rsid w:val="00E5240A"/>
    <w:rsid w:val="00E5309E"/>
    <w:rsid w:val="00E53FC8"/>
    <w:rsid w:val="00E542FF"/>
    <w:rsid w:val="00E54347"/>
    <w:rsid w:val="00E54367"/>
    <w:rsid w:val="00E54477"/>
    <w:rsid w:val="00E547CC"/>
    <w:rsid w:val="00E54A58"/>
    <w:rsid w:val="00E55424"/>
    <w:rsid w:val="00E55915"/>
    <w:rsid w:val="00E55BB5"/>
    <w:rsid w:val="00E55D2C"/>
    <w:rsid w:val="00E55ECD"/>
    <w:rsid w:val="00E569C9"/>
    <w:rsid w:val="00E57254"/>
    <w:rsid w:val="00E57B49"/>
    <w:rsid w:val="00E57E9E"/>
    <w:rsid w:val="00E6003F"/>
    <w:rsid w:val="00E60280"/>
    <w:rsid w:val="00E603C6"/>
    <w:rsid w:val="00E6095B"/>
    <w:rsid w:val="00E611DF"/>
    <w:rsid w:val="00E61A6B"/>
    <w:rsid w:val="00E62390"/>
    <w:rsid w:val="00E6267D"/>
    <w:rsid w:val="00E63EA6"/>
    <w:rsid w:val="00E64000"/>
    <w:rsid w:val="00E64124"/>
    <w:rsid w:val="00E65E79"/>
    <w:rsid w:val="00E662BF"/>
    <w:rsid w:val="00E66BA2"/>
    <w:rsid w:val="00E6722A"/>
    <w:rsid w:val="00E67263"/>
    <w:rsid w:val="00E67380"/>
    <w:rsid w:val="00E67416"/>
    <w:rsid w:val="00E67CBE"/>
    <w:rsid w:val="00E70BE5"/>
    <w:rsid w:val="00E70BF6"/>
    <w:rsid w:val="00E71731"/>
    <w:rsid w:val="00E718B6"/>
    <w:rsid w:val="00E723BA"/>
    <w:rsid w:val="00E72D6D"/>
    <w:rsid w:val="00E72DE4"/>
    <w:rsid w:val="00E73581"/>
    <w:rsid w:val="00E74E81"/>
    <w:rsid w:val="00E74F24"/>
    <w:rsid w:val="00E75827"/>
    <w:rsid w:val="00E75DC0"/>
    <w:rsid w:val="00E7626E"/>
    <w:rsid w:val="00E7667A"/>
    <w:rsid w:val="00E76A89"/>
    <w:rsid w:val="00E76D11"/>
    <w:rsid w:val="00E773FC"/>
    <w:rsid w:val="00E80C46"/>
    <w:rsid w:val="00E810FF"/>
    <w:rsid w:val="00E815C1"/>
    <w:rsid w:val="00E82816"/>
    <w:rsid w:val="00E828FB"/>
    <w:rsid w:val="00E82FC3"/>
    <w:rsid w:val="00E833F7"/>
    <w:rsid w:val="00E8349A"/>
    <w:rsid w:val="00E835E3"/>
    <w:rsid w:val="00E835EB"/>
    <w:rsid w:val="00E83BDF"/>
    <w:rsid w:val="00E83CA9"/>
    <w:rsid w:val="00E84ED4"/>
    <w:rsid w:val="00E85B70"/>
    <w:rsid w:val="00E85F3B"/>
    <w:rsid w:val="00E85FF2"/>
    <w:rsid w:val="00E86125"/>
    <w:rsid w:val="00E86461"/>
    <w:rsid w:val="00E86604"/>
    <w:rsid w:val="00E86FCC"/>
    <w:rsid w:val="00E87769"/>
    <w:rsid w:val="00E87A1D"/>
    <w:rsid w:val="00E87CFA"/>
    <w:rsid w:val="00E905EF"/>
    <w:rsid w:val="00E9094A"/>
    <w:rsid w:val="00E90E9B"/>
    <w:rsid w:val="00E917FE"/>
    <w:rsid w:val="00E91D35"/>
    <w:rsid w:val="00E9233B"/>
    <w:rsid w:val="00E92576"/>
    <w:rsid w:val="00E926A5"/>
    <w:rsid w:val="00E92937"/>
    <w:rsid w:val="00E92AB8"/>
    <w:rsid w:val="00E92C67"/>
    <w:rsid w:val="00E92D94"/>
    <w:rsid w:val="00E92DAA"/>
    <w:rsid w:val="00E930A5"/>
    <w:rsid w:val="00E94327"/>
    <w:rsid w:val="00E947B6"/>
    <w:rsid w:val="00E94A4B"/>
    <w:rsid w:val="00E94AC1"/>
    <w:rsid w:val="00E94B11"/>
    <w:rsid w:val="00E94D3A"/>
    <w:rsid w:val="00E9539E"/>
    <w:rsid w:val="00E953B2"/>
    <w:rsid w:val="00E95B13"/>
    <w:rsid w:val="00E962CC"/>
    <w:rsid w:val="00E964D1"/>
    <w:rsid w:val="00E96A9C"/>
    <w:rsid w:val="00E96AAA"/>
    <w:rsid w:val="00E978B5"/>
    <w:rsid w:val="00E97A90"/>
    <w:rsid w:val="00E97BF6"/>
    <w:rsid w:val="00E97FDA"/>
    <w:rsid w:val="00EA034D"/>
    <w:rsid w:val="00EA056F"/>
    <w:rsid w:val="00EA0687"/>
    <w:rsid w:val="00EA0831"/>
    <w:rsid w:val="00EA084A"/>
    <w:rsid w:val="00EA0C2B"/>
    <w:rsid w:val="00EA0E08"/>
    <w:rsid w:val="00EA0FD7"/>
    <w:rsid w:val="00EA10CD"/>
    <w:rsid w:val="00EA1196"/>
    <w:rsid w:val="00EA1564"/>
    <w:rsid w:val="00EA17C3"/>
    <w:rsid w:val="00EA2185"/>
    <w:rsid w:val="00EA2CAA"/>
    <w:rsid w:val="00EA2E60"/>
    <w:rsid w:val="00EA3864"/>
    <w:rsid w:val="00EA4112"/>
    <w:rsid w:val="00EA472F"/>
    <w:rsid w:val="00EA4C50"/>
    <w:rsid w:val="00EA4C6E"/>
    <w:rsid w:val="00EA5A10"/>
    <w:rsid w:val="00EA66C6"/>
    <w:rsid w:val="00EA6E55"/>
    <w:rsid w:val="00EA7722"/>
    <w:rsid w:val="00EA777B"/>
    <w:rsid w:val="00EA7980"/>
    <w:rsid w:val="00EA7F1C"/>
    <w:rsid w:val="00EA7FC1"/>
    <w:rsid w:val="00EB02EA"/>
    <w:rsid w:val="00EB03EC"/>
    <w:rsid w:val="00EB07A0"/>
    <w:rsid w:val="00EB09A5"/>
    <w:rsid w:val="00EB0A04"/>
    <w:rsid w:val="00EB15B6"/>
    <w:rsid w:val="00EB210C"/>
    <w:rsid w:val="00EB23A1"/>
    <w:rsid w:val="00EB23B9"/>
    <w:rsid w:val="00EB30CE"/>
    <w:rsid w:val="00EB37FB"/>
    <w:rsid w:val="00EB3854"/>
    <w:rsid w:val="00EB3D06"/>
    <w:rsid w:val="00EB453B"/>
    <w:rsid w:val="00EB4571"/>
    <w:rsid w:val="00EB45F4"/>
    <w:rsid w:val="00EB4916"/>
    <w:rsid w:val="00EB4978"/>
    <w:rsid w:val="00EB4C0F"/>
    <w:rsid w:val="00EB520E"/>
    <w:rsid w:val="00EB5CC4"/>
    <w:rsid w:val="00EB6239"/>
    <w:rsid w:val="00EB66A2"/>
    <w:rsid w:val="00EB670E"/>
    <w:rsid w:val="00EB6854"/>
    <w:rsid w:val="00EB77B9"/>
    <w:rsid w:val="00EB7AD7"/>
    <w:rsid w:val="00EB7C1A"/>
    <w:rsid w:val="00EC00C9"/>
    <w:rsid w:val="00EC0DD9"/>
    <w:rsid w:val="00EC0F0D"/>
    <w:rsid w:val="00EC134E"/>
    <w:rsid w:val="00EC13BE"/>
    <w:rsid w:val="00EC16EB"/>
    <w:rsid w:val="00EC234E"/>
    <w:rsid w:val="00EC2649"/>
    <w:rsid w:val="00EC31ED"/>
    <w:rsid w:val="00EC4652"/>
    <w:rsid w:val="00EC4CB4"/>
    <w:rsid w:val="00EC50C5"/>
    <w:rsid w:val="00EC52EC"/>
    <w:rsid w:val="00EC536A"/>
    <w:rsid w:val="00EC5836"/>
    <w:rsid w:val="00EC688C"/>
    <w:rsid w:val="00EC6EF6"/>
    <w:rsid w:val="00EC6F28"/>
    <w:rsid w:val="00EC7132"/>
    <w:rsid w:val="00EC71CE"/>
    <w:rsid w:val="00ED0644"/>
    <w:rsid w:val="00ED12E3"/>
    <w:rsid w:val="00ED14A1"/>
    <w:rsid w:val="00ED33B4"/>
    <w:rsid w:val="00ED341F"/>
    <w:rsid w:val="00ED402E"/>
    <w:rsid w:val="00ED423A"/>
    <w:rsid w:val="00ED4321"/>
    <w:rsid w:val="00ED44C4"/>
    <w:rsid w:val="00ED4B04"/>
    <w:rsid w:val="00ED5228"/>
    <w:rsid w:val="00ED54D7"/>
    <w:rsid w:val="00ED57EA"/>
    <w:rsid w:val="00ED5AA2"/>
    <w:rsid w:val="00ED5BD4"/>
    <w:rsid w:val="00ED60A9"/>
    <w:rsid w:val="00ED63B7"/>
    <w:rsid w:val="00ED6628"/>
    <w:rsid w:val="00ED6A10"/>
    <w:rsid w:val="00ED725A"/>
    <w:rsid w:val="00EE07D3"/>
    <w:rsid w:val="00EE1154"/>
    <w:rsid w:val="00EE1270"/>
    <w:rsid w:val="00EE1996"/>
    <w:rsid w:val="00EE1C01"/>
    <w:rsid w:val="00EE221D"/>
    <w:rsid w:val="00EE22AF"/>
    <w:rsid w:val="00EE235C"/>
    <w:rsid w:val="00EE2DB3"/>
    <w:rsid w:val="00EE34EA"/>
    <w:rsid w:val="00EE3746"/>
    <w:rsid w:val="00EE395A"/>
    <w:rsid w:val="00EE3C77"/>
    <w:rsid w:val="00EE4A8F"/>
    <w:rsid w:val="00EE555D"/>
    <w:rsid w:val="00EE598F"/>
    <w:rsid w:val="00EE6637"/>
    <w:rsid w:val="00EE6D52"/>
    <w:rsid w:val="00EE71D0"/>
    <w:rsid w:val="00EE7921"/>
    <w:rsid w:val="00EF0171"/>
    <w:rsid w:val="00EF074E"/>
    <w:rsid w:val="00EF0764"/>
    <w:rsid w:val="00EF0D69"/>
    <w:rsid w:val="00EF0DF5"/>
    <w:rsid w:val="00EF1297"/>
    <w:rsid w:val="00EF1B25"/>
    <w:rsid w:val="00EF1CCC"/>
    <w:rsid w:val="00EF1DA0"/>
    <w:rsid w:val="00EF2256"/>
    <w:rsid w:val="00EF26FE"/>
    <w:rsid w:val="00EF29A3"/>
    <w:rsid w:val="00EF3AEB"/>
    <w:rsid w:val="00EF407A"/>
    <w:rsid w:val="00EF4747"/>
    <w:rsid w:val="00EF4BF8"/>
    <w:rsid w:val="00EF5B3E"/>
    <w:rsid w:val="00EF6200"/>
    <w:rsid w:val="00EF681F"/>
    <w:rsid w:val="00EF6A35"/>
    <w:rsid w:val="00EF6ABA"/>
    <w:rsid w:val="00EF710B"/>
    <w:rsid w:val="00EF7A31"/>
    <w:rsid w:val="00F00341"/>
    <w:rsid w:val="00F00E02"/>
    <w:rsid w:val="00F01B8D"/>
    <w:rsid w:val="00F02253"/>
    <w:rsid w:val="00F0247D"/>
    <w:rsid w:val="00F02567"/>
    <w:rsid w:val="00F035A2"/>
    <w:rsid w:val="00F039D9"/>
    <w:rsid w:val="00F03BE1"/>
    <w:rsid w:val="00F03C2E"/>
    <w:rsid w:val="00F044CF"/>
    <w:rsid w:val="00F0495C"/>
    <w:rsid w:val="00F04A42"/>
    <w:rsid w:val="00F04A66"/>
    <w:rsid w:val="00F04AAA"/>
    <w:rsid w:val="00F04B4B"/>
    <w:rsid w:val="00F0516C"/>
    <w:rsid w:val="00F053E5"/>
    <w:rsid w:val="00F059DF"/>
    <w:rsid w:val="00F05C9E"/>
    <w:rsid w:val="00F0607E"/>
    <w:rsid w:val="00F0667F"/>
    <w:rsid w:val="00F067A2"/>
    <w:rsid w:val="00F06D43"/>
    <w:rsid w:val="00F07B9E"/>
    <w:rsid w:val="00F102DA"/>
    <w:rsid w:val="00F103A1"/>
    <w:rsid w:val="00F1116F"/>
    <w:rsid w:val="00F1117D"/>
    <w:rsid w:val="00F11979"/>
    <w:rsid w:val="00F11AFD"/>
    <w:rsid w:val="00F120B7"/>
    <w:rsid w:val="00F122B7"/>
    <w:rsid w:val="00F12430"/>
    <w:rsid w:val="00F1263A"/>
    <w:rsid w:val="00F12866"/>
    <w:rsid w:val="00F12AB8"/>
    <w:rsid w:val="00F1317A"/>
    <w:rsid w:val="00F13432"/>
    <w:rsid w:val="00F139C5"/>
    <w:rsid w:val="00F13D43"/>
    <w:rsid w:val="00F13FEC"/>
    <w:rsid w:val="00F14096"/>
    <w:rsid w:val="00F14556"/>
    <w:rsid w:val="00F147A4"/>
    <w:rsid w:val="00F15B73"/>
    <w:rsid w:val="00F15B77"/>
    <w:rsid w:val="00F161FF"/>
    <w:rsid w:val="00F17092"/>
    <w:rsid w:val="00F17319"/>
    <w:rsid w:val="00F17513"/>
    <w:rsid w:val="00F17744"/>
    <w:rsid w:val="00F178B3"/>
    <w:rsid w:val="00F179B9"/>
    <w:rsid w:val="00F17D3F"/>
    <w:rsid w:val="00F203CA"/>
    <w:rsid w:val="00F20870"/>
    <w:rsid w:val="00F20B12"/>
    <w:rsid w:val="00F20D20"/>
    <w:rsid w:val="00F21236"/>
    <w:rsid w:val="00F218CB"/>
    <w:rsid w:val="00F2195F"/>
    <w:rsid w:val="00F21A8E"/>
    <w:rsid w:val="00F21B58"/>
    <w:rsid w:val="00F22F0E"/>
    <w:rsid w:val="00F23149"/>
    <w:rsid w:val="00F24027"/>
    <w:rsid w:val="00F243A9"/>
    <w:rsid w:val="00F2456A"/>
    <w:rsid w:val="00F24837"/>
    <w:rsid w:val="00F24B79"/>
    <w:rsid w:val="00F24FBE"/>
    <w:rsid w:val="00F2514D"/>
    <w:rsid w:val="00F2549A"/>
    <w:rsid w:val="00F2575F"/>
    <w:rsid w:val="00F261C3"/>
    <w:rsid w:val="00F26880"/>
    <w:rsid w:val="00F27316"/>
    <w:rsid w:val="00F2746F"/>
    <w:rsid w:val="00F27565"/>
    <w:rsid w:val="00F303E6"/>
    <w:rsid w:val="00F30A82"/>
    <w:rsid w:val="00F310D4"/>
    <w:rsid w:val="00F310E2"/>
    <w:rsid w:val="00F31147"/>
    <w:rsid w:val="00F313C2"/>
    <w:rsid w:val="00F31571"/>
    <w:rsid w:val="00F31D5A"/>
    <w:rsid w:val="00F31DEE"/>
    <w:rsid w:val="00F322BA"/>
    <w:rsid w:val="00F322EA"/>
    <w:rsid w:val="00F32AFF"/>
    <w:rsid w:val="00F32DC5"/>
    <w:rsid w:val="00F32E11"/>
    <w:rsid w:val="00F33975"/>
    <w:rsid w:val="00F33DE9"/>
    <w:rsid w:val="00F33E18"/>
    <w:rsid w:val="00F33EF5"/>
    <w:rsid w:val="00F3475D"/>
    <w:rsid w:val="00F34826"/>
    <w:rsid w:val="00F34859"/>
    <w:rsid w:val="00F3487E"/>
    <w:rsid w:val="00F3554B"/>
    <w:rsid w:val="00F35B87"/>
    <w:rsid w:val="00F35E6D"/>
    <w:rsid w:val="00F3619A"/>
    <w:rsid w:val="00F368A4"/>
    <w:rsid w:val="00F368D6"/>
    <w:rsid w:val="00F374C1"/>
    <w:rsid w:val="00F4044D"/>
    <w:rsid w:val="00F406F0"/>
    <w:rsid w:val="00F407B4"/>
    <w:rsid w:val="00F40805"/>
    <w:rsid w:val="00F40AAA"/>
    <w:rsid w:val="00F40B57"/>
    <w:rsid w:val="00F40BA7"/>
    <w:rsid w:val="00F40CE1"/>
    <w:rsid w:val="00F40F9D"/>
    <w:rsid w:val="00F410EB"/>
    <w:rsid w:val="00F419F5"/>
    <w:rsid w:val="00F41ACD"/>
    <w:rsid w:val="00F41DBD"/>
    <w:rsid w:val="00F428DE"/>
    <w:rsid w:val="00F42E8C"/>
    <w:rsid w:val="00F43312"/>
    <w:rsid w:val="00F43852"/>
    <w:rsid w:val="00F43938"/>
    <w:rsid w:val="00F44C0B"/>
    <w:rsid w:val="00F45117"/>
    <w:rsid w:val="00F453B2"/>
    <w:rsid w:val="00F46859"/>
    <w:rsid w:val="00F46A31"/>
    <w:rsid w:val="00F46CB6"/>
    <w:rsid w:val="00F4756D"/>
    <w:rsid w:val="00F47B7E"/>
    <w:rsid w:val="00F47C71"/>
    <w:rsid w:val="00F47DE8"/>
    <w:rsid w:val="00F47F9D"/>
    <w:rsid w:val="00F5006D"/>
    <w:rsid w:val="00F50CB0"/>
    <w:rsid w:val="00F5114D"/>
    <w:rsid w:val="00F511E3"/>
    <w:rsid w:val="00F5231D"/>
    <w:rsid w:val="00F525B4"/>
    <w:rsid w:val="00F527AB"/>
    <w:rsid w:val="00F5282B"/>
    <w:rsid w:val="00F52F41"/>
    <w:rsid w:val="00F533E7"/>
    <w:rsid w:val="00F5344D"/>
    <w:rsid w:val="00F538DE"/>
    <w:rsid w:val="00F53C32"/>
    <w:rsid w:val="00F53C40"/>
    <w:rsid w:val="00F53EB7"/>
    <w:rsid w:val="00F54085"/>
    <w:rsid w:val="00F542C1"/>
    <w:rsid w:val="00F54663"/>
    <w:rsid w:val="00F54BBA"/>
    <w:rsid w:val="00F550E3"/>
    <w:rsid w:val="00F553C1"/>
    <w:rsid w:val="00F554B8"/>
    <w:rsid w:val="00F55E73"/>
    <w:rsid w:val="00F55EDA"/>
    <w:rsid w:val="00F56290"/>
    <w:rsid w:val="00F562C6"/>
    <w:rsid w:val="00F5667F"/>
    <w:rsid w:val="00F567B2"/>
    <w:rsid w:val="00F569BA"/>
    <w:rsid w:val="00F56BAE"/>
    <w:rsid w:val="00F56C80"/>
    <w:rsid w:val="00F60092"/>
    <w:rsid w:val="00F60928"/>
    <w:rsid w:val="00F61789"/>
    <w:rsid w:val="00F617B3"/>
    <w:rsid w:val="00F61AA9"/>
    <w:rsid w:val="00F61C18"/>
    <w:rsid w:val="00F61E92"/>
    <w:rsid w:val="00F622DE"/>
    <w:rsid w:val="00F623FD"/>
    <w:rsid w:val="00F627C9"/>
    <w:rsid w:val="00F631C8"/>
    <w:rsid w:val="00F63A6B"/>
    <w:rsid w:val="00F6492A"/>
    <w:rsid w:val="00F64DE5"/>
    <w:rsid w:val="00F64F95"/>
    <w:rsid w:val="00F655A4"/>
    <w:rsid w:val="00F65667"/>
    <w:rsid w:val="00F65F4B"/>
    <w:rsid w:val="00F65F63"/>
    <w:rsid w:val="00F65FD4"/>
    <w:rsid w:val="00F66FFB"/>
    <w:rsid w:val="00F67A69"/>
    <w:rsid w:val="00F707E2"/>
    <w:rsid w:val="00F70922"/>
    <w:rsid w:val="00F70BFF"/>
    <w:rsid w:val="00F70C9D"/>
    <w:rsid w:val="00F71A00"/>
    <w:rsid w:val="00F71AEF"/>
    <w:rsid w:val="00F73E08"/>
    <w:rsid w:val="00F74CD9"/>
    <w:rsid w:val="00F74D48"/>
    <w:rsid w:val="00F75372"/>
    <w:rsid w:val="00F753E3"/>
    <w:rsid w:val="00F7588C"/>
    <w:rsid w:val="00F75B7F"/>
    <w:rsid w:val="00F75BA9"/>
    <w:rsid w:val="00F76273"/>
    <w:rsid w:val="00F76377"/>
    <w:rsid w:val="00F768D3"/>
    <w:rsid w:val="00F76FA8"/>
    <w:rsid w:val="00F80342"/>
    <w:rsid w:val="00F804E8"/>
    <w:rsid w:val="00F8090D"/>
    <w:rsid w:val="00F80A7B"/>
    <w:rsid w:val="00F80E14"/>
    <w:rsid w:val="00F80E5D"/>
    <w:rsid w:val="00F81B4B"/>
    <w:rsid w:val="00F81D0D"/>
    <w:rsid w:val="00F81E78"/>
    <w:rsid w:val="00F8218C"/>
    <w:rsid w:val="00F8228D"/>
    <w:rsid w:val="00F8230E"/>
    <w:rsid w:val="00F827DC"/>
    <w:rsid w:val="00F82C23"/>
    <w:rsid w:val="00F83459"/>
    <w:rsid w:val="00F837C4"/>
    <w:rsid w:val="00F83916"/>
    <w:rsid w:val="00F83F9A"/>
    <w:rsid w:val="00F840A3"/>
    <w:rsid w:val="00F84117"/>
    <w:rsid w:val="00F84835"/>
    <w:rsid w:val="00F84C77"/>
    <w:rsid w:val="00F84DFB"/>
    <w:rsid w:val="00F84EC0"/>
    <w:rsid w:val="00F851CE"/>
    <w:rsid w:val="00F85496"/>
    <w:rsid w:val="00F86140"/>
    <w:rsid w:val="00F8651A"/>
    <w:rsid w:val="00F86580"/>
    <w:rsid w:val="00F86B5D"/>
    <w:rsid w:val="00F900F5"/>
    <w:rsid w:val="00F9035D"/>
    <w:rsid w:val="00F904C8"/>
    <w:rsid w:val="00F90BC6"/>
    <w:rsid w:val="00F90DD5"/>
    <w:rsid w:val="00F91219"/>
    <w:rsid w:val="00F91CDA"/>
    <w:rsid w:val="00F91D3C"/>
    <w:rsid w:val="00F921C5"/>
    <w:rsid w:val="00F92444"/>
    <w:rsid w:val="00F92800"/>
    <w:rsid w:val="00F92894"/>
    <w:rsid w:val="00F9393E"/>
    <w:rsid w:val="00F94477"/>
    <w:rsid w:val="00F94F05"/>
    <w:rsid w:val="00F9531F"/>
    <w:rsid w:val="00F95541"/>
    <w:rsid w:val="00F95950"/>
    <w:rsid w:val="00F95AC4"/>
    <w:rsid w:val="00F965C1"/>
    <w:rsid w:val="00F96FD0"/>
    <w:rsid w:val="00F972DF"/>
    <w:rsid w:val="00F97A78"/>
    <w:rsid w:val="00F97DA2"/>
    <w:rsid w:val="00FA0631"/>
    <w:rsid w:val="00FA0697"/>
    <w:rsid w:val="00FA08FE"/>
    <w:rsid w:val="00FA0A64"/>
    <w:rsid w:val="00FA0A7D"/>
    <w:rsid w:val="00FA0B20"/>
    <w:rsid w:val="00FA0D61"/>
    <w:rsid w:val="00FA0FB9"/>
    <w:rsid w:val="00FA134B"/>
    <w:rsid w:val="00FA1BDA"/>
    <w:rsid w:val="00FA2051"/>
    <w:rsid w:val="00FA24E7"/>
    <w:rsid w:val="00FA2886"/>
    <w:rsid w:val="00FA2EAC"/>
    <w:rsid w:val="00FA3EFA"/>
    <w:rsid w:val="00FA4175"/>
    <w:rsid w:val="00FA4645"/>
    <w:rsid w:val="00FA513E"/>
    <w:rsid w:val="00FA529F"/>
    <w:rsid w:val="00FA5E31"/>
    <w:rsid w:val="00FA5EE6"/>
    <w:rsid w:val="00FA5FB3"/>
    <w:rsid w:val="00FA6422"/>
    <w:rsid w:val="00FA6F87"/>
    <w:rsid w:val="00FA72C4"/>
    <w:rsid w:val="00FA744C"/>
    <w:rsid w:val="00FA7552"/>
    <w:rsid w:val="00FA7832"/>
    <w:rsid w:val="00FA78C5"/>
    <w:rsid w:val="00FA7956"/>
    <w:rsid w:val="00FB0824"/>
    <w:rsid w:val="00FB098D"/>
    <w:rsid w:val="00FB0CA9"/>
    <w:rsid w:val="00FB11E2"/>
    <w:rsid w:val="00FB1338"/>
    <w:rsid w:val="00FB133F"/>
    <w:rsid w:val="00FB26D2"/>
    <w:rsid w:val="00FB287E"/>
    <w:rsid w:val="00FB2A28"/>
    <w:rsid w:val="00FB2FCB"/>
    <w:rsid w:val="00FB35DC"/>
    <w:rsid w:val="00FB3627"/>
    <w:rsid w:val="00FB43F8"/>
    <w:rsid w:val="00FB45A8"/>
    <w:rsid w:val="00FB4B1B"/>
    <w:rsid w:val="00FB4C9C"/>
    <w:rsid w:val="00FB4F05"/>
    <w:rsid w:val="00FB52D2"/>
    <w:rsid w:val="00FB6C6B"/>
    <w:rsid w:val="00FB73B7"/>
    <w:rsid w:val="00FB742B"/>
    <w:rsid w:val="00FB79F6"/>
    <w:rsid w:val="00FB7C55"/>
    <w:rsid w:val="00FC02FB"/>
    <w:rsid w:val="00FC05C8"/>
    <w:rsid w:val="00FC0723"/>
    <w:rsid w:val="00FC1074"/>
    <w:rsid w:val="00FC1884"/>
    <w:rsid w:val="00FC1E1C"/>
    <w:rsid w:val="00FC29E3"/>
    <w:rsid w:val="00FC371D"/>
    <w:rsid w:val="00FC37C4"/>
    <w:rsid w:val="00FC37C8"/>
    <w:rsid w:val="00FC3A93"/>
    <w:rsid w:val="00FC440F"/>
    <w:rsid w:val="00FC4580"/>
    <w:rsid w:val="00FC5342"/>
    <w:rsid w:val="00FC5F0B"/>
    <w:rsid w:val="00FC6212"/>
    <w:rsid w:val="00FC7089"/>
    <w:rsid w:val="00FC7ADD"/>
    <w:rsid w:val="00FC7ED2"/>
    <w:rsid w:val="00FD013F"/>
    <w:rsid w:val="00FD04C2"/>
    <w:rsid w:val="00FD0589"/>
    <w:rsid w:val="00FD0EC3"/>
    <w:rsid w:val="00FD178F"/>
    <w:rsid w:val="00FD2100"/>
    <w:rsid w:val="00FD2EB2"/>
    <w:rsid w:val="00FD3B0C"/>
    <w:rsid w:val="00FD40C2"/>
    <w:rsid w:val="00FD436C"/>
    <w:rsid w:val="00FD446D"/>
    <w:rsid w:val="00FD471C"/>
    <w:rsid w:val="00FD4F2C"/>
    <w:rsid w:val="00FD50CD"/>
    <w:rsid w:val="00FD53C8"/>
    <w:rsid w:val="00FD54E4"/>
    <w:rsid w:val="00FD5BEF"/>
    <w:rsid w:val="00FD5D2A"/>
    <w:rsid w:val="00FD6394"/>
    <w:rsid w:val="00FD7115"/>
    <w:rsid w:val="00FD73AE"/>
    <w:rsid w:val="00FD7450"/>
    <w:rsid w:val="00FD7893"/>
    <w:rsid w:val="00FE0E6C"/>
    <w:rsid w:val="00FE1383"/>
    <w:rsid w:val="00FE1441"/>
    <w:rsid w:val="00FE1CDC"/>
    <w:rsid w:val="00FE2353"/>
    <w:rsid w:val="00FE2BD6"/>
    <w:rsid w:val="00FE2F01"/>
    <w:rsid w:val="00FE345C"/>
    <w:rsid w:val="00FE3484"/>
    <w:rsid w:val="00FE37BA"/>
    <w:rsid w:val="00FE3C13"/>
    <w:rsid w:val="00FE41E9"/>
    <w:rsid w:val="00FE4229"/>
    <w:rsid w:val="00FE442C"/>
    <w:rsid w:val="00FE5623"/>
    <w:rsid w:val="00FE563B"/>
    <w:rsid w:val="00FE5E53"/>
    <w:rsid w:val="00FE6A74"/>
    <w:rsid w:val="00FE70C3"/>
    <w:rsid w:val="00FE726B"/>
    <w:rsid w:val="00FE7B7E"/>
    <w:rsid w:val="00FE7EF6"/>
    <w:rsid w:val="00FF0916"/>
    <w:rsid w:val="00FF09FB"/>
    <w:rsid w:val="00FF16DD"/>
    <w:rsid w:val="00FF1A8B"/>
    <w:rsid w:val="00FF1E58"/>
    <w:rsid w:val="00FF2170"/>
    <w:rsid w:val="00FF22FE"/>
    <w:rsid w:val="00FF2356"/>
    <w:rsid w:val="00FF2403"/>
    <w:rsid w:val="00FF25F7"/>
    <w:rsid w:val="00FF2AD9"/>
    <w:rsid w:val="00FF2D5E"/>
    <w:rsid w:val="00FF2EC6"/>
    <w:rsid w:val="00FF2F44"/>
    <w:rsid w:val="00FF2F9E"/>
    <w:rsid w:val="00FF3052"/>
    <w:rsid w:val="00FF359F"/>
    <w:rsid w:val="00FF3AB3"/>
    <w:rsid w:val="00FF3DCF"/>
    <w:rsid w:val="00FF401F"/>
    <w:rsid w:val="00FF4181"/>
    <w:rsid w:val="00FF4862"/>
    <w:rsid w:val="00FF487A"/>
    <w:rsid w:val="00FF492C"/>
    <w:rsid w:val="00FF4A21"/>
    <w:rsid w:val="00FF4CB4"/>
    <w:rsid w:val="00FF4D08"/>
    <w:rsid w:val="00FF4DD0"/>
    <w:rsid w:val="00FF584F"/>
    <w:rsid w:val="00FF5AA3"/>
    <w:rsid w:val="00FF5AD8"/>
    <w:rsid w:val="00FF5D5D"/>
    <w:rsid w:val="00FF5EC8"/>
    <w:rsid w:val="00FF6367"/>
    <w:rsid w:val="00FF6688"/>
    <w:rsid w:val="00FF6AD2"/>
    <w:rsid w:val="00FF71B1"/>
    <w:rsid w:val="00FF772E"/>
    <w:rsid w:val="00FF7C0A"/>
    <w:rsid w:val="00FF7C73"/>
    <w:rsid w:val="00FF7E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A89"/>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F310E2"/>
    <w:pPr>
      <w:tabs>
        <w:tab w:val="left" w:pos="440"/>
        <w:tab w:val="right" w:leader="dot" w:pos="9016"/>
      </w:tabs>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EC52EC"/>
    <w:pPr>
      <w:tabs>
        <w:tab w:val="right" w:leader="dot" w:pos="9016"/>
      </w:tabs>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paragraph" w:styleId="FootnoteText">
    <w:name w:val="footnote text"/>
    <w:basedOn w:val="Normal"/>
    <w:link w:val="FootnoteTextChar"/>
    <w:unhideWhenUsed/>
    <w:rsid w:val="000B6987"/>
    <w:rPr>
      <w:sz w:val="20"/>
      <w:szCs w:val="20"/>
    </w:rPr>
  </w:style>
  <w:style w:type="character" w:customStyle="1" w:styleId="FootnoteTextChar">
    <w:name w:val="Footnote Text Char"/>
    <w:basedOn w:val="DefaultParagraphFont"/>
    <w:link w:val="FootnoteText"/>
    <w:rsid w:val="000B6987"/>
    <w:rPr>
      <w:rFonts w:ascii="Calibri" w:hAnsi="Calibri" w:cs="Arial"/>
    </w:rPr>
  </w:style>
  <w:style w:type="character" w:styleId="FootnoteReference">
    <w:name w:val="footnote reference"/>
    <w:basedOn w:val="DefaultParagraphFont"/>
    <w:unhideWhenUsed/>
    <w:rsid w:val="000B6987"/>
    <w:rPr>
      <w:vertAlign w:val="superscript"/>
    </w:rPr>
  </w:style>
  <w:style w:type="table" w:customStyle="1" w:styleId="HTATableshaded">
    <w:name w:val="HTA Table shaded"/>
    <w:basedOn w:val="TableNormal"/>
    <w:rsid w:val="008A213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left">
    <w:name w:val="Table text left"/>
    <w:basedOn w:val="Normal"/>
    <w:link w:val="TabletextleftChar"/>
    <w:qFormat/>
    <w:rsid w:val="008A213B"/>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8A213B"/>
    <w:rPr>
      <w:rFonts w:asciiTheme="minorHAnsi" w:hAnsiTheme="minorHAnsi"/>
      <w:sz w:val="18"/>
    </w:rPr>
  </w:style>
  <w:style w:type="paragraph" w:customStyle="1" w:styleId="Tableheadingcent">
    <w:name w:val="Table heading cent"/>
    <w:basedOn w:val="Normal"/>
    <w:rsid w:val="00E07EF3"/>
    <w:pPr>
      <w:spacing w:before="40" w:after="40"/>
      <w:jc w:val="center"/>
    </w:pPr>
    <w:rPr>
      <w:rFonts w:asciiTheme="minorHAnsi" w:eastAsiaTheme="minorHAnsi" w:hAnsiTheme="minorHAnsi" w:cs="Tahoma"/>
      <w:b/>
      <w:sz w:val="18"/>
      <w:szCs w:val="18"/>
      <w:lang w:val="de-DE" w:eastAsia="en-US"/>
    </w:rPr>
  </w:style>
  <w:style w:type="paragraph" w:customStyle="1" w:styleId="Tableheadingleft">
    <w:name w:val="Table heading left"/>
    <w:basedOn w:val="Normal"/>
    <w:next w:val="Tabletextleft"/>
    <w:rsid w:val="00BD24AF"/>
    <w:pPr>
      <w:spacing w:before="40" w:after="40"/>
      <w:jc w:val="left"/>
    </w:pPr>
    <w:rPr>
      <w:rFonts w:asciiTheme="minorHAnsi" w:eastAsiaTheme="minorHAnsi" w:hAnsiTheme="minorHAnsi" w:cs="Tahoma"/>
      <w:b/>
      <w:sz w:val="18"/>
      <w:szCs w:val="18"/>
      <w:lang w:val="de-DE" w:eastAsia="en-US"/>
    </w:rPr>
  </w:style>
  <w:style w:type="paragraph" w:customStyle="1" w:styleId="TableFigNotes18">
    <w:name w:val="TableFigNotes+18"/>
    <w:basedOn w:val="BodyText"/>
    <w:next w:val="BodyText"/>
    <w:link w:val="TableFigNotes18Char"/>
    <w:uiPriority w:val="4"/>
    <w:qFormat/>
    <w:rsid w:val="00BD24AF"/>
    <w:pPr>
      <w:keepLines/>
      <w:spacing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BD24AF"/>
    <w:rPr>
      <w:rFonts w:asciiTheme="minorHAnsi" w:eastAsiaTheme="minorHAnsi" w:hAnsiTheme="minorHAnsi" w:cs="Tahoma"/>
      <w:color w:val="000000"/>
      <w:sz w:val="16"/>
      <w:szCs w:val="18"/>
    </w:rPr>
  </w:style>
  <w:style w:type="paragraph" w:customStyle="1" w:styleId="TableHeadingleft0">
    <w:name w:val="Table Heading left"/>
    <w:basedOn w:val="Normal"/>
    <w:next w:val="Tabletextleft"/>
    <w:rsid w:val="00B8109E"/>
    <w:pPr>
      <w:spacing w:before="40" w:after="40"/>
      <w:jc w:val="left"/>
    </w:pPr>
    <w:rPr>
      <w:rFonts w:asciiTheme="minorHAnsi" w:eastAsiaTheme="minorHAnsi" w:hAnsiTheme="minorHAnsi" w:cs="Tahoma"/>
      <w:b/>
      <w:sz w:val="18"/>
      <w:szCs w:val="18"/>
      <w:lang w:val="de-DE" w:eastAsia="en-US"/>
    </w:rPr>
  </w:style>
  <w:style w:type="paragraph" w:customStyle="1" w:styleId="TableFigNotes0">
    <w:name w:val="TableFigNotes+0"/>
    <w:basedOn w:val="Normal"/>
    <w:uiPriority w:val="4"/>
    <w:rsid w:val="007736C1"/>
    <w:pPr>
      <w:keepNext/>
      <w:keepLines/>
      <w:jc w:val="left"/>
    </w:pPr>
    <w:rPr>
      <w:rFonts w:cs="Tahoma"/>
      <w:color w:val="000000"/>
      <w:sz w:val="16"/>
      <w:szCs w:val="18"/>
      <w:lang w:val="en-US"/>
    </w:rPr>
  </w:style>
  <w:style w:type="paragraph" w:customStyle="1" w:styleId="TableFigNotes6">
    <w:name w:val="TableFigNotes+6"/>
    <w:basedOn w:val="TableFigNotes0"/>
    <w:uiPriority w:val="4"/>
    <w:rsid w:val="007736C1"/>
    <w:pPr>
      <w:spacing w:after="120"/>
    </w:pPr>
  </w:style>
  <w:style w:type="paragraph" w:customStyle="1" w:styleId="Tabletextcent">
    <w:name w:val="Table text cent"/>
    <w:basedOn w:val="Tabletextleft"/>
    <w:qFormat/>
    <w:rsid w:val="007736C1"/>
    <w:pPr>
      <w:jc w:val="center"/>
    </w:pPr>
    <w:rPr>
      <w:lang w:val="de-DE"/>
    </w:rPr>
  </w:style>
  <w:style w:type="character" w:customStyle="1" w:styleId="FrontpageTahoma10pt">
    <w:name w:val="Front page Tahoma 10pt"/>
    <w:basedOn w:val="DefaultParagraphFont"/>
    <w:uiPriority w:val="1"/>
    <w:qFormat/>
    <w:rsid w:val="00305FC5"/>
    <w:rPr>
      <w:rFonts w:ascii="Tahoma" w:hAnsi="Tahoma" w:cs="Tahoma"/>
      <w:sz w:val="20"/>
    </w:rPr>
  </w:style>
  <w:style w:type="character" w:styleId="PlaceholderText">
    <w:name w:val="Placeholder Text"/>
    <w:basedOn w:val="DefaultParagraphFont"/>
    <w:uiPriority w:val="99"/>
    <w:semiHidden/>
    <w:rsid w:val="00FE1441"/>
    <w:rPr>
      <w:color w:val="808080"/>
    </w:rPr>
  </w:style>
  <w:style w:type="numbering" w:customStyle="1" w:styleId="Mydot1">
    <w:name w:val="Mydot1"/>
    <w:uiPriority w:val="99"/>
    <w:rsid w:val="00A95706"/>
    <w:pPr>
      <w:numPr>
        <w:numId w:val="14"/>
      </w:numPr>
    </w:pPr>
  </w:style>
  <w:style w:type="character" w:customStyle="1" w:styleId="Heading1Char">
    <w:name w:val="Heading 1 Char"/>
    <w:basedOn w:val="DefaultParagraphFont"/>
    <w:link w:val="Heading1"/>
    <w:uiPriority w:val="9"/>
    <w:rsid w:val="009A6B59"/>
    <w:rPr>
      <w:rFonts w:ascii="Calibri" w:hAnsi="Calibri" w:cs="Arial"/>
      <w:b/>
      <w:caps/>
      <w:sz w:val="32"/>
      <w:szCs w:val="24"/>
    </w:rPr>
  </w:style>
  <w:style w:type="character" w:styleId="Strong">
    <w:name w:val="Strong"/>
    <w:basedOn w:val="DefaultParagraphFont"/>
    <w:uiPriority w:val="22"/>
    <w:qFormat/>
    <w:rsid w:val="00685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38279101">
      <w:bodyDiv w:val="1"/>
      <w:marLeft w:val="0"/>
      <w:marRight w:val="0"/>
      <w:marTop w:val="0"/>
      <w:marBottom w:val="0"/>
      <w:divBdr>
        <w:top w:val="none" w:sz="0" w:space="0" w:color="auto"/>
        <w:left w:val="none" w:sz="0" w:space="0" w:color="auto"/>
        <w:bottom w:val="none" w:sz="0" w:space="0" w:color="auto"/>
        <w:right w:val="none" w:sz="0" w:space="0" w:color="auto"/>
      </w:divBdr>
    </w:div>
    <w:div w:id="70818439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34382960">
      <w:bodyDiv w:val="1"/>
      <w:marLeft w:val="0"/>
      <w:marRight w:val="0"/>
      <w:marTop w:val="0"/>
      <w:marBottom w:val="0"/>
      <w:divBdr>
        <w:top w:val="none" w:sz="0" w:space="0" w:color="auto"/>
        <w:left w:val="none" w:sz="0" w:space="0" w:color="auto"/>
        <w:bottom w:val="none" w:sz="0" w:space="0" w:color="auto"/>
        <w:right w:val="none" w:sz="0" w:space="0" w:color="auto"/>
      </w:divBdr>
    </w:div>
    <w:div w:id="114558267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6388938">
      <w:bodyDiv w:val="1"/>
      <w:marLeft w:val="0"/>
      <w:marRight w:val="0"/>
      <w:marTop w:val="0"/>
      <w:marBottom w:val="0"/>
      <w:divBdr>
        <w:top w:val="none" w:sz="0" w:space="0" w:color="auto"/>
        <w:left w:val="none" w:sz="0" w:space="0" w:color="auto"/>
        <w:bottom w:val="none" w:sz="0" w:space="0" w:color="auto"/>
        <w:right w:val="none" w:sz="0" w:space="0" w:color="auto"/>
      </w:divBdr>
      <w:divsChild>
        <w:div w:id="39093166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11347804">
      <w:bodyDiv w:val="1"/>
      <w:marLeft w:val="0"/>
      <w:marRight w:val="0"/>
      <w:marTop w:val="0"/>
      <w:marBottom w:val="0"/>
      <w:divBdr>
        <w:top w:val="none" w:sz="0" w:space="0" w:color="auto"/>
        <w:left w:val="none" w:sz="0" w:space="0" w:color="auto"/>
        <w:bottom w:val="none" w:sz="0" w:space="0" w:color="auto"/>
        <w:right w:val="none" w:sz="0" w:space="0" w:color="auto"/>
      </w:divBdr>
      <w:divsChild>
        <w:div w:id="652177719">
          <w:marLeft w:val="360"/>
          <w:marRight w:val="0"/>
          <w:marTop w:val="200"/>
          <w:marBottom w:val="0"/>
          <w:divBdr>
            <w:top w:val="none" w:sz="0" w:space="0" w:color="auto"/>
            <w:left w:val="none" w:sz="0" w:space="0" w:color="auto"/>
            <w:bottom w:val="none" w:sz="0" w:space="0" w:color="auto"/>
            <w:right w:val="none" w:sz="0" w:space="0" w:color="auto"/>
          </w:divBdr>
        </w:div>
        <w:div w:id="368576414">
          <w:marLeft w:val="360"/>
          <w:marRight w:val="0"/>
          <w:marTop w:val="200"/>
          <w:marBottom w:val="0"/>
          <w:divBdr>
            <w:top w:val="none" w:sz="0" w:space="0" w:color="auto"/>
            <w:left w:val="none" w:sz="0" w:space="0" w:color="auto"/>
            <w:bottom w:val="none" w:sz="0" w:space="0" w:color="auto"/>
            <w:right w:val="none" w:sz="0" w:space="0" w:color="auto"/>
          </w:divBdr>
        </w:div>
      </w:divsChild>
    </w:div>
    <w:div w:id="1418936743">
      <w:bodyDiv w:val="1"/>
      <w:marLeft w:val="0"/>
      <w:marRight w:val="0"/>
      <w:marTop w:val="0"/>
      <w:marBottom w:val="0"/>
      <w:divBdr>
        <w:top w:val="none" w:sz="0" w:space="0" w:color="auto"/>
        <w:left w:val="none" w:sz="0" w:space="0" w:color="auto"/>
        <w:bottom w:val="none" w:sz="0" w:space="0" w:color="auto"/>
        <w:right w:val="none" w:sz="0" w:space="0" w:color="auto"/>
      </w:divBdr>
      <w:divsChild>
        <w:div w:id="447705418">
          <w:marLeft w:val="360"/>
          <w:marRight w:val="0"/>
          <w:marTop w:val="200"/>
          <w:marBottom w:val="0"/>
          <w:divBdr>
            <w:top w:val="none" w:sz="0" w:space="0" w:color="auto"/>
            <w:left w:val="none" w:sz="0" w:space="0" w:color="auto"/>
            <w:bottom w:val="none" w:sz="0" w:space="0" w:color="auto"/>
            <w:right w:val="none" w:sz="0" w:space="0" w:color="auto"/>
          </w:divBdr>
        </w:div>
      </w:divsChild>
    </w:div>
    <w:div w:id="1432625093">
      <w:bodyDiv w:val="1"/>
      <w:marLeft w:val="0"/>
      <w:marRight w:val="0"/>
      <w:marTop w:val="0"/>
      <w:marBottom w:val="0"/>
      <w:divBdr>
        <w:top w:val="none" w:sz="0" w:space="0" w:color="auto"/>
        <w:left w:val="none" w:sz="0" w:space="0" w:color="auto"/>
        <w:bottom w:val="none" w:sz="0" w:space="0" w:color="auto"/>
        <w:right w:val="none" w:sz="0" w:space="0" w:color="auto"/>
      </w:divBdr>
    </w:div>
    <w:div w:id="1553299323">
      <w:bodyDiv w:val="1"/>
      <w:marLeft w:val="0"/>
      <w:marRight w:val="0"/>
      <w:marTop w:val="0"/>
      <w:marBottom w:val="0"/>
      <w:divBdr>
        <w:top w:val="none" w:sz="0" w:space="0" w:color="auto"/>
        <w:left w:val="none" w:sz="0" w:space="0" w:color="auto"/>
        <w:bottom w:val="none" w:sz="0" w:space="0" w:color="auto"/>
        <w:right w:val="none" w:sz="0" w:space="0" w:color="auto"/>
      </w:divBdr>
    </w:div>
    <w:div w:id="1570454971">
      <w:bodyDiv w:val="1"/>
      <w:marLeft w:val="0"/>
      <w:marRight w:val="0"/>
      <w:marTop w:val="0"/>
      <w:marBottom w:val="0"/>
      <w:divBdr>
        <w:top w:val="none" w:sz="0" w:space="0" w:color="auto"/>
        <w:left w:val="none" w:sz="0" w:space="0" w:color="auto"/>
        <w:bottom w:val="none" w:sz="0" w:space="0" w:color="auto"/>
        <w:right w:val="none" w:sz="0" w:space="0" w:color="auto"/>
      </w:divBdr>
    </w:div>
    <w:div w:id="1589732323">
      <w:bodyDiv w:val="1"/>
      <w:marLeft w:val="0"/>
      <w:marRight w:val="0"/>
      <w:marTop w:val="0"/>
      <w:marBottom w:val="0"/>
      <w:divBdr>
        <w:top w:val="none" w:sz="0" w:space="0" w:color="auto"/>
        <w:left w:val="none" w:sz="0" w:space="0" w:color="auto"/>
        <w:bottom w:val="none" w:sz="0" w:space="0" w:color="auto"/>
        <w:right w:val="none" w:sz="0" w:space="0" w:color="auto"/>
      </w:divBdr>
      <w:divsChild>
        <w:div w:id="560478750">
          <w:marLeft w:val="360"/>
          <w:marRight w:val="0"/>
          <w:marTop w:val="200"/>
          <w:marBottom w:val="0"/>
          <w:divBdr>
            <w:top w:val="none" w:sz="0" w:space="0" w:color="auto"/>
            <w:left w:val="none" w:sz="0" w:space="0" w:color="auto"/>
            <w:bottom w:val="none" w:sz="0" w:space="0" w:color="auto"/>
            <w:right w:val="none" w:sz="0" w:space="0" w:color="auto"/>
          </w:divBdr>
        </w:div>
        <w:div w:id="771508311">
          <w:marLeft w:val="360"/>
          <w:marRight w:val="0"/>
          <w:marTop w:val="200"/>
          <w:marBottom w:val="0"/>
          <w:divBdr>
            <w:top w:val="none" w:sz="0" w:space="0" w:color="auto"/>
            <w:left w:val="none" w:sz="0" w:space="0" w:color="auto"/>
            <w:bottom w:val="none" w:sz="0" w:space="0" w:color="auto"/>
            <w:right w:val="none" w:sz="0" w:space="0" w:color="auto"/>
          </w:divBdr>
        </w:div>
        <w:div w:id="856236263">
          <w:marLeft w:val="360"/>
          <w:marRight w:val="0"/>
          <w:marTop w:val="200"/>
          <w:marBottom w:val="0"/>
          <w:divBdr>
            <w:top w:val="none" w:sz="0" w:space="0" w:color="auto"/>
            <w:left w:val="none" w:sz="0" w:space="0" w:color="auto"/>
            <w:bottom w:val="none" w:sz="0" w:space="0" w:color="auto"/>
            <w:right w:val="none" w:sz="0" w:space="0" w:color="auto"/>
          </w:divBdr>
        </w:div>
      </w:divsChild>
    </w:div>
    <w:div w:id="1649165276">
      <w:bodyDiv w:val="1"/>
      <w:marLeft w:val="0"/>
      <w:marRight w:val="0"/>
      <w:marTop w:val="0"/>
      <w:marBottom w:val="0"/>
      <w:divBdr>
        <w:top w:val="none" w:sz="0" w:space="0" w:color="auto"/>
        <w:left w:val="none" w:sz="0" w:space="0" w:color="auto"/>
        <w:bottom w:val="none" w:sz="0" w:space="0" w:color="auto"/>
        <w:right w:val="none" w:sz="0" w:space="0" w:color="auto"/>
      </w:divBdr>
    </w:div>
    <w:div w:id="1760783852">
      <w:bodyDiv w:val="1"/>
      <w:marLeft w:val="0"/>
      <w:marRight w:val="0"/>
      <w:marTop w:val="0"/>
      <w:marBottom w:val="0"/>
      <w:divBdr>
        <w:top w:val="none" w:sz="0" w:space="0" w:color="auto"/>
        <w:left w:val="none" w:sz="0" w:space="0" w:color="auto"/>
        <w:bottom w:val="none" w:sz="0" w:space="0" w:color="auto"/>
        <w:right w:val="none" w:sz="0" w:space="0" w:color="auto"/>
      </w:divBdr>
    </w:div>
    <w:div w:id="1908954155">
      <w:bodyDiv w:val="1"/>
      <w:marLeft w:val="0"/>
      <w:marRight w:val="0"/>
      <w:marTop w:val="0"/>
      <w:marBottom w:val="0"/>
      <w:divBdr>
        <w:top w:val="none" w:sz="0" w:space="0" w:color="auto"/>
        <w:left w:val="none" w:sz="0" w:space="0" w:color="auto"/>
        <w:bottom w:val="none" w:sz="0" w:space="0" w:color="auto"/>
        <w:right w:val="none" w:sz="0" w:space="0" w:color="auto"/>
      </w:divBdr>
    </w:div>
    <w:div w:id="1925721000">
      <w:bodyDiv w:val="1"/>
      <w:marLeft w:val="0"/>
      <w:marRight w:val="0"/>
      <w:marTop w:val="0"/>
      <w:marBottom w:val="0"/>
      <w:divBdr>
        <w:top w:val="none" w:sz="0" w:space="0" w:color="auto"/>
        <w:left w:val="none" w:sz="0" w:space="0" w:color="auto"/>
        <w:bottom w:val="none" w:sz="0" w:space="0" w:color="auto"/>
        <w:right w:val="none" w:sz="0" w:space="0" w:color="auto"/>
      </w:divBdr>
    </w:div>
    <w:div w:id="193131292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14782471">
      <w:bodyDiv w:val="1"/>
      <w:marLeft w:val="0"/>
      <w:marRight w:val="0"/>
      <w:marTop w:val="0"/>
      <w:marBottom w:val="0"/>
      <w:divBdr>
        <w:top w:val="none" w:sz="0" w:space="0" w:color="auto"/>
        <w:left w:val="none" w:sz="0" w:space="0" w:color="auto"/>
        <w:bottom w:val="none" w:sz="0" w:space="0" w:color="auto"/>
        <w:right w:val="none" w:sz="0" w:space="0" w:color="auto"/>
      </w:divBdr>
    </w:div>
    <w:div w:id="21256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25105</Words>
  <Characters>136429</Characters>
  <Application>Microsoft Office Word</Application>
  <DocSecurity>0</DocSecurity>
  <Lines>1136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2023-10-20T00:55:00Z</dcterms:created>
  <dcterms:modified xsi:type="dcterms:W3CDTF">2023-10-20T00:55:00Z</dcterms:modified>
</cp:coreProperties>
</file>