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7246" w14:textId="720C6136" w:rsidR="00B60939" w:rsidRPr="00FB229F" w:rsidRDefault="00965DF7" w:rsidP="004A6040">
      <w:pPr>
        <w:pStyle w:val="1-MainHeading"/>
      </w:pPr>
      <w:bookmarkStart w:id="0" w:name="_Toc135215224"/>
      <w:bookmarkStart w:id="1" w:name="_Hlk150242035"/>
      <w:bookmarkEnd w:id="1"/>
      <w:r w:rsidRPr="00FB229F">
        <w:t>5</w:t>
      </w:r>
      <w:r w:rsidR="00433044" w:rsidRPr="00FB229F">
        <w:t>.</w:t>
      </w:r>
      <w:r w:rsidRPr="00FB229F">
        <w:t>11</w:t>
      </w:r>
      <w:r w:rsidR="00163F66" w:rsidRPr="00FB229F">
        <w:tab/>
      </w:r>
      <w:r w:rsidR="00F24C7F" w:rsidRPr="00FB229F">
        <w:t>SELPERCATINIB</w:t>
      </w:r>
      <w:r w:rsidR="00163F66" w:rsidRPr="00FB229F">
        <w:t>,</w:t>
      </w:r>
      <w:r w:rsidR="00163F66" w:rsidRPr="00FB229F">
        <w:br/>
      </w:r>
      <w:r w:rsidR="00F24C7F" w:rsidRPr="00FB229F">
        <w:t>Capsule 40 mg</w:t>
      </w:r>
      <w:r w:rsidR="00163F66" w:rsidRPr="00FB229F">
        <w:t>,</w:t>
      </w:r>
      <w:r w:rsidR="00163F66" w:rsidRPr="00FB229F">
        <w:br/>
      </w:r>
      <w:r w:rsidR="00F24C7F" w:rsidRPr="00FB229F">
        <w:t>Capsule 80 mg</w:t>
      </w:r>
      <w:r w:rsidR="00163F66" w:rsidRPr="00FB229F">
        <w:t>,</w:t>
      </w:r>
      <w:r w:rsidR="00163F66" w:rsidRPr="00FB229F">
        <w:br/>
      </w:r>
      <w:r w:rsidR="00F24C7F" w:rsidRPr="00FB229F">
        <w:t>Retevmo</w:t>
      </w:r>
      <w:r w:rsidR="00B60939" w:rsidRPr="00FB229F">
        <w:rPr>
          <w:vertAlign w:val="superscript"/>
        </w:rPr>
        <w:t>®</w:t>
      </w:r>
      <w:r w:rsidR="004A6040" w:rsidRPr="00FB229F">
        <w:t>,</w:t>
      </w:r>
      <w:r w:rsidR="004A6040" w:rsidRPr="00FB229F">
        <w:br/>
      </w:r>
      <w:r w:rsidR="00F24C7F" w:rsidRPr="00FB229F">
        <w:t>ELI LILLY AUSTRALIA PTY LTD</w:t>
      </w:r>
      <w:r w:rsidR="00B60939" w:rsidRPr="00FB229F">
        <w:t>.</w:t>
      </w:r>
      <w:bookmarkEnd w:id="0"/>
    </w:p>
    <w:p w14:paraId="1EEB07D8" w14:textId="77777777" w:rsidR="00B50DB8" w:rsidRPr="00FB229F" w:rsidRDefault="00B50DB8" w:rsidP="004A6040">
      <w:pPr>
        <w:pStyle w:val="2-SectionHeading"/>
      </w:pPr>
      <w:bookmarkStart w:id="2" w:name="_Toc135215226"/>
      <w:r w:rsidRPr="00FB229F">
        <w:t xml:space="preserve">Purpose of </w:t>
      </w:r>
      <w:r w:rsidR="00CD7193" w:rsidRPr="00FB229F">
        <w:t>s</w:t>
      </w:r>
      <w:r w:rsidR="00BB3A45" w:rsidRPr="00FB229F">
        <w:t>ubmission</w:t>
      </w:r>
      <w:bookmarkEnd w:id="2"/>
    </w:p>
    <w:p w14:paraId="3998A6D6" w14:textId="090FC2E5" w:rsidR="002C2775" w:rsidRPr="00FB229F" w:rsidRDefault="007170DA" w:rsidP="007F0D39">
      <w:pPr>
        <w:pStyle w:val="3-BodyText"/>
        <w:ind w:left="709" w:hanging="709"/>
      </w:pPr>
      <w:r w:rsidRPr="00FB229F">
        <w:t>Th</w:t>
      </w:r>
      <w:r w:rsidR="007F0D39" w:rsidRPr="00FB229F">
        <w:t>e</w:t>
      </w:r>
      <w:r w:rsidRPr="00FB229F">
        <w:t xml:space="preserve"> </w:t>
      </w:r>
      <w:r w:rsidR="00F73E08" w:rsidRPr="00FB229F">
        <w:t xml:space="preserve">Category </w:t>
      </w:r>
      <w:r w:rsidR="002040AB" w:rsidRPr="00FB229F">
        <w:t xml:space="preserve">1 </w:t>
      </w:r>
      <w:r w:rsidRPr="00FB229F">
        <w:t xml:space="preserve">submission requested </w:t>
      </w:r>
      <w:r w:rsidR="002040AB" w:rsidRPr="00FB229F">
        <w:t xml:space="preserve">a General Schedule Authority Required (STREAMLINED) listing for the treatment of </w:t>
      </w:r>
      <w:proofErr w:type="spellStart"/>
      <w:r w:rsidR="002040AB" w:rsidRPr="00FB229F">
        <w:t>REarranged</w:t>
      </w:r>
      <w:proofErr w:type="spellEnd"/>
      <w:r w:rsidR="002040AB" w:rsidRPr="00FB229F">
        <w:t xml:space="preserve"> during </w:t>
      </w:r>
      <w:r w:rsidR="00656BE3" w:rsidRPr="00FB229F">
        <w:t>T</w:t>
      </w:r>
      <w:r w:rsidR="002040AB" w:rsidRPr="00FB229F">
        <w:t>ransfection (</w:t>
      </w:r>
      <w:r w:rsidR="003D270C" w:rsidRPr="00FB229F">
        <w:rPr>
          <w:i/>
          <w:iCs/>
        </w:rPr>
        <w:t>RET</w:t>
      </w:r>
      <w:r w:rsidR="002040AB" w:rsidRPr="00FB229F">
        <w:t xml:space="preserve">) fusion-positive, locally advanced or metastatic non-small cell lung cancer (NSCLC), irrespective of line of therapy. </w:t>
      </w:r>
    </w:p>
    <w:p w14:paraId="30453084" w14:textId="2041F151" w:rsidR="00C2778B" w:rsidRPr="00FB229F" w:rsidRDefault="005750C5" w:rsidP="007F0D39">
      <w:pPr>
        <w:pStyle w:val="3-BodyText"/>
        <w:ind w:left="709" w:hanging="709"/>
      </w:pPr>
      <w:r w:rsidRPr="00FB229F">
        <w:t>Listing was requested on the basis of a cost-effectiveness analysis versus</w:t>
      </w:r>
      <w:r w:rsidR="002040AB" w:rsidRPr="00FB229F">
        <w:t xml:space="preserve"> i) </w:t>
      </w:r>
      <w:r w:rsidR="00403972" w:rsidRPr="00FB229F">
        <w:t xml:space="preserve">pembrolizumab </w:t>
      </w:r>
      <w:r w:rsidR="008B4253" w:rsidRPr="00FB229F">
        <w:t>in combination with</w:t>
      </w:r>
      <w:r w:rsidR="00403972" w:rsidRPr="00FB229F">
        <w:t xml:space="preserve"> pemetrexed + platinum-based chemotherapy </w:t>
      </w:r>
      <w:r w:rsidR="008B4253" w:rsidRPr="00FB229F">
        <w:t>(</w:t>
      </w:r>
      <w:r w:rsidR="00570724" w:rsidRPr="00FB229F">
        <w:t>pembrolizumab + PC</w:t>
      </w:r>
      <w:r w:rsidR="008B4253" w:rsidRPr="00FB229F">
        <w:t xml:space="preserve">) </w:t>
      </w:r>
      <w:r w:rsidR="00403972" w:rsidRPr="00FB229F">
        <w:t xml:space="preserve">as the main comparator </w:t>
      </w:r>
      <w:r w:rsidR="002040AB" w:rsidRPr="00FB229F">
        <w:t xml:space="preserve">in the first-line treatment setting, and ii) docetaxel </w:t>
      </w:r>
      <w:r w:rsidR="00403972" w:rsidRPr="00FB229F">
        <w:t xml:space="preserve">as a supplementary comparator </w:t>
      </w:r>
      <w:r w:rsidR="002040AB" w:rsidRPr="00FB229F">
        <w:t>in the pre-treated setting</w:t>
      </w:r>
      <w:r w:rsidRPr="00FB229F">
        <w:t xml:space="preserve">. </w:t>
      </w:r>
      <w:r w:rsidR="00403972" w:rsidRPr="00FB229F">
        <w:t xml:space="preserve">The key components of the clinical issue addressed by the submission are summarised in </w:t>
      </w:r>
      <w:r w:rsidR="00403972" w:rsidRPr="00FB229F">
        <w:fldChar w:fldCharType="begin" w:fldLock="1"/>
      </w:r>
      <w:r w:rsidR="00403972" w:rsidRPr="00FB229F">
        <w:instrText xml:space="preserve"> REF _Ref131507978 \h </w:instrText>
      </w:r>
      <w:r w:rsidR="00403972" w:rsidRPr="00FB229F">
        <w:fldChar w:fldCharType="separate"/>
      </w:r>
      <w:r w:rsidR="00CA7201" w:rsidRPr="00FB229F">
        <w:t xml:space="preserve">Table </w:t>
      </w:r>
      <w:r w:rsidR="00CA7201" w:rsidRPr="00166045">
        <w:t>1</w:t>
      </w:r>
      <w:r w:rsidR="00403972" w:rsidRPr="00FB229F">
        <w:fldChar w:fldCharType="end"/>
      </w:r>
      <w:r w:rsidR="00403972" w:rsidRPr="00FB229F">
        <w:t>.</w:t>
      </w:r>
    </w:p>
    <w:p w14:paraId="69630A72" w14:textId="571CB80F" w:rsidR="00403972" w:rsidRPr="00FB229F" w:rsidRDefault="00696EF9" w:rsidP="00403972">
      <w:pPr>
        <w:pStyle w:val="TableFigureHeading"/>
      </w:pPr>
      <w:bookmarkStart w:id="3" w:name="_Ref131507978"/>
      <w:r w:rsidRPr="00FB229F">
        <w:t xml:space="preserve">Table </w:t>
      </w:r>
      <w:r w:rsidR="00BF0AEB">
        <w:fldChar w:fldCharType="begin" w:fldLock="1"/>
      </w:r>
      <w:r w:rsidR="00BF0AEB">
        <w:instrText xml:space="preserve"> SEQ Table \* ARABIC </w:instrText>
      </w:r>
      <w:r w:rsidR="00BF0AEB">
        <w:fldChar w:fldCharType="separate"/>
      </w:r>
      <w:r w:rsidR="00CA7201" w:rsidRPr="00166045">
        <w:t>1</w:t>
      </w:r>
      <w:r w:rsidR="00BF0AEB">
        <w:fldChar w:fldCharType="end"/>
      </w:r>
      <w:bookmarkEnd w:id="3"/>
      <w:r w:rsidRPr="00FB229F">
        <w:t>:</w:t>
      </w:r>
      <w:r w:rsidR="00BC591F" w:rsidRPr="00FB229F">
        <w:rPr>
          <w:rStyle w:val="CommentReference"/>
          <w:b/>
          <w:szCs w:val="24"/>
        </w:rPr>
        <w:t xml:space="preserve"> </w:t>
      </w:r>
      <w:r w:rsidR="00403972" w:rsidRPr="00FB229F">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7961"/>
      </w:tblGrid>
      <w:tr w:rsidR="00403972" w:rsidRPr="00FB229F" w14:paraId="361D78B2" w14:textId="77777777" w:rsidTr="00D62D6C">
        <w:tc>
          <w:tcPr>
            <w:tcW w:w="1195" w:type="dxa"/>
            <w:vAlign w:val="center"/>
          </w:tcPr>
          <w:p w14:paraId="1794B718" w14:textId="77777777" w:rsidR="00403972" w:rsidRPr="00166045" w:rsidRDefault="00403972" w:rsidP="00346258">
            <w:pPr>
              <w:pStyle w:val="In-tableHeading"/>
              <w:rPr>
                <w:lang w:val="en-AU"/>
              </w:rPr>
            </w:pPr>
            <w:r w:rsidRPr="00166045">
              <w:rPr>
                <w:lang w:val="en-AU"/>
              </w:rPr>
              <w:t>Component</w:t>
            </w:r>
          </w:p>
        </w:tc>
        <w:tc>
          <w:tcPr>
            <w:tcW w:w="7961" w:type="dxa"/>
            <w:vAlign w:val="center"/>
          </w:tcPr>
          <w:p w14:paraId="3F40DAFA" w14:textId="77777777" w:rsidR="00403972" w:rsidRPr="00166045" w:rsidRDefault="00403972" w:rsidP="00346258">
            <w:pPr>
              <w:pStyle w:val="In-tableHeading"/>
              <w:rPr>
                <w:lang w:val="en-AU"/>
              </w:rPr>
            </w:pPr>
            <w:r w:rsidRPr="00166045">
              <w:rPr>
                <w:lang w:val="en-AU"/>
              </w:rPr>
              <w:t>Description</w:t>
            </w:r>
          </w:p>
        </w:tc>
      </w:tr>
      <w:tr w:rsidR="00403972" w:rsidRPr="00FB229F" w14:paraId="597A25EF" w14:textId="77777777" w:rsidTr="00D62D6C">
        <w:tc>
          <w:tcPr>
            <w:tcW w:w="1195" w:type="dxa"/>
            <w:vAlign w:val="center"/>
          </w:tcPr>
          <w:p w14:paraId="23AC1045" w14:textId="77777777" w:rsidR="00403972" w:rsidRPr="00FB229F" w:rsidRDefault="00403972" w:rsidP="00346258">
            <w:pPr>
              <w:pStyle w:val="TableText0"/>
            </w:pPr>
            <w:r w:rsidRPr="00FB229F">
              <w:t>Population</w:t>
            </w:r>
          </w:p>
        </w:tc>
        <w:tc>
          <w:tcPr>
            <w:tcW w:w="7961" w:type="dxa"/>
            <w:vAlign w:val="center"/>
          </w:tcPr>
          <w:p w14:paraId="1AF8E51C" w14:textId="3C80DDED" w:rsidR="00403972" w:rsidRPr="00FB229F" w:rsidRDefault="00403972" w:rsidP="00570724">
            <w:pPr>
              <w:pStyle w:val="TableText0"/>
            </w:pPr>
            <w:r w:rsidRPr="00FB229F">
              <w:t xml:space="preserve">Adults with histologically and cytologically confirmed locally advanced or metastatic </w:t>
            </w:r>
            <w:r w:rsidR="00570724" w:rsidRPr="00FB229F">
              <w:t>rearranged during transfection (</w:t>
            </w:r>
            <w:r w:rsidR="00570724" w:rsidRPr="00816BFB">
              <w:rPr>
                <w:i/>
                <w:iCs/>
              </w:rPr>
              <w:t>RET</w:t>
            </w:r>
            <w:r w:rsidR="00570724" w:rsidRPr="00FB229F">
              <w:t xml:space="preserve">) fusion-positive </w:t>
            </w:r>
            <w:r w:rsidRPr="00FB229F">
              <w:t xml:space="preserve">non-small cell lung cancer (NSCLC) </w:t>
            </w:r>
          </w:p>
        </w:tc>
      </w:tr>
      <w:tr w:rsidR="00403972" w:rsidRPr="00FB229F" w14:paraId="0AE34636" w14:textId="77777777" w:rsidTr="00D62D6C">
        <w:tc>
          <w:tcPr>
            <w:tcW w:w="1195" w:type="dxa"/>
            <w:vAlign w:val="center"/>
          </w:tcPr>
          <w:p w14:paraId="3E0E1598" w14:textId="77777777" w:rsidR="00403972" w:rsidRPr="00FB229F" w:rsidRDefault="00403972" w:rsidP="00346258">
            <w:pPr>
              <w:pStyle w:val="TableText0"/>
            </w:pPr>
            <w:r w:rsidRPr="00FB229F">
              <w:t>Intervention</w:t>
            </w:r>
          </w:p>
        </w:tc>
        <w:tc>
          <w:tcPr>
            <w:tcW w:w="7961" w:type="dxa"/>
            <w:vAlign w:val="center"/>
          </w:tcPr>
          <w:p w14:paraId="3D5F44E8" w14:textId="77777777" w:rsidR="00403972" w:rsidRPr="00FB229F" w:rsidRDefault="00403972" w:rsidP="00346258">
            <w:pPr>
              <w:pStyle w:val="TableText0"/>
            </w:pPr>
            <w:r w:rsidRPr="00FB229F">
              <w:t>Selpercatinib orally administered until disease progression or unacceptable toxicity. The recommended dose in patients with bodyweight ≥50kg is 160 mg twice daily and that in patients with bodyweight &lt;50kg is 120 mg twice daily</w:t>
            </w:r>
          </w:p>
        </w:tc>
      </w:tr>
      <w:tr w:rsidR="00403972" w:rsidRPr="00FB229F" w14:paraId="176F0F57" w14:textId="77777777" w:rsidTr="00D62D6C">
        <w:tc>
          <w:tcPr>
            <w:tcW w:w="1195" w:type="dxa"/>
            <w:vAlign w:val="center"/>
          </w:tcPr>
          <w:p w14:paraId="4C09357F" w14:textId="77777777" w:rsidR="00403972" w:rsidRPr="00FB229F" w:rsidRDefault="00403972" w:rsidP="00346258">
            <w:pPr>
              <w:pStyle w:val="TableText0"/>
            </w:pPr>
            <w:r w:rsidRPr="00FB229F">
              <w:t>Comparator</w:t>
            </w:r>
          </w:p>
        </w:tc>
        <w:tc>
          <w:tcPr>
            <w:tcW w:w="7961" w:type="dxa"/>
            <w:vAlign w:val="center"/>
          </w:tcPr>
          <w:p w14:paraId="1856259A" w14:textId="77777777" w:rsidR="00403972" w:rsidRPr="00FB229F" w:rsidRDefault="00403972" w:rsidP="00346258">
            <w:pPr>
              <w:pStyle w:val="TableText0"/>
            </w:pPr>
            <w:r w:rsidRPr="00FB229F">
              <w:t>Main comparator: Pembrolizumab in combination with platinum doublet chemotherapy (treatment naïve).</w:t>
            </w:r>
          </w:p>
          <w:p w14:paraId="3BED3DF7" w14:textId="77777777" w:rsidR="00403972" w:rsidRPr="00FB229F" w:rsidRDefault="00403972" w:rsidP="00346258">
            <w:pPr>
              <w:pStyle w:val="TableText0"/>
            </w:pPr>
            <w:r w:rsidRPr="00FB229F">
              <w:t>Supplementary comparator: Docetaxel (pre-treated)</w:t>
            </w:r>
          </w:p>
        </w:tc>
      </w:tr>
      <w:tr w:rsidR="00403972" w:rsidRPr="00FB229F" w14:paraId="4CB1142D" w14:textId="77777777" w:rsidTr="00D62D6C">
        <w:tc>
          <w:tcPr>
            <w:tcW w:w="1195" w:type="dxa"/>
            <w:tcBorders>
              <w:bottom w:val="single" w:sz="4" w:space="0" w:color="auto"/>
            </w:tcBorders>
            <w:vAlign w:val="center"/>
          </w:tcPr>
          <w:p w14:paraId="1AAC3195" w14:textId="77777777" w:rsidR="00403972" w:rsidRPr="00FB229F" w:rsidRDefault="00403972" w:rsidP="00346258">
            <w:pPr>
              <w:pStyle w:val="TableText0"/>
            </w:pPr>
            <w:r w:rsidRPr="00FB229F">
              <w:t>Outcomes</w:t>
            </w:r>
          </w:p>
        </w:tc>
        <w:tc>
          <w:tcPr>
            <w:tcW w:w="7961" w:type="dxa"/>
            <w:tcBorders>
              <w:bottom w:val="single" w:sz="4" w:space="0" w:color="auto"/>
            </w:tcBorders>
            <w:vAlign w:val="center"/>
          </w:tcPr>
          <w:p w14:paraId="5AF6E4B7" w14:textId="77777777" w:rsidR="00403972" w:rsidRPr="00FB229F" w:rsidRDefault="00403972" w:rsidP="00346258">
            <w:pPr>
              <w:pStyle w:val="TableText0"/>
            </w:pPr>
            <w:r w:rsidRPr="00FB229F">
              <w:t>Safety and tolerability, objective response rate, progression-free survival; overall survival; and health-related quality of life</w:t>
            </w:r>
          </w:p>
        </w:tc>
      </w:tr>
      <w:tr w:rsidR="00403972" w:rsidRPr="00FB229F" w14:paraId="023CCD64" w14:textId="77777777" w:rsidTr="00D62D6C">
        <w:tc>
          <w:tcPr>
            <w:tcW w:w="1195" w:type="dxa"/>
            <w:tcBorders>
              <w:bottom w:val="single" w:sz="4" w:space="0" w:color="auto"/>
            </w:tcBorders>
            <w:vAlign w:val="center"/>
          </w:tcPr>
          <w:p w14:paraId="405FD811" w14:textId="77777777" w:rsidR="00403972" w:rsidRPr="00FB229F" w:rsidRDefault="00403972" w:rsidP="00346258">
            <w:pPr>
              <w:pStyle w:val="TableText0"/>
            </w:pPr>
            <w:r w:rsidRPr="00FB229F">
              <w:t>Clinical claim</w:t>
            </w:r>
          </w:p>
        </w:tc>
        <w:tc>
          <w:tcPr>
            <w:tcW w:w="7961" w:type="dxa"/>
            <w:tcBorders>
              <w:bottom w:val="single" w:sz="4" w:space="0" w:color="auto"/>
            </w:tcBorders>
            <w:vAlign w:val="center"/>
          </w:tcPr>
          <w:p w14:paraId="37F0D639" w14:textId="77777777" w:rsidR="00403972" w:rsidRPr="00FB229F" w:rsidRDefault="00403972" w:rsidP="00346258">
            <w:pPr>
              <w:pStyle w:val="TableText0"/>
            </w:pPr>
            <w:r w:rsidRPr="00FB229F">
              <w:t xml:space="preserve">In treatment-naïve patients with </w:t>
            </w:r>
            <w:r w:rsidRPr="00FB229F">
              <w:rPr>
                <w:i/>
                <w:iCs/>
              </w:rPr>
              <w:t>RET</w:t>
            </w:r>
            <w:r w:rsidRPr="00FB229F">
              <w:t xml:space="preserve"> fusion-positive locally advanced or metastatic NSCLC, selpercatinib is superior to pembrolizumab in combination with platinum doublet chemotherapy in terms of efficacy and has a different but manageable safety profile.</w:t>
            </w:r>
          </w:p>
          <w:p w14:paraId="2D571E94" w14:textId="77777777" w:rsidR="00403972" w:rsidRPr="00FB229F" w:rsidRDefault="00403972" w:rsidP="00346258">
            <w:pPr>
              <w:pStyle w:val="TableText0"/>
            </w:pPr>
            <w:r w:rsidRPr="00FB229F">
              <w:t xml:space="preserve">In previously treated patients with </w:t>
            </w:r>
            <w:r w:rsidRPr="00FB229F">
              <w:rPr>
                <w:i/>
                <w:iCs/>
              </w:rPr>
              <w:t>RET</w:t>
            </w:r>
            <w:r w:rsidRPr="00FB229F">
              <w:t xml:space="preserve"> fusion-positive locally advanced or metastatic NSCLC, selpercatinib is superior to docetaxel in terms of efficacy and has a different but manageable safety profile</w:t>
            </w:r>
          </w:p>
        </w:tc>
      </w:tr>
    </w:tbl>
    <w:p w14:paraId="2675AD98" w14:textId="03C5561D" w:rsidR="00403972" w:rsidRPr="00FB229F" w:rsidRDefault="00403972" w:rsidP="00816BFB">
      <w:pPr>
        <w:pStyle w:val="TableFooter"/>
        <w:spacing w:after="120"/>
        <w:rPr>
          <w:sz w:val="20"/>
        </w:rPr>
      </w:pPr>
      <w:r w:rsidRPr="00FB229F">
        <w:t>Source: Table 1-1, p15 of the submission</w:t>
      </w:r>
    </w:p>
    <w:p w14:paraId="0B915772" w14:textId="62AD66A9" w:rsidR="00403972" w:rsidRPr="00FB229F" w:rsidRDefault="00403972" w:rsidP="007F0D39">
      <w:pPr>
        <w:pStyle w:val="3-BodyText"/>
        <w:ind w:left="709" w:hanging="709"/>
      </w:pPr>
      <w:r w:rsidRPr="00FB229F">
        <w:t xml:space="preserve">The sponsor submitted </w:t>
      </w:r>
      <w:r w:rsidR="00656BE3" w:rsidRPr="00FB229F">
        <w:t xml:space="preserve">the application </w:t>
      </w:r>
      <w:r w:rsidRPr="00FB229F">
        <w:t xml:space="preserve">as a co-dependent submission prior to being advised that the Medical Services Advisory Committee (MSAC) Application 1721 (Small gene panel testing for NSCLC) had been recommended. With MSAC having already supported </w:t>
      </w:r>
      <w:r w:rsidRPr="00FB229F">
        <w:rPr>
          <w:i/>
          <w:iCs/>
        </w:rPr>
        <w:t>RET</w:t>
      </w:r>
      <w:r w:rsidRPr="00FB229F">
        <w:t xml:space="preserve"> gene fusion testing as part of its consideration of application 1721, an assessment of </w:t>
      </w:r>
      <w:r w:rsidRPr="00FB229F">
        <w:rPr>
          <w:i/>
          <w:iCs/>
        </w:rPr>
        <w:t>RET</w:t>
      </w:r>
      <w:r w:rsidRPr="00FB229F">
        <w:t xml:space="preserve"> fusion testing in NSCLC </w:t>
      </w:r>
      <w:r w:rsidR="00911957" w:rsidRPr="00FB229F">
        <w:t>wa</w:t>
      </w:r>
      <w:r w:rsidRPr="00FB229F">
        <w:t>s no longer required.</w:t>
      </w:r>
    </w:p>
    <w:p w14:paraId="61D45EDE" w14:textId="77777777" w:rsidR="005C25FF" w:rsidRPr="00FB229F" w:rsidRDefault="005C25FF" w:rsidP="004A6040">
      <w:pPr>
        <w:pStyle w:val="2-SectionHeading"/>
      </w:pPr>
      <w:bookmarkStart w:id="4" w:name="_Toc135215227"/>
      <w:r w:rsidRPr="00FB229F">
        <w:lastRenderedPageBreak/>
        <w:t>Background</w:t>
      </w:r>
      <w:bookmarkEnd w:id="4"/>
    </w:p>
    <w:p w14:paraId="2B485C2B" w14:textId="77777777" w:rsidR="005C25FF" w:rsidRPr="00FB229F" w:rsidRDefault="005C25FF" w:rsidP="004A6040">
      <w:pPr>
        <w:pStyle w:val="4-SubsectionHeading"/>
        <w:rPr>
          <w:i w:val="0"/>
        </w:rPr>
      </w:pPr>
      <w:bookmarkStart w:id="5" w:name="_Toc22897638"/>
      <w:bookmarkStart w:id="6" w:name="_Toc135215228"/>
      <w:r w:rsidRPr="00FB229F">
        <w:rPr>
          <w:i w:val="0"/>
        </w:rPr>
        <w:t>Registration status</w:t>
      </w:r>
      <w:bookmarkEnd w:id="5"/>
      <w:bookmarkEnd w:id="6"/>
    </w:p>
    <w:p w14:paraId="12049838" w14:textId="4E5D4406" w:rsidR="00B5026E" w:rsidRPr="00FB229F" w:rsidRDefault="00706689" w:rsidP="007F0D39">
      <w:pPr>
        <w:pStyle w:val="3-BodyText"/>
        <w:ind w:left="709" w:hanging="709"/>
      </w:pPr>
      <w:r w:rsidRPr="00FB229F">
        <w:rPr>
          <w:b/>
          <w:bCs/>
        </w:rPr>
        <w:t xml:space="preserve">TGA status at time of </w:t>
      </w:r>
      <w:r w:rsidR="00867AF4" w:rsidRPr="00FB229F">
        <w:rPr>
          <w:b/>
          <w:bCs/>
        </w:rPr>
        <w:t>PBAC consideration</w:t>
      </w:r>
      <w:r w:rsidRPr="00FB229F">
        <w:rPr>
          <w:b/>
          <w:bCs/>
        </w:rPr>
        <w:t xml:space="preserve">: </w:t>
      </w:r>
      <w:r w:rsidRPr="00FB229F">
        <w:t>T</w:t>
      </w:r>
      <w:r w:rsidR="00B5026E" w:rsidRPr="00FB229F">
        <w:t xml:space="preserve">he submission was made under the TGA/PBAC parallel process. </w:t>
      </w:r>
      <w:r w:rsidR="00A03BF9" w:rsidRPr="00FB229F">
        <w:t>Selpercatinib was TGA registered on 3 July 2023 for the following indication</w:t>
      </w:r>
      <w:r w:rsidR="00B5026E" w:rsidRPr="00FB229F">
        <w:t>:</w:t>
      </w:r>
    </w:p>
    <w:p w14:paraId="55505178" w14:textId="6B076E9F" w:rsidR="00B5026E" w:rsidRPr="00FB229F" w:rsidRDefault="00B5026E" w:rsidP="005C7F20">
      <w:pPr>
        <w:pStyle w:val="3-BodyText"/>
        <w:numPr>
          <w:ilvl w:val="0"/>
          <w:numId w:val="0"/>
        </w:numPr>
        <w:ind w:left="1134"/>
      </w:pPr>
      <w:r w:rsidRPr="00FB229F">
        <w:t xml:space="preserve">RETEVMO has provisional approval for the treatment of adult patients with </w:t>
      </w:r>
      <w:r w:rsidR="00A03BF9" w:rsidRPr="00FB229F">
        <w:t xml:space="preserve">locally </w:t>
      </w:r>
      <w:r w:rsidRPr="00FB229F">
        <w:t xml:space="preserve">advanced or metastatic </w:t>
      </w:r>
      <w:r w:rsidRPr="00FB229F">
        <w:rPr>
          <w:i/>
          <w:iCs/>
        </w:rPr>
        <w:t>RET</w:t>
      </w:r>
      <w:r w:rsidRPr="00FB229F">
        <w:t xml:space="preserve"> fusion-positive NSCLC.</w:t>
      </w:r>
      <w:r w:rsidR="00A03BF9" w:rsidRPr="00FB229F">
        <w:t xml:space="preserve"> The decision to approve this indication has been made on the basis of objective response rate (ORR) and duration of response (DOR) from a single arm study. Continued approval of this indication depends on verification and description of benefit in a confirmatory trial.</w:t>
      </w:r>
    </w:p>
    <w:p w14:paraId="1E9FA639" w14:textId="5C763D67" w:rsidR="00145085" w:rsidRPr="00FB229F" w:rsidRDefault="00145085" w:rsidP="008579A2">
      <w:pPr>
        <w:pStyle w:val="3-BodyText"/>
        <w:ind w:left="709" w:hanging="709"/>
      </w:pPr>
      <w:r w:rsidRPr="00FB229F">
        <w:t xml:space="preserve">A TGA clinical evaluation report (Round 1) and the Delegate’s overview for selpercatinib were available during the evaluation. The TGA </w:t>
      </w:r>
      <w:r w:rsidR="008579A2" w:rsidRPr="00FB229F">
        <w:t xml:space="preserve">clinical </w:t>
      </w:r>
      <w:r w:rsidRPr="00FB229F">
        <w:t xml:space="preserve">evaluation report noted that the efficacy of selpercatinib in patients with advanced </w:t>
      </w:r>
      <w:r w:rsidRPr="00FB229F">
        <w:rPr>
          <w:i/>
        </w:rPr>
        <w:t>RET</w:t>
      </w:r>
      <w:r w:rsidRPr="00FB229F">
        <w:t xml:space="preserve"> fusion-positive NSCLC will be further evaluated through a confirmatory Phase III randomised controlled trial (LIBRETTO-431) comparing selpercatinib to platinum-based and pemetrexed therapy with or without pembrolizumab as initial treatment of advanced </w:t>
      </w:r>
      <w:r w:rsidRPr="00FB229F">
        <w:rPr>
          <w:i/>
        </w:rPr>
        <w:t>RET</w:t>
      </w:r>
      <w:r w:rsidRPr="00FB229F">
        <w:t xml:space="preserve"> fusion-positive non-squamous NSCLC.</w:t>
      </w:r>
    </w:p>
    <w:p w14:paraId="7163FC27" w14:textId="6A3A4724" w:rsidR="00A46C19" w:rsidRPr="00FB229F" w:rsidRDefault="00A46C19" w:rsidP="004156B8">
      <w:pPr>
        <w:pStyle w:val="3-BodyText"/>
        <w:numPr>
          <w:ilvl w:val="0"/>
          <w:numId w:val="0"/>
        </w:numPr>
        <w:ind w:firstLine="720"/>
        <w:rPr>
          <w:i/>
          <w:iCs/>
        </w:rPr>
      </w:pPr>
      <w:r w:rsidRPr="00FB229F">
        <w:rPr>
          <w:i/>
          <w:iCs/>
        </w:rPr>
        <w:t>For more detail on PBAC’s view, see section 7 PBAC outcome.</w:t>
      </w:r>
    </w:p>
    <w:p w14:paraId="3C157943" w14:textId="072532D0" w:rsidR="00530608" w:rsidRPr="00FB229F" w:rsidRDefault="00B50DB8" w:rsidP="00530608">
      <w:pPr>
        <w:pStyle w:val="2-SectionHeading"/>
      </w:pPr>
      <w:bookmarkStart w:id="7" w:name="_Toc107902078"/>
      <w:bookmarkStart w:id="8" w:name="_Toc135215229"/>
      <w:bookmarkEnd w:id="7"/>
      <w:r w:rsidRPr="00FB229F">
        <w:t>Requested listing</w:t>
      </w:r>
      <w:bookmarkEnd w:id="8"/>
    </w:p>
    <w:p w14:paraId="3A40A951" w14:textId="44853CC0" w:rsidR="004156B8" w:rsidRPr="00C65724" w:rsidRDefault="00442054" w:rsidP="00816BFB">
      <w:pPr>
        <w:pStyle w:val="ExecSumBodyText"/>
        <w:numPr>
          <w:ilvl w:val="1"/>
          <w:numId w:val="1"/>
        </w:numPr>
        <w:rPr>
          <w:iCs/>
        </w:rPr>
      </w:pPr>
      <w:bookmarkStart w:id="9" w:name="_Hlk135147594"/>
      <w:r w:rsidRPr="00FB229F">
        <w:rPr>
          <w:rFonts w:cstheme="minorHAnsi"/>
          <w:iCs/>
        </w:rPr>
        <w:t>Suggestions and additions proposed by the Secretariat are added in italics and suggested deletions are crossed out with strikethrough</w:t>
      </w:r>
      <w:r w:rsidRPr="00FB229F">
        <w:rPr>
          <w:iC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3119"/>
        <w:gridCol w:w="1276"/>
        <w:gridCol w:w="992"/>
        <w:gridCol w:w="850"/>
        <w:gridCol w:w="851"/>
        <w:gridCol w:w="850"/>
        <w:gridCol w:w="1021"/>
      </w:tblGrid>
      <w:tr w:rsidR="00A11912" w:rsidRPr="00FB229F" w14:paraId="1BF3EEC5" w14:textId="77777777" w:rsidTr="002565C0">
        <w:trPr>
          <w:cantSplit/>
          <w:trHeight w:val="471"/>
        </w:trPr>
        <w:tc>
          <w:tcPr>
            <w:tcW w:w="9067" w:type="dxa"/>
            <w:gridSpan w:val="8"/>
          </w:tcPr>
          <w:p w14:paraId="61AC1F80" w14:textId="77777777" w:rsidR="00A11912" w:rsidRPr="00FB229F" w:rsidRDefault="00A11912" w:rsidP="00C65724">
            <w:pPr>
              <w:ind w:left="-57"/>
              <w:rPr>
                <w:rFonts w:ascii="Arial Narrow" w:eastAsia="Calibri" w:hAnsi="Arial Narrow"/>
                <w:sz w:val="20"/>
                <w:szCs w:val="20"/>
              </w:rPr>
            </w:pPr>
            <w:bookmarkStart w:id="10" w:name="_Hlk131518736"/>
            <w:r w:rsidRPr="00FB229F">
              <w:rPr>
                <w:rFonts w:ascii="Arial Narrow" w:eastAsia="Calibri" w:hAnsi="Arial Narrow"/>
                <w:b/>
                <w:sz w:val="20"/>
                <w:szCs w:val="20"/>
              </w:rPr>
              <w:t xml:space="preserve">Category / Program:   </w:t>
            </w:r>
            <w:r w:rsidRPr="00FB229F">
              <w:rPr>
                <w:rFonts w:ascii="Arial Narrow" w:eastAsia="Calibri" w:hAnsi="Arial Narrow"/>
                <w:sz w:val="20"/>
                <w:szCs w:val="20"/>
              </w:rPr>
              <w:t>GENERAL – General Schedule (Code GE)</w:t>
            </w:r>
          </w:p>
          <w:p w14:paraId="23415202" w14:textId="77777777" w:rsidR="00A11912" w:rsidRPr="00FB229F" w:rsidRDefault="00A11912" w:rsidP="00C65724">
            <w:pPr>
              <w:ind w:left="-57"/>
              <w:rPr>
                <w:rFonts w:ascii="Arial Narrow" w:eastAsia="Calibri" w:hAnsi="Arial Narrow"/>
                <w:b/>
                <w:sz w:val="20"/>
                <w:szCs w:val="20"/>
              </w:rPr>
            </w:pPr>
          </w:p>
        </w:tc>
      </w:tr>
      <w:tr w:rsidR="004156B8" w:rsidRPr="00FB229F" w14:paraId="58D1C87F" w14:textId="77777777" w:rsidTr="004156B8">
        <w:trPr>
          <w:cantSplit/>
          <w:trHeight w:val="471"/>
        </w:trPr>
        <w:tc>
          <w:tcPr>
            <w:tcW w:w="3227" w:type="dxa"/>
            <w:gridSpan w:val="2"/>
          </w:tcPr>
          <w:p w14:paraId="1C361F4F" w14:textId="77777777" w:rsidR="004156B8" w:rsidRPr="00FB229F" w:rsidRDefault="004156B8" w:rsidP="00C65724">
            <w:pPr>
              <w:keepNext/>
              <w:ind w:left="-57"/>
              <w:rPr>
                <w:rFonts w:ascii="Arial Narrow" w:eastAsia="Calibri" w:hAnsi="Arial Narrow"/>
                <w:b/>
                <w:bCs/>
                <w:sz w:val="20"/>
                <w:szCs w:val="20"/>
              </w:rPr>
            </w:pPr>
            <w:r w:rsidRPr="00FB229F">
              <w:rPr>
                <w:rFonts w:ascii="Arial Narrow" w:eastAsia="Calibri" w:hAnsi="Arial Narrow"/>
                <w:b/>
                <w:bCs/>
                <w:sz w:val="20"/>
                <w:szCs w:val="20"/>
              </w:rPr>
              <w:t>MEDICINAL PRODUCT</w:t>
            </w:r>
          </w:p>
          <w:p w14:paraId="58764E83" w14:textId="635BD304" w:rsidR="004156B8" w:rsidRPr="00FB229F" w:rsidRDefault="004156B8" w:rsidP="00C65724">
            <w:pPr>
              <w:keepNext/>
              <w:ind w:left="-57"/>
              <w:rPr>
                <w:rFonts w:ascii="Arial Narrow" w:eastAsia="Calibri" w:hAnsi="Arial Narrow"/>
                <w:b/>
                <w:bCs/>
                <w:sz w:val="20"/>
                <w:szCs w:val="20"/>
              </w:rPr>
            </w:pPr>
            <w:r w:rsidRPr="00FB229F">
              <w:rPr>
                <w:rFonts w:ascii="Arial Narrow" w:eastAsia="Calibri" w:hAnsi="Arial Narrow"/>
                <w:b/>
                <w:bCs/>
                <w:sz w:val="20"/>
                <w:szCs w:val="20"/>
              </w:rPr>
              <w:t>medicinal product pack</w:t>
            </w:r>
          </w:p>
        </w:tc>
        <w:tc>
          <w:tcPr>
            <w:tcW w:w="1276" w:type="dxa"/>
          </w:tcPr>
          <w:p w14:paraId="5B8C8E58" w14:textId="512B074F" w:rsidR="004156B8" w:rsidRPr="00FB229F" w:rsidRDefault="004156B8" w:rsidP="00C65724">
            <w:pPr>
              <w:keepNext/>
              <w:ind w:left="-57"/>
              <w:rPr>
                <w:rFonts w:ascii="Arial Narrow" w:eastAsia="Calibri" w:hAnsi="Arial Narrow"/>
                <w:b/>
                <w:sz w:val="20"/>
                <w:szCs w:val="20"/>
              </w:rPr>
            </w:pPr>
            <w:r w:rsidRPr="00FB229F">
              <w:rPr>
                <w:rFonts w:ascii="Arial Narrow" w:eastAsia="Calibri" w:hAnsi="Arial Narrow"/>
                <w:b/>
                <w:sz w:val="20"/>
                <w:szCs w:val="20"/>
              </w:rPr>
              <w:t>Dispensed Price for Max. Qty</w:t>
            </w:r>
          </w:p>
        </w:tc>
        <w:tc>
          <w:tcPr>
            <w:tcW w:w="992" w:type="dxa"/>
          </w:tcPr>
          <w:p w14:paraId="3A3DB1A4" w14:textId="77777777" w:rsidR="004156B8" w:rsidRPr="00FB229F" w:rsidRDefault="004156B8" w:rsidP="00C65724">
            <w:pPr>
              <w:keepNext/>
              <w:ind w:left="-57"/>
              <w:jc w:val="center"/>
              <w:rPr>
                <w:rFonts w:ascii="Arial Narrow" w:eastAsia="Calibri" w:hAnsi="Arial Narrow"/>
                <w:b/>
                <w:sz w:val="20"/>
                <w:szCs w:val="20"/>
              </w:rPr>
            </w:pPr>
            <w:r w:rsidRPr="00FB229F">
              <w:rPr>
                <w:rFonts w:ascii="Arial Narrow" w:eastAsia="Calibri" w:hAnsi="Arial Narrow"/>
                <w:b/>
                <w:sz w:val="20"/>
                <w:szCs w:val="20"/>
              </w:rPr>
              <w:t>PBS item code</w:t>
            </w:r>
          </w:p>
        </w:tc>
        <w:tc>
          <w:tcPr>
            <w:tcW w:w="850" w:type="dxa"/>
          </w:tcPr>
          <w:p w14:paraId="6BD4BB17" w14:textId="77777777" w:rsidR="004156B8" w:rsidRPr="00FB229F" w:rsidRDefault="004156B8" w:rsidP="00C65724">
            <w:pPr>
              <w:keepNext/>
              <w:ind w:left="-57"/>
              <w:jc w:val="center"/>
              <w:rPr>
                <w:rFonts w:ascii="Arial Narrow" w:eastAsia="Calibri" w:hAnsi="Arial Narrow"/>
                <w:b/>
                <w:sz w:val="20"/>
                <w:szCs w:val="20"/>
              </w:rPr>
            </w:pPr>
            <w:r w:rsidRPr="00FB229F">
              <w:rPr>
                <w:rFonts w:ascii="Arial Narrow" w:eastAsia="Calibri" w:hAnsi="Arial Narrow"/>
                <w:b/>
                <w:sz w:val="20"/>
                <w:szCs w:val="20"/>
              </w:rPr>
              <w:t>Max. qty packs</w:t>
            </w:r>
          </w:p>
        </w:tc>
        <w:tc>
          <w:tcPr>
            <w:tcW w:w="851" w:type="dxa"/>
          </w:tcPr>
          <w:p w14:paraId="5B1A4B61" w14:textId="77777777" w:rsidR="004156B8" w:rsidRPr="00FB229F" w:rsidRDefault="004156B8" w:rsidP="00C65724">
            <w:pPr>
              <w:keepNext/>
              <w:ind w:left="-57"/>
              <w:jc w:val="center"/>
              <w:rPr>
                <w:rFonts w:ascii="Arial Narrow" w:eastAsia="Calibri" w:hAnsi="Arial Narrow"/>
                <w:b/>
                <w:sz w:val="20"/>
                <w:szCs w:val="20"/>
              </w:rPr>
            </w:pPr>
            <w:r w:rsidRPr="00FB229F">
              <w:rPr>
                <w:rFonts w:ascii="Arial Narrow" w:eastAsia="Calibri" w:hAnsi="Arial Narrow"/>
                <w:b/>
                <w:sz w:val="20"/>
                <w:szCs w:val="20"/>
              </w:rPr>
              <w:t>Max. qty units</w:t>
            </w:r>
          </w:p>
        </w:tc>
        <w:tc>
          <w:tcPr>
            <w:tcW w:w="850" w:type="dxa"/>
          </w:tcPr>
          <w:p w14:paraId="1ACAA2FB" w14:textId="77777777" w:rsidR="004156B8" w:rsidRPr="00FB229F" w:rsidRDefault="004156B8" w:rsidP="00C65724">
            <w:pPr>
              <w:keepNext/>
              <w:ind w:left="-57"/>
              <w:jc w:val="center"/>
              <w:rPr>
                <w:rFonts w:ascii="Arial Narrow" w:eastAsia="Calibri" w:hAnsi="Arial Narrow"/>
                <w:b/>
                <w:sz w:val="20"/>
                <w:szCs w:val="20"/>
              </w:rPr>
            </w:pPr>
            <w:r w:rsidRPr="00FB229F">
              <w:rPr>
                <w:rFonts w:ascii="Arial Narrow" w:eastAsia="Calibri" w:hAnsi="Arial Narrow"/>
                <w:b/>
                <w:sz w:val="20"/>
                <w:szCs w:val="20"/>
              </w:rPr>
              <w:t>№.of</w:t>
            </w:r>
          </w:p>
          <w:p w14:paraId="6ADB2962" w14:textId="77777777" w:rsidR="004156B8" w:rsidRPr="00FB229F" w:rsidRDefault="004156B8" w:rsidP="00C65724">
            <w:pPr>
              <w:keepNext/>
              <w:ind w:left="-57"/>
              <w:jc w:val="center"/>
              <w:rPr>
                <w:rFonts w:ascii="Arial Narrow" w:eastAsia="Calibri" w:hAnsi="Arial Narrow"/>
                <w:b/>
                <w:sz w:val="20"/>
                <w:szCs w:val="20"/>
              </w:rPr>
            </w:pPr>
            <w:r w:rsidRPr="00FB229F">
              <w:rPr>
                <w:rFonts w:ascii="Arial Narrow" w:eastAsia="Calibri" w:hAnsi="Arial Narrow"/>
                <w:b/>
                <w:sz w:val="20"/>
                <w:szCs w:val="20"/>
              </w:rPr>
              <w:t>Rpts</w:t>
            </w:r>
          </w:p>
        </w:tc>
        <w:tc>
          <w:tcPr>
            <w:tcW w:w="1021" w:type="dxa"/>
          </w:tcPr>
          <w:p w14:paraId="74CF8943" w14:textId="77777777" w:rsidR="004156B8" w:rsidRPr="00166045" w:rsidRDefault="004156B8" w:rsidP="00C65724">
            <w:pPr>
              <w:keepNext/>
              <w:ind w:left="-57"/>
              <w:rPr>
                <w:rFonts w:ascii="Arial Narrow" w:eastAsia="Calibri" w:hAnsi="Arial Narrow"/>
                <w:b/>
                <w:sz w:val="20"/>
                <w:szCs w:val="20"/>
              </w:rPr>
            </w:pPr>
            <w:r w:rsidRPr="00FB229F">
              <w:rPr>
                <w:rFonts w:ascii="Arial Narrow" w:eastAsia="Calibri" w:hAnsi="Arial Narrow"/>
                <w:b/>
                <w:sz w:val="20"/>
                <w:szCs w:val="20"/>
              </w:rPr>
              <w:t>Available brands</w:t>
            </w:r>
          </w:p>
        </w:tc>
      </w:tr>
      <w:tr w:rsidR="00A11912" w:rsidRPr="00FB229F" w14:paraId="0AA71E2A" w14:textId="77777777" w:rsidTr="002565C0">
        <w:trPr>
          <w:cantSplit/>
          <w:trHeight w:val="224"/>
        </w:trPr>
        <w:tc>
          <w:tcPr>
            <w:tcW w:w="9067" w:type="dxa"/>
            <w:gridSpan w:val="8"/>
          </w:tcPr>
          <w:p w14:paraId="0305A567" w14:textId="77777777" w:rsidR="00A11912" w:rsidRPr="00FB229F" w:rsidRDefault="00A11912" w:rsidP="00C65724">
            <w:pPr>
              <w:keepNext/>
              <w:ind w:left="-57"/>
              <w:rPr>
                <w:rFonts w:ascii="Arial Narrow" w:eastAsia="Calibri" w:hAnsi="Arial Narrow"/>
                <w:sz w:val="20"/>
                <w:szCs w:val="20"/>
              </w:rPr>
            </w:pPr>
            <w:r w:rsidRPr="00FB229F">
              <w:rPr>
                <w:rFonts w:ascii="Arial Narrow" w:eastAsia="Calibri" w:hAnsi="Arial Narrow"/>
                <w:sz w:val="20"/>
                <w:szCs w:val="20"/>
              </w:rPr>
              <w:t xml:space="preserve">SELPERCATINIB </w:t>
            </w:r>
          </w:p>
        </w:tc>
      </w:tr>
      <w:tr w:rsidR="004156B8" w:rsidRPr="00FB229F" w14:paraId="1BE14843" w14:textId="77777777" w:rsidTr="004156B8">
        <w:trPr>
          <w:cantSplit/>
          <w:trHeight w:val="553"/>
        </w:trPr>
        <w:tc>
          <w:tcPr>
            <w:tcW w:w="3227" w:type="dxa"/>
            <w:gridSpan w:val="2"/>
          </w:tcPr>
          <w:p w14:paraId="7070CED9" w14:textId="77777777" w:rsidR="004156B8" w:rsidRPr="00FB229F" w:rsidRDefault="004156B8" w:rsidP="00C65724">
            <w:pPr>
              <w:keepNext/>
              <w:ind w:left="-57"/>
              <w:rPr>
                <w:rFonts w:ascii="Arial Narrow" w:eastAsia="Calibri" w:hAnsi="Arial Narrow"/>
                <w:sz w:val="20"/>
                <w:szCs w:val="20"/>
              </w:rPr>
            </w:pPr>
            <w:r w:rsidRPr="00FB229F">
              <w:rPr>
                <w:rFonts w:ascii="Arial Narrow" w:eastAsia="Calibri" w:hAnsi="Arial Narrow"/>
                <w:sz w:val="20"/>
                <w:szCs w:val="20"/>
              </w:rPr>
              <w:t xml:space="preserve">selpercatinib 80 mg modified release capsule, 112 </w:t>
            </w:r>
          </w:p>
        </w:tc>
        <w:tc>
          <w:tcPr>
            <w:tcW w:w="1276" w:type="dxa"/>
          </w:tcPr>
          <w:p w14:paraId="483CD826" w14:textId="74DCCE25" w:rsidR="004156B8" w:rsidRPr="00FB229F" w:rsidRDefault="004156B8" w:rsidP="00C65724">
            <w:pPr>
              <w:keepNext/>
              <w:ind w:left="-57"/>
              <w:jc w:val="center"/>
              <w:rPr>
                <w:rFonts w:ascii="Arial Narrow" w:eastAsia="Calibri" w:hAnsi="Arial Narrow"/>
                <w:sz w:val="20"/>
                <w:szCs w:val="20"/>
              </w:rPr>
            </w:pPr>
            <w:r w:rsidRPr="00320E7F">
              <w:rPr>
                <w:rFonts w:ascii="Arial Narrow" w:eastAsia="Calibri" w:hAnsi="Arial Narrow"/>
                <w:sz w:val="20"/>
                <w:szCs w:val="20"/>
              </w:rPr>
              <w:t>$</w:t>
            </w:r>
            <w:r w:rsidR="00816BFB" w:rsidRPr="00543276">
              <w:rPr>
                <w:rFonts w:ascii="Arial Narrow" w:eastAsia="Calibri" w:hAnsi="Arial Narrow" w:hint="eastAsia"/>
                <w:w w:val="18"/>
                <w:sz w:val="20"/>
                <w:szCs w:val="20"/>
                <w:highlight w:val="black"/>
                <w:fitText w:val="81" w:id="-1167881216"/>
              </w:rPr>
              <w:t xml:space="preserve">　</w:t>
            </w:r>
            <w:r w:rsidR="00816BFB" w:rsidRPr="00543276">
              <w:rPr>
                <w:rFonts w:ascii="Arial Narrow" w:eastAsia="Calibri" w:hAnsi="Arial Narrow"/>
                <w:w w:val="18"/>
                <w:sz w:val="20"/>
                <w:szCs w:val="20"/>
                <w:highlight w:val="black"/>
                <w:fitText w:val="81" w:id="-1167881216"/>
              </w:rPr>
              <w:t>|</w:t>
            </w:r>
            <w:r w:rsidR="00816BFB" w:rsidRPr="00543276">
              <w:rPr>
                <w:rFonts w:ascii="Arial Narrow" w:eastAsia="Calibri" w:hAnsi="Arial Narrow" w:hint="eastAsia"/>
                <w:w w:val="18"/>
                <w:sz w:val="20"/>
                <w:szCs w:val="20"/>
                <w:highlight w:val="black"/>
                <w:fitText w:val="81" w:id="-1167881216"/>
              </w:rPr>
              <w:t xml:space="preserve">　</w:t>
            </w:r>
          </w:p>
        </w:tc>
        <w:tc>
          <w:tcPr>
            <w:tcW w:w="992" w:type="dxa"/>
          </w:tcPr>
          <w:p w14:paraId="613CFEB0" w14:textId="77777777" w:rsidR="004156B8" w:rsidRPr="00FB229F" w:rsidRDefault="004156B8" w:rsidP="00C65724">
            <w:pPr>
              <w:keepNext/>
              <w:ind w:left="-57"/>
              <w:jc w:val="center"/>
              <w:rPr>
                <w:rFonts w:ascii="Arial Narrow" w:eastAsia="Calibri" w:hAnsi="Arial Narrow"/>
                <w:sz w:val="20"/>
                <w:szCs w:val="20"/>
              </w:rPr>
            </w:pPr>
            <w:r w:rsidRPr="00FB229F">
              <w:rPr>
                <w:rFonts w:ascii="Arial Narrow" w:eastAsia="Calibri" w:hAnsi="Arial Narrow"/>
                <w:sz w:val="20"/>
                <w:szCs w:val="20"/>
              </w:rPr>
              <w:t>NEW 1</w:t>
            </w:r>
          </w:p>
          <w:p w14:paraId="7C038F22" w14:textId="77777777" w:rsidR="004156B8" w:rsidRPr="00FB229F" w:rsidRDefault="004156B8" w:rsidP="00C65724">
            <w:pPr>
              <w:keepNext/>
              <w:ind w:left="-57"/>
              <w:jc w:val="center"/>
              <w:rPr>
                <w:rFonts w:ascii="Arial Narrow" w:eastAsia="Calibri" w:hAnsi="Arial Narrow"/>
                <w:sz w:val="20"/>
                <w:szCs w:val="20"/>
                <w:vertAlign w:val="subscript"/>
              </w:rPr>
            </w:pPr>
            <w:r w:rsidRPr="00FB229F">
              <w:rPr>
                <w:rFonts w:ascii="Arial Narrow" w:eastAsia="Calibri" w:hAnsi="Arial Narrow"/>
                <w:sz w:val="20"/>
                <w:szCs w:val="20"/>
                <w:vertAlign w:val="subscript"/>
              </w:rPr>
              <w:t>MP</w:t>
            </w:r>
          </w:p>
        </w:tc>
        <w:tc>
          <w:tcPr>
            <w:tcW w:w="850" w:type="dxa"/>
          </w:tcPr>
          <w:p w14:paraId="2F970C74" w14:textId="77777777" w:rsidR="004156B8" w:rsidRPr="00FB229F" w:rsidRDefault="004156B8" w:rsidP="00C65724">
            <w:pPr>
              <w:keepNext/>
              <w:ind w:left="-57"/>
              <w:jc w:val="center"/>
              <w:rPr>
                <w:rFonts w:ascii="Arial Narrow" w:eastAsia="Calibri" w:hAnsi="Arial Narrow"/>
                <w:sz w:val="20"/>
                <w:szCs w:val="20"/>
              </w:rPr>
            </w:pPr>
            <w:r w:rsidRPr="00FB229F">
              <w:rPr>
                <w:rFonts w:ascii="Arial Narrow" w:eastAsia="Calibri" w:hAnsi="Arial Narrow"/>
                <w:sz w:val="20"/>
                <w:szCs w:val="20"/>
              </w:rPr>
              <w:t>1</w:t>
            </w:r>
          </w:p>
        </w:tc>
        <w:tc>
          <w:tcPr>
            <w:tcW w:w="851" w:type="dxa"/>
          </w:tcPr>
          <w:p w14:paraId="50C596C8" w14:textId="77777777" w:rsidR="004156B8" w:rsidRPr="00FB229F" w:rsidRDefault="004156B8" w:rsidP="00C65724">
            <w:pPr>
              <w:keepNext/>
              <w:ind w:left="-57"/>
              <w:jc w:val="center"/>
              <w:rPr>
                <w:rFonts w:ascii="Arial Narrow" w:eastAsia="Calibri" w:hAnsi="Arial Narrow"/>
                <w:sz w:val="20"/>
                <w:szCs w:val="20"/>
              </w:rPr>
            </w:pPr>
            <w:r w:rsidRPr="00FB229F">
              <w:rPr>
                <w:rFonts w:ascii="Arial Narrow" w:eastAsia="Calibri" w:hAnsi="Arial Narrow"/>
                <w:sz w:val="20"/>
                <w:szCs w:val="20"/>
              </w:rPr>
              <w:t>112</w:t>
            </w:r>
          </w:p>
        </w:tc>
        <w:tc>
          <w:tcPr>
            <w:tcW w:w="850" w:type="dxa"/>
          </w:tcPr>
          <w:p w14:paraId="47364BED" w14:textId="77777777" w:rsidR="004156B8" w:rsidRPr="00FB229F" w:rsidRDefault="004156B8" w:rsidP="00C65724">
            <w:pPr>
              <w:keepNext/>
              <w:ind w:left="-57"/>
              <w:jc w:val="center"/>
              <w:rPr>
                <w:rFonts w:ascii="Arial Narrow" w:eastAsia="Calibri" w:hAnsi="Arial Narrow"/>
                <w:sz w:val="20"/>
                <w:szCs w:val="20"/>
              </w:rPr>
            </w:pPr>
            <w:r w:rsidRPr="00FB229F">
              <w:rPr>
                <w:rFonts w:ascii="Arial Narrow" w:eastAsia="Calibri" w:hAnsi="Arial Narrow"/>
                <w:sz w:val="20"/>
                <w:szCs w:val="20"/>
              </w:rPr>
              <w:t>5</w:t>
            </w:r>
          </w:p>
        </w:tc>
        <w:tc>
          <w:tcPr>
            <w:tcW w:w="1021" w:type="dxa"/>
          </w:tcPr>
          <w:p w14:paraId="090B91B3" w14:textId="77777777" w:rsidR="004156B8" w:rsidRPr="00FB229F" w:rsidRDefault="004156B8" w:rsidP="00C65724">
            <w:pPr>
              <w:keepNext/>
              <w:ind w:left="-57"/>
              <w:rPr>
                <w:rFonts w:ascii="Arial Narrow" w:eastAsia="Calibri" w:hAnsi="Arial Narrow"/>
                <w:sz w:val="20"/>
                <w:szCs w:val="20"/>
              </w:rPr>
            </w:pPr>
            <w:r w:rsidRPr="00FB229F">
              <w:rPr>
                <w:rFonts w:ascii="Arial Narrow" w:eastAsia="Calibri" w:hAnsi="Arial Narrow"/>
                <w:sz w:val="20"/>
                <w:szCs w:val="20"/>
              </w:rPr>
              <w:t>Retevmo</w:t>
            </w:r>
          </w:p>
        </w:tc>
      </w:tr>
      <w:tr w:rsidR="004156B8" w:rsidRPr="00FB229F" w14:paraId="4BC51071" w14:textId="77777777" w:rsidTr="004156B8">
        <w:trPr>
          <w:cantSplit/>
          <w:trHeight w:val="347"/>
        </w:trPr>
        <w:tc>
          <w:tcPr>
            <w:tcW w:w="3227" w:type="dxa"/>
            <w:gridSpan w:val="2"/>
          </w:tcPr>
          <w:p w14:paraId="367E6D03" w14:textId="77777777" w:rsidR="004156B8" w:rsidRPr="00FB229F" w:rsidRDefault="004156B8" w:rsidP="00C65724">
            <w:pPr>
              <w:keepNext/>
              <w:ind w:left="-57"/>
              <w:rPr>
                <w:rFonts w:ascii="Arial Narrow" w:eastAsia="Calibri" w:hAnsi="Arial Narrow"/>
                <w:sz w:val="20"/>
                <w:szCs w:val="20"/>
              </w:rPr>
            </w:pPr>
            <w:r w:rsidRPr="00FB229F">
              <w:rPr>
                <w:rFonts w:ascii="Arial Narrow" w:eastAsia="Calibri" w:hAnsi="Arial Narrow"/>
                <w:sz w:val="20"/>
                <w:szCs w:val="20"/>
              </w:rPr>
              <w:t>selpercatinib 40 mg modified release capsule, 56</w:t>
            </w:r>
          </w:p>
        </w:tc>
        <w:tc>
          <w:tcPr>
            <w:tcW w:w="1276" w:type="dxa"/>
          </w:tcPr>
          <w:p w14:paraId="2C9DE9B7" w14:textId="0A474766" w:rsidR="004156B8" w:rsidRPr="00FB229F" w:rsidRDefault="004156B8" w:rsidP="00C65724">
            <w:pPr>
              <w:keepNext/>
              <w:ind w:left="-57"/>
              <w:jc w:val="center"/>
              <w:rPr>
                <w:rFonts w:ascii="Arial Narrow" w:eastAsia="Calibri" w:hAnsi="Arial Narrow"/>
                <w:sz w:val="20"/>
                <w:szCs w:val="20"/>
                <w:vertAlign w:val="superscript"/>
              </w:rPr>
            </w:pPr>
            <w:r w:rsidRPr="00320E7F">
              <w:rPr>
                <w:rFonts w:ascii="Arial Narrow" w:eastAsia="Calibri" w:hAnsi="Arial Narrow"/>
                <w:sz w:val="20"/>
                <w:szCs w:val="20"/>
              </w:rPr>
              <w:t>$</w:t>
            </w:r>
            <w:r w:rsidR="00816BFB" w:rsidRPr="00543276">
              <w:rPr>
                <w:rFonts w:ascii="Arial Narrow" w:eastAsia="Calibri" w:hAnsi="Arial Narrow" w:hint="eastAsia"/>
                <w:w w:val="29"/>
                <w:sz w:val="20"/>
                <w:szCs w:val="20"/>
                <w:highlight w:val="black"/>
                <w:fitText w:val="130" w:id="-1167881215"/>
              </w:rPr>
              <w:t xml:space="preserve">　</w:t>
            </w:r>
            <w:r w:rsidR="00816BFB" w:rsidRPr="00543276">
              <w:rPr>
                <w:rFonts w:ascii="Arial Narrow" w:eastAsia="Calibri" w:hAnsi="Arial Narrow"/>
                <w:w w:val="29"/>
                <w:sz w:val="20"/>
                <w:szCs w:val="20"/>
                <w:highlight w:val="black"/>
                <w:fitText w:val="130" w:id="-1167881215"/>
              </w:rPr>
              <w:t>|</w:t>
            </w:r>
            <w:r w:rsidR="00816BFB" w:rsidRPr="00543276">
              <w:rPr>
                <w:rFonts w:ascii="Arial Narrow" w:eastAsia="Calibri" w:hAnsi="Arial Narrow" w:hint="eastAsia"/>
                <w:w w:val="29"/>
                <w:sz w:val="20"/>
                <w:szCs w:val="20"/>
                <w:highlight w:val="black"/>
                <w:fitText w:val="130" w:id="-1167881215"/>
              </w:rPr>
              <w:t xml:space="preserve">　</w:t>
            </w:r>
            <w:r w:rsidRPr="00320E7F">
              <w:rPr>
                <w:rFonts w:ascii="Arial Narrow" w:eastAsia="Calibri" w:hAnsi="Arial Narrow"/>
                <w:sz w:val="20"/>
                <w:szCs w:val="20"/>
                <w:vertAlign w:val="superscript"/>
              </w:rPr>
              <w:t>a</w:t>
            </w:r>
          </w:p>
        </w:tc>
        <w:tc>
          <w:tcPr>
            <w:tcW w:w="992" w:type="dxa"/>
          </w:tcPr>
          <w:p w14:paraId="411BCDDF" w14:textId="77777777" w:rsidR="004156B8" w:rsidRPr="00FB229F" w:rsidRDefault="004156B8" w:rsidP="00C65724">
            <w:pPr>
              <w:keepNext/>
              <w:ind w:left="-57"/>
              <w:jc w:val="center"/>
              <w:rPr>
                <w:rFonts w:ascii="Arial Narrow" w:eastAsia="Calibri" w:hAnsi="Arial Narrow"/>
                <w:sz w:val="20"/>
                <w:szCs w:val="20"/>
              </w:rPr>
            </w:pPr>
            <w:r w:rsidRPr="00FB229F">
              <w:rPr>
                <w:rFonts w:ascii="Arial Narrow" w:eastAsia="Calibri" w:hAnsi="Arial Narrow"/>
                <w:sz w:val="20"/>
                <w:szCs w:val="20"/>
              </w:rPr>
              <w:t>NEW 2</w:t>
            </w:r>
          </w:p>
          <w:p w14:paraId="62B5CD49" w14:textId="77777777" w:rsidR="004156B8" w:rsidRPr="00FB229F" w:rsidRDefault="004156B8" w:rsidP="00C65724">
            <w:pPr>
              <w:keepNext/>
              <w:ind w:left="-57"/>
              <w:jc w:val="center"/>
              <w:rPr>
                <w:rFonts w:ascii="Arial Narrow" w:eastAsia="Calibri" w:hAnsi="Arial Narrow"/>
                <w:sz w:val="20"/>
                <w:szCs w:val="20"/>
                <w:vertAlign w:val="subscript"/>
              </w:rPr>
            </w:pPr>
            <w:r w:rsidRPr="00FB229F">
              <w:rPr>
                <w:rFonts w:ascii="Arial Narrow" w:eastAsia="Calibri" w:hAnsi="Arial Narrow"/>
                <w:sz w:val="20"/>
                <w:szCs w:val="20"/>
                <w:vertAlign w:val="subscript"/>
              </w:rPr>
              <w:t>MP</w:t>
            </w:r>
          </w:p>
        </w:tc>
        <w:tc>
          <w:tcPr>
            <w:tcW w:w="850" w:type="dxa"/>
          </w:tcPr>
          <w:p w14:paraId="73914B39" w14:textId="77777777" w:rsidR="004156B8" w:rsidRPr="00FB229F" w:rsidRDefault="004156B8" w:rsidP="00C65724">
            <w:pPr>
              <w:keepNext/>
              <w:ind w:left="-57"/>
              <w:jc w:val="center"/>
              <w:rPr>
                <w:rFonts w:ascii="Arial Narrow" w:eastAsia="Calibri" w:hAnsi="Arial Narrow"/>
                <w:sz w:val="20"/>
                <w:szCs w:val="20"/>
              </w:rPr>
            </w:pPr>
            <w:r w:rsidRPr="00FB229F">
              <w:rPr>
                <w:rFonts w:ascii="Arial Narrow" w:eastAsia="Calibri" w:hAnsi="Arial Narrow"/>
                <w:sz w:val="20"/>
                <w:szCs w:val="20"/>
              </w:rPr>
              <w:t>1</w:t>
            </w:r>
          </w:p>
        </w:tc>
        <w:tc>
          <w:tcPr>
            <w:tcW w:w="851" w:type="dxa"/>
          </w:tcPr>
          <w:p w14:paraId="27FFC484" w14:textId="77777777" w:rsidR="004156B8" w:rsidRPr="00FB229F" w:rsidRDefault="004156B8" w:rsidP="00C65724">
            <w:pPr>
              <w:keepNext/>
              <w:ind w:left="-57"/>
              <w:jc w:val="center"/>
              <w:rPr>
                <w:rFonts w:ascii="Arial Narrow" w:eastAsia="Calibri" w:hAnsi="Arial Narrow"/>
                <w:sz w:val="20"/>
                <w:szCs w:val="20"/>
              </w:rPr>
            </w:pPr>
            <w:r w:rsidRPr="00FB229F">
              <w:rPr>
                <w:rFonts w:ascii="Arial Narrow" w:eastAsia="Calibri" w:hAnsi="Arial Narrow"/>
                <w:sz w:val="20"/>
                <w:szCs w:val="20"/>
              </w:rPr>
              <w:t>56</w:t>
            </w:r>
          </w:p>
        </w:tc>
        <w:tc>
          <w:tcPr>
            <w:tcW w:w="850" w:type="dxa"/>
          </w:tcPr>
          <w:p w14:paraId="1A22CAB5" w14:textId="77777777" w:rsidR="004156B8" w:rsidRPr="00FB229F" w:rsidRDefault="004156B8" w:rsidP="00C65724">
            <w:pPr>
              <w:keepNext/>
              <w:ind w:left="-57"/>
              <w:jc w:val="center"/>
              <w:rPr>
                <w:rFonts w:ascii="Arial Narrow" w:eastAsia="Calibri" w:hAnsi="Arial Narrow"/>
                <w:sz w:val="20"/>
                <w:szCs w:val="20"/>
              </w:rPr>
            </w:pPr>
            <w:r w:rsidRPr="00FB229F">
              <w:rPr>
                <w:rFonts w:ascii="Arial Narrow" w:eastAsia="Calibri" w:hAnsi="Arial Narrow"/>
                <w:sz w:val="20"/>
                <w:szCs w:val="20"/>
              </w:rPr>
              <w:t>5</w:t>
            </w:r>
          </w:p>
        </w:tc>
        <w:tc>
          <w:tcPr>
            <w:tcW w:w="1021" w:type="dxa"/>
          </w:tcPr>
          <w:p w14:paraId="43C7318F" w14:textId="77777777" w:rsidR="004156B8" w:rsidRPr="00FB229F" w:rsidRDefault="004156B8" w:rsidP="00C65724">
            <w:pPr>
              <w:keepNext/>
              <w:ind w:left="-57"/>
              <w:rPr>
                <w:rFonts w:ascii="Arial Narrow" w:eastAsia="Calibri" w:hAnsi="Arial Narrow"/>
                <w:sz w:val="20"/>
                <w:szCs w:val="20"/>
              </w:rPr>
            </w:pPr>
            <w:r w:rsidRPr="00FB229F">
              <w:rPr>
                <w:rFonts w:ascii="Arial Narrow" w:eastAsia="Calibri" w:hAnsi="Arial Narrow"/>
                <w:sz w:val="20"/>
                <w:szCs w:val="20"/>
              </w:rPr>
              <w:t>Retevmo</w:t>
            </w:r>
          </w:p>
        </w:tc>
      </w:tr>
      <w:tr w:rsidR="00A11912" w:rsidRPr="00FB229F" w14:paraId="4CAD03D1" w14:textId="77777777" w:rsidTr="002565C0">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6214A28E" w14:textId="77777777" w:rsidR="00A11912" w:rsidRPr="00FB229F" w:rsidRDefault="00A11912" w:rsidP="00C65724">
            <w:pPr>
              <w:jc w:val="right"/>
              <w:rPr>
                <w:rFonts w:ascii="Arial Narrow" w:eastAsia="Calibri" w:hAnsi="Arial Narrow"/>
                <w:bCs/>
                <w:sz w:val="20"/>
                <w:szCs w:val="20"/>
              </w:rPr>
            </w:pPr>
            <w:r w:rsidRPr="00FB229F">
              <w:rPr>
                <w:rFonts w:ascii="Arial Narrow" w:eastAsia="Calibri" w:hAnsi="Arial Narrow"/>
                <w:bCs/>
                <w:sz w:val="20"/>
                <w:szCs w:val="20"/>
              </w:rPr>
              <w:t>Safety Net rule penalty applies? Yes</w:t>
            </w:r>
          </w:p>
        </w:tc>
      </w:tr>
      <w:tr w:rsidR="00A11912" w:rsidRPr="00FB229F" w14:paraId="3566C236" w14:textId="77777777" w:rsidTr="002565C0">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bottom w:val="single" w:sz="4" w:space="0" w:color="auto"/>
              <w:right w:val="single" w:sz="4" w:space="0" w:color="auto"/>
            </w:tcBorders>
          </w:tcPr>
          <w:p w14:paraId="247847C9" w14:textId="77777777" w:rsidR="00A11912" w:rsidRPr="00FB229F" w:rsidRDefault="00A11912" w:rsidP="00C65724">
            <w:pPr>
              <w:rPr>
                <w:rFonts w:ascii="Arial Narrow" w:eastAsia="Calibri" w:hAnsi="Arial Narrow"/>
                <w:b/>
                <w:sz w:val="20"/>
                <w:szCs w:val="20"/>
              </w:rPr>
            </w:pPr>
          </w:p>
        </w:tc>
      </w:tr>
      <w:tr w:rsidR="00A11912" w:rsidRPr="00FB229F" w14:paraId="1FF80A70" w14:textId="77777777" w:rsidTr="002565C0">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42356370" w14:textId="45B6A841" w:rsidR="00A11912" w:rsidRPr="00FB229F" w:rsidRDefault="00A11912" w:rsidP="00C65724">
            <w:pPr>
              <w:rPr>
                <w:rFonts w:ascii="Arial Narrow" w:hAnsi="Arial Narrow"/>
                <w:b/>
                <w:sz w:val="20"/>
                <w:szCs w:val="20"/>
              </w:rPr>
            </w:pPr>
            <w:r w:rsidRPr="00FB229F">
              <w:rPr>
                <w:rFonts w:ascii="Arial Narrow" w:hAnsi="Arial Narrow"/>
                <w:b/>
                <w:sz w:val="20"/>
                <w:szCs w:val="20"/>
              </w:rPr>
              <w:t xml:space="preserve">Authority Required (STREAMLINED) </w:t>
            </w:r>
          </w:p>
          <w:p w14:paraId="1534A704" w14:textId="77777777" w:rsidR="00A11912" w:rsidRPr="00FB229F" w:rsidRDefault="00A11912" w:rsidP="00C65724">
            <w:pPr>
              <w:rPr>
                <w:rFonts w:ascii="Arial Narrow" w:hAnsi="Arial Narrow"/>
                <w:b/>
                <w:bCs/>
                <w:color w:val="333333"/>
                <w:sz w:val="20"/>
                <w:szCs w:val="20"/>
              </w:rPr>
            </w:pPr>
          </w:p>
        </w:tc>
      </w:tr>
      <w:tr w:rsidR="00A11912" w:rsidRPr="00FB229F" w14:paraId="5F826555" w14:textId="77777777" w:rsidTr="00166045">
        <w:tblPrEx>
          <w:tblCellMar>
            <w:top w:w="15" w:type="dxa"/>
            <w:left w:w="15" w:type="dxa"/>
            <w:bottom w:w="15" w:type="dxa"/>
            <w:right w:w="15" w:type="dxa"/>
          </w:tblCellMar>
        </w:tblPrEx>
        <w:tc>
          <w:tcPr>
            <w:tcW w:w="108" w:type="dxa"/>
            <w:vAlign w:val="center"/>
          </w:tcPr>
          <w:p w14:paraId="09B53731" w14:textId="7EA8F6A4"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081317BD" w14:textId="77777777" w:rsidR="00A11912" w:rsidRPr="00FB229F" w:rsidRDefault="00A11912" w:rsidP="00C65724">
            <w:pPr>
              <w:rPr>
                <w:rFonts w:ascii="Arial Narrow" w:hAnsi="Arial Narrow"/>
                <w:color w:val="333333"/>
                <w:sz w:val="20"/>
                <w:szCs w:val="20"/>
              </w:rPr>
            </w:pPr>
            <w:r w:rsidRPr="00FB229F">
              <w:rPr>
                <w:rFonts w:ascii="Arial Narrow" w:hAnsi="Arial Narrow"/>
                <w:b/>
                <w:bCs/>
                <w:color w:val="333333"/>
                <w:sz w:val="20"/>
                <w:szCs w:val="20"/>
              </w:rPr>
              <w:t>Indication:</w:t>
            </w:r>
            <w:r w:rsidRPr="00FB229F">
              <w:rPr>
                <w:rFonts w:ascii="Arial Narrow" w:hAnsi="Arial Narrow"/>
                <w:color w:val="333333"/>
                <w:sz w:val="20"/>
                <w:szCs w:val="20"/>
              </w:rPr>
              <w:t xml:space="preserve"> </w:t>
            </w:r>
            <w:r w:rsidRPr="00FB229F">
              <w:rPr>
                <w:rFonts w:ascii="Arial Narrow" w:hAnsi="Arial Narrow"/>
                <w:i/>
                <w:iCs/>
                <w:color w:val="333333"/>
                <w:sz w:val="20"/>
                <w:szCs w:val="20"/>
              </w:rPr>
              <w:t>Locally advanced or metastatic non-small cell lung cancer</w:t>
            </w:r>
            <w:r w:rsidRPr="00FB229F">
              <w:rPr>
                <w:rFonts w:ascii="Arial Narrow" w:hAnsi="Arial Narrow"/>
                <w:color w:val="333333"/>
                <w:sz w:val="20"/>
                <w:szCs w:val="20"/>
              </w:rPr>
              <w:t xml:space="preserve"> </w:t>
            </w:r>
            <w:r w:rsidRPr="00FB229F">
              <w:rPr>
                <w:rFonts w:ascii="Arial Narrow" w:hAnsi="Arial Narrow"/>
                <w:strike/>
                <w:color w:val="333333"/>
                <w:sz w:val="20"/>
                <w:szCs w:val="20"/>
              </w:rPr>
              <w:t>Stage IIIB (locally advanced) or Stage IV (metastatic) non-small cell lung cancer (NSCLC)</w:t>
            </w:r>
          </w:p>
        </w:tc>
      </w:tr>
      <w:tr w:rsidR="00A11912" w:rsidRPr="00FB229F" w14:paraId="7C2704A3" w14:textId="77777777" w:rsidTr="00166045">
        <w:tblPrEx>
          <w:tblCellMar>
            <w:top w:w="15" w:type="dxa"/>
            <w:left w:w="15" w:type="dxa"/>
            <w:bottom w:w="15" w:type="dxa"/>
            <w:right w:w="15" w:type="dxa"/>
          </w:tblCellMar>
        </w:tblPrEx>
        <w:tc>
          <w:tcPr>
            <w:tcW w:w="108" w:type="dxa"/>
            <w:vAlign w:val="center"/>
          </w:tcPr>
          <w:p w14:paraId="28764625" w14:textId="77777777" w:rsidR="00A11912" w:rsidRPr="00FB229F" w:rsidRDefault="00A11912" w:rsidP="00C65724">
            <w:pPr>
              <w:jc w:val="center"/>
              <w:rPr>
                <w:rFonts w:ascii="Arial Narrow" w:hAnsi="Arial Narrow"/>
                <w:color w:val="333333"/>
                <w:sz w:val="20"/>
                <w:szCs w:val="20"/>
              </w:rPr>
            </w:pPr>
          </w:p>
        </w:tc>
        <w:tc>
          <w:tcPr>
            <w:tcW w:w="8959" w:type="dxa"/>
            <w:gridSpan w:val="7"/>
            <w:vAlign w:val="center"/>
          </w:tcPr>
          <w:p w14:paraId="5C6DD23B" w14:textId="77777777" w:rsidR="00A11912" w:rsidRPr="00FB229F" w:rsidRDefault="00A11912" w:rsidP="00C65724">
            <w:pPr>
              <w:rPr>
                <w:rFonts w:ascii="Arial Narrow" w:hAnsi="Arial Narrow"/>
                <w:b/>
                <w:bCs/>
                <w:color w:val="333333"/>
                <w:sz w:val="20"/>
                <w:szCs w:val="20"/>
              </w:rPr>
            </w:pPr>
          </w:p>
        </w:tc>
      </w:tr>
      <w:tr w:rsidR="00A11912" w:rsidRPr="00FB229F" w14:paraId="3636DD42" w14:textId="77777777" w:rsidTr="00166045">
        <w:tblPrEx>
          <w:tblCellMar>
            <w:top w:w="15" w:type="dxa"/>
            <w:left w:w="15" w:type="dxa"/>
            <w:bottom w:w="15" w:type="dxa"/>
            <w:right w:w="15" w:type="dxa"/>
          </w:tblCellMar>
        </w:tblPrEx>
        <w:tc>
          <w:tcPr>
            <w:tcW w:w="108" w:type="dxa"/>
            <w:vAlign w:val="center"/>
          </w:tcPr>
          <w:p w14:paraId="7FE9CDEF" w14:textId="77777777" w:rsidR="00A11912" w:rsidRPr="00FB229F" w:rsidRDefault="00A11912" w:rsidP="00C65724">
            <w:pPr>
              <w:jc w:val="center"/>
              <w:rPr>
                <w:rFonts w:ascii="Arial Narrow" w:hAnsi="Arial Narrow"/>
                <w:color w:val="333333"/>
                <w:sz w:val="20"/>
                <w:szCs w:val="20"/>
              </w:rPr>
            </w:pPr>
          </w:p>
        </w:tc>
        <w:tc>
          <w:tcPr>
            <w:tcW w:w="8959" w:type="dxa"/>
            <w:gridSpan w:val="7"/>
            <w:vAlign w:val="center"/>
          </w:tcPr>
          <w:p w14:paraId="478E393E" w14:textId="77777777" w:rsidR="00A11912" w:rsidRPr="00FB229F" w:rsidRDefault="00A11912" w:rsidP="00C65724">
            <w:pPr>
              <w:rPr>
                <w:rFonts w:ascii="Arial Narrow" w:hAnsi="Arial Narrow"/>
                <w:b/>
                <w:bCs/>
                <w:strike/>
                <w:color w:val="333333"/>
                <w:sz w:val="20"/>
                <w:szCs w:val="20"/>
              </w:rPr>
            </w:pPr>
            <w:r w:rsidRPr="00FB229F">
              <w:rPr>
                <w:rFonts w:ascii="Arial Narrow" w:hAnsi="Arial Narrow"/>
                <w:b/>
                <w:bCs/>
                <w:strike/>
                <w:color w:val="333333"/>
                <w:sz w:val="20"/>
                <w:szCs w:val="20"/>
              </w:rPr>
              <w:t xml:space="preserve">Treatment phase: </w:t>
            </w:r>
            <w:r w:rsidRPr="00FB229F">
              <w:rPr>
                <w:rFonts w:ascii="Arial Narrow" w:hAnsi="Arial Narrow"/>
                <w:strike/>
                <w:color w:val="333333"/>
                <w:sz w:val="20"/>
                <w:szCs w:val="20"/>
              </w:rPr>
              <w:t>Initial treatment</w:t>
            </w:r>
          </w:p>
        </w:tc>
      </w:tr>
      <w:tr w:rsidR="00A11912" w:rsidRPr="00FB229F" w14:paraId="6E376D08" w14:textId="77777777" w:rsidTr="00166045">
        <w:tblPrEx>
          <w:tblCellMar>
            <w:top w:w="15" w:type="dxa"/>
            <w:left w:w="15" w:type="dxa"/>
            <w:bottom w:w="15" w:type="dxa"/>
            <w:right w:w="15" w:type="dxa"/>
          </w:tblCellMar>
        </w:tblPrEx>
        <w:tc>
          <w:tcPr>
            <w:tcW w:w="108" w:type="dxa"/>
            <w:vAlign w:val="center"/>
          </w:tcPr>
          <w:p w14:paraId="71D30FBB" w14:textId="77777777" w:rsidR="00A11912" w:rsidRPr="00FB229F" w:rsidRDefault="00A11912" w:rsidP="00C65724">
            <w:pPr>
              <w:jc w:val="center"/>
              <w:rPr>
                <w:rFonts w:ascii="Arial Narrow" w:hAnsi="Arial Narrow"/>
                <w:color w:val="333333"/>
                <w:sz w:val="20"/>
                <w:szCs w:val="20"/>
              </w:rPr>
            </w:pPr>
          </w:p>
        </w:tc>
        <w:tc>
          <w:tcPr>
            <w:tcW w:w="8959" w:type="dxa"/>
            <w:gridSpan w:val="7"/>
            <w:vAlign w:val="center"/>
          </w:tcPr>
          <w:p w14:paraId="490F6235" w14:textId="77777777" w:rsidR="00A11912" w:rsidRPr="00FB229F" w:rsidRDefault="00A11912" w:rsidP="00C65724">
            <w:pPr>
              <w:rPr>
                <w:rFonts w:ascii="Arial Narrow" w:hAnsi="Arial Narrow"/>
                <w:b/>
                <w:bCs/>
                <w:color w:val="333333"/>
                <w:sz w:val="20"/>
                <w:szCs w:val="20"/>
              </w:rPr>
            </w:pPr>
          </w:p>
        </w:tc>
      </w:tr>
      <w:tr w:rsidR="00A11912" w:rsidRPr="00FB229F" w14:paraId="149E2A91" w14:textId="77777777" w:rsidTr="00166045">
        <w:tblPrEx>
          <w:tblCellMar>
            <w:top w:w="15" w:type="dxa"/>
            <w:left w:w="15" w:type="dxa"/>
            <w:bottom w:w="15" w:type="dxa"/>
            <w:right w:w="15" w:type="dxa"/>
          </w:tblCellMar>
        </w:tblPrEx>
        <w:tc>
          <w:tcPr>
            <w:tcW w:w="108" w:type="dxa"/>
            <w:vAlign w:val="center"/>
          </w:tcPr>
          <w:p w14:paraId="5F5ECDAE" w14:textId="0E7AE972"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53057D21" w14:textId="77777777" w:rsidR="00A11912" w:rsidRPr="00FB229F" w:rsidRDefault="00A11912" w:rsidP="00C65724">
            <w:pPr>
              <w:rPr>
                <w:rFonts w:ascii="Arial Narrow" w:hAnsi="Arial Narrow"/>
                <w:color w:val="333333"/>
                <w:sz w:val="20"/>
                <w:szCs w:val="20"/>
              </w:rPr>
            </w:pPr>
            <w:r w:rsidRPr="00FB229F">
              <w:rPr>
                <w:rFonts w:ascii="Arial Narrow" w:hAnsi="Arial Narrow"/>
                <w:b/>
                <w:bCs/>
                <w:color w:val="333333"/>
                <w:sz w:val="20"/>
                <w:szCs w:val="20"/>
              </w:rPr>
              <w:t>Clinical criteria:</w:t>
            </w:r>
          </w:p>
        </w:tc>
      </w:tr>
      <w:tr w:rsidR="00A11912" w:rsidRPr="00FB229F" w14:paraId="0D6EF7F7" w14:textId="77777777" w:rsidTr="00166045">
        <w:tblPrEx>
          <w:tblCellMar>
            <w:top w:w="15" w:type="dxa"/>
            <w:left w:w="15" w:type="dxa"/>
            <w:bottom w:w="15" w:type="dxa"/>
            <w:right w:w="15" w:type="dxa"/>
          </w:tblCellMar>
        </w:tblPrEx>
        <w:tc>
          <w:tcPr>
            <w:tcW w:w="108" w:type="dxa"/>
            <w:vAlign w:val="center"/>
          </w:tcPr>
          <w:p w14:paraId="12D3AC68" w14:textId="09C6B74C"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5D89E04E" w14:textId="77777777" w:rsidR="00A11912" w:rsidRPr="00FB229F" w:rsidRDefault="00A11912" w:rsidP="00C65724">
            <w:pPr>
              <w:rPr>
                <w:rFonts w:ascii="Arial Narrow" w:hAnsi="Arial Narrow"/>
                <w:color w:val="333333"/>
                <w:sz w:val="20"/>
                <w:szCs w:val="20"/>
              </w:rPr>
            </w:pPr>
            <w:r w:rsidRPr="00FB229F">
              <w:rPr>
                <w:rFonts w:ascii="Arial Narrow" w:hAnsi="Arial Narrow" w:cs="Arial Narrow"/>
                <w:i/>
                <w:iCs/>
                <w:sz w:val="20"/>
                <w:szCs w:val="20"/>
              </w:rPr>
              <w:t>The condition must have evidence of rearranged during transfection (RET) gene fusion in tumour material – this evidence has been obtained prior to commencing this drug</w:t>
            </w:r>
            <w:r w:rsidRPr="00FB229F">
              <w:rPr>
                <w:rFonts w:ascii="Arial Narrow" w:hAnsi="Arial Narrow" w:cs="Arial Narrow"/>
                <w:sz w:val="20"/>
                <w:szCs w:val="20"/>
              </w:rPr>
              <w:t xml:space="preserve"> </w:t>
            </w:r>
            <w:r w:rsidRPr="00FB229F">
              <w:rPr>
                <w:rFonts w:ascii="Arial Narrow" w:hAnsi="Arial Narrow"/>
                <w:strike/>
                <w:color w:val="333333"/>
                <w:sz w:val="20"/>
                <w:szCs w:val="20"/>
              </w:rPr>
              <w:t>Patient must have evidence a rearranged during transfection (</w:t>
            </w:r>
            <w:r w:rsidRPr="00FB229F">
              <w:rPr>
                <w:rFonts w:ascii="Arial Narrow" w:hAnsi="Arial Narrow"/>
                <w:i/>
                <w:strike/>
                <w:color w:val="333333"/>
                <w:sz w:val="20"/>
                <w:szCs w:val="20"/>
              </w:rPr>
              <w:t>RET</w:t>
            </w:r>
            <w:r w:rsidRPr="00FB229F">
              <w:rPr>
                <w:rFonts w:ascii="Arial Narrow" w:hAnsi="Arial Narrow"/>
                <w:strike/>
                <w:color w:val="333333"/>
                <w:sz w:val="20"/>
                <w:szCs w:val="20"/>
              </w:rPr>
              <w:t>) gene fusion in tumour material</w:t>
            </w:r>
          </w:p>
        </w:tc>
      </w:tr>
      <w:tr w:rsidR="00A11912" w:rsidRPr="00FB229F" w14:paraId="3E3B9BDD" w14:textId="77777777" w:rsidTr="00166045">
        <w:tblPrEx>
          <w:tblCellMar>
            <w:top w:w="15" w:type="dxa"/>
            <w:left w:w="15" w:type="dxa"/>
            <w:bottom w:w="15" w:type="dxa"/>
            <w:right w:w="15" w:type="dxa"/>
          </w:tblCellMar>
        </w:tblPrEx>
        <w:tc>
          <w:tcPr>
            <w:tcW w:w="108" w:type="dxa"/>
            <w:vAlign w:val="center"/>
          </w:tcPr>
          <w:p w14:paraId="752B7A38" w14:textId="77777777"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1FFCBF17" w14:textId="77777777" w:rsidR="00A11912" w:rsidRPr="00FB229F" w:rsidRDefault="00A11912" w:rsidP="00C65724">
            <w:pPr>
              <w:rPr>
                <w:rFonts w:ascii="Arial Narrow" w:hAnsi="Arial Narrow"/>
                <w:color w:val="333333"/>
                <w:sz w:val="20"/>
                <w:szCs w:val="20"/>
              </w:rPr>
            </w:pPr>
            <w:r w:rsidRPr="00FB229F">
              <w:rPr>
                <w:rFonts w:ascii="Arial Narrow" w:hAnsi="Arial Narrow"/>
                <w:b/>
                <w:bCs/>
                <w:color w:val="333333"/>
                <w:sz w:val="20"/>
                <w:szCs w:val="20"/>
              </w:rPr>
              <w:t>AND</w:t>
            </w:r>
          </w:p>
        </w:tc>
      </w:tr>
      <w:tr w:rsidR="00A11912" w:rsidRPr="00FB229F" w14:paraId="1983E344" w14:textId="77777777" w:rsidTr="00166045">
        <w:tblPrEx>
          <w:tblCellMar>
            <w:top w:w="15" w:type="dxa"/>
            <w:left w:w="15" w:type="dxa"/>
            <w:bottom w:w="15" w:type="dxa"/>
            <w:right w:w="15" w:type="dxa"/>
          </w:tblCellMar>
        </w:tblPrEx>
        <w:tc>
          <w:tcPr>
            <w:tcW w:w="108" w:type="dxa"/>
            <w:vAlign w:val="center"/>
          </w:tcPr>
          <w:p w14:paraId="0FD74435" w14:textId="45BAF76C"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50604D57" w14:textId="77777777" w:rsidR="00A11912" w:rsidRPr="00FB229F" w:rsidRDefault="00A11912" w:rsidP="00C65724">
            <w:pPr>
              <w:rPr>
                <w:rFonts w:ascii="Arial Narrow" w:hAnsi="Arial Narrow"/>
                <w:color w:val="333333"/>
                <w:sz w:val="20"/>
                <w:szCs w:val="20"/>
              </w:rPr>
            </w:pPr>
            <w:r w:rsidRPr="00FB229F">
              <w:rPr>
                <w:rFonts w:ascii="Arial Narrow" w:hAnsi="Arial Narrow"/>
                <w:b/>
                <w:bCs/>
                <w:color w:val="333333"/>
                <w:sz w:val="20"/>
                <w:szCs w:val="20"/>
              </w:rPr>
              <w:t>Clinical criteria:</w:t>
            </w:r>
          </w:p>
        </w:tc>
      </w:tr>
      <w:tr w:rsidR="00A11912" w:rsidRPr="00FB229F" w14:paraId="10101C48" w14:textId="77777777" w:rsidTr="00166045">
        <w:tblPrEx>
          <w:tblCellMar>
            <w:top w:w="15" w:type="dxa"/>
            <w:left w:w="15" w:type="dxa"/>
            <w:bottom w:w="15" w:type="dxa"/>
            <w:right w:w="15" w:type="dxa"/>
          </w:tblCellMar>
        </w:tblPrEx>
        <w:tc>
          <w:tcPr>
            <w:tcW w:w="108" w:type="dxa"/>
            <w:vAlign w:val="center"/>
          </w:tcPr>
          <w:p w14:paraId="73B26750" w14:textId="70A22001" w:rsidR="00A11912" w:rsidRPr="00FB229F" w:rsidRDefault="00A11912" w:rsidP="00C65724">
            <w:pPr>
              <w:jc w:val="center"/>
              <w:rPr>
                <w:rFonts w:ascii="Arial Narrow" w:hAnsi="Arial Narrow"/>
                <w:color w:val="333333"/>
                <w:sz w:val="20"/>
                <w:szCs w:val="20"/>
              </w:rPr>
            </w:pPr>
          </w:p>
        </w:tc>
        <w:tc>
          <w:tcPr>
            <w:tcW w:w="8959" w:type="dxa"/>
            <w:gridSpan w:val="7"/>
            <w:vAlign w:val="center"/>
          </w:tcPr>
          <w:p w14:paraId="1E32706F" w14:textId="77777777" w:rsidR="00A11912" w:rsidRPr="00FB229F" w:rsidRDefault="00A11912" w:rsidP="00C65724">
            <w:pPr>
              <w:rPr>
                <w:rFonts w:ascii="Arial Narrow" w:hAnsi="Arial Narrow"/>
                <w:color w:val="333333"/>
                <w:sz w:val="20"/>
                <w:szCs w:val="20"/>
              </w:rPr>
            </w:pPr>
            <w:r w:rsidRPr="00FB229F">
              <w:rPr>
                <w:rFonts w:ascii="Arial Narrow" w:hAnsi="Arial Narrow"/>
                <w:color w:val="333333"/>
                <w:sz w:val="20"/>
                <w:szCs w:val="20"/>
              </w:rPr>
              <w:t xml:space="preserve">Patient must have a </w:t>
            </w:r>
            <w:r w:rsidRPr="00FB229F">
              <w:rPr>
                <w:rFonts w:ascii="Arial Narrow" w:hAnsi="Arial Narrow"/>
                <w:i/>
                <w:iCs/>
                <w:color w:val="333333"/>
                <w:sz w:val="20"/>
                <w:szCs w:val="20"/>
              </w:rPr>
              <w:t>World Health Organisation (WHO) Eastern Cooperative Oncology Group (ECOG) performance status score of no higher than 2 at treatment initiation</w:t>
            </w:r>
            <w:r w:rsidRPr="00FB229F">
              <w:rPr>
                <w:rFonts w:ascii="Arial Narrow" w:hAnsi="Arial Narrow"/>
                <w:color w:val="333333"/>
                <w:sz w:val="20"/>
                <w:szCs w:val="20"/>
              </w:rPr>
              <w:t xml:space="preserve"> </w:t>
            </w:r>
            <w:r w:rsidRPr="00FB229F">
              <w:rPr>
                <w:rFonts w:ascii="Arial Narrow" w:hAnsi="Arial Narrow"/>
                <w:strike/>
                <w:color w:val="333333"/>
                <w:sz w:val="20"/>
                <w:szCs w:val="20"/>
              </w:rPr>
              <w:t>WHO performance status of 2 or less</w:t>
            </w:r>
            <w:r w:rsidRPr="00FB229F">
              <w:rPr>
                <w:rFonts w:ascii="Arial Narrow" w:hAnsi="Arial Narrow"/>
                <w:color w:val="333333"/>
                <w:sz w:val="20"/>
                <w:szCs w:val="20"/>
              </w:rPr>
              <w:t>.</w:t>
            </w:r>
          </w:p>
        </w:tc>
      </w:tr>
      <w:tr w:rsidR="00A11912" w:rsidRPr="00FB229F" w14:paraId="6C6A7D6E" w14:textId="77777777" w:rsidTr="00166045">
        <w:tblPrEx>
          <w:tblCellMar>
            <w:top w:w="15" w:type="dxa"/>
            <w:left w:w="15" w:type="dxa"/>
            <w:bottom w:w="15" w:type="dxa"/>
            <w:right w:w="15" w:type="dxa"/>
          </w:tblCellMar>
        </w:tblPrEx>
        <w:tc>
          <w:tcPr>
            <w:tcW w:w="108" w:type="dxa"/>
            <w:vAlign w:val="center"/>
          </w:tcPr>
          <w:p w14:paraId="5519B459" w14:textId="77777777"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56288B07" w14:textId="77777777" w:rsidR="00A11912" w:rsidRPr="00FB229F" w:rsidRDefault="00A11912" w:rsidP="00C65724">
            <w:pPr>
              <w:rPr>
                <w:rFonts w:ascii="Arial Narrow" w:hAnsi="Arial Narrow"/>
                <w:color w:val="333333"/>
                <w:sz w:val="20"/>
                <w:szCs w:val="20"/>
              </w:rPr>
            </w:pPr>
            <w:r w:rsidRPr="00FB229F">
              <w:rPr>
                <w:rFonts w:ascii="Arial Narrow" w:hAnsi="Arial Narrow"/>
                <w:b/>
                <w:bCs/>
                <w:color w:val="333333"/>
                <w:sz w:val="20"/>
                <w:szCs w:val="20"/>
              </w:rPr>
              <w:t>AND</w:t>
            </w:r>
          </w:p>
        </w:tc>
      </w:tr>
      <w:tr w:rsidR="00A11912" w:rsidRPr="00FB229F" w14:paraId="5DEF3779" w14:textId="77777777" w:rsidTr="00166045">
        <w:tblPrEx>
          <w:tblCellMar>
            <w:top w:w="15" w:type="dxa"/>
            <w:left w:w="15" w:type="dxa"/>
            <w:bottom w:w="15" w:type="dxa"/>
            <w:right w:w="15" w:type="dxa"/>
          </w:tblCellMar>
        </w:tblPrEx>
        <w:tc>
          <w:tcPr>
            <w:tcW w:w="108" w:type="dxa"/>
            <w:vAlign w:val="center"/>
          </w:tcPr>
          <w:p w14:paraId="4C5AE8C2" w14:textId="253D480C"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56A047CC" w14:textId="77777777" w:rsidR="00A11912" w:rsidRPr="00FB229F" w:rsidRDefault="00A11912" w:rsidP="00C65724">
            <w:pPr>
              <w:rPr>
                <w:rFonts w:ascii="Arial Narrow" w:hAnsi="Arial Narrow"/>
                <w:color w:val="333333"/>
                <w:sz w:val="20"/>
                <w:szCs w:val="20"/>
              </w:rPr>
            </w:pPr>
            <w:r w:rsidRPr="00FB229F">
              <w:rPr>
                <w:rFonts w:ascii="Arial Narrow" w:hAnsi="Arial Narrow"/>
                <w:b/>
                <w:bCs/>
                <w:color w:val="333333"/>
                <w:sz w:val="20"/>
                <w:szCs w:val="20"/>
              </w:rPr>
              <w:t>Clinical criteria:</w:t>
            </w:r>
          </w:p>
        </w:tc>
      </w:tr>
      <w:tr w:rsidR="00A11912" w:rsidRPr="00FB229F" w14:paraId="542657C4" w14:textId="77777777" w:rsidTr="00166045">
        <w:tblPrEx>
          <w:tblCellMar>
            <w:top w:w="15" w:type="dxa"/>
            <w:left w:w="15" w:type="dxa"/>
            <w:bottom w:w="15" w:type="dxa"/>
            <w:right w:w="15" w:type="dxa"/>
          </w:tblCellMar>
        </w:tblPrEx>
        <w:tc>
          <w:tcPr>
            <w:tcW w:w="108" w:type="dxa"/>
            <w:vAlign w:val="center"/>
          </w:tcPr>
          <w:p w14:paraId="3D2FF90B" w14:textId="61D0E369"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7471FDE6" w14:textId="77777777" w:rsidR="00A11912" w:rsidRPr="00FB229F" w:rsidRDefault="00A11912" w:rsidP="00C65724">
            <w:pPr>
              <w:rPr>
                <w:rFonts w:ascii="Arial Narrow" w:hAnsi="Arial Narrow"/>
                <w:color w:val="333333"/>
                <w:sz w:val="20"/>
                <w:szCs w:val="20"/>
              </w:rPr>
            </w:pPr>
            <w:r w:rsidRPr="00FB229F">
              <w:rPr>
                <w:rFonts w:ascii="Arial Narrow" w:hAnsi="Arial Narrow"/>
                <w:color w:val="333333"/>
                <w:sz w:val="20"/>
                <w:szCs w:val="20"/>
              </w:rPr>
              <w:t xml:space="preserve">The treatment must be the sole PBS-subsidised </w:t>
            </w:r>
            <w:r w:rsidRPr="00FB229F">
              <w:rPr>
                <w:rFonts w:ascii="Arial Narrow" w:hAnsi="Arial Narrow"/>
                <w:i/>
                <w:iCs/>
                <w:color w:val="333333"/>
                <w:sz w:val="20"/>
                <w:szCs w:val="20"/>
              </w:rPr>
              <w:t>systemic anti-cancer</w:t>
            </w:r>
            <w:r w:rsidRPr="00FB229F">
              <w:rPr>
                <w:rFonts w:ascii="Arial Narrow" w:hAnsi="Arial Narrow"/>
                <w:color w:val="333333"/>
                <w:sz w:val="20"/>
                <w:szCs w:val="20"/>
              </w:rPr>
              <w:t xml:space="preserve"> therapy for this PBS indication.</w:t>
            </w:r>
          </w:p>
        </w:tc>
      </w:tr>
      <w:tr w:rsidR="00A11912" w:rsidRPr="00FB229F" w14:paraId="30EB80F3" w14:textId="77777777" w:rsidTr="00166045">
        <w:tblPrEx>
          <w:tblCellMar>
            <w:top w:w="15" w:type="dxa"/>
            <w:left w:w="15" w:type="dxa"/>
            <w:bottom w:w="15" w:type="dxa"/>
            <w:right w:w="15" w:type="dxa"/>
          </w:tblCellMar>
        </w:tblPrEx>
        <w:tc>
          <w:tcPr>
            <w:tcW w:w="108" w:type="dxa"/>
            <w:vAlign w:val="center"/>
          </w:tcPr>
          <w:p w14:paraId="5E01D3BE" w14:textId="77777777" w:rsidR="00A11912" w:rsidRPr="00FB229F" w:rsidRDefault="00A11912" w:rsidP="00C65724">
            <w:pPr>
              <w:jc w:val="center"/>
              <w:rPr>
                <w:rFonts w:ascii="Arial Narrow" w:hAnsi="Arial Narrow"/>
                <w:color w:val="333333"/>
                <w:sz w:val="20"/>
                <w:szCs w:val="20"/>
              </w:rPr>
            </w:pPr>
          </w:p>
        </w:tc>
        <w:tc>
          <w:tcPr>
            <w:tcW w:w="8959" w:type="dxa"/>
            <w:gridSpan w:val="7"/>
            <w:vAlign w:val="center"/>
          </w:tcPr>
          <w:p w14:paraId="0724FC30" w14:textId="77777777" w:rsidR="00A11912" w:rsidRPr="00FB229F" w:rsidRDefault="00A11912" w:rsidP="00C65724">
            <w:pPr>
              <w:rPr>
                <w:rFonts w:ascii="Arial Narrow" w:hAnsi="Arial Narrow"/>
                <w:color w:val="333333"/>
                <w:sz w:val="20"/>
                <w:szCs w:val="20"/>
              </w:rPr>
            </w:pPr>
          </w:p>
        </w:tc>
      </w:tr>
      <w:tr w:rsidR="00A11912" w:rsidRPr="00FB229F" w14:paraId="05A64B91" w14:textId="77777777" w:rsidTr="00166045">
        <w:tblPrEx>
          <w:tblCellMar>
            <w:top w:w="15" w:type="dxa"/>
            <w:left w:w="15" w:type="dxa"/>
            <w:bottom w:w="15" w:type="dxa"/>
            <w:right w:w="15" w:type="dxa"/>
          </w:tblCellMar>
        </w:tblPrEx>
        <w:tc>
          <w:tcPr>
            <w:tcW w:w="108" w:type="dxa"/>
            <w:vAlign w:val="center"/>
          </w:tcPr>
          <w:p w14:paraId="55BEB701" w14:textId="22ADC97A"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107F7B35" w14:textId="77777777" w:rsidR="00A11912" w:rsidRPr="00FB229F" w:rsidRDefault="00A11912" w:rsidP="00C65724">
            <w:pPr>
              <w:rPr>
                <w:rFonts w:ascii="Arial Narrow" w:hAnsi="Arial Narrow"/>
                <w:i/>
                <w:iCs/>
                <w:color w:val="333333"/>
                <w:sz w:val="20"/>
                <w:szCs w:val="20"/>
              </w:rPr>
            </w:pPr>
            <w:r w:rsidRPr="00FB229F">
              <w:rPr>
                <w:rFonts w:ascii="Arial Narrow" w:hAnsi="Arial Narrow"/>
                <w:b/>
                <w:bCs/>
                <w:i/>
                <w:iCs/>
                <w:color w:val="333333"/>
                <w:sz w:val="20"/>
                <w:szCs w:val="20"/>
              </w:rPr>
              <w:t>Treatment criteria:</w:t>
            </w:r>
          </w:p>
        </w:tc>
      </w:tr>
      <w:tr w:rsidR="00A11912" w:rsidRPr="00FB229F" w14:paraId="4379D027" w14:textId="77777777" w:rsidTr="00166045">
        <w:tblPrEx>
          <w:tblCellMar>
            <w:top w:w="15" w:type="dxa"/>
            <w:left w:w="15" w:type="dxa"/>
            <w:bottom w:w="15" w:type="dxa"/>
            <w:right w:w="15" w:type="dxa"/>
          </w:tblCellMar>
        </w:tblPrEx>
        <w:tc>
          <w:tcPr>
            <w:tcW w:w="108" w:type="dxa"/>
            <w:vAlign w:val="center"/>
          </w:tcPr>
          <w:p w14:paraId="57ADACB3" w14:textId="27E23038" w:rsidR="00A11912" w:rsidRPr="00FB229F" w:rsidRDefault="00A11912" w:rsidP="00C65724">
            <w:pPr>
              <w:jc w:val="center"/>
              <w:rPr>
                <w:rFonts w:ascii="Arial Narrow" w:hAnsi="Arial Narrow"/>
                <w:color w:val="333333"/>
                <w:sz w:val="20"/>
                <w:szCs w:val="20"/>
              </w:rPr>
            </w:pPr>
          </w:p>
        </w:tc>
        <w:tc>
          <w:tcPr>
            <w:tcW w:w="8959" w:type="dxa"/>
            <w:gridSpan w:val="7"/>
            <w:vAlign w:val="center"/>
            <w:hideMark/>
          </w:tcPr>
          <w:p w14:paraId="3CC7439E" w14:textId="77777777" w:rsidR="00A11912" w:rsidRPr="00FB229F" w:rsidRDefault="00A11912" w:rsidP="00C65724">
            <w:pPr>
              <w:autoSpaceDE w:val="0"/>
              <w:autoSpaceDN w:val="0"/>
              <w:adjustRightInd w:val="0"/>
              <w:rPr>
                <w:rFonts w:ascii="Arial Narrow" w:hAnsi="Arial Narrow" w:cs="Arial Narrow"/>
                <w:i/>
                <w:iCs/>
                <w:sz w:val="20"/>
                <w:szCs w:val="20"/>
              </w:rPr>
            </w:pPr>
            <w:r w:rsidRPr="00FB229F">
              <w:rPr>
                <w:rFonts w:ascii="Arial Narrow" w:hAnsi="Arial Narrow" w:cs="Arial Narrow"/>
                <w:i/>
                <w:iCs/>
                <w:sz w:val="20"/>
                <w:szCs w:val="20"/>
              </w:rPr>
              <w:t>Patient must be undergoing initial treatment with this drug; or</w:t>
            </w:r>
          </w:p>
        </w:tc>
      </w:tr>
      <w:tr w:rsidR="00A11912" w:rsidRPr="00FB229F" w14:paraId="796A54AB" w14:textId="77777777" w:rsidTr="00166045">
        <w:tblPrEx>
          <w:tblCellMar>
            <w:top w:w="15" w:type="dxa"/>
            <w:left w:w="15" w:type="dxa"/>
            <w:bottom w:w="15" w:type="dxa"/>
            <w:right w:w="15" w:type="dxa"/>
          </w:tblCellMar>
        </w:tblPrEx>
        <w:tc>
          <w:tcPr>
            <w:tcW w:w="108" w:type="dxa"/>
            <w:vAlign w:val="center"/>
          </w:tcPr>
          <w:p w14:paraId="33333425" w14:textId="345CB6A7" w:rsidR="00A11912" w:rsidRPr="00FB229F" w:rsidRDefault="00A11912" w:rsidP="00C65724">
            <w:pPr>
              <w:jc w:val="center"/>
              <w:rPr>
                <w:rFonts w:ascii="Arial Narrow" w:hAnsi="Arial Narrow"/>
                <w:color w:val="333333"/>
                <w:sz w:val="20"/>
                <w:szCs w:val="20"/>
              </w:rPr>
            </w:pPr>
          </w:p>
        </w:tc>
        <w:tc>
          <w:tcPr>
            <w:tcW w:w="8959" w:type="dxa"/>
            <w:gridSpan w:val="7"/>
            <w:vAlign w:val="center"/>
          </w:tcPr>
          <w:p w14:paraId="4E645053" w14:textId="77777777" w:rsidR="00A11912" w:rsidRPr="00FB229F" w:rsidRDefault="00A11912" w:rsidP="00C65724">
            <w:pPr>
              <w:autoSpaceDE w:val="0"/>
              <w:autoSpaceDN w:val="0"/>
              <w:adjustRightInd w:val="0"/>
              <w:rPr>
                <w:rFonts w:ascii="Arial Narrow" w:hAnsi="Arial Narrow" w:cs="Arial Narrow"/>
                <w:i/>
                <w:iCs/>
                <w:sz w:val="20"/>
                <w:szCs w:val="20"/>
              </w:rPr>
            </w:pPr>
            <w:r w:rsidRPr="00FB229F">
              <w:rPr>
                <w:rFonts w:ascii="Arial Narrow" w:hAnsi="Arial Narrow" w:cs="Arial Narrow"/>
                <w:i/>
                <w:iCs/>
                <w:sz w:val="20"/>
                <w:szCs w:val="20"/>
              </w:rPr>
              <w:t>Patient must be undergoing continuing treatment with this drug, with an absence of further disease progression since the last prescription</w:t>
            </w:r>
          </w:p>
        </w:tc>
      </w:tr>
      <w:tr w:rsidR="00A11912" w:rsidRPr="00FB229F" w14:paraId="75C20F1B" w14:textId="77777777" w:rsidTr="00166045">
        <w:tblPrEx>
          <w:tblCellMar>
            <w:top w:w="15" w:type="dxa"/>
            <w:left w:w="15" w:type="dxa"/>
            <w:bottom w:w="15" w:type="dxa"/>
            <w:right w:w="15" w:type="dxa"/>
          </w:tblCellMar>
        </w:tblPrEx>
        <w:tc>
          <w:tcPr>
            <w:tcW w:w="108" w:type="dxa"/>
            <w:vAlign w:val="center"/>
          </w:tcPr>
          <w:p w14:paraId="7F3F2020" w14:textId="77777777" w:rsidR="00A11912" w:rsidRPr="00FB229F" w:rsidRDefault="00A11912" w:rsidP="00C65724">
            <w:pPr>
              <w:jc w:val="center"/>
              <w:rPr>
                <w:rFonts w:ascii="Arial Narrow" w:hAnsi="Arial Narrow"/>
                <w:color w:val="333333"/>
                <w:sz w:val="20"/>
                <w:szCs w:val="20"/>
              </w:rPr>
            </w:pPr>
          </w:p>
        </w:tc>
        <w:tc>
          <w:tcPr>
            <w:tcW w:w="8959" w:type="dxa"/>
            <w:gridSpan w:val="7"/>
            <w:vAlign w:val="center"/>
          </w:tcPr>
          <w:p w14:paraId="33C05D24" w14:textId="77777777" w:rsidR="00A11912" w:rsidRPr="00FB229F" w:rsidRDefault="00A11912" w:rsidP="00C65724">
            <w:pPr>
              <w:autoSpaceDE w:val="0"/>
              <w:autoSpaceDN w:val="0"/>
              <w:adjustRightInd w:val="0"/>
              <w:rPr>
                <w:rFonts w:ascii="Arial Narrow" w:hAnsi="Arial Narrow" w:cs="Arial Narrow"/>
                <w:i/>
                <w:iCs/>
                <w:sz w:val="20"/>
                <w:szCs w:val="20"/>
              </w:rPr>
            </w:pPr>
          </w:p>
        </w:tc>
      </w:tr>
      <w:tr w:rsidR="00A11912" w:rsidRPr="00FB229F" w14:paraId="007BCE67" w14:textId="77777777" w:rsidTr="00166045">
        <w:tblPrEx>
          <w:tblCellMar>
            <w:top w:w="15" w:type="dxa"/>
            <w:left w:w="15" w:type="dxa"/>
            <w:bottom w:w="15" w:type="dxa"/>
            <w:right w:w="15" w:type="dxa"/>
          </w:tblCellMar>
        </w:tblPrEx>
        <w:tc>
          <w:tcPr>
            <w:tcW w:w="108" w:type="dxa"/>
            <w:vAlign w:val="center"/>
          </w:tcPr>
          <w:p w14:paraId="30CA87A1" w14:textId="572904CD" w:rsidR="00A11912" w:rsidRPr="00FB229F" w:rsidRDefault="00A11912" w:rsidP="00C65724">
            <w:pPr>
              <w:jc w:val="center"/>
              <w:rPr>
                <w:rFonts w:ascii="Arial Narrow" w:hAnsi="Arial Narrow"/>
                <w:color w:val="333333"/>
                <w:sz w:val="20"/>
                <w:szCs w:val="20"/>
              </w:rPr>
            </w:pPr>
          </w:p>
        </w:tc>
        <w:tc>
          <w:tcPr>
            <w:tcW w:w="8959" w:type="dxa"/>
            <w:gridSpan w:val="7"/>
            <w:vAlign w:val="center"/>
          </w:tcPr>
          <w:p w14:paraId="64C1F90A" w14:textId="77777777" w:rsidR="00A11912" w:rsidRPr="00FB229F" w:rsidRDefault="00A11912" w:rsidP="00C65724">
            <w:pPr>
              <w:autoSpaceDE w:val="0"/>
              <w:autoSpaceDN w:val="0"/>
              <w:adjustRightInd w:val="0"/>
              <w:rPr>
                <w:rFonts w:ascii="Arial Narrow" w:eastAsia="Calibri" w:hAnsi="Arial Narrow"/>
                <w:bCs/>
                <w:i/>
                <w:iCs/>
                <w:sz w:val="20"/>
                <w:szCs w:val="20"/>
              </w:rPr>
            </w:pPr>
            <w:r w:rsidRPr="00FB229F">
              <w:rPr>
                <w:rFonts w:ascii="Arial Narrow" w:hAnsi="Arial Narrow"/>
                <w:b/>
                <w:bCs/>
                <w:i/>
                <w:iCs/>
                <w:sz w:val="20"/>
                <w:szCs w:val="20"/>
              </w:rPr>
              <w:t xml:space="preserve">Administrative Advice: </w:t>
            </w:r>
            <w:r w:rsidRPr="00FB229F">
              <w:rPr>
                <w:rFonts w:ascii="Arial Narrow" w:hAnsi="Arial Narrow"/>
                <w:i/>
                <w:iCs/>
                <w:sz w:val="20"/>
                <w:szCs w:val="20"/>
              </w:rPr>
              <w:t>No increase in the maximum quantity or number of units may be authorised.</w:t>
            </w:r>
          </w:p>
        </w:tc>
      </w:tr>
      <w:tr w:rsidR="00A11912" w:rsidRPr="00FB229F" w14:paraId="68558743" w14:textId="77777777" w:rsidTr="00166045">
        <w:tblPrEx>
          <w:tblCellMar>
            <w:top w:w="15" w:type="dxa"/>
            <w:left w:w="15" w:type="dxa"/>
            <w:bottom w:w="15" w:type="dxa"/>
            <w:right w:w="15" w:type="dxa"/>
          </w:tblCellMar>
        </w:tblPrEx>
        <w:tc>
          <w:tcPr>
            <w:tcW w:w="108" w:type="dxa"/>
            <w:vAlign w:val="center"/>
          </w:tcPr>
          <w:p w14:paraId="28A9E9C3" w14:textId="615F75FE" w:rsidR="00A11912" w:rsidRPr="00FB229F" w:rsidRDefault="00A11912" w:rsidP="00C65724">
            <w:pPr>
              <w:jc w:val="center"/>
              <w:rPr>
                <w:rFonts w:ascii="Arial Narrow" w:hAnsi="Arial Narrow"/>
                <w:color w:val="333333"/>
                <w:sz w:val="20"/>
                <w:szCs w:val="20"/>
              </w:rPr>
            </w:pPr>
          </w:p>
        </w:tc>
        <w:tc>
          <w:tcPr>
            <w:tcW w:w="8959" w:type="dxa"/>
            <w:gridSpan w:val="7"/>
            <w:vAlign w:val="center"/>
          </w:tcPr>
          <w:p w14:paraId="197994FE" w14:textId="77777777" w:rsidR="00A11912" w:rsidRPr="00FB229F" w:rsidRDefault="00A11912" w:rsidP="00C65724">
            <w:pPr>
              <w:autoSpaceDE w:val="0"/>
              <w:autoSpaceDN w:val="0"/>
              <w:adjustRightInd w:val="0"/>
              <w:rPr>
                <w:rFonts w:ascii="Arial Narrow" w:eastAsia="Calibri" w:hAnsi="Arial Narrow"/>
                <w:bCs/>
                <w:i/>
                <w:iCs/>
                <w:sz w:val="20"/>
                <w:szCs w:val="20"/>
              </w:rPr>
            </w:pPr>
            <w:r w:rsidRPr="00FB229F">
              <w:rPr>
                <w:rFonts w:ascii="Arial Narrow" w:hAnsi="Arial Narrow"/>
                <w:b/>
                <w:bCs/>
                <w:i/>
                <w:iCs/>
                <w:sz w:val="20"/>
                <w:szCs w:val="20"/>
              </w:rPr>
              <w:t xml:space="preserve">Administrative Advice: </w:t>
            </w:r>
            <w:r w:rsidRPr="00FB229F">
              <w:rPr>
                <w:rFonts w:ascii="Arial Narrow" w:hAnsi="Arial Narrow"/>
                <w:i/>
                <w:iCs/>
                <w:sz w:val="20"/>
                <w:szCs w:val="20"/>
              </w:rPr>
              <w:t>No increase in the maximum number of repeats may be authorised</w:t>
            </w:r>
          </w:p>
        </w:tc>
      </w:tr>
    </w:tbl>
    <w:bookmarkEnd w:id="10"/>
    <w:p w14:paraId="3432F343" w14:textId="7C4C7A13" w:rsidR="00A11912" w:rsidRPr="00FB229F" w:rsidRDefault="004156B8" w:rsidP="004156B8">
      <w:pPr>
        <w:pStyle w:val="3-BodyText"/>
        <w:numPr>
          <w:ilvl w:val="0"/>
          <w:numId w:val="0"/>
        </w:numPr>
      </w:pPr>
      <w:r w:rsidRPr="00FB229F">
        <w:rPr>
          <w:rFonts w:ascii="Arial Narrow" w:hAnsi="Arial Narrow"/>
          <w:sz w:val="18"/>
          <w:szCs w:val="18"/>
          <w:vertAlign w:val="superscript"/>
        </w:rPr>
        <w:t xml:space="preserve">a </w:t>
      </w:r>
      <w:r w:rsidRPr="00FB229F">
        <w:rPr>
          <w:rFonts w:ascii="Arial Narrow" w:hAnsi="Arial Narrow"/>
          <w:sz w:val="18"/>
          <w:szCs w:val="18"/>
        </w:rPr>
        <w:t>The dispensed price for selpercatinib 40 mg x 56 capsules used in the economic analysis and financial analysis was $</w:t>
      </w:r>
      <w:r w:rsidR="00816BFB" w:rsidRPr="00543276">
        <w:rPr>
          <w:rFonts w:ascii="Arial Narrow" w:hAnsi="Arial Narrow"/>
          <w:spacing w:val="10"/>
          <w:sz w:val="18"/>
          <w:szCs w:val="18"/>
          <w:highlight w:val="black"/>
          <w:fitText w:val="288" w:id="-1167881214"/>
        </w:rPr>
        <w:t>||  |</w:t>
      </w:r>
      <w:r w:rsidR="00816BFB" w:rsidRPr="00543276">
        <w:rPr>
          <w:rFonts w:ascii="Arial Narrow" w:hAnsi="Arial Narrow"/>
          <w:spacing w:val="3"/>
          <w:sz w:val="18"/>
          <w:szCs w:val="18"/>
          <w:highlight w:val="black"/>
          <w:fitText w:val="288" w:id="-1167881214"/>
        </w:rPr>
        <w:t>|</w:t>
      </w:r>
      <w:r w:rsidRPr="00FB229F">
        <w:rPr>
          <w:rFonts w:ascii="Arial Narrow" w:hAnsi="Arial Narrow"/>
          <w:sz w:val="18"/>
          <w:szCs w:val="18"/>
        </w:rPr>
        <w:t xml:space="preserve"> per pack</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3119"/>
        <w:gridCol w:w="1276"/>
        <w:gridCol w:w="992"/>
        <w:gridCol w:w="850"/>
        <w:gridCol w:w="851"/>
        <w:gridCol w:w="850"/>
        <w:gridCol w:w="1021"/>
      </w:tblGrid>
      <w:tr w:rsidR="00A11912" w:rsidRPr="005B1BA8" w14:paraId="2D8DB59B" w14:textId="77777777" w:rsidTr="002565C0">
        <w:trPr>
          <w:cantSplit/>
          <w:trHeight w:val="471"/>
        </w:trPr>
        <w:tc>
          <w:tcPr>
            <w:tcW w:w="9067" w:type="dxa"/>
            <w:gridSpan w:val="8"/>
          </w:tcPr>
          <w:p w14:paraId="21AB324D" w14:textId="77777777" w:rsidR="00A11912" w:rsidRPr="00C65724" w:rsidRDefault="00A11912" w:rsidP="00C65724">
            <w:pPr>
              <w:ind w:left="-57"/>
              <w:rPr>
                <w:rFonts w:ascii="Arial Narrow" w:eastAsia="Calibri" w:hAnsi="Arial Narrow"/>
                <w:sz w:val="20"/>
                <w:szCs w:val="20"/>
              </w:rPr>
            </w:pPr>
            <w:r w:rsidRPr="00C65724">
              <w:rPr>
                <w:rFonts w:ascii="Arial Narrow" w:eastAsia="Calibri" w:hAnsi="Arial Narrow"/>
                <w:b/>
                <w:sz w:val="20"/>
                <w:szCs w:val="20"/>
              </w:rPr>
              <w:t xml:space="preserve">Category / Program:   </w:t>
            </w:r>
            <w:r w:rsidRPr="00C65724">
              <w:rPr>
                <w:rFonts w:ascii="Arial Narrow" w:eastAsia="Calibri" w:hAnsi="Arial Narrow"/>
                <w:sz w:val="20"/>
                <w:szCs w:val="20"/>
              </w:rPr>
              <w:t>GENERAL – General Schedule (Code GE)</w:t>
            </w:r>
          </w:p>
          <w:p w14:paraId="3FB56919" w14:textId="77777777" w:rsidR="00A11912" w:rsidRPr="00C65724" w:rsidRDefault="00A11912" w:rsidP="00C65724">
            <w:pPr>
              <w:ind w:left="-57"/>
              <w:rPr>
                <w:rFonts w:ascii="Arial Narrow" w:eastAsia="Calibri" w:hAnsi="Arial Narrow"/>
                <w:b/>
                <w:sz w:val="20"/>
                <w:szCs w:val="20"/>
              </w:rPr>
            </w:pPr>
          </w:p>
        </w:tc>
      </w:tr>
      <w:tr w:rsidR="004156B8" w:rsidRPr="005B1BA8" w14:paraId="2EEE8824" w14:textId="77777777" w:rsidTr="004156B8">
        <w:trPr>
          <w:cantSplit/>
          <w:trHeight w:val="471"/>
        </w:trPr>
        <w:tc>
          <w:tcPr>
            <w:tcW w:w="3227" w:type="dxa"/>
            <w:gridSpan w:val="2"/>
          </w:tcPr>
          <w:p w14:paraId="7183CFD4" w14:textId="77777777" w:rsidR="004156B8" w:rsidRPr="00C65724" w:rsidRDefault="004156B8" w:rsidP="00C65724">
            <w:pPr>
              <w:keepNext/>
              <w:ind w:left="-57"/>
              <w:rPr>
                <w:rFonts w:ascii="Arial Narrow" w:eastAsia="Calibri" w:hAnsi="Arial Narrow"/>
                <w:b/>
                <w:bCs/>
                <w:sz w:val="20"/>
                <w:szCs w:val="20"/>
              </w:rPr>
            </w:pPr>
            <w:r w:rsidRPr="00C65724">
              <w:rPr>
                <w:rFonts w:ascii="Arial Narrow" w:eastAsia="Calibri" w:hAnsi="Arial Narrow"/>
                <w:b/>
                <w:bCs/>
                <w:sz w:val="20"/>
                <w:szCs w:val="20"/>
              </w:rPr>
              <w:t>MEDICINAL PRODUCT</w:t>
            </w:r>
          </w:p>
          <w:p w14:paraId="390BB0E5" w14:textId="68C8DF31" w:rsidR="004156B8" w:rsidRPr="00C65724" w:rsidRDefault="004156B8" w:rsidP="00C65724">
            <w:pPr>
              <w:keepNext/>
              <w:ind w:left="-57"/>
              <w:rPr>
                <w:rFonts w:ascii="Arial Narrow" w:eastAsia="Calibri" w:hAnsi="Arial Narrow"/>
                <w:b/>
                <w:bCs/>
                <w:sz w:val="20"/>
                <w:szCs w:val="20"/>
              </w:rPr>
            </w:pPr>
            <w:r w:rsidRPr="00C65724">
              <w:rPr>
                <w:rFonts w:ascii="Arial Narrow" w:eastAsia="Calibri" w:hAnsi="Arial Narrow"/>
                <w:b/>
                <w:bCs/>
                <w:sz w:val="20"/>
                <w:szCs w:val="20"/>
              </w:rPr>
              <w:t>medicinal product pack</w:t>
            </w:r>
          </w:p>
        </w:tc>
        <w:tc>
          <w:tcPr>
            <w:tcW w:w="1276" w:type="dxa"/>
          </w:tcPr>
          <w:p w14:paraId="3DE1FD4F" w14:textId="3AE39ADC" w:rsidR="004156B8" w:rsidRPr="00C65724" w:rsidRDefault="004156B8" w:rsidP="00C65724">
            <w:pPr>
              <w:keepNext/>
              <w:ind w:left="-57"/>
              <w:jc w:val="center"/>
              <w:rPr>
                <w:rFonts w:ascii="Arial Narrow" w:eastAsia="Calibri" w:hAnsi="Arial Narrow"/>
                <w:b/>
                <w:sz w:val="20"/>
                <w:szCs w:val="20"/>
              </w:rPr>
            </w:pPr>
            <w:r w:rsidRPr="00C65724">
              <w:rPr>
                <w:rFonts w:ascii="Arial Narrow" w:eastAsia="Calibri" w:hAnsi="Arial Narrow"/>
                <w:b/>
                <w:sz w:val="20"/>
                <w:szCs w:val="20"/>
              </w:rPr>
              <w:t>Dispensed Price for Max. Qty</w:t>
            </w:r>
          </w:p>
        </w:tc>
        <w:tc>
          <w:tcPr>
            <w:tcW w:w="992" w:type="dxa"/>
          </w:tcPr>
          <w:p w14:paraId="21BF8AB4" w14:textId="77777777" w:rsidR="004156B8" w:rsidRPr="00C65724" w:rsidRDefault="004156B8" w:rsidP="00C65724">
            <w:pPr>
              <w:keepNext/>
              <w:ind w:left="-57"/>
              <w:jc w:val="center"/>
              <w:rPr>
                <w:rFonts w:ascii="Arial Narrow" w:eastAsia="Calibri" w:hAnsi="Arial Narrow"/>
                <w:b/>
                <w:sz w:val="20"/>
                <w:szCs w:val="20"/>
              </w:rPr>
            </w:pPr>
            <w:r w:rsidRPr="00C65724">
              <w:rPr>
                <w:rFonts w:ascii="Arial Narrow" w:eastAsia="Calibri" w:hAnsi="Arial Narrow"/>
                <w:b/>
                <w:sz w:val="20"/>
                <w:szCs w:val="20"/>
              </w:rPr>
              <w:t>PBS item code</w:t>
            </w:r>
          </w:p>
        </w:tc>
        <w:tc>
          <w:tcPr>
            <w:tcW w:w="850" w:type="dxa"/>
          </w:tcPr>
          <w:p w14:paraId="4C38EE69" w14:textId="77777777" w:rsidR="004156B8" w:rsidRPr="00C65724" w:rsidRDefault="004156B8" w:rsidP="00C65724">
            <w:pPr>
              <w:keepNext/>
              <w:ind w:left="-57"/>
              <w:jc w:val="center"/>
              <w:rPr>
                <w:rFonts w:ascii="Arial Narrow" w:eastAsia="Calibri" w:hAnsi="Arial Narrow"/>
                <w:b/>
                <w:sz w:val="20"/>
                <w:szCs w:val="20"/>
              </w:rPr>
            </w:pPr>
            <w:r w:rsidRPr="00C65724">
              <w:rPr>
                <w:rFonts w:ascii="Arial Narrow" w:eastAsia="Calibri" w:hAnsi="Arial Narrow"/>
                <w:b/>
                <w:sz w:val="20"/>
                <w:szCs w:val="20"/>
              </w:rPr>
              <w:t>Max. qty packs</w:t>
            </w:r>
          </w:p>
        </w:tc>
        <w:tc>
          <w:tcPr>
            <w:tcW w:w="851" w:type="dxa"/>
          </w:tcPr>
          <w:p w14:paraId="3F1F15E0" w14:textId="77777777" w:rsidR="004156B8" w:rsidRPr="00C65724" w:rsidRDefault="004156B8" w:rsidP="00C65724">
            <w:pPr>
              <w:keepNext/>
              <w:ind w:left="-57"/>
              <w:jc w:val="center"/>
              <w:rPr>
                <w:rFonts w:ascii="Arial Narrow" w:eastAsia="Calibri" w:hAnsi="Arial Narrow"/>
                <w:b/>
                <w:sz w:val="20"/>
                <w:szCs w:val="20"/>
              </w:rPr>
            </w:pPr>
            <w:r w:rsidRPr="00C65724">
              <w:rPr>
                <w:rFonts w:ascii="Arial Narrow" w:eastAsia="Calibri" w:hAnsi="Arial Narrow"/>
                <w:b/>
                <w:sz w:val="20"/>
                <w:szCs w:val="20"/>
              </w:rPr>
              <w:t>Max. qty units</w:t>
            </w:r>
          </w:p>
        </w:tc>
        <w:tc>
          <w:tcPr>
            <w:tcW w:w="850" w:type="dxa"/>
          </w:tcPr>
          <w:p w14:paraId="26970326" w14:textId="77777777" w:rsidR="004156B8" w:rsidRPr="00C65724" w:rsidRDefault="004156B8" w:rsidP="00C65724">
            <w:pPr>
              <w:keepNext/>
              <w:ind w:left="-57"/>
              <w:jc w:val="center"/>
              <w:rPr>
                <w:rFonts w:ascii="Arial Narrow" w:eastAsia="Calibri" w:hAnsi="Arial Narrow"/>
                <w:b/>
                <w:sz w:val="20"/>
                <w:szCs w:val="20"/>
              </w:rPr>
            </w:pPr>
            <w:r w:rsidRPr="00C65724">
              <w:rPr>
                <w:rFonts w:ascii="Arial Narrow" w:eastAsia="Calibri" w:hAnsi="Arial Narrow"/>
                <w:b/>
                <w:sz w:val="20"/>
                <w:szCs w:val="20"/>
              </w:rPr>
              <w:t>№.of</w:t>
            </w:r>
          </w:p>
          <w:p w14:paraId="0A609B4E" w14:textId="77777777" w:rsidR="004156B8" w:rsidRPr="00C65724" w:rsidRDefault="004156B8" w:rsidP="00C65724">
            <w:pPr>
              <w:keepNext/>
              <w:ind w:left="-57"/>
              <w:jc w:val="center"/>
              <w:rPr>
                <w:rFonts w:ascii="Arial Narrow" w:eastAsia="Calibri" w:hAnsi="Arial Narrow"/>
                <w:b/>
                <w:sz w:val="20"/>
                <w:szCs w:val="20"/>
              </w:rPr>
            </w:pPr>
            <w:r w:rsidRPr="00C65724">
              <w:rPr>
                <w:rFonts w:ascii="Arial Narrow" w:eastAsia="Calibri" w:hAnsi="Arial Narrow"/>
                <w:b/>
                <w:sz w:val="20"/>
                <w:szCs w:val="20"/>
              </w:rPr>
              <w:t>Rpts</w:t>
            </w:r>
          </w:p>
        </w:tc>
        <w:tc>
          <w:tcPr>
            <w:tcW w:w="1021" w:type="dxa"/>
          </w:tcPr>
          <w:p w14:paraId="3732B24A" w14:textId="77777777" w:rsidR="004156B8" w:rsidRPr="00C65724" w:rsidRDefault="004156B8" w:rsidP="00C65724">
            <w:pPr>
              <w:keepNext/>
              <w:ind w:left="-57"/>
              <w:rPr>
                <w:rFonts w:ascii="Arial Narrow" w:eastAsia="Calibri" w:hAnsi="Arial Narrow"/>
                <w:b/>
                <w:sz w:val="20"/>
                <w:szCs w:val="20"/>
              </w:rPr>
            </w:pPr>
            <w:r w:rsidRPr="00C65724">
              <w:rPr>
                <w:rFonts w:ascii="Arial Narrow" w:eastAsia="Calibri" w:hAnsi="Arial Narrow"/>
                <w:b/>
                <w:sz w:val="20"/>
                <w:szCs w:val="20"/>
              </w:rPr>
              <w:t>Available brands</w:t>
            </w:r>
          </w:p>
        </w:tc>
      </w:tr>
      <w:tr w:rsidR="00A11912" w:rsidRPr="005B1BA8" w14:paraId="1037083F" w14:textId="77777777" w:rsidTr="002565C0">
        <w:trPr>
          <w:cantSplit/>
          <w:trHeight w:val="224"/>
        </w:trPr>
        <w:tc>
          <w:tcPr>
            <w:tcW w:w="9067" w:type="dxa"/>
            <w:gridSpan w:val="8"/>
          </w:tcPr>
          <w:p w14:paraId="0FE99CF4" w14:textId="77777777" w:rsidR="00A11912" w:rsidRPr="00C65724" w:rsidRDefault="00A11912" w:rsidP="00C65724">
            <w:pPr>
              <w:keepNext/>
              <w:ind w:left="-57"/>
              <w:rPr>
                <w:rFonts w:ascii="Arial Narrow" w:eastAsia="Calibri" w:hAnsi="Arial Narrow"/>
                <w:sz w:val="20"/>
                <w:szCs w:val="20"/>
              </w:rPr>
            </w:pPr>
            <w:r w:rsidRPr="00C65724">
              <w:rPr>
                <w:rFonts w:ascii="Arial Narrow" w:eastAsia="Calibri" w:hAnsi="Arial Narrow"/>
                <w:sz w:val="20"/>
                <w:szCs w:val="20"/>
              </w:rPr>
              <w:t xml:space="preserve">SELPERCATINIB </w:t>
            </w:r>
          </w:p>
        </w:tc>
      </w:tr>
      <w:tr w:rsidR="00AF543D" w:rsidRPr="005B1BA8" w14:paraId="3C782231" w14:textId="77777777" w:rsidTr="00AF543D">
        <w:trPr>
          <w:cantSplit/>
          <w:trHeight w:val="553"/>
        </w:trPr>
        <w:tc>
          <w:tcPr>
            <w:tcW w:w="3227" w:type="dxa"/>
            <w:gridSpan w:val="2"/>
          </w:tcPr>
          <w:p w14:paraId="1982BD99" w14:textId="77777777" w:rsidR="00AF543D" w:rsidRPr="00C65724" w:rsidRDefault="00AF543D" w:rsidP="00C65724">
            <w:pPr>
              <w:keepNext/>
              <w:ind w:left="-57"/>
              <w:rPr>
                <w:rFonts w:ascii="Arial Narrow" w:eastAsia="Calibri" w:hAnsi="Arial Narrow"/>
                <w:sz w:val="20"/>
                <w:szCs w:val="20"/>
              </w:rPr>
            </w:pPr>
            <w:r w:rsidRPr="00C65724">
              <w:rPr>
                <w:rFonts w:ascii="Arial Narrow" w:eastAsia="Calibri" w:hAnsi="Arial Narrow"/>
                <w:sz w:val="20"/>
                <w:szCs w:val="20"/>
              </w:rPr>
              <w:t>selpercatinib 80 mg modified release capsule, 56</w:t>
            </w:r>
          </w:p>
        </w:tc>
        <w:tc>
          <w:tcPr>
            <w:tcW w:w="1276" w:type="dxa"/>
          </w:tcPr>
          <w:p w14:paraId="2A4416EE" w14:textId="33A30070" w:rsidR="00AF543D" w:rsidRPr="00C65724" w:rsidRDefault="00AF543D" w:rsidP="00C65724">
            <w:pPr>
              <w:keepNext/>
              <w:ind w:left="-57"/>
              <w:jc w:val="center"/>
              <w:rPr>
                <w:rFonts w:ascii="Arial Narrow" w:eastAsia="Calibri" w:hAnsi="Arial Narrow"/>
                <w:sz w:val="20"/>
                <w:szCs w:val="20"/>
              </w:rPr>
            </w:pPr>
            <w:r w:rsidRPr="00C65724">
              <w:rPr>
                <w:rFonts w:ascii="Arial Narrow" w:eastAsia="Calibri" w:hAnsi="Arial Narrow"/>
                <w:sz w:val="20"/>
                <w:szCs w:val="20"/>
              </w:rPr>
              <w:t>$</w:t>
            </w:r>
            <w:r w:rsidR="00816BFB" w:rsidRPr="00543276">
              <w:rPr>
                <w:rFonts w:ascii="Arial Narrow" w:eastAsia="Calibri" w:hAnsi="Arial Narrow" w:hint="eastAsia"/>
                <w:w w:val="18"/>
                <w:sz w:val="20"/>
                <w:szCs w:val="20"/>
                <w:highlight w:val="black"/>
                <w:fitText w:val="81" w:id="-1167881213"/>
              </w:rPr>
              <w:t xml:space="preserve">　</w:t>
            </w:r>
            <w:r w:rsidR="00816BFB" w:rsidRPr="00543276">
              <w:rPr>
                <w:rFonts w:ascii="Arial Narrow" w:eastAsia="Calibri" w:hAnsi="Arial Narrow"/>
                <w:w w:val="18"/>
                <w:sz w:val="20"/>
                <w:szCs w:val="20"/>
                <w:highlight w:val="black"/>
                <w:fitText w:val="81" w:id="-1167881213"/>
              </w:rPr>
              <w:t>|</w:t>
            </w:r>
            <w:r w:rsidR="00816BFB" w:rsidRPr="00543276">
              <w:rPr>
                <w:rFonts w:ascii="Arial Narrow" w:eastAsia="Calibri" w:hAnsi="Arial Narrow" w:hint="eastAsia"/>
                <w:w w:val="18"/>
                <w:sz w:val="20"/>
                <w:szCs w:val="20"/>
                <w:highlight w:val="black"/>
                <w:fitText w:val="81" w:id="-1167881213"/>
              </w:rPr>
              <w:t xml:space="preserve">　</w:t>
            </w:r>
          </w:p>
        </w:tc>
        <w:tc>
          <w:tcPr>
            <w:tcW w:w="992" w:type="dxa"/>
          </w:tcPr>
          <w:p w14:paraId="11306B3A" w14:textId="77777777" w:rsidR="00AF543D" w:rsidRPr="00C65724" w:rsidRDefault="00AF543D" w:rsidP="00C65724">
            <w:pPr>
              <w:keepNext/>
              <w:ind w:left="-57"/>
              <w:jc w:val="center"/>
              <w:rPr>
                <w:rFonts w:ascii="Arial Narrow" w:eastAsia="Calibri" w:hAnsi="Arial Narrow"/>
                <w:sz w:val="20"/>
                <w:szCs w:val="20"/>
              </w:rPr>
            </w:pPr>
            <w:r w:rsidRPr="00C65724">
              <w:rPr>
                <w:rFonts w:ascii="Arial Narrow" w:eastAsia="Calibri" w:hAnsi="Arial Narrow"/>
                <w:sz w:val="20"/>
                <w:szCs w:val="20"/>
              </w:rPr>
              <w:t>NEW 3</w:t>
            </w:r>
          </w:p>
          <w:p w14:paraId="098E3D7B" w14:textId="77777777" w:rsidR="00AF543D" w:rsidRPr="00C65724" w:rsidRDefault="00AF543D" w:rsidP="00C65724">
            <w:pPr>
              <w:keepNext/>
              <w:ind w:left="-57"/>
              <w:jc w:val="center"/>
              <w:rPr>
                <w:rFonts w:ascii="Arial Narrow" w:eastAsia="Calibri" w:hAnsi="Arial Narrow"/>
                <w:sz w:val="20"/>
                <w:szCs w:val="20"/>
                <w:vertAlign w:val="subscript"/>
              </w:rPr>
            </w:pPr>
            <w:r w:rsidRPr="00C65724">
              <w:rPr>
                <w:rFonts w:ascii="Arial Narrow" w:eastAsia="Calibri" w:hAnsi="Arial Narrow"/>
                <w:sz w:val="20"/>
                <w:szCs w:val="20"/>
                <w:vertAlign w:val="subscript"/>
              </w:rPr>
              <w:t>MP</w:t>
            </w:r>
          </w:p>
        </w:tc>
        <w:tc>
          <w:tcPr>
            <w:tcW w:w="850" w:type="dxa"/>
          </w:tcPr>
          <w:p w14:paraId="30D94E02" w14:textId="77777777" w:rsidR="00AF543D" w:rsidRPr="00C65724" w:rsidRDefault="00AF543D" w:rsidP="00C65724">
            <w:pPr>
              <w:keepNext/>
              <w:ind w:left="-57"/>
              <w:jc w:val="center"/>
              <w:rPr>
                <w:rFonts w:ascii="Arial Narrow" w:eastAsia="Calibri" w:hAnsi="Arial Narrow"/>
                <w:sz w:val="20"/>
                <w:szCs w:val="20"/>
              </w:rPr>
            </w:pPr>
            <w:r w:rsidRPr="00C65724">
              <w:rPr>
                <w:rFonts w:ascii="Arial Narrow" w:eastAsia="Calibri" w:hAnsi="Arial Narrow"/>
                <w:sz w:val="20"/>
                <w:szCs w:val="20"/>
              </w:rPr>
              <w:t>1</w:t>
            </w:r>
          </w:p>
        </w:tc>
        <w:tc>
          <w:tcPr>
            <w:tcW w:w="851" w:type="dxa"/>
          </w:tcPr>
          <w:p w14:paraId="1B9270A8" w14:textId="77777777" w:rsidR="00AF543D" w:rsidRPr="00C65724" w:rsidRDefault="00AF543D" w:rsidP="00C65724">
            <w:pPr>
              <w:keepNext/>
              <w:ind w:left="-57"/>
              <w:jc w:val="center"/>
              <w:rPr>
                <w:rFonts w:ascii="Arial Narrow" w:eastAsia="Calibri" w:hAnsi="Arial Narrow"/>
                <w:sz w:val="20"/>
                <w:szCs w:val="20"/>
              </w:rPr>
            </w:pPr>
            <w:r w:rsidRPr="00C65724">
              <w:rPr>
                <w:rFonts w:ascii="Arial Narrow" w:eastAsia="Calibri" w:hAnsi="Arial Narrow"/>
                <w:sz w:val="20"/>
                <w:szCs w:val="20"/>
              </w:rPr>
              <w:t>56</w:t>
            </w:r>
          </w:p>
        </w:tc>
        <w:tc>
          <w:tcPr>
            <w:tcW w:w="850" w:type="dxa"/>
          </w:tcPr>
          <w:p w14:paraId="5BF88CE9" w14:textId="77777777" w:rsidR="00AF543D" w:rsidRPr="00C65724" w:rsidRDefault="00AF543D" w:rsidP="00C65724">
            <w:pPr>
              <w:keepNext/>
              <w:ind w:left="-57"/>
              <w:jc w:val="center"/>
              <w:rPr>
                <w:rFonts w:ascii="Arial Narrow" w:eastAsia="Calibri" w:hAnsi="Arial Narrow"/>
                <w:sz w:val="20"/>
                <w:szCs w:val="20"/>
              </w:rPr>
            </w:pPr>
            <w:r w:rsidRPr="00C65724">
              <w:rPr>
                <w:rFonts w:ascii="Arial Narrow" w:eastAsia="Calibri" w:hAnsi="Arial Narrow"/>
                <w:sz w:val="20"/>
                <w:szCs w:val="20"/>
              </w:rPr>
              <w:t>5</w:t>
            </w:r>
          </w:p>
        </w:tc>
        <w:tc>
          <w:tcPr>
            <w:tcW w:w="1021" w:type="dxa"/>
          </w:tcPr>
          <w:p w14:paraId="6942A31B" w14:textId="77777777" w:rsidR="00AF543D" w:rsidRPr="00C65724" w:rsidRDefault="00AF543D" w:rsidP="00C65724">
            <w:pPr>
              <w:keepNext/>
              <w:ind w:left="-57"/>
              <w:rPr>
                <w:rFonts w:ascii="Arial Narrow" w:eastAsia="Calibri" w:hAnsi="Arial Narrow"/>
                <w:sz w:val="20"/>
                <w:szCs w:val="20"/>
              </w:rPr>
            </w:pPr>
            <w:r w:rsidRPr="00C65724">
              <w:rPr>
                <w:rFonts w:ascii="Arial Narrow" w:eastAsia="Calibri" w:hAnsi="Arial Narrow"/>
                <w:sz w:val="20"/>
                <w:szCs w:val="20"/>
              </w:rPr>
              <w:t>Retevmo</w:t>
            </w:r>
          </w:p>
        </w:tc>
      </w:tr>
      <w:tr w:rsidR="00A11912" w:rsidRPr="005B1BA8" w14:paraId="7B7E351E" w14:textId="77777777" w:rsidTr="002565C0">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67C49468" w14:textId="77777777" w:rsidR="00A11912" w:rsidRPr="00C65724" w:rsidRDefault="00A11912" w:rsidP="00C65724">
            <w:pPr>
              <w:jc w:val="right"/>
              <w:rPr>
                <w:rFonts w:ascii="Arial Narrow" w:eastAsia="Calibri" w:hAnsi="Arial Narrow"/>
                <w:bCs/>
                <w:sz w:val="20"/>
                <w:szCs w:val="20"/>
              </w:rPr>
            </w:pPr>
            <w:r w:rsidRPr="00C65724">
              <w:rPr>
                <w:rFonts w:ascii="Arial Narrow" w:eastAsia="Calibri" w:hAnsi="Arial Narrow"/>
                <w:bCs/>
                <w:sz w:val="20"/>
                <w:szCs w:val="20"/>
              </w:rPr>
              <w:t>Safety Net rule penalty applies? Yes</w:t>
            </w:r>
          </w:p>
        </w:tc>
      </w:tr>
      <w:tr w:rsidR="00A11912" w:rsidRPr="005B1BA8" w14:paraId="3428BDAE" w14:textId="77777777" w:rsidTr="002565C0">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bottom w:val="single" w:sz="4" w:space="0" w:color="auto"/>
              <w:right w:val="single" w:sz="4" w:space="0" w:color="auto"/>
            </w:tcBorders>
          </w:tcPr>
          <w:p w14:paraId="33C8A9D9" w14:textId="77777777" w:rsidR="00A11912" w:rsidRPr="00C65724" w:rsidRDefault="00A11912" w:rsidP="00C65724">
            <w:pPr>
              <w:rPr>
                <w:rFonts w:ascii="Arial Narrow" w:eastAsia="Calibri" w:hAnsi="Arial Narrow"/>
                <w:b/>
                <w:sz w:val="20"/>
                <w:szCs w:val="20"/>
              </w:rPr>
            </w:pPr>
          </w:p>
        </w:tc>
      </w:tr>
      <w:tr w:rsidR="00A11912" w:rsidRPr="005B1BA8" w14:paraId="02C25DBE" w14:textId="77777777" w:rsidTr="002565C0">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1A017981" w14:textId="4AD603DB" w:rsidR="00A11912" w:rsidRPr="00C65724" w:rsidRDefault="00A11912" w:rsidP="00C65724">
            <w:pPr>
              <w:rPr>
                <w:rFonts w:ascii="Arial Narrow" w:hAnsi="Arial Narrow"/>
                <w:b/>
                <w:sz w:val="20"/>
                <w:szCs w:val="20"/>
              </w:rPr>
            </w:pPr>
            <w:r w:rsidRPr="00C65724">
              <w:rPr>
                <w:rFonts w:ascii="Arial Narrow" w:hAnsi="Arial Narrow"/>
                <w:b/>
                <w:sz w:val="20"/>
                <w:szCs w:val="20"/>
              </w:rPr>
              <w:t xml:space="preserve">Authority Required (STREAMLINED) </w:t>
            </w:r>
          </w:p>
          <w:p w14:paraId="459F13AB" w14:textId="77777777" w:rsidR="00A11912" w:rsidRPr="00C65724" w:rsidRDefault="00A11912" w:rsidP="00C65724">
            <w:pPr>
              <w:rPr>
                <w:rFonts w:ascii="Arial Narrow" w:hAnsi="Arial Narrow"/>
                <w:b/>
                <w:bCs/>
                <w:color w:val="333333"/>
                <w:sz w:val="20"/>
                <w:szCs w:val="20"/>
              </w:rPr>
            </w:pPr>
          </w:p>
        </w:tc>
      </w:tr>
      <w:tr w:rsidR="00A11912" w:rsidRPr="005B1BA8" w14:paraId="24A9EEC4" w14:textId="77777777" w:rsidTr="00816BFB">
        <w:tblPrEx>
          <w:tblCellMar>
            <w:top w:w="15" w:type="dxa"/>
            <w:left w:w="15" w:type="dxa"/>
            <w:bottom w:w="15" w:type="dxa"/>
            <w:right w:w="15" w:type="dxa"/>
          </w:tblCellMar>
        </w:tblPrEx>
        <w:tc>
          <w:tcPr>
            <w:tcW w:w="108" w:type="dxa"/>
            <w:vAlign w:val="center"/>
          </w:tcPr>
          <w:p w14:paraId="7592F499" w14:textId="0D6D7E62" w:rsidR="00A11912" w:rsidRPr="00C65724" w:rsidRDefault="00A11912" w:rsidP="00C65724">
            <w:pPr>
              <w:jc w:val="center"/>
              <w:rPr>
                <w:rFonts w:ascii="Arial Narrow" w:hAnsi="Arial Narrow"/>
                <w:color w:val="333333"/>
                <w:sz w:val="20"/>
                <w:szCs w:val="20"/>
              </w:rPr>
            </w:pPr>
          </w:p>
        </w:tc>
        <w:tc>
          <w:tcPr>
            <w:tcW w:w="8959" w:type="dxa"/>
            <w:gridSpan w:val="7"/>
            <w:vAlign w:val="center"/>
            <w:hideMark/>
          </w:tcPr>
          <w:p w14:paraId="21BE82BA" w14:textId="77777777" w:rsidR="00A11912" w:rsidRPr="00C65724" w:rsidRDefault="00A11912" w:rsidP="00C65724">
            <w:pPr>
              <w:rPr>
                <w:rFonts w:ascii="Arial Narrow" w:hAnsi="Arial Narrow"/>
                <w:i/>
                <w:iCs/>
                <w:color w:val="333333"/>
                <w:sz w:val="20"/>
                <w:szCs w:val="20"/>
              </w:rPr>
            </w:pPr>
            <w:r w:rsidRPr="00C65724">
              <w:rPr>
                <w:rFonts w:ascii="Arial Narrow" w:hAnsi="Arial Narrow"/>
                <w:b/>
                <w:bCs/>
                <w:i/>
                <w:iCs/>
                <w:color w:val="333333"/>
                <w:sz w:val="20"/>
                <w:szCs w:val="20"/>
              </w:rPr>
              <w:t>Indication:</w:t>
            </w:r>
            <w:r w:rsidRPr="00C65724">
              <w:rPr>
                <w:rFonts w:ascii="Arial Narrow" w:hAnsi="Arial Narrow"/>
                <w:i/>
                <w:iCs/>
                <w:color w:val="333333"/>
                <w:sz w:val="20"/>
                <w:szCs w:val="20"/>
              </w:rPr>
              <w:t xml:space="preserve"> Locally advanced or metastatic non-small cell lung cancer</w:t>
            </w:r>
          </w:p>
        </w:tc>
      </w:tr>
      <w:tr w:rsidR="00A11912" w:rsidRPr="005B1BA8" w14:paraId="12B89815" w14:textId="77777777" w:rsidTr="00816BFB">
        <w:tblPrEx>
          <w:tblCellMar>
            <w:top w:w="15" w:type="dxa"/>
            <w:left w:w="15" w:type="dxa"/>
            <w:bottom w:w="15" w:type="dxa"/>
            <w:right w:w="15" w:type="dxa"/>
          </w:tblCellMar>
        </w:tblPrEx>
        <w:tc>
          <w:tcPr>
            <w:tcW w:w="108" w:type="dxa"/>
            <w:vAlign w:val="center"/>
          </w:tcPr>
          <w:p w14:paraId="26399CD6" w14:textId="77777777" w:rsidR="00A11912" w:rsidRPr="00C65724" w:rsidRDefault="00A11912" w:rsidP="00C65724">
            <w:pPr>
              <w:jc w:val="center"/>
              <w:rPr>
                <w:rFonts w:ascii="Arial Narrow" w:hAnsi="Arial Narrow"/>
                <w:color w:val="333333"/>
                <w:sz w:val="20"/>
                <w:szCs w:val="20"/>
              </w:rPr>
            </w:pPr>
          </w:p>
        </w:tc>
        <w:tc>
          <w:tcPr>
            <w:tcW w:w="8959" w:type="dxa"/>
            <w:gridSpan w:val="7"/>
            <w:vAlign w:val="center"/>
          </w:tcPr>
          <w:p w14:paraId="0B428A19" w14:textId="77777777" w:rsidR="00A11912" w:rsidRPr="00C65724" w:rsidRDefault="00A11912" w:rsidP="00C65724">
            <w:pPr>
              <w:rPr>
                <w:rFonts w:ascii="Arial Narrow" w:hAnsi="Arial Narrow"/>
                <w:b/>
                <w:bCs/>
                <w:i/>
                <w:iCs/>
                <w:color w:val="333333"/>
                <w:sz w:val="20"/>
                <w:szCs w:val="20"/>
              </w:rPr>
            </w:pPr>
          </w:p>
        </w:tc>
      </w:tr>
      <w:tr w:rsidR="00A11912" w:rsidRPr="005B1BA8" w14:paraId="28B793ED" w14:textId="77777777" w:rsidTr="00816BFB">
        <w:tblPrEx>
          <w:tblCellMar>
            <w:top w:w="15" w:type="dxa"/>
            <w:left w:w="15" w:type="dxa"/>
            <w:bottom w:w="15" w:type="dxa"/>
            <w:right w:w="15" w:type="dxa"/>
          </w:tblCellMar>
        </w:tblPrEx>
        <w:tc>
          <w:tcPr>
            <w:tcW w:w="108" w:type="dxa"/>
            <w:vAlign w:val="center"/>
          </w:tcPr>
          <w:p w14:paraId="4EAF1D8B" w14:textId="77777777" w:rsidR="00A11912" w:rsidRPr="00C65724" w:rsidRDefault="00A11912" w:rsidP="00C65724">
            <w:pPr>
              <w:jc w:val="center"/>
              <w:rPr>
                <w:rFonts w:ascii="Arial Narrow" w:hAnsi="Arial Narrow"/>
                <w:color w:val="333333"/>
                <w:sz w:val="20"/>
                <w:szCs w:val="20"/>
              </w:rPr>
            </w:pPr>
          </w:p>
        </w:tc>
        <w:tc>
          <w:tcPr>
            <w:tcW w:w="8959" w:type="dxa"/>
            <w:gridSpan w:val="7"/>
            <w:vAlign w:val="center"/>
          </w:tcPr>
          <w:p w14:paraId="2F0D3504" w14:textId="77777777" w:rsidR="00A11912" w:rsidRPr="00C65724" w:rsidRDefault="00A11912" w:rsidP="00C65724">
            <w:pPr>
              <w:rPr>
                <w:rFonts w:ascii="Arial Narrow" w:hAnsi="Arial Narrow"/>
                <w:b/>
                <w:bCs/>
                <w:i/>
                <w:iCs/>
                <w:color w:val="333333"/>
                <w:sz w:val="20"/>
                <w:szCs w:val="20"/>
              </w:rPr>
            </w:pPr>
            <w:r w:rsidRPr="00C65724">
              <w:rPr>
                <w:rFonts w:ascii="Arial Narrow" w:hAnsi="Arial Narrow"/>
                <w:b/>
                <w:bCs/>
                <w:i/>
                <w:iCs/>
                <w:color w:val="333333"/>
                <w:sz w:val="20"/>
                <w:szCs w:val="20"/>
              </w:rPr>
              <w:t xml:space="preserve">Treatment phase: </w:t>
            </w:r>
            <w:r w:rsidRPr="00C65724">
              <w:rPr>
                <w:rFonts w:ascii="Arial Narrow" w:hAnsi="Arial Narrow"/>
                <w:i/>
                <w:iCs/>
                <w:color w:val="333333"/>
                <w:sz w:val="20"/>
                <w:szCs w:val="20"/>
              </w:rPr>
              <w:t>For dosing where the daily dose does not exceed 120 mg per day</w:t>
            </w:r>
          </w:p>
        </w:tc>
      </w:tr>
      <w:tr w:rsidR="00A11912" w:rsidRPr="005B1BA8" w14:paraId="33A80179" w14:textId="77777777" w:rsidTr="00816BFB">
        <w:tblPrEx>
          <w:tblCellMar>
            <w:top w:w="15" w:type="dxa"/>
            <w:left w:w="15" w:type="dxa"/>
            <w:bottom w:w="15" w:type="dxa"/>
            <w:right w:w="15" w:type="dxa"/>
          </w:tblCellMar>
        </w:tblPrEx>
        <w:tc>
          <w:tcPr>
            <w:tcW w:w="108" w:type="dxa"/>
            <w:vAlign w:val="center"/>
          </w:tcPr>
          <w:p w14:paraId="25B2AACA" w14:textId="77777777" w:rsidR="00A11912" w:rsidRPr="00C65724" w:rsidRDefault="00A11912" w:rsidP="00C65724">
            <w:pPr>
              <w:jc w:val="center"/>
              <w:rPr>
                <w:rFonts w:ascii="Arial Narrow" w:hAnsi="Arial Narrow"/>
                <w:color w:val="333333"/>
                <w:sz w:val="20"/>
                <w:szCs w:val="20"/>
              </w:rPr>
            </w:pPr>
          </w:p>
        </w:tc>
        <w:tc>
          <w:tcPr>
            <w:tcW w:w="8959" w:type="dxa"/>
            <w:gridSpan w:val="7"/>
            <w:vAlign w:val="center"/>
          </w:tcPr>
          <w:p w14:paraId="524EC9FE" w14:textId="77777777" w:rsidR="00A11912" w:rsidRPr="00C65724" w:rsidRDefault="00A11912" w:rsidP="00C65724">
            <w:pPr>
              <w:rPr>
                <w:rFonts w:ascii="Arial Narrow" w:hAnsi="Arial Narrow"/>
                <w:b/>
                <w:bCs/>
                <w:i/>
                <w:iCs/>
                <w:color w:val="333333"/>
                <w:sz w:val="20"/>
                <w:szCs w:val="20"/>
              </w:rPr>
            </w:pPr>
          </w:p>
        </w:tc>
      </w:tr>
      <w:tr w:rsidR="00A11912" w:rsidRPr="005B1BA8" w14:paraId="243350D9" w14:textId="77777777" w:rsidTr="00816BFB">
        <w:tblPrEx>
          <w:tblCellMar>
            <w:top w:w="15" w:type="dxa"/>
            <w:left w:w="15" w:type="dxa"/>
            <w:bottom w:w="15" w:type="dxa"/>
            <w:right w:w="15" w:type="dxa"/>
          </w:tblCellMar>
        </w:tblPrEx>
        <w:tc>
          <w:tcPr>
            <w:tcW w:w="108" w:type="dxa"/>
            <w:vAlign w:val="center"/>
          </w:tcPr>
          <w:p w14:paraId="4F4D3D86" w14:textId="73CB2922" w:rsidR="00A11912" w:rsidRPr="00C65724" w:rsidRDefault="00A11912" w:rsidP="00C65724">
            <w:pPr>
              <w:jc w:val="center"/>
              <w:rPr>
                <w:rFonts w:ascii="Arial Narrow" w:hAnsi="Arial Narrow"/>
                <w:color w:val="333333"/>
                <w:sz w:val="20"/>
                <w:szCs w:val="20"/>
              </w:rPr>
            </w:pPr>
          </w:p>
        </w:tc>
        <w:tc>
          <w:tcPr>
            <w:tcW w:w="8959" w:type="dxa"/>
            <w:gridSpan w:val="7"/>
            <w:vAlign w:val="center"/>
            <w:hideMark/>
          </w:tcPr>
          <w:p w14:paraId="613E0ADB" w14:textId="77777777" w:rsidR="00A11912" w:rsidRPr="00C65724" w:rsidRDefault="00A11912" w:rsidP="00C65724">
            <w:pPr>
              <w:rPr>
                <w:rFonts w:ascii="Arial Narrow" w:hAnsi="Arial Narrow"/>
                <w:i/>
                <w:iCs/>
                <w:color w:val="333333"/>
                <w:sz w:val="20"/>
                <w:szCs w:val="20"/>
              </w:rPr>
            </w:pPr>
            <w:r w:rsidRPr="00C65724">
              <w:rPr>
                <w:rFonts w:ascii="Arial Narrow" w:hAnsi="Arial Narrow"/>
                <w:b/>
                <w:bCs/>
                <w:i/>
                <w:iCs/>
                <w:color w:val="333333"/>
                <w:sz w:val="20"/>
                <w:szCs w:val="20"/>
              </w:rPr>
              <w:t>Clinical criteria:</w:t>
            </w:r>
          </w:p>
        </w:tc>
      </w:tr>
      <w:tr w:rsidR="00A11912" w:rsidRPr="005B1BA8" w14:paraId="4A6DD7EB" w14:textId="77777777" w:rsidTr="00816BFB">
        <w:tblPrEx>
          <w:tblCellMar>
            <w:top w:w="15" w:type="dxa"/>
            <w:left w:w="15" w:type="dxa"/>
            <w:bottom w:w="15" w:type="dxa"/>
            <w:right w:w="15" w:type="dxa"/>
          </w:tblCellMar>
        </w:tblPrEx>
        <w:tc>
          <w:tcPr>
            <w:tcW w:w="108" w:type="dxa"/>
            <w:vAlign w:val="center"/>
          </w:tcPr>
          <w:p w14:paraId="5FB14DC7" w14:textId="6499A2EF" w:rsidR="00A11912" w:rsidRPr="00C65724" w:rsidRDefault="00A11912" w:rsidP="00C65724">
            <w:pPr>
              <w:jc w:val="center"/>
              <w:rPr>
                <w:rFonts w:ascii="Arial Narrow" w:hAnsi="Arial Narrow"/>
                <w:i/>
                <w:iCs/>
                <w:color w:val="333333"/>
                <w:sz w:val="20"/>
                <w:szCs w:val="20"/>
              </w:rPr>
            </w:pPr>
          </w:p>
        </w:tc>
        <w:tc>
          <w:tcPr>
            <w:tcW w:w="8959" w:type="dxa"/>
            <w:gridSpan w:val="7"/>
            <w:vAlign w:val="center"/>
            <w:hideMark/>
          </w:tcPr>
          <w:p w14:paraId="3001A6EE" w14:textId="77777777" w:rsidR="00A11912" w:rsidRPr="00C65724" w:rsidRDefault="00A11912" w:rsidP="00C65724">
            <w:pPr>
              <w:rPr>
                <w:rFonts w:ascii="Arial Narrow" w:hAnsi="Arial Narrow"/>
                <w:i/>
                <w:iCs/>
                <w:color w:val="333333"/>
                <w:sz w:val="20"/>
                <w:szCs w:val="20"/>
              </w:rPr>
            </w:pPr>
            <w:r w:rsidRPr="00C65724">
              <w:rPr>
                <w:rFonts w:ascii="Arial Narrow" w:hAnsi="Arial Narrow" w:cs="Arial Narrow"/>
                <w:i/>
                <w:iCs/>
                <w:sz w:val="20"/>
                <w:szCs w:val="20"/>
              </w:rPr>
              <w:t xml:space="preserve">The condition must have evidence of rearranged during transfection (RET) gene fusion in tumour material – this evidence has been obtained prior to commencing this drug </w:t>
            </w:r>
          </w:p>
        </w:tc>
      </w:tr>
      <w:tr w:rsidR="00A11912" w:rsidRPr="005B1BA8" w14:paraId="7F70FE4F" w14:textId="77777777" w:rsidTr="00816BFB">
        <w:tblPrEx>
          <w:tblCellMar>
            <w:top w:w="15" w:type="dxa"/>
            <w:left w:w="15" w:type="dxa"/>
            <w:bottom w:w="15" w:type="dxa"/>
            <w:right w:w="15" w:type="dxa"/>
          </w:tblCellMar>
        </w:tblPrEx>
        <w:tc>
          <w:tcPr>
            <w:tcW w:w="108" w:type="dxa"/>
            <w:vAlign w:val="center"/>
          </w:tcPr>
          <w:p w14:paraId="73013BF1" w14:textId="77777777" w:rsidR="00A11912" w:rsidRPr="00C65724" w:rsidRDefault="00A11912" w:rsidP="00C65724">
            <w:pPr>
              <w:jc w:val="center"/>
              <w:rPr>
                <w:rFonts w:ascii="Arial Narrow" w:hAnsi="Arial Narrow"/>
                <w:color w:val="333333"/>
                <w:sz w:val="20"/>
                <w:szCs w:val="20"/>
              </w:rPr>
            </w:pPr>
          </w:p>
        </w:tc>
        <w:tc>
          <w:tcPr>
            <w:tcW w:w="8959" w:type="dxa"/>
            <w:gridSpan w:val="7"/>
            <w:vAlign w:val="center"/>
            <w:hideMark/>
          </w:tcPr>
          <w:p w14:paraId="11658A22" w14:textId="77777777" w:rsidR="00A11912" w:rsidRPr="00C65724" w:rsidRDefault="00A11912" w:rsidP="00C65724">
            <w:pPr>
              <w:rPr>
                <w:rFonts w:ascii="Arial Narrow" w:hAnsi="Arial Narrow"/>
                <w:i/>
                <w:iCs/>
                <w:color w:val="333333"/>
                <w:sz w:val="20"/>
                <w:szCs w:val="20"/>
              </w:rPr>
            </w:pPr>
            <w:r w:rsidRPr="00C65724">
              <w:rPr>
                <w:rFonts w:ascii="Arial Narrow" w:hAnsi="Arial Narrow"/>
                <w:b/>
                <w:bCs/>
                <w:i/>
                <w:iCs/>
                <w:color w:val="333333"/>
                <w:sz w:val="20"/>
                <w:szCs w:val="20"/>
              </w:rPr>
              <w:t>AND</w:t>
            </w:r>
          </w:p>
        </w:tc>
      </w:tr>
      <w:tr w:rsidR="00A11912" w:rsidRPr="005B1BA8" w14:paraId="58862D17" w14:textId="77777777" w:rsidTr="00816BFB">
        <w:tblPrEx>
          <w:tblCellMar>
            <w:top w:w="15" w:type="dxa"/>
            <w:left w:w="15" w:type="dxa"/>
            <w:bottom w:w="15" w:type="dxa"/>
            <w:right w:w="15" w:type="dxa"/>
          </w:tblCellMar>
        </w:tblPrEx>
        <w:tc>
          <w:tcPr>
            <w:tcW w:w="108" w:type="dxa"/>
            <w:vAlign w:val="center"/>
          </w:tcPr>
          <w:p w14:paraId="2CD9133D" w14:textId="2D2A78C0" w:rsidR="00A11912" w:rsidRPr="00C65724" w:rsidRDefault="00A11912" w:rsidP="00C65724">
            <w:pPr>
              <w:jc w:val="center"/>
              <w:rPr>
                <w:rFonts w:ascii="Arial Narrow" w:hAnsi="Arial Narrow"/>
                <w:color w:val="333333"/>
                <w:sz w:val="20"/>
                <w:szCs w:val="20"/>
              </w:rPr>
            </w:pPr>
          </w:p>
        </w:tc>
        <w:tc>
          <w:tcPr>
            <w:tcW w:w="8959" w:type="dxa"/>
            <w:gridSpan w:val="7"/>
            <w:vAlign w:val="center"/>
            <w:hideMark/>
          </w:tcPr>
          <w:p w14:paraId="1EC3CC6D" w14:textId="77777777" w:rsidR="00A11912" w:rsidRPr="00C65724" w:rsidRDefault="00A11912" w:rsidP="00C65724">
            <w:pPr>
              <w:rPr>
                <w:rFonts w:ascii="Arial Narrow" w:hAnsi="Arial Narrow"/>
                <w:i/>
                <w:iCs/>
                <w:color w:val="333333"/>
                <w:sz w:val="20"/>
                <w:szCs w:val="20"/>
              </w:rPr>
            </w:pPr>
            <w:r w:rsidRPr="00C65724">
              <w:rPr>
                <w:rFonts w:ascii="Arial Narrow" w:hAnsi="Arial Narrow"/>
                <w:b/>
                <w:bCs/>
                <w:i/>
                <w:iCs/>
                <w:color w:val="333333"/>
                <w:sz w:val="20"/>
                <w:szCs w:val="20"/>
              </w:rPr>
              <w:t>Clinical criteria:</w:t>
            </w:r>
          </w:p>
        </w:tc>
      </w:tr>
      <w:tr w:rsidR="00A11912" w:rsidRPr="005B1BA8" w14:paraId="315152AB" w14:textId="77777777" w:rsidTr="00816BFB">
        <w:tblPrEx>
          <w:tblCellMar>
            <w:top w:w="15" w:type="dxa"/>
            <w:left w:w="15" w:type="dxa"/>
            <w:bottom w:w="15" w:type="dxa"/>
            <w:right w:w="15" w:type="dxa"/>
          </w:tblCellMar>
        </w:tblPrEx>
        <w:tc>
          <w:tcPr>
            <w:tcW w:w="108" w:type="dxa"/>
            <w:vAlign w:val="center"/>
          </w:tcPr>
          <w:p w14:paraId="2E7CADBD" w14:textId="2A9E7F9C" w:rsidR="00A11912" w:rsidRPr="00C65724" w:rsidRDefault="00A11912" w:rsidP="00C65724">
            <w:pPr>
              <w:jc w:val="center"/>
              <w:rPr>
                <w:rFonts w:ascii="Arial Narrow" w:hAnsi="Arial Narrow"/>
                <w:color w:val="333333"/>
                <w:sz w:val="20"/>
                <w:szCs w:val="20"/>
              </w:rPr>
            </w:pPr>
          </w:p>
        </w:tc>
        <w:tc>
          <w:tcPr>
            <w:tcW w:w="8959" w:type="dxa"/>
            <w:gridSpan w:val="7"/>
            <w:vAlign w:val="center"/>
          </w:tcPr>
          <w:p w14:paraId="0021F219" w14:textId="77777777" w:rsidR="00A11912" w:rsidRPr="00C65724" w:rsidRDefault="00A11912" w:rsidP="00C65724">
            <w:pPr>
              <w:rPr>
                <w:rFonts w:ascii="Arial Narrow" w:hAnsi="Arial Narrow"/>
                <w:i/>
                <w:iCs/>
                <w:color w:val="333333"/>
                <w:sz w:val="20"/>
                <w:szCs w:val="20"/>
              </w:rPr>
            </w:pPr>
            <w:r w:rsidRPr="00C65724">
              <w:rPr>
                <w:rFonts w:ascii="Arial Narrow" w:hAnsi="Arial Narrow"/>
                <w:i/>
                <w:iCs/>
                <w:color w:val="333333"/>
                <w:sz w:val="20"/>
                <w:szCs w:val="20"/>
              </w:rPr>
              <w:t>Patient must have a World Health Organisation (WHO) Eastern Cooperative Oncology Group (ECOG) performance status score of no higher than 2 at treatment initiation</w:t>
            </w:r>
          </w:p>
        </w:tc>
      </w:tr>
      <w:tr w:rsidR="00A11912" w:rsidRPr="005B1BA8" w14:paraId="29BF4ECD" w14:textId="77777777" w:rsidTr="00816BFB">
        <w:tblPrEx>
          <w:tblCellMar>
            <w:top w:w="15" w:type="dxa"/>
            <w:left w:w="15" w:type="dxa"/>
            <w:bottom w:w="15" w:type="dxa"/>
            <w:right w:w="15" w:type="dxa"/>
          </w:tblCellMar>
        </w:tblPrEx>
        <w:tc>
          <w:tcPr>
            <w:tcW w:w="108" w:type="dxa"/>
            <w:vAlign w:val="center"/>
          </w:tcPr>
          <w:p w14:paraId="17DD3CB2" w14:textId="77777777" w:rsidR="00A11912" w:rsidRPr="00C65724" w:rsidRDefault="00A11912" w:rsidP="00C65724">
            <w:pPr>
              <w:jc w:val="center"/>
              <w:rPr>
                <w:rFonts w:ascii="Arial Narrow" w:hAnsi="Arial Narrow"/>
                <w:color w:val="333333"/>
                <w:sz w:val="20"/>
                <w:szCs w:val="20"/>
              </w:rPr>
            </w:pPr>
          </w:p>
        </w:tc>
        <w:tc>
          <w:tcPr>
            <w:tcW w:w="8959" w:type="dxa"/>
            <w:gridSpan w:val="7"/>
            <w:vAlign w:val="center"/>
            <w:hideMark/>
          </w:tcPr>
          <w:p w14:paraId="1D6E40F9" w14:textId="77777777" w:rsidR="00A11912" w:rsidRPr="00C65724" w:rsidRDefault="00A11912" w:rsidP="00C65724">
            <w:pPr>
              <w:rPr>
                <w:rFonts w:ascii="Arial Narrow" w:hAnsi="Arial Narrow"/>
                <w:i/>
                <w:iCs/>
                <w:color w:val="333333"/>
                <w:sz w:val="20"/>
                <w:szCs w:val="20"/>
              </w:rPr>
            </w:pPr>
            <w:r w:rsidRPr="00C65724">
              <w:rPr>
                <w:rFonts w:ascii="Arial Narrow" w:hAnsi="Arial Narrow"/>
                <w:b/>
                <w:bCs/>
                <w:i/>
                <w:iCs/>
                <w:color w:val="333333"/>
                <w:sz w:val="20"/>
                <w:szCs w:val="20"/>
              </w:rPr>
              <w:t>AND</w:t>
            </w:r>
          </w:p>
        </w:tc>
      </w:tr>
      <w:tr w:rsidR="00A11912" w:rsidRPr="005B1BA8" w14:paraId="2432B4AC" w14:textId="77777777" w:rsidTr="00816BFB">
        <w:tblPrEx>
          <w:tblCellMar>
            <w:top w:w="15" w:type="dxa"/>
            <w:left w:w="15" w:type="dxa"/>
            <w:bottom w:w="15" w:type="dxa"/>
            <w:right w:w="15" w:type="dxa"/>
          </w:tblCellMar>
        </w:tblPrEx>
        <w:tc>
          <w:tcPr>
            <w:tcW w:w="108" w:type="dxa"/>
            <w:vAlign w:val="center"/>
          </w:tcPr>
          <w:p w14:paraId="2B3EC6BF" w14:textId="68312422" w:rsidR="00A11912" w:rsidRPr="00C65724" w:rsidRDefault="00A11912" w:rsidP="00C65724">
            <w:pPr>
              <w:jc w:val="center"/>
              <w:rPr>
                <w:rFonts w:ascii="Arial Narrow" w:hAnsi="Arial Narrow"/>
                <w:color w:val="333333"/>
                <w:sz w:val="20"/>
                <w:szCs w:val="20"/>
              </w:rPr>
            </w:pPr>
          </w:p>
        </w:tc>
        <w:tc>
          <w:tcPr>
            <w:tcW w:w="8959" w:type="dxa"/>
            <w:gridSpan w:val="7"/>
            <w:vAlign w:val="center"/>
            <w:hideMark/>
          </w:tcPr>
          <w:p w14:paraId="225B50AD" w14:textId="77777777" w:rsidR="00A11912" w:rsidRPr="00C65724" w:rsidRDefault="00A11912" w:rsidP="00C65724">
            <w:pPr>
              <w:rPr>
                <w:rFonts w:ascii="Arial Narrow" w:hAnsi="Arial Narrow"/>
                <w:i/>
                <w:iCs/>
                <w:color w:val="333333"/>
                <w:sz w:val="20"/>
                <w:szCs w:val="20"/>
              </w:rPr>
            </w:pPr>
            <w:r w:rsidRPr="00C65724">
              <w:rPr>
                <w:rFonts w:ascii="Arial Narrow" w:hAnsi="Arial Narrow"/>
                <w:b/>
                <w:bCs/>
                <w:i/>
                <w:iCs/>
                <w:color w:val="333333"/>
                <w:sz w:val="20"/>
                <w:szCs w:val="20"/>
              </w:rPr>
              <w:t>Clinical criteria:</w:t>
            </w:r>
          </w:p>
        </w:tc>
      </w:tr>
      <w:tr w:rsidR="00A11912" w:rsidRPr="005B1BA8" w14:paraId="1C9EB0FC" w14:textId="77777777" w:rsidTr="00816BFB">
        <w:tblPrEx>
          <w:tblCellMar>
            <w:top w:w="15" w:type="dxa"/>
            <w:left w:w="15" w:type="dxa"/>
            <w:bottom w:w="15" w:type="dxa"/>
            <w:right w:w="15" w:type="dxa"/>
          </w:tblCellMar>
        </w:tblPrEx>
        <w:tc>
          <w:tcPr>
            <w:tcW w:w="108" w:type="dxa"/>
            <w:vAlign w:val="center"/>
          </w:tcPr>
          <w:p w14:paraId="4849EA53" w14:textId="4E961A6A" w:rsidR="00A11912" w:rsidRPr="00C65724" w:rsidRDefault="00A11912" w:rsidP="00C65724">
            <w:pPr>
              <w:jc w:val="center"/>
              <w:rPr>
                <w:rFonts w:ascii="Arial Narrow" w:hAnsi="Arial Narrow"/>
                <w:color w:val="333333"/>
                <w:sz w:val="20"/>
                <w:szCs w:val="20"/>
              </w:rPr>
            </w:pPr>
          </w:p>
        </w:tc>
        <w:tc>
          <w:tcPr>
            <w:tcW w:w="8959" w:type="dxa"/>
            <w:gridSpan w:val="7"/>
            <w:vAlign w:val="center"/>
            <w:hideMark/>
          </w:tcPr>
          <w:p w14:paraId="56AF42B3" w14:textId="77777777" w:rsidR="00A11912" w:rsidRPr="00C65724" w:rsidRDefault="00A11912" w:rsidP="00C65724">
            <w:pPr>
              <w:rPr>
                <w:rFonts w:ascii="Arial Narrow" w:hAnsi="Arial Narrow"/>
                <w:i/>
                <w:iCs/>
                <w:color w:val="333333"/>
                <w:sz w:val="20"/>
                <w:szCs w:val="20"/>
              </w:rPr>
            </w:pPr>
            <w:r w:rsidRPr="00C65724">
              <w:rPr>
                <w:rFonts w:ascii="Arial Narrow" w:hAnsi="Arial Narrow"/>
                <w:i/>
                <w:iCs/>
                <w:color w:val="333333"/>
                <w:sz w:val="20"/>
                <w:szCs w:val="20"/>
              </w:rPr>
              <w:t>The treatment must be the sole PBS-subsidised systemic anti-cancer therapy for this PBS indication.</w:t>
            </w:r>
          </w:p>
        </w:tc>
      </w:tr>
      <w:tr w:rsidR="00A11912" w:rsidRPr="005B1BA8" w14:paraId="05DC3950" w14:textId="77777777" w:rsidTr="00816BFB">
        <w:tblPrEx>
          <w:tblCellMar>
            <w:top w:w="15" w:type="dxa"/>
            <w:left w:w="15" w:type="dxa"/>
            <w:bottom w:w="15" w:type="dxa"/>
            <w:right w:w="15" w:type="dxa"/>
          </w:tblCellMar>
        </w:tblPrEx>
        <w:tc>
          <w:tcPr>
            <w:tcW w:w="108" w:type="dxa"/>
            <w:vAlign w:val="center"/>
          </w:tcPr>
          <w:p w14:paraId="0EF872DD" w14:textId="77777777" w:rsidR="00A11912" w:rsidRPr="00C65724" w:rsidRDefault="00A11912" w:rsidP="00C65724">
            <w:pPr>
              <w:jc w:val="center"/>
              <w:rPr>
                <w:rFonts w:ascii="Arial Narrow" w:hAnsi="Arial Narrow"/>
                <w:color w:val="333333"/>
                <w:sz w:val="20"/>
                <w:szCs w:val="20"/>
              </w:rPr>
            </w:pPr>
          </w:p>
        </w:tc>
        <w:tc>
          <w:tcPr>
            <w:tcW w:w="8959" w:type="dxa"/>
            <w:gridSpan w:val="7"/>
            <w:vAlign w:val="center"/>
          </w:tcPr>
          <w:p w14:paraId="6C5B4E6A" w14:textId="77777777" w:rsidR="00A11912" w:rsidRPr="00C65724" w:rsidRDefault="00A11912" w:rsidP="00C65724">
            <w:pPr>
              <w:rPr>
                <w:rFonts w:ascii="Arial Narrow" w:hAnsi="Arial Narrow"/>
                <w:i/>
                <w:iCs/>
                <w:color w:val="333333"/>
                <w:sz w:val="20"/>
                <w:szCs w:val="20"/>
              </w:rPr>
            </w:pPr>
          </w:p>
        </w:tc>
      </w:tr>
      <w:tr w:rsidR="00A11912" w:rsidRPr="005B1BA8" w14:paraId="4E7372D1" w14:textId="77777777" w:rsidTr="00816BFB">
        <w:tblPrEx>
          <w:tblCellMar>
            <w:top w:w="15" w:type="dxa"/>
            <w:left w:w="15" w:type="dxa"/>
            <w:bottom w:w="15" w:type="dxa"/>
            <w:right w:w="15" w:type="dxa"/>
          </w:tblCellMar>
        </w:tblPrEx>
        <w:trPr>
          <w:trHeight w:val="227"/>
        </w:trPr>
        <w:tc>
          <w:tcPr>
            <w:tcW w:w="108" w:type="dxa"/>
            <w:vAlign w:val="center"/>
          </w:tcPr>
          <w:p w14:paraId="6C8F6ED4" w14:textId="36CE85A2" w:rsidR="00A11912" w:rsidRPr="00C65724" w:rsidRDefault="00A11912" w:rsidP="00C65724">
            <w:pPr>
              <w:jc w:val="center"/>
              <w:rPr>
                <w:rFonts w:ascii="Arial Narrow" w:hAnsi="Arial Narrow"/>
                <w:color w:val="333333"/>
                <w:sz w:val="20"/>
                <w:szCs w:val="20"/>
              </w:rPr>
            </w:pPr>
          </w:p>
        </w:tc>
        <w:tc>
          <w:tcPr>
            <w:tcW w:w="8959" w:type="dxa"/>
            <w:gridSpan w:val="7"/>
            <w:vAlign w:val="center"/>
            <w:hideMark/>
          </w:tcPr>
          <w:p w14:paraId="559BA0C4" w14:textId="77777777" w:rsidR="00A11912" w:rsidRPr="00C65724" w:rsidRDefault="00A11912" w:rsidP="00C65724">
            <w:pPr>
              <w:rPr>
                <w:rFonts w:ascii="Arial Narrow" w:hAnsi="Arial Narrow"/>
                <w:i/>
                <w:iCs/>
                <w:color w:val="333333"/>
                <w:sz w:val="20"/>
                <w:szCs w:val="20"/>
              </w:rPr>
            </w:pPr>
            <w:r w:rsidRPr="00C65724">
              <w:rPr>
                <w:rFonts w:ascii="Arial Narrow" w:hAnsi="Arial Narrow"/>
                <w:b/>
                <w:bCs/>
                <w:i/>
                <w:iCs/>
                <w:color w:val="333333"/>
                <w:sz w:val="20"/>
                <w:szCs w:val="20"/>
              </w:rPr>
              <w:t>Treatment criteria:</w:t>
            </w:r>
          </w:p>
        </w:tc>
      </w:tr>
      <w:tr w:rsidR="00A11912" w:rsidRPr="005B1BA8" w14:paraId="529B5691" w14:textId="77777777" w:rsidTr="00816BFB">
        <w:tblPrEx>
          <w:tblCellMar>
            <w:top w:w="15" w:type="dxa"/>
            <w:left w:w="15" w:type="dxa"/>
            <w:bottom w:w="15" w:type="dxa"/>
            <w:right w:w="15" w:type="dxa"/>
          </w:tblCellMar>
        </w:tblPrEx>
        <w:tc>
          <w:tcPr>
            <w:tcW w:w="108" w:type="dxa"/>
            <w:vAlign w:val="center"/>
          </w:tcPr>
          <w:p w14:paraId="3E08A02E" w14:textId="51321073" w:rsidR="00A11912" w:rsidRPr="00C65724" w:rsidRDefault="00A11912" w:rsidP="00C65724">
            <w:pPr>
              <w:jc w:val="center"/>
              <w:rPr>
                <w:rFonts w:ascii="Arial Narrow" w:hAnsi="Arial Narrow"/>
                <w:color w:val="333333"/>
                <w:sz w:val="20"/>
                <w:szCs w:val="20"/>
              </w:rPr>
            </w:pPr>
          </w:p>
        </w:tc>
        <w:tc>
          <w:tcPr>
            <w:tcW w:w="8959" w:type="dxa"/>
            <w:gridSpan w:val="7"/>
            <w:vAlign w:val="center"/>
            <w:hideMark/>
          </w:tcPr>
          <w:p w14:paraId="6BF5DFE5" w14:textId="77777777" w:rsidR="00A11912" w:rsidRPr="00C65724" w:rsidRDefault="00A11912" w:rsidP="00C65724">
            <w:pPr>
              <w:autoSpaceDE w:val="0"/>
              <w:autoSpaceDN w:val="0"/>
              <w:adjustRightInd w:val="0"/>
              <w:rPr>
                <w:rFonts w:ascii="Arial Narrow" w:hAnsi="Arial Narrow" w:cs="Arial Narrow"/>
                <w:i/>
                <w:iCs/>
                <w:sz w:val="20"/>
                <w:szCs w:val="20"/>
              </w:rPr>
            </w:pPr>
            <w:r w:rsidRPr="00C65724">
              <w:rPr>
                <w:rFonts w:ascii="Arial Narrow" w:hAnsi="Arial Narrow" w:cs="Arial Narrow"/>
                <w:i/>
                <w:iCs/>
                <w:sz w:val="20"/>
                <w:szCs w:val="20"/>
              </w:rPr>
              <w:t>Patient must be undergoing initial treatment with this drug; or</w:t>
            </w:r>
          </w:p>
        </w:tc>
      </w:tr>
      <w:tr w:rsidR="00A11912" w:rsidRPr="005B1BA8" w14:paraId="7808DF73" w14:textId="77777777" w:rsidTr="00816BFB">
        <w:tblPrEx>
          <w:tblCellMar>
            <w:top w:w="15" w:type="dxa"/>
            <w:left w:w="15" w:type="dxa"/>
            <w:bottom w:w="15" w:type="dxa"/>
            <w:right w:w="15" w:type="dxa"/>
          </w:tblCellMar>
        </w:tblPrEx>
        <w:tc>
          <w:tcPr>
            <w:tcW w:w="108" w:type="dxa"/>
            <w:vAlign w:val="center"/>
          </w:tcPr>
          <w:p w14:paraId="2C54D49D" w14:textId="540D06C9" w:rsidR="00A11912" w:rsidRPr="00C65724" w:rsidRDefault="00A11912" w:rsidP="00C65724">
            <w:pPr>
              <w:jc w:val="center"/>
              <w:rPr>
                <w:rFonts w:ascii="Arial Narrow" w:hAnsi="Arial Narrow"/>
                <w:color w:val="333333"/>
                <w:sz w:val="20"/>
                <w:szCs w:val="20"/>
              </w:rPr>
            </w:pPr>
          </w:p>
        </w:tc>
        <w:tc>
          <w:tcPr>
            <w:tcW w:w="8959" w:type="dxa"/>
            <w:gridSpan w:val="7"/>
            <w:vAlign w:val="center"/>
          </w:tcPr>
          <w:p w14:paraId="4D6D6001" w14:textId="77777777" w:rsidR="00A11912" w:rsidRPr="00C65724" w:rsidRDefault="00A11912" w:rsidP="00C65724">
            <w:pPr>
              <w:autoSpaceDE w:val="0"/>
              <w:autoSpaceDN w:val="0"/>
              <w:adjustRightInd w:val="0"/>
              <w:rPr>
                <w:rFonts w:ascii="Arial Narrow" w:hAnsi="Arial Narrow" w:cs="Arial Narrow"/>
                <w:i/>
                <w:iCs/>
                <w:sz w:val="20"/>
                <w:szCs w:val="20"/>
              </w:rPr>
            </w:pPr>
            <w:r w:rsidRPr="00C65724">
              <w:rPr>
                <w:rFonts w:ascii="Arial Narrow" w:hAnsi="Arial Narrow" w:cs="Arial Narrow"/>
                <w:i/>
                <w:iCs/>
                <w:sz w:val="20"/>
                <w:szCs w:val="20"/>
              </w:rPr>
              <w:t>Patient must be undergoing continuing treatment with this drug with an absence of further disease progression since the last prescription</w:t>
            </w:r>
          </w:p>
        </w:tc>
      </w:tr>
      <w:tr w:rsidR="00E70405" w:rsidRPr="005B1BA8" w14:paraId="1068DDD5" w14:textId="77777777" w:rsidTr="00816BFB">
        <w:tblPrEx>
          <w:tblCellMar>
            <w:top w:w="15" w:type="dxa"/>
            <w:left w:w="15" w:type="dxa"/>
            <w:bottom w:w="15" w:type="dxa"/>
            <w:right w:w="15" w:type="dxa"/>
          </w:tblCellMar>
        </w:tblPrEx>
        <w:tc>
          <w:tcPr>
            <w:tcW w:w="108" w:type="dxa"/>
            <w:vAlign w:val="center"/>
          </w:tcPr>
          <w:p w14:paraId="4510C4F0" w14:textId="77777777" w:rsidR="00E70405" w:rsidRPr="00C65724" w:rsidDel="00E70405" w:rsidRDefault="00E70405" w:rsidP="00C65724">
            <w:pPr>
              <w:jc w:val="center"/>
              <w:rPr>
                <w:rFonts w:ascii="Arial Narrow" w:hAnsi="Arial Narrow"/>
                <w:color w:val="333333"/>
                <w:sz w:val="20"/>
                <w:szCs w:val="20"/>
              </w:rPr>
            </w:pPr>
          </w:p>
        </w:tc>
        <w:tc>
          <w:tcPr>
            <w:tcW w:w="8959" w:type="dxa"/>
            <w:gridSpan w:val="7"/>
            <w:vAlign w:val="center"/>
          </w:tcPr>
          <w:p w14:paraId="2F5FFC90" w14:textId="77777777" w:rsidR="00E70405" w:rsidRPr="00C65724" w:rsidRDefault="00E70405" w:rsidP="00C65724">
            <w:pPr>
              <w:autoSpaceDE w:val="0"/>
              <w:autoSpaceDN w:val="0"/>
              <w:adjustRightInd w:val="0"/>
              <w:rPr>
                <w:rFonts w:ascii="Arial Narrow" w:hAnsi="Arial Narrow" w:cs="Arial Narrow"/>
                <w:i/>
                <w:iCs/>
                <w:sz w:val="20"/>
                <w:szCs w:val="20"/>
              </w:rPr>
            </w:pPr>
          </w:p>
        </w:tc>
      </w:tr>
      <w:tr w:rsidR="00A11912" w:rsidRPr="005B1BA8" w14:paraId="37631A97" w14:textId="77777777" w:rsidTr="00816BFB">
        <w:tblPrEx>
          <w:tblCellMar>
            <w:top w:w="15" w:type="dxa"/>
            <w:left w:w="15" w:type="dxa"/>
            <w:bottom w:w="15" w:type="dxa"/>
            <w:right w:w="15" w:type="dxa"/>
          </w:tblCellMar>
        </w:tblPrEx>
        <w:tc>
          <w:tcPr>
            <w:tcW w:w="108" w:type="dxa"/>
            <w:vAlign w:val="center"/>
          </w:tcPr>
          <w:p w14:paraId="07713DDC" w14:textId="273EF1EF" w:rsidR="00A11912" w:rsidRPr="00C65724" w:rsidRDefault="00A11912" w:rsidP="00C65724">
            <w:pPr>
              <w:jc w:val="center"/>
              <w:rPr>
                <w:rFonts w:ascii="Arial Narrow" w:hAnsi="Arial Narrow"/>
                <w:color w:val="333333"/>
                <w:sz w:val="20"/>
                <w:szCs w:val="20"/>
              </w:rPr>
            </w:pPr>
          </w:p>
        </w:tc>
        <w:tc>
          <w:tcPr>
            <w:tcW w:w="8959" w:type="dxa"/>
            <w:gridSpan w:val="7"/>
            <w:vAlign w:val="center"/>
          </w:tcPr>
          <w:p w14:paraId="1E5ED6CC" w14:textId="77777777" w:rsidR="00A11912" w:rsidRPr="00C65724" w:rsidRDefault="00A11912" w:rsidP="00C65724">
            <w:pPr>
              <w:autoSpaceDE w:val="0"/>
              <w:autoSpaceDN w:val="0"/>
              <w:adjustRightInd w:val="0"/>
              <w:rPr>
                <w:rFonts w:ascii="Arial Narrow" w:hAnsi="Arial Narrow" w:cs="Arial Narrow"/>
                <w:i/>
                <w:iCs/>
                <w:sz w:val="20"/>
                <w:szCs w:val="20"/>
              </w:rPr>
            </w:pPr>
            <w:r w:rsidRPr="00C65724">
              <w:rPr>
                <w:rFonts w:ascii="Arial Narrow" w:hAnsi="Arial Narrow"/>
                <w:b/>
                <w:bCs/>
                <w:i/>
                <w:iCs/>
                <w:sz w:val="20"/>
                <w:szCs w:val="20"/>
              </w:rPr>
              <w:t xml:space="preserve">Administrative Advice: </w:t>
            </w:r>
            <w:r w:rsidRPr="00C65724">
              <w:rPr>
                <w:rFonts w:ascii="Arial Narrow" w:hAnsi="Arial Narrow"/>
                <w:i/>
                <w:iCs/>
                <w:sz w:val="20"/>
                <w:szCs w:val="20"/>
              </w:rPr>
              <w:t>No increase in the maximum quantity or number of units may be authorised.</w:t>
            </w:r>
          </w:p>
        </w:tc>
      </w:tr>
      <w:tr w:rsidR="00A11912" w:rsidRPr="005B1BA8" w14:paraId="370FABC8" w14:textId="77777777" w:rsidTr="00816BFB">
        <w:tblPrEx>
          <w:tblCellMar>
            <w:top w:w="15" w:type="dxa"/>
            <w:left w:w="15" w:type="dxa"/>
            <w:bottom w:w="15" w:type="dxa"/>
            <w:right w:w="15" w:type="dxa"/>
          </w:tblCellMar>
        </w:tblPrEx>
        <w:tc>
          <w:tcPr>
            <w:tcW w:w="108" w:type="dxa"/>
            <w:vAlign w:val="center"/>
          </w:tcPr>
          <w:p w14:paraId="6FFFDB75" w14:textId="77777777" w:rsidR="00A11912" w:rsidRPr="00C65724" w:rsidRDefault="00A11912" w:rsidP="00C65724">
            <w:pPr>
              <w:jc w:val="center"/>
              <w:rPr>
                <w:rFonts w:ascii="Arial Narrow" w:hAnsi="Arial Narrow"/>
                <w:color w:val="333333"/>
                <w:sz w:val="20"/>
                <w:szCs w:val="20"/>
              </w:rPr>
            </w:pPr>
          </w:p>
        </w:tc>
        <w:tc>
          <w:tcPr>
            <w:tcW w:w="8959" w:type="dxa"/>
            <w:gridSpan w:val="7"/>
            <w:vAlign w:val="center"/>
          </w:tcPr>
          <w:p w14:paraId="45931815" w14:textId="77777777" w:rsidR="00A11912" w:rsidRPr="00C65724" w:rsidRDefault="00A11912" w:rsidP="00C65724">
            <w:pPr>
              <w:autoSpaceDE w:val="0"/>
              <w:autoSpaceDN w:val="0"/>
              <w:adjustRightInd w:val="0"/>
              <w:rPr>
                <w:rFonts w:ascii="Arial Narrow" w:hAnsi="Arial Narrow" w:cs="Arial Narrow"/>
                <w:i/>
                <w:iCs/>
                <w:sz w:val="20"/>
                <w:szCs w:val="20"/>
              </w:rPr>
            </w:pPr>
            <w:r w:rsidRPr="00C65724">
              <w:rPr>
                <w:rFonts w:ascii="Arial Narrow" w:hAnsi="Arial Narrow"/>
                <w:b/>
                <w:bCs/>
                <w:i/>
                <w:iCs/>
                <w:sz w:val="20"/>
                <w:szCs w:val="20"/>
              </w:rPr>
              <w:t xml:space="preserve">Administrative Advice: </w:t>
            </w:r>
            <w:r w:rsidRPr="00C65724">
              <w:rPr>
                <w:rFonts w:ascii="Arial Narrow" w:hAnsi="Arial Narrow"/>
                <w:i/>
                <w:iCs/>
                <w:sz w:val="20"/>
                <w:szCs w:val="20"/>
              </w:rPr>
              <w:t>No increase in the maximum number of repeats may be authorised</w:t>
            </w:r>
          </w:p>
        </w:tc>
      </w:tr>
    </w:tbl>
    <w:p w14:paraId="6F3DDC70" w14:textId="77777777" w:rsidR="00A11912" w:rsidRPr="00FB229F" w:rsidRDefault="00A11912" w:rsidP="00816BFB">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
        <w:gridCol w:w="8967"/>
      </w:tblGrid>
      <w:tr w:rsidR="00A11912" w:rsidRPr="00FB229F" w14:paraId="123CA157" w14:textId="77777777" w:rsidTr="00166045">
        <w:tc>
          <w:tcPr>
            <w:tcW w:w="28" w:type="pct"/>
            <w:vMerge w:val="restart"/>
            <w:tcBorders>
              <w:top w:val="single" w:sz="4" w:space="0" w:color="auto"/>
              <w:left w:val="single" w:sz="4" w:space="0" w:color="auto"/>
              <w:right w:val="single" w:sz="4" w:space="0" w:color="auto"/>
            </w:tcBorders>
          </w:tcPr>
          <w:p w14:paraId="456CAB12" w14:textId="77777777" w:rsidR="00A11912" w:rsidRPr="00FB229F" w:rsidRDefault="00A11912" w:rsidP="002565C0">
            <w:pPr>
              <w:rPr>
                <w:rFonts w:ascii="Arial Narrow" w:eastAsia="Calibri" w:hAnsi="Arial Narrow"/>
                <w:i/>
                <w:strike/>
                <w:sz w:val="20"/>
                <w:szCs w:val="20"/>
              </w:rPr>
            </w:pPr>
          </w:p>
        </w:tc>
        <w:tc>
          <w:tcPr>
            <w:tcW w:w="4972" w:type="pct"/>
            <w:tcBorders>
              <w:top w:val="single" w:sz="4" w:space="0" w:color="auto"/>
              <w:left w:val="single" w:sz="4" w:space="0" w:color="auto"/>
              <w:bottom w:val="single" w:sz="4" w:space="0" w:color="auto"/>
              <w:right w:val="single" w:sz="4" w:space="0" w:color="auto"/>
            </w:tcBorders>
          </w:tcPr>
          <w:p w14:paraId="74EBB99D" w14:textId="77777777" w:rsidR="00A11912" w:rsidRPr="00FB229F" w:rsidRDefault="00A11912" w:rsidP="002565C0">
            <w:pPr>
              <w:rPr>
                <w:rFonts w:ascii="Arial Narrow" w:eastAsia="Calibri" w:hAnsi="Arial Narrow"/>
                <w:strike/>
                <w:sz w:val="20"/>
                <w:szCs w:val="20"/>
              </w:rPr>
            </w:pPr>
            <w:r w:rsidRPr="00FB229F">
              <w:rPr>
                <w:rFonts w:ascii="Arial Narrow" w:eastAsia="Calibri" w:hAnsi="Arial Narrow"/>
                <w:b/>
                <w:strike/>
                <w:sz w:val="20"/>
                <w:szCs w:val="20"/>
              </w:rPr>
              <w:t xml:space="preserve">Category / Program: </w:t>
            </w:r>
            <w:r w:rsidRPr="00FB229F">
              <w:rPr>
                <w:rFonts w:ascii="Arial Narrow" w:eastAsia="Calibri" w:hAnsi="Arial Narrow"/>
                <w:strike/>
                <w:sz w:val="20"/>
                <w:szCs w:val="20"/>
              </w:rPr>
              <w:t xml:space="preserve">GENERAL – General Schedule (Code GE)  </w:t>
            </w:r>
          </w:p>
        </w:tc>
      </w:tr>
      <w:tr w:rsidR="00A11912" w:rsidRPr="00FB229F" w14:paraId="06AF1801" w14:textId="77777777" w:rsidTr="00166045">
        <w:trPr>
          <w:trHeight w:val="240"/>
        </w:trPr>
        <w:tc>
          <w:tcPr>
            <w:tcW w:w="28" w:type="pct"/>
            <w:vMerge/>
            <w:tcBorders>
              <w:left w:val="single" w:sz="4" w:space="0" w:color="auto"/>
              <w:right w:val="single" w:sz="4" w:space="0" w:color="auto"/>
            </w:tcBorders>
          </w:tcPr>
          <w:p w14:paraId="3B065043" w14:textId="77777777" w:rsidR="00A11912" w:rsidRPr="00FB229F" w:rsidRDefault="00A11912" w:rsidP="002565C0">
            <w:pPr>
              <w:rPr>
                <w:rFonts w:ascii="Arial Narrow" w:eastAsia="Calibri" w:hAnsi="Arial Narrow"/>
                <w:strike/>
                <w:sz w:val="20"/>
                <w:szCs w:val="20"/>
              </w:rPr>
            </w:pPr>
          </w:p>
        </w:tc>
        <w:tc>
          <w:tcPr>
            <w:tcW w:w="4972" w:type="pct"/>
            <w:tcBorders>
              <w:top w:val="single" w:sz="4" w:space="0" w:color="auto"/>
              <w:left w:val="single" w:sz="4" w:space="0" w:color="auto"/>
              <w:bottom w:val="single" w:sz="4" w:space="0" w:color="auto"/>
              <w:right w:val="single" w:sz="4" w:space="0" w:color="auto"/>
            </w:tcBorders>
          </w:tcPr>
          <w:p w14:paraId="7C41E304" w14:textId="77777777" w:rsidR="00A11912" w:rsidRPr="00FB229F" w:rsidRDefault="00A11912" w:rsidP="002565C0">
            <w:pPr>
              <w:rPr>
                <w:rFonts w:ascii="Arial Narrow" w:eastAsia="Calibri" w:hAnsi="Arial Narrow"/>
                <w:b/>
                <w:strike/>
                <w:sz w:val="20"/>
                <w:szCs w:val="20"/>
              </w:rPr>
            </w:pPr>
            <w:r w:rsidRPr="00FB229F">
              <w:rPr>
                <w:rFonts w:ascii="Arial Narrow" w:eastAsia="Calibri" w:hAnsi="Arial Narrow"/>
                <w:b/>
                <w:strike/>
                <w:sz w:val="20"/>
                <w:szCs w:val="20"/>
              </w:rPr>
              <w:t xml:space="preserve">Prescriber type:   </w:t>
            </w:r>
            <w:r w:rsidRPr="00FB229F">
              <w:rPr>
                <w:rFonts w:ascii="Arial Narrow" w:eastAsia="Calibri" w:hAnsi="Arial Narrow"/>
                <w:strike/>
                <w:color w:val="2B579A"/>
                <w:sz w:val="20"/>
                <w:szCs w:val="20"/>
                <w:shd w:val="clear" w:color="auto" w:fill="E6E6E6"/>
              </w:rPr>
              <w:fldChar w:fldCharType="begin" w:fldLock="1">
                <w:ffData>
                  <w:name w:val=""/>
                  <w:enabled/>
                  <w:calcOnExit w:val="0"/>
                  <w:checkBox>
                    <w:sizeAuto/>
                    <w:default w:val="1"/>
                  </w:checkBox>
                </w:ffData>
              </w:fldChar>
            </w:r>
            <w:r w:rsidRPr="00FB229F">
              <w:rPr>
                <w:rFonts w:ascii="Arial Narrow" w:eastAsia="Calibri" w:hAnsi="Arial Narrow"/>
                <w:strike/>
                <w:sz w:val="20"/>
                <w:szCs w:val="20"/>
              </w:rPr>
              <w:instrText xml:space="preserve"> FORMCHECKBOX </w:instrText>
            </w:r>
            <w:r w:rsidR="00BF0AEB">
              <w:rPr>
                <w:rFonts w:ascii="Arial Narrow" w:eastAsia="Calibri" w:hAnsi="Arial Narrow"/>
                <w:strike/>
                <w:color w:val="2B579A"/>
                <w:sz w:val="20"/>
                <w:szCs w:val="20"/>
                <w:shd w:val="clear" w:color="auto" w:fill="E6E6E6"/>
              </w:rPr>
            </w:r>
            <w:r w:rsidR="00BF0AEB">
              <w:rPr>
                <w:rFonts w:ascii="Arial Narrow" w:eastAsia="Calibri" w:hAnsi="Arial Narrow"/>
                <w:strike/>
                <w:color w:val="2B579A"/>
                <w:sz w:val="20"/>
                <w:szCs w:val="20"/>
                <w:shd w:val="clear" w:color="auto" w:fill="E6E6E6"/>
              </w:rPr>
              <w:fldChar w:fldCharType="separate"/>
            </w:r>
            <w:r w:rsidRPr="00FB229F">
              <w:rPr>
                <w:rFonts w:ascii="Arial Narrow" w:eastAsia="Calibri" w:hAnsi="Arial Narrow"/>
                <w:strike/>
                <w:color w:val="2B579A"/>
                <w:sz w:val="20"/>
                <w:szCs w:val="20"/>
                <w:shd w:val="clear" w:color="auto" w:fill="E6E6E6"/>
              </w:rPr>
              <w:fldChar w:fldCharType="end"/>
            </w:r>
            <w:r w:rsidRPr="00FB229F">
              <w:rPr>
                <w:rFonts w:ascii="Arial Narrow" w:eastAsia="Calibri" w:hAnsi="Arial Narrow"/>
                <w:strike/>
                <w:sz w:val="20"/>
                <w:szCs w:val="20"/>
              </w:rPr>
              <w:t>Medical Practitioners</w:t>
            </w:r>
          </w:p>
        </w:tc>
      </w:tr>
      <w:tr w:rsidR="00A11912" w:rsidRPr="00FB229F" w14:paraId="3AD34238" w14:textId="77777777" w:rsidTr="00166045">
        <w:tc>
          <w:tcPr>
            <w:tcW w:w="28" w:type="pct"/>
            <w:vMerge/>
            <w:tcBorders>
              <w:left w:val="single" w:sz="4" w:space="0" w:color="auto"/>
              <w:bottom w:val="single" w:sz="4" w:space="0" w:color="auto"/>
              <w:right w:val="single" w:sz="4" w:space="0" w:color="auto"/>
            </w:tcBorders>
          </w:tcPr>
          <w:p w14:paraId="0638821C" w14:textId="77777777" w:rsidR="00A11912" w:rsidRPr="00FB229F" w:rsidRDefault="00A11912" w:rsidP="002565C0">
            <w:pPr>
              <w:rPr>
                <w:rFonts w:ascii="Arial Narrow" w:eastAsia="Calibri" w:hAnsi="Arial Narrow"/>
                <w:strike/>
                <w:sz w:val="20"/>
                <w:szCs w:val="20"/>
              </w:rPr>
            </w:pPr>
          </w:p>
        </w:tc>
        <w:tc>
          <w:tcPr>
            <w:tcW w:w="4972" w:type="pct"/>
            <w:tcBorders>
              <w:top w:val="single" w:sz="4" w:space="0" w:color="auto"/>
              <w:left w:val="single" w:sz="4" w:space="0" w:color="auto"/>
              <w:bottom w:val="single" w:sz="4" w:space="0" w:color="auto"/>
              <w:right w:val="single" w:sz="4" w:space="0" w:color="auto"/>
            </w:tcBorders>
          </w:tcPr>
          <w:p w14:paraId="40E411F0" w14:textId="77777777" w:rsidR="00A11912" w:rsidRPr="00FB229F" w:rsidRDefault="00A11912" w:rsidP="002565C0">
            <w:pPr>
              <w:rPr>
                <w:rFonts w:ascii="Arial Narrow" w:eastAsia="Calibri" w:hAnsi="Arial Narrow"/>
                <w:b/>
                <w:strike/>
                <w:sz w:val="20"/>
                <w:szCs w:val="20"/>
              </w:rPr>
            </w:pPr>
            <w:r w:rsidRPr="00FB229F">
              <w:rPr>
                <w:rFonts w:ascii="Arial Narrow" w:eastAsia="Calibri" w:hAnsi="Arial Narrow"/>
                <w:b/>
                <w:strike/>
                <w:sz w:val="20"/>
                <w:szCs w:val="20"/>
              </w:rPr>
              <w:t>Restriction Type – assessment time by Services Australia – Method of obtaining authority approval (if Authority Required)</w:t>
            </w:r>
          </w:p>
          <w:p w14:paraId="0890ECA6" w14:textId="77777777" w:rsidR="00A11912" w:rsidRPr="00FB229F" w:rsidRDefault="00A11912" w:rsidP="002565C0">
            <w:pPr>
              <w:rPr>
                <w:rFonts w:ascii="Arial Narrow" w:eastAsia="Calibri" w:hAnsi="Arial Narrow"/>
                <w:strike/>
                <w:sz w:val="20"/>
                <w:szCs w:val="20"/>
              </w:rPr>
            </w:pPr>
            <w:r w:rsidRPr="00FB229F">
              <w:rPr>
                <w:rFonts w:ascii="Arial Narrow" w:eastAsia="Calibri" w:hAnsi="Arial Narrow"/>
                <w:strike/>
                <w:color w:val="2B579A"/>
                <w:sz w:val="20"/>
                <w:szCs w:val="20"/>
                <w:shd w:val="clear" w:color="auto" w:fill="E6E6E6"/>
              </w:rPr>
              <w:fldChar w:fldCharType="begin" w:fldLock="1">
                <w:ffData>
                  <w:name w:val=""/>
                  <w:enabled/>
                  <w:calcOnExit w:val="0"/>
                  <w:checkBox>
                    <w:sizeAuto/>
                    <w:default w:val="1"/>
                  </w:checkBox>
                </w:ffData>
              </w:fldChar>
            </w:r>
            <w:r w:rsidRPr="00FB229F">
              <w:rPr>
                <w:rFonts w:ascii="Arial Narrow" w:eastAsia="Calibri" w:hAnsi="Arial Narrow"/>
                <w:strike/>
                <w:sz w:val="20"/>
                <w:szCs w:val="20"/>
              </w:rPr>
              <w:instrText xml:space="preserve"> FORMCHECKBOX </w:instrText>
            </w:r>
            <w:r w:rsidR="00BF0AEB">
              <w:rPr>
                <w:rFonts w:ascii="Arial Narrow" w:eastAsia="Calibri" w:hAnsi="Arial Narrow"/>
                <w:strike/>
                <w:color w:val="2B579A"/>
                <w:sz w:val="20"/>
                <w:szCs w:val="20"/>
                <w:shd w:val="clear" w:color="auto" w:fill="E6E6E6"/>
              </w:rPr>
            </w:r>
            <w:r w:rsidR="00BF0AEB">
              <w:rPr>
                <w:rFonts w:ascii="Arial Narrow" w:eastAsia="Calibri" w:hAnsi="Arial Narrow"/>
                <w:strike/>
                <w:color w:val="2B579A"/>
                <w:sz w:val="20"/>
                <w:szCs w:val="20"/>
                <w:shd w:val="clear" w:color="auto" w:fill="E6E6E6"/>
              </w:rPr>
              <w:fldChar w:fldCharType="separate"/>
            </w:r>
            <w:r w:rsidRPr="00FB229F">
              <w:rPr>
                <w:rFonts w:ascii="Arial Narrow" w:eastAsia="Calibri" w:hAnsi="Arial Narrow"/>
                <w:strike/>
                <w:color w:val="2B579A"/>
                <w:sz w:val="20"/>
                <w:szCs w:val="20"/>
                <w:shd w:val="clear" w:color="auto" w:fill="E6E6E6"/>
              </w:rPr>
              <w:fldChar w:fldCharType="end"/>
            </w:r>
            <w:r w:rsidRPr="00FB229F">
              <w:rPr>
                <w:rFonts w:ascii="Arial Narrow" w:eastAsia="Calibri" w:hAnsi="Arial Narrow"/>
                <w:strike/>
                <w:sz w:val="20"/>
                <w:szCs w:val="20"/>
              </w:rPr>
              <w:t xml:space="preserve">Authority Required – Streamlined [NEW] </w:t>
            </w:r>
          </w:p>
        </w:tc>
      </w:tr>
      <w:tr w:rsidR="00A11912" w:rsidRPr="00FB229F" w14:paraId="5F8555CE" w14:textId="77777777" w:rsidTr="00166045">
        <w:tc>
          <w:tcPr>
            <w:tcW w:w="28" w:type="pct"/>
            <w:vAlign w:val="center"/>
          </w:tcPr>
          <w:p w14:paraId="55A034BC" w14:textId="77777777" w:rsidR="00A11912" w:rsidRPr="00FB229F" w:rsidRDefault="00A11912" w:rsidP="002565C0">
            <w:pPr>
              <w:jc w:val="center"/>
              <w:rPr>
                <w:rFonts w:ascii="Arial Narrow" w:hAnsi="Arial Narrow"/>
                <w:strike/>
                <w:color w:val="333333"/>
                <w:sz w:val="20"/>
                <w:szCs w:val="20"/>
              </w:rPr>
            </w:pPr>
          </w:p>
        </w:tc>
        <w:tc>
          <w:tcPr>
            <w:tcW w:w="4972" w:type="pct"/>
            <w:vAlign w:val="center"/>
          </w:tcPr>
          <w:p w14:paraId="7E13FAB1" w14:textId="77777777" w:rsidR="00A11912" w:rsidRPr="00FB229F" w:rsidRDefault="00A11912" w:rsidP="002565C0">
            <w:pPr>
              <w:rPr>
                <w:rFonts w:ascii="Arial Narrow" w:hAnsi="Arial Narrow"/>
                <w:b/>
                <w:bCs/>
                <w:strike/>
                <w:color w:val="333333"/>
                <w:sz w:val="20"/>
                <w:szCs w:val="20"/>
              </w:rPr>
            </w:pPr>
            <w:r w:rsidRPr="00FB229F">
              <w:rPr>
                <w:rFonts w:ascii="Arial Narrow" w:hAnsi="Arial Narrow"/>
                <w:b/>
                <w:bCs/>
                <w:strike/>
                <w:color w:val="333333"/>
                <w:sz w:val="20"/>
                <w:szCs w:val="20"/>
              </w:rPr>
              <w:t xml:space="preserve">Condition: </w:t>
            </w:r>
            <w:r w:rsidRPr="00FB229F">
              <w:rPr>
                <w:rFonts w:ascii="Arial Narrow" w:hAnsi="Arial Narrow"/>
                <w:strike/>
                <w:color w:val="333333"/>
                <w:sz w:val="20"/>
                <w:szCs w:val="20"/>
              </w:rPr>
              <w:t>Non-small cell lung cancer (NSCLC)</w:t>
            </w:r>
          </w:p>
        </w:tc>
      </w:tr>
      <w:tr w:rsidR="00A11912" w:rsidRPr="00FB229F" w14:paraId="401B7DEF" w14:textId="77777777" w:rsidTr="00166045">
        <w:tc>
          <w:tcPr>
            <w:tcW w:w="28" w:type="pct"/>
            <w:vAlign w:val="center"/>
          </w:tcPr>
          <w:p w14:paraId="533942F7" w14:textId="77777777" w:rsidR="00A11912" w:rsidRPr="00FB229F" w:rsidRDefault="00A11912" w:rsidP="002565C0">
            <w:pPr>
              <w:jc w:val="center"/>
              <w:rPr>
                <w:rFonts w:ascii="Arial Narrow" w:hAnsi="Arial Narrow"/>
                <w:strike/>
                <w:color w:val="333333"/>
                <w:sz w:val="20"/>
                <w:szCs w:val="20"/>
              </w:rPr>
            </w:pPr>
          </w:p>
        </w:tc>
        <w:tc>
          <w:tcPr>
            <w:tcW w:w="4972" w:type="pct"/>
            <w:vAlign w:val="center"/>
            <w:hideMark/>
          </w:tcPr>
          <w:p w14:paraId="56CAE0B6" w14:textId="77777777" w:rsidR="00A11912" w:rsidRPr="00FB229F" w:rsidRDefault="00A11912" w:rsidP="002565C0">
            <w:pPr>
              <w:rPr>
                <w:rFonts w:ascii="Arial Narrow" w:hAnsi="Arial Narrow"/>
                <w:strike/>
                <w:color w:val="333333"/>
                <w:sz w:val="20"/>
                <w:szCs w:val="20"/>
              </w:rPr>
            </w:pPr>
            <w:r w:rsidRPr="00FB229F">
              <w:rPr>
                <w:rFonts w:ascii="Arial Narrow" w:hAnsi="Arial Narrow"/>
                <w:b/>
                <w:bCs/>
                <w:strike/>
                <w:color w:val="333333"/>
                <w:sz w:val="20"/>
                <w:szCs w:val="20"/>
              </w:rPr>
              <w:t>Indication:</w:t>
            </w:r>
            <w:r w:rsidRPr="00FB229F">
              <w:rPr>
                <w:rFonts w:ascii="Arial Narrow" w:hAnsi="Arial Narrow"/>
                <w:strike/>
                <w:color w:val="333333"/>
                <w:sz w:val="20"/>
                <w:szCs w:val="20"/>
              </w:rPr>
              <w:t xml:space="preserve"> Stage IIIB (locally advanced) or Stage IV (metastatic) non-small cell lung cancer (NSCLC)</w:t>
            </w:r>
          </w:p>
        </w:tc>
      </w:tr>
      <w:tr w:rsidR="00A11912" w:rsidRPr="00FB229F" w14:paraId="2C90AE10" w14:textId="77777777" w:rsidTr="00166045">
        <w:tc>
          <w:tcPr>
            <w:tcW w:w="28" w:type="pct"/>
            <w:vAlign w:val="center"/>
          </w:tcPr>
          <w:p w14:paraId="79BB0F2A" w14:textId="77777777" w:rsidR="00A11912" w:rsidRPr="00FB229F" w:rsidRDefault="00A11912" w:rsidP="002565C0">
            <w:pPr>
              <w:jc w:val="center"/>
              <w:rPr>
                <w:rFonts w:ascii="Arial Narrow" w:hAnsi="Arial Narrow"/>
                <w:strike/>
                <w:color w:val="333333"/>
                <w:sz w:val="20"/>
                <w:szCs w:val="20"/>
              </w:rPr>
            </w:pPr>
          </w:p>
        </w:tc>
        <w:tc>
          <w:tcPr>
            <w:tcW w:w="4972" w:type="pct"/>
            <w:vAlign w:val="center"/>
          </w:tcPr>
          <w:p w14:paraId="1841BA31" w14:textId="77777777" w:rsidR="00A11912" w:rsidRPr="00FB229F" w:rsidRDefault="00A11912" w:rsidP="002565C0">
            <w:pPr>
              <w:rPr>
                <w:rFonts w:ascii="Arial Narrow" w:hAnsi="Arial Narrow"/>
                <w:strike/>
                <w:color w:val="333333"/>
                <w:sz w:val="20"/>
                <w:szCs w:val="20"/>
              </w:rPr>
            </w:pPr>
            <w:r w:rsidRPr="00FB229F">
              <w:rPr>
                <w:rFonts w:ascii="Arial Narrow" w:hAnsi="Arial Narrow"/>
                <w:b/>
                <w:bCs/>
                <w:strike/>
                <w:color w:val="333333"/>
                <w:sz w:val="20"/>
                <w:szCs w:val="20"/>
              </w:rPr>
              <w:t xml:space="preserve">Treatment phase: </w:t>
            </w:r>
            <w:r w:rsidRPr="00FB229F">
              <w:rPr>
                <w:rFonts w:ascii="Arial Narrow" w:hAnsi="Arial Narrow"/>
                <w:strike/>
                <w:color w:val="333333"/>
                <w:sz w:val="20"/>
                <w:szCs w:val="20"/>
              </w:rPr>
              <w:t>Continuing</w:t>
            </w:r>
          </w:p>
        </w:tc>
      </w:tr>
      <w:tr w:rsidR="00A11912" w:rsidRPr="00FB229F" w14:paraId="082AF369" w14:textId="77777777" w:rsidTr="00166045">
        <w:tc>
          <w:tcPr>
            <w:tcW w:w="28" w:type="pct"/>
            <w:vAlign w:val="center"/>
          </w:tcPr>
          <w:p w14:paraId="4572617F" w14:textId="1F4480BB" w:rsidR="00A11912" w:rsidRPr="00FB229F" w:rsidRDefault="00A11912" w:rsidP="002565C0">
            <w:pPr>
              <w:jc w:val="center"/>
              <w:rPr>
                <w:rFonts w:ascii="Arial Narrow" w:hAnsi="Arial Narrow"/>
                <w:strike/>
                <w:color w:val="333333"/>
                <w:sz w:val="20"/>
                <w:szCs w:val="20"/>
              </w:rPr>
            </w:pPr>
          </w:p>
        </w:tc>
        <w:tc>
          <w:tcPr>
            <w:tcW w:w="4972" w:type="pct"/>
            <w:vAlign w:val="center"/>
            <w:hideMark/>
          </w:tcPr>
          <w:p w14:paraId="50131C21" w14:textId="77777777" w:rsidR="00A11912" w:rsidRPr="00FB229F" w:rsidRDefault="00A11912" w:rsidP="002565C0">
            <w:pPr>
              <w:rPr>
                <w:rFonts w:ascii="Arial Narrow" w:hAnsi="Arial Narrow"/>
                <w:strike/>
                <w:color w:val="333333"/>
                <w:sz w:val="20"/>
                <w:szCs w:val="20"/>
              </w:rPr>
            </w:pPr>
            <w:r w:rsidRPr="00FB229F">
              <w:rPr>
                <w:rFonts w:ascii="Arial Narrow" w:hAnsi="Arial Narrow"/>
                <w:b/>
                <w:bCs/>
                <w:strike/>
                <w:color w:val="333333"/>
                <w:sz w:val="20"/>
                <w:szCs w:val="20"/>
              </w:rPr>
              <w:t>Clinical criteria:</w:t>
            </w:r>
          </w:p>
        </w:tc>
      </w:tr>
      <w:tr w:rsidR="00A11912" w:rsidRPr="00FB229F" w14:paraId="01C736EE" w14:textId="77777777" w:rsidTr="00166045">
        <w:tc>
          <w:tcPr>
            <w:tcW w:w="28" w:type="pct"/>
            <w:vAlign w:val="center"/>
          </w:tcPr>
          <w:p w14:paraId="72C8B951" w14:textId="77777777" w:rsidR="00A11912" w:rsidRPr="00FB229F" w:rsidRDefault="00A11912" w:rsidP="002565C0">
            <w:pPr>
              <w:jc w:val="center"/>
              <w:rPr>
                <w:rFonts w:ascii="Arial Narrow" w:hAnsi="Arial Narrow"/>
                <w:strike/>
                <w:color w:val="333333"/>
                <w:sz w:val="20"/>
                <w:szCs w:val="20"/>
              </w:rPr>
            </w:pPr>
          </w:p>
        </w:tc>
        <w:tc>
          <w:tcPr>
            <w:tcW w:w="4972" w:type="pct"/>
            <w:vAlign w:val="center"/>
            <w:hideMark/>
          </w:tcPr>
          <w:p w14:paraId="197A3EC8" w14:textId="77777777" w:rsidR="00A11912" w:rsidRPr="00FB229F" w:rsidRDefault="00A11912" w:rsidP="002565C0">
            <w:pPr>
              <w:rPr>
                <w:rFonts w:ascii="Arial Narrow" w:hAnsi="Arial Narrow"/>
                <w:strike/>
                <w:color w:val="333333"/>
                <w:sz w:val="20"/>
                <w:szCs w:val="20"/>
              </w:rPr>
            </w:pPr>
            <w:r w:rsidRPr="00FB229F">
              <w:rPr>
                <w:rFonts w:ascii="Arial Narrow" w:hAnsi="Arial Narrow"/>
                <w:strike/>
                <w:color w:val="333333"/>
                <w:sz w:val="20"/>
                <w:szCs w:val="20"/>
              </w:rPr>
              <w:t>Patient must have previously received PBS-subsidised treatment with this drug for this condition</w:t>
            </w:r>
          </w:p>
        </w:tc>
      </w:tr>
      <w:tr w:rsidR="00A11912" w:rsidRPr="00FB229F" w14:paraId="3B55EA3F" w14:textId="77777777" w:rsidTr="00166045">
        <w:tc>
          <w:tcPr>
            <w:tcW w:w="28" w:type="pct"/>
            <w:vAlign w:val="center"/>
          </w:tcPr>
          <w:p w14:paraId="52930BBF" w14:textId="77777777" w:rsidR="00A11912" w:rsidRPr="00FB229F" w:rsidRDefault="00A11912" w:rsidP="002565C0">
            <w:pPr>
              <w:jc w:val="center"/>
              <w:rPr>
                <w:rFonts w:ascii="Arial Narrow" w:hAnsi="Arial Narrow"/>
                <w:strike/>
                <w:color w:val="333333"/>
                <w:sz w:val="20"/>
                <w:szCs w:val="20"/>
              </w:rPr>
            </w:pPr>
          </w:p>
        </w:tc>
        <w:tc>
          <w:tcPr>
            <w:tcW w:w="4972" w:type="pct"/>
            <w:vAlign w:val="center"/>
            <w:hideMark/>
          </w:tcPr>
          <w:p w14:paraId="6E367C92" w14:textId="77777777" w:rsidR="00A11912" w:rsidRPr="00FB229F" w:rsidRDefault="00A11912" w:rsidP="002565C0">
            <w:pPr>
              <w:rPr>
                <w:rFonts w:ascii="Arial Narrow" w:hAnsi="Arial Narrow"/>
                <w:strike/>
                <w:color w:val="333333"/>
                <w:sz w:val="20"/>
                <w:szCs w:val="20"/>
              </w:rPr>
            </w:pPr>
            <w:r w:rsidRPr="00FB229F">
              <w:rPr>
                <w:rFonts w:ascii="Arial Narrow" w:hAnsi="Arial Narrow"/>
                <w:b/>
                <w:bCs/>
                <w:strike/>
                <w:color w:val="333333"/>
                <w:sz w:val="20"/>
                <w:szCs w:val="20"/>
              </w:rPr>
              <w:t>AND</w:t>
            </w:r>
          </w:p>
        </w:tc>
      </w:tr>
      <w:tr w:rsidR="00A11912" w:rsidRPr="00FB229F" w14:paraId="7CA72F96" w14:textId="77777777" w:rsidTr="00166045">
        <w:tc>
          <w:tcPr>
            <w:tcW w:w="28" w:type="pct"/>
            <w:vAlign w:val="center"/>
          </w:tcPr>
          <w:p w14:paraId="6A083A71" w14:textId="2B9D2C11" w:rsidR="00A11912" w:rsidRPr="00FB229F" w:rsidRDefault="00A11912" w:rsidP="002565C0">
            <w:pPr>
              <w:jc w:val="center"/>
              <w:rPr>
                <w:rFonts w:ascii="Arial Narrow" w:hAnsi="Arial Narrow"/>
                <w:strike/>
                <w:color w:val="333333"/>
                <w:sz w:val="20"/>
                <w:szCs w:val="20"/>
              </w:rPr>
            </w:pPr>
          </w:p>
        </w:tc>
        <w:tc>
          <w:tcPr>
            <w:tcW w:w="4972" w:type="pct"/>
            <w:vAlign w:val="center"/>
            <w:hideMark/>
          </w:tcPr>
          <w:p w14:paraId="58B6ECCC" w14:textId="77777777" w:rsidR="00A11912" w:rsidRPr="00FB229F" w:rsidRDefault="00A11912" w:rsidP="002565C0">
            <w:pPr>
              <w:rPr>
                <w:rFonts w:ascii="Arial Narrow" w:hAnsi="Arial Narrow"/>
                <w:strike/>
                <w:color w:val="333333"/>
                <w:sz w:val="20"/>
                <w:szCs w:val="20"/>
              </w:rPr>
            </w:pPr>
            <w:r w:rsidRPr="00FB229F">
              <w:rPr>
                <w:rFonts w:ascii="Arial Narrow" w:hAnsi="Arial Narrow"/>
                <w:b/>
                <w:bCs/>
                <w:strike/>
                <w:color w:val="333333"/>
                <w:sz w:val="20"/>
                <w:szCs w:val="20"/>
              </w:rPr>
              <w:t>Clinical criteria:</w:t>
            </w:r>
          </w:p>
        </w:tc>
      </w:tr>
      <w:tr w:rsidR="00A11912" w:rsidRPr="00FB229F" w14:paraId="7E57D006" w14:textId="77777777" w:rsidTr="00166045">
        <w:tc>
          <w:tcPr>
            <w:tcW w:w="28" w:type="pct"/>
            <w:vAlign w:val="center"/>
          </w:tcPr>
          <w:p w14:paraId="34D999C2" w14:textId="77777777" w:rsidR="00A11912" w:rsidRPr="00FB229F" w:rsidRDefault="00A11912" w:rsidP="002565C0">
            <w:pPr>
              <w:jc w:val="center"/>
              <w:rPr>
                <w:rFonts w:ascii="Arial Narrow" w:hAnsi="Arial Narrow"/>
                <w:strike/>
                <w:color w:val="333333"/>
                <w:sz w:val="20"/>
                <w:szCs w:val="20"/>
              </w:rPr>
            </w:pPr>
          </w:p>
        </w:tc>
        <w:tc>
          <w:tcPr>
            <w:tcW w:w="4972" w:type="pct"/>
            <w:vAlign w:val="center"/>
          </w:tcPr>
          <w:p w14:paraId="1AEC8284" w14:textId="77777777" w:rsidR="00A11912" w:rsidRPr="00FB229F" w:rsidRDefault="00A11912" w:rsidP="002565C0">
            <w:pPr>
              <w:rPr>
                <w:rFonts w:ascii="Arial Narrow" w:hAnsi="Arial Narrow"/>
                <w:strike/>
                <w:color w:val="333333"/>
                <w:sz w:val="20"/>
                <w:szCs w:val="20"/>
              </w:rPr>
            </w:pPr>
            <w:r w:rsidRPr="00FB229F">
              <w:rPr>
                <w:rFonts w:ascii="Arial Narrow" w:hAnsi="Arial Narrow"/>
                <w:strike/>
                <w:color w:val="333333"/>
                <w:sz w:val="20"/>
                <w:szCs w:val="20"/>
              </w:rPr>
              <w:t>The treatment must be the sole PBS-subsidised therapy for this condition</w:t>
            </w:r>
          </w:p>
        </w:tc>
      </w:tr>
      <w:tr w:rsidR="00A11912" w:rsidRPr="00FB229F" w14:paraId="1821CE9B" w14:textId="77777777" w:rsidTr="00166045">
        <w:tc>
          <w:tcPr>
            <w:tcW w:w="28" w:type="pct"/>
            <w:vAlign w:val="center"/>
          </w:tcPr>
          <w:p w14:paraId="09D480BA" w14:textId="77777777" w:rsidR="00A11912" w:rsidRPr="00FB229F" w:rsidRDefault="00A11912" w:rsidP="002565C0">
            <w:pPr>
              <w:jc w:val="center"/>
              <w:rPr>
                <w:rFonts w:ascii="Arial Narrow" w:hAnsi="Arial Narrow"/>
                <w:strike/>
                <w:color w:val="333333"/>
                <w:sz w:val="20"/>
                <w:szCs w:val="20"/>
              </w:rPr>
            </w:pPr>
          </w:p>
        </w:tc>
        <w:tc>
          <w:tcPr>
            <w:tcW w:w="4972" w:type="pct"/>
            <w:vAlign w:val="center"/>
            <w:hideMark/>
          </w:tcPr>
          <w:p w14:paraId="385B0D81" w14:textId="77777777" w:rsidR="00A11912" w:rsidRPr="00FB229F" w:rsidRDefault="00A11912" w:rsidP="002565C0">
            <w:pPr>
              <w:rPr>
                <w:rFonts w:ascii="Arial Narrow" w:hAnsi="Arial Narrow"/>
                <w:strike/>
                <w:color w:val="333333"/>
                <w:sz w:val="20"/>
                <w:szCs w:val="20"/>
              </w:rPr>
            </w:pPr>
            <w:r w:rsidRPr="00FB229F">
              <w:rPr>
                <w:rFonts w:ascii="Arial Narrow" w:hAnsi="Arial Narrow"/>
                <w:b/>
                <w:bCs/>
                <w:strike/>
                <w:color w:val="333333"/>
                <w:sz w:val="20"/>
                <w:szCs w:val="20"/>
              </w:rPr>
              <w:t>AND</w:t>
            </w:r>
          </w:p>
        </w:tc>
      </w:tr>
      <w:tr w:rsidR="00A11912" w:rsidRPr="00FB229F" w14:paraId="645A6E30" w14:textId="77777777" w:rsidTr="00166045">
        <w:tc>
          <w:tcPr>
            <w:tcW w:w="28" w:type="pct"/>
            <w:vAlign w:val="center"/>
          </w:tcPr>
          <w:p w14:paraId="63FFC162" w14:textId="65C4626B" w:rsidR="00A11912" w:rsidRPr="00FB229F" w:rsidRDefault="00A11912" w:rsidP="002565C0">
            <w:pPr>
              <w:jc w:val="center"/>
              <w:rPr>
                <w:rFonts w:ascii="Arial Narrow" w:hAnsi="Arial Narrow"/>
                <w:strike/>
                <w:color w:val="333333"/>
                <w:sz w:val="20"/>
                <w:szCs w:val="20"/>
              </w:rPr>
            </w:pPr>
          </w:p>
        </w:tc>
        <w:tc>
          <w:tcPr>
            <w:tcW w:w="4972" w:type="pct"/>
            <w:vAlign w:val="center"/>
            <w:hideMark/>
          </w:tcPr>
          <w:p w14:paraId="65AACBD4" w14:textId="77777777" w:rsidR="00A11912" w:rsidRPr="00FB229F" w:rsidRDefault="00A11912" w:rsidP="002565C0">
            <w:pPr>
              <w:rPr>
                <w:rFonts w:ascii="Arial Narrow" w:hAnsi="Arial Narrow"/>
                <w:strike/>
                <w:color w:val="333333"/>
                <w:sz w:val="20"/>
                <w:szCs w:val="20"/>
              </w:rPr>
            </w:pPr>
            <w:r w:rsidRPr="00FB229F">
              <w:rPr>
                <w:rFonts w:ascii="Arial Narrow" w:hAnsi="Arial Narrow"/>
                <w:b/>
                <w:bCs/>
                <w:strike/>
                <w:color w:val="333333"/>
                <w:sz w:val="20"/>
                <w:szCs w:val="20"/>
              </w:rPr>
              <w:t>Clinical criteria:</w:t>
            </w:r>
          </w:p>
        </w:tc>
      </w:tr>
      <w:tr w:rsidR="00A11912" w:rsidRPr="00FB229F" w14:paraId="53C17528" w14:textId="77777777" w:rsidTr="00166045">
        <w:tc>
          <w:tcPr>
            <w:tcW w:w="28" w:type="pct"/>
            <w:vAlign w:val="center"/>
          </w:tcPr>
          <w:p w14:paraId="7C421009" w14:textId="77777777" w:rsidR="00A11912" w:rsidRPr="00FB229F" w:rsidRDefault="00A11912" w:rsidP="002565C0">
            <w:pPr>
              <w:jc w:val="center"/>
              <w:rPr>
                <w:rFonts w:ascii="Arial Narrow" w:hAnsi="Arial Narrow"/>
                <w:strike/>
                <w:color w:val="333333"/>
                <w:sz w:val="20"/>
                <w:szCs w:val="20"/>
              </w:rPr>
            </w:pPr>
          </w:p>
        </w:tc>
        <w:tc>
          <w:tcPr>
            <w:tcW w:w="4972" w:type="pct"/>
            <w:vAlign w:val="center"/>
            <w:hideMark/>
          </w:tcPr>
          <w:p w14:paraId="0D6E18FE" w14:textId="77777777" w:rsidR="00A11912" w:rsidRPr="00FB229F" w:rsidRDefault="00A11912" w:rsidP="002565C0">
            <w:pPr>
              <w:rPr>
                <w:rFonts w:ascii="Arial Narrow" w:hAnsi="Arial Narrow"/>
                <w:strike/>
                <w:color w:val="333333"/>
                <w:sz w:val="20"/>
                <w:szCs w:val="20"/>
              </w:rPr>
            </w:pPr>
            <w:r w:rsidRPr="00FB229F">
              <w:rPr>
                <w:rFonts w:ascii="Arial Narrow" w:hAnsi="Arial Narrow"/>
                <w:strike/>
                <w:color w:val="333333"/>
                <w:sz w:val="20"/>
                <w:szCs w:val="20"/>
              </w:rPr>
              <w:t>Patient must not develop disease progression while receiving PBS-subsidised treatment with this drug for this condition</w:t>
            </w:r>
          </w:p>
        </w:tc>
      </w:tr>
    </w:tbl>
    <w:p w14:paraId="3FB851CE" w14:textId="77777777" w:rsidR="00A11912" w:rsidRPr="00166045" w:rsidRDefault="00A11912" w:rsidP="00816BFB">
      <w:pPr>
        <w:pStyle w:val="3-BodyText"/>
        <w:numPr>
          <w:ilvl w:val="0"/>
          <w:numId w:val="0"/>
        </w:numPr>
        <w:spacing w:after="0"/>
        <w:ind w:left="14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C65724" w:rsidRPr="00FB229F" w14:paraId="328A33EE" w14:textId="77777777" w:rsidTr="00816BFB">
        <w:tc>
          <w:tcPr>
            <w:tcW w:w="5000" w:type="pct"/>
            <w:tcBorders>
              <w:top w:val="single" w:sz="4" w:space="0" w:color="auto"/>
              <w:left w:val="single" w:sz="4" w:space="0" w:color="auto"/>
              <w:bottom w:val="single" w:sz="4" w:space="0" w:color="auto"/>
              <w:right w:val="single" w:sz="4" w:space="0" w:color="auto"/>
            </w:tcBorders>
          </w:tcPr>
          <w:p w14:paraId="2EE56CC3" w14:textId="77777777" w:rsidR="00C65724" w:rsidRPr="00FB229F" w:rsidRDefault="00C65724" w:rsidP="002565C0">
            <w:pPr>
              <w:rPr>
                <w:rFonts w:ascii="Arial Narrow" w:eastAsia="Calibri" w:hAnsi="Arial Narrow"/>
                <w:strike/>
                <w:sz w:val="20"/>
                <w:szCs w:val="20"/>
              </w:rPr>
            </w:pPr>
            <w:r w:rsidRPr="00FB229F">
              <w:rPr>
                <w:rFonts w:ascii="Arial Narrow" w:eastAsia="Calibri" w:hAnsi="Arial Narrow"/>
                <w:b/>
                <w:strike/>
                <w:sz w:val="20"/>
                <w:szCs w:val="20"/>
              </w:rPr>
              <w:t xml:space="preserve">Category / Program: </w:t>
            </w:r>
            <w:r w:rsidRPr="00FB229F">
              <w:rPr>
                <w:rFonts w:ascii="Arial Narrow" w:eastAsia="Calibri" w:hAnsi="Arial Narrow"/>
                <w:strike/>
                <w:sz w:val="20"/>
                <w:szCs w:val="20"/>
              </w:rPr>
              <w:t xml:space="preserve">GENERAL – General Schedule (Code GE)  </w:t>
            </w:r>
          </w:p>
        </w:tc>
      </w:tr>
      <w:tr w:rsidR="00C65724" w:rsidRPr="00FB229F" w14:paraId="4856DC9C" w14:textId="77777777" w:rsidTr="00816BFB">
        <w:trPr>
          <w:trHeight w:val="240"/>
        </w:trPr>
        <w:tc>
          <w:tcPr>
            <w:tcW w:w="5000" w:type="pct"/>
            <w:tcBorders>
              <w:top w:val="single" w:sz="4" w:space="0" w:color="auto"/>
              <w:left w:val="single" w:sz="4" w:space="0" w:color="auto"/>
              <w:bottom w:val="single" w:sz="4" w:space="0" w:color="auto"/>
              <w:right w:val="single" w:sz="4" w:space="0" w:color="auto"/>
            </w:tcBorders>
          </w:tcPr>
          <w:p w14:paraId="72231E86" w14:textId="77777777" w:rsidR="00C65724" w:rsidRPr="00FB229F" w:rsidRDefault="00C65724" w:rsidP="002565C0">
            <w:pPr>
              <w:rPr>
                <w:rFonts w:ascii="Arial Narrow" w:eastAsia="Calibri" w:hAnsi="Arial Narrow"/>
                <w:b/>
                <w:strike/>
                <w:sz w:val="20"/>
                <w:szCs w:val="20"/>
              </w:rPr>
            </w:pPr>
            <w:r w:rsidRPr="00FB229F">
              <w:rPr>
                <w:rFonts w:ascii="Arial Narrow" w:eastAsia="Calibri" w:hAnsi="Arial Narrow"/>
                <w:b/>
                <w:strike/>
                <w:sz w:val="20"/>
                <w:szCs w:val="20"/>
              </w:rPr>
              <w:t xml:space="preserve">Prescriber type:   </w:t>
            </w:r>
            <w:r w:rsidRPr="00FB229F">
              <w:rPr>
                <w:rFonts w:ascii="Arial Narrow" w:eastAsia="Calibri" w:hAnsi="Arial Narrow"/>
                <w:strike/>
                <w:color w:val="2B579A"/>
                <w:sz w:val="20"/>
                <w:szCs w:val="20"/>
                <w:shd w:val="clear" w:color="auto" w:fill="E6E6E6"/>
              </w:rPr>
              <w:fldChar w:fldCharType="begin" w:fldLock="1">
                <w:ffData>
                  <w:name w:val=""/>
                  <w:enabled/>
                  <w:calcOnExit w:val="0"/>
                  <w:checkBox>
                    <w:sizeAuto/>
                    <w:default w:val="1"/>
                  </w:checkBox>
                </w:ffData>
              </w:fldChar>
            </w:r>
            <w:r w:rsidRPr="00FB229F">
              <w:rPr>
                <w:rFonts w:ascii="Arial Narrow" w:eastAsia="Calibri" w:hAnsi="Arial Narrow"/>
                <w:strike/>
                <w:sz w:val="20"/>
                <w:szCs w:val="20"/>
              </w:rPr>
              <w:instrText xml:space="preserve"> FORMCHECKBOX </w:instrText>
            </w:r>
            <w:r w:rsidR="00BF0AEB">
              <w:rPr>
                <w:rFonts w:ascii="Arial Narrow" w:eastAsia="Calibri" w:hAnsi="Arial Narrow"/>
                <w:strike/>
                <w:color w:val="2B579A"/>
                <w:sz w:val="20"/>
                <w:szCs w:val="20"/>
                <w:shd w:val="clear" w:color="auto" w:fill="E6E6E6"/>
              </w:rPr>
            </w:r>
            <w:r w:rsidR="00BF0AEB">
              <w:rPr>
                <w:rFonts w:ascii="Arial Narrow" w:eastAsia="Calibri" w:hAnsi="Arial Narrow"/>
                <w:strike/>
                <w:color w:val="2B579A"/>
                <w:sz w:val="20"/>
                <w:szCs w:val="20"/>
                <w:shd w:val="clear" w:color="auto" w:fill="E6E6E6"/>
              </w:rPr>
              <w:fldChar w:fldCharType="separate"/>
            </w:r>
            <w:r w:rsidRPr="00FB229F">
              <w:rPr>
                <w:rFonts w:ascii="Arial Narrow" w:eastAsia="Calibri" w:hAnsi="Arial Narrow"/>
                <w:strike/>
                <w:color w:val="2B579A"/>
                <w:sz w:val="20"/>
                <w:szCs w:val="20"/>
                <w:shd w:val="clear" w:color="auto" w:fill="E6E6E6"/>
              </w:rPr>
              <w:fldChar w:fldCharType="end"/>
            </w:r>
            <w:r w:rsidRPr="00FB229F">
              <w:rPr>
                <w:rFonts w:ascii="Arial Narrow" w:eastAsia="Calibri" w:hAnsi="Arial Narrow"/>
                <w:strike/>
                <w:sz w:val="20"/>
                <w:szCs w:val="20"/>
              </w:rPr>
              <w:t>Medical Practitioners</w:t>
            </w:r>
          </w:p>
        </w:tc>
      </w:tr>
      <w:tr w:rsidR="00C65724" w:rsidRPr="00FB229F" w14:paraId="39007E69" w14:textId="77777777" w:rsidTr="00816BFB">
        <w:tc>
          <w:tcPr>
            <w:tcW w:w="5000" w:type="pct"/>
            <w:tcBorders>
              <w:top w:val="single" w:sz="4" w:space="0" w:color="auto"/>
              <w:left w:val="single" w:sz="4" w:space="0" w:color="auto"/>
              <w:bottom w:val="single" w:sz="4" w:space="0" w:color="auto"/>
              <w:right w:val="single" w:sz="4" w:space="0" w:color="auto"/>
            </w:tcBorders>
          </w:tcPr>
          <w:p w14:paraId="6ADA265C" w14:textId="77777777" w:rsidR="00C65724" w:rsidRPr="00FB229F" w:rsidRDefault="00C65724" w:rsidP="002565C0">
            <w:pPr>
              <w:rPr>
                <w:rFonts w:ascii="Arial Narrow" w:eastAsia="Calibri" w:hAnsi="Arial Narrow"/>
                <w:b/>
                <w:strike/>
                <w:sz w:val="20"/>
                <w:szCs w:val="20"/>
              </w:rPr>
            </w:pPr>
            <w:r w:rsidRPr="00FB229F">
              <w:rPr>
                <w:rFonts w:ascii="Arial Narrow" w:eastAsia="Calibri" w:hAnsi="Arial Narrow"/>
                <w:b/>
                <w:strike/>
                <w:sz w:val="20"/>
                <w:szCs w:val="20"/>
              </w:rPr>
              <w:t>Restriction Type – assessment time by Services Australia – Method of obtaining authority approval (if Authority Required)</w:t>
            </w:r>
          </w:p>
          <w:p w14:paraId="4DFE89FD" w14:textId="77777777" w:rsidR="00C65724" w:rsidRPr="00FB229F" w:rsidRDefault="00C65724" w:rsidP="002565C0">
            <w:pPr>
              <w:rPr>
                <w:rFonts w:ascii="Arial Narrow" w:eastAsia="Calibri" w:hAnsi="Arial Narrow"/>
                <w:strike/>
                <w:sz w:val="20"/>
                <w:szCs w:val="20"/>
              </w:rPr>
            </w:pPr>
            <w:r w:rsidRPr="00FB229F">
              <w:rPr>
                <w:rFonts w:ascii="Arial Narrow" w:eastAsia="Calibri" w:hAnsi="Arial Narrow"/>
                <w:strike/>
                <w:color w:val="2B579A"/>
                <w:sz w:val="20"/>
                <w:szCs w:val="20"/>
                <w:shd w:val="clear" w:color="auto" w:fill="E6E6E6"/>
              </w:rPr>
              <w:fldChar w:fldCharType="begin" w:fldLock="1">
                <w:ffData>
                  <w:name w:val=""/>
                  <w:enabled/>
                  <w:calcOnExit w:val="0"/>
                  <w:checkBox>
                    <w:sizeAuto/>
                    <w:default w:val="1"/>
                  </w:checkBox>
                </w:ffData>
              </w:fldChar>
            </w:r>
            <w:r w:rsidRPr="00FB229F">
              <w:rPr>
                <w:rFonts w:ascii="Arial Narrow" w:eastAsia="Calibri" w:hAnsi="Arial Narrow"/>
                <w:strike/>
                <w:sz w:val="20"/>
                <w:szCs w:val="20"/>
              </w:rPr>
              <w:instrText xml:space="preserve"> FORMCHECKBOX </w:instrText>
            </w:r>
            <w:r w:rsidR="00BF0AEB">
              <w:rPr>
                <w:rFonts w:ascii="Arial Narrow" w:eastAsia="Calibri" w:hAnsi="Arial Narrow"/>
                <w:strike/>
                <w:color w:val="2B579A"/>
                <w:sz w:val="20"/>
                <w:szCs w:val="20"/>
                <w:shd w:val="clear" w:color="auto" w:fill="E6E6E6"/>
              </w:rPr>
            </w:r>
            <w:r w:rsidR="00BF0AEB">
              <w:rPr>
                <w:rFonts w:ascii="Arial Narrow" w:eastAsia="Calibri" w:hAnsi="Arial Narrow"/>
                <w:strike/>
                <w:color w:val="2B579A"/>
                <w:sz w:val="20"/>
                <w:szCs w:val="20"/>
                <w:shd w:val="clear" w:color="auto" w:fill="E6E6E6"/>
              </w:rPr>
              <w:fldChar w:fldCharType="separate"/>
            </w:r>
            <w:r w:rsidRPr="00FB229F">
              <w:rPr>
                <w:rFonts w:ascii="Arial Narrow" w:eastAsia="Calibri" w:hAnsi="Arial Narrow"/>
                <w:strike/>
                <w:color w:val="2B579A"/>
                <w:sz w:val="20"/>
                <w:szCs w:val="20"/>
                <w:shd w:val="clear" w:color="auto" w:fill="E6E6E6"/>
              </w:rPr>
              <w:fldChar w:fldCharType="end"/>
            </w:r>
            <w:r w:rsidRPr="00FB229F">
              <w:rPr>
                <w:rFonts w:ascii="Arial Narrow" w:eastAsia="Calibri" w:hAnsi="Arial Narrow"/>
                <w:strike/>
                <w:sz w:val="20"/>
                <w:szCs w:val="20"/>
              </w:rPr>
              <w:t xml:space="preserve">Authority Required – Streamlined [NEW] </w:t>
            </w:r>
          </w:p>
        </w:tc>
      </w:tr>
      <w:tr w:rsidR="00C65724" w:rsidRPr="00FB229F" w14:paraId="4D22AB5E" w14:textId="77777777" w:rsidTr="00816BFB">
        <w:tc>
          <w:tcPr>
            <w:tcW w:w="5000" w:type="pct"/>
            <w:vAlign w:val="center"/>
          </w:tcPr>
          <w:p w14:paraId="518096B6" w14:textId="77777777" w:rsidR="00C65724" w:rsidRPr="00FB229F" w:rsidRDefault="00C65724" w:rsidP="002565C0">
            <w:pPr>
              <w:rPr>
                <w:rFonts w:ascii="Arial Narrow" w:hAnsi="Arial Narrow"/>
                <w:b/>
                <w:bCs/>
                <w:strike/>
                <w:color w:val="333333"/>
                <w:sz w:val="20"/>
                <w:szCs w:val="20"/>
              </w:rPr>
            </w:pPr>
            <w:r w:rsidRPr="00FB229F">
              <w:rPr>
                <w:rFonts w:ascii="Arial Narrow" w:hAnsi="Arial Narrow"/>
                <w:b/>
                <w:bCs/>
                <w:strike/>
                <w:color w:val="333333"/>
                <w:sz w:val="20"/>
                <w:szCs w:val="20"/>
              </w:rPr>
              <w:t xml:space="preserve">Condition: </w:t>
            </w:r>
            <w:r w:rsidRPr="00FB229F">
              <w:rPr>
                <w:rFonts w:ascii="Arial Narrow" w:hAnsi="Arial Narrow"/>
                <w:strike/>
                <w:color w:val="333333"/>
                <w:sz w:val="20"/>
                <w:szCs w:val="20"/>
              </w:rPr>
              <w:t>Non-small cell lung cancer (NSCLC)</w:t>
            </w:r>
          </w:p>
        </w:tc>
      </w:tr>
      <w:tr w:rsidR="00C65724" w:rsidRPr="00FB229F" w14:paraId="5ABB6DC4" w14:textId="77777777" w:rsidTr="00816BFB">
        <w:tc>
          <w:tcPr>
            <w:tcW w:w="5000" w:type="pct"/>
            <w:vAlign w:val="center"/>
            <w:hideMark/>
          </w:tcPr>
          <w:p w14:paraId="5E8CCDAE" w14:textId="77777777" w:rsidR="00C65724" w:rsidRPr="00FB229F" w:rsidRDefault="00C65724" w:rsidP="002565C0">
            <w:pPr>
              <w:rPr>
                <w:rFonts w:ascii="Arial Narrow" w:hAnsi="Arial Narrow"/>
                <w:strike/>
                <w:color w:val="333333"/>
                <w:sz w:val="20"/>
                <w:szCs w:val="20"/>
              </w:rPr>
            </w:pPr>
            <w:r w:rsidRPr="00FB229F">
              <w:rPr>
                <w:rFonts w:ascii="Arial Narrow" w:hAnsi="Arial Narrow"/>
                <w:b/>
                <w:bCs/>
                <w:strike/>
                <w:color w:val="333333"/>
                <w:sz w:val="20"/>
                <w:szCs w:val="20"/>
              </w:rPr>
              <w:t>Indication:</w:t>
            </w:r>
            <w:r w:rsidRPr="00FB229F">
              <w:rPr>
                <w:rFonts w:ascii="Arial Narrow" w:hAnsi="Arial Narrow"/>
                <w:strike/>
                <w:color w:val="333333"/>
                <w:sz w:val="20"/>
                <w:szCs w:val="20"/>
              </w:rPr>
              <w:t xml:space="preserve"> Stage IIIB (locally advanced) or Stage IV (metastatic) non-small cell lung cancer (NSCLC)</w:t>
            </w:r>
          </w:p>
        </w:tc>
      </w:tr>
      <w:tr w:rsidR="00C65724" w:rsidRPr="00FB229F" w14:paraId="0FFBA6BE" w14:textId="77777777" w:rsidTr="00816BFB">
        <w:tc>
          <w:tcPr>
            <w:tcW w:w="5000" w:type="pct"/>
            <w:vAlign w:val="center"/>
          </w:tcPr>
          <w:p w14:paraId="3056E0D2" w14:textId="77777777" w:rsidR="00C65724" w:rsidRPr="00FB229F" w:rsidRDefault="00C65724" w:rsidP="002565C0">
            <w:pPr>
              <w:rPr>
                <w:rFonts w:ascii="Arial Narrow" w:hAnsi="Arial Narrow"/>
                <w:strike/>
                <w:color w:val="333333"/>
                <w:sz w:val="20"/>
                <w:szCs w:val="20"/>
              </w:rPr>
            </w:pPr>
            <w:r w:rsidRPr="00FB229F">
              <w:rPr>
                <w:rFonts w:ascii="Arial Narrow" w:hAnsi="Arial Narrow"/>
                <w:b/>
                <w:bCs/>
                <w:strike/>
                <w:color w:val="333333"/>
                <w:sz w:val="20"/>
                <w:szCs w:val="20"/>
              </w:rPr>
              <w:t xml:space="preserve">Treatment phase: </w:t>
            </w:r>
            <w:r w:rsidRPr="00FB229F">
              <w:rPr>
                <w:rFonts w:ascii="Arial Narrow" w:hAnsi="Arial Narrow"/>
                <w:strike/>
                <w:color w:val="333333"/>
                <w:sz w:val="20"/>
                <w:szCs w:val="20"/>
              </w:rPr>
              <w:t>Grandfathered</w:t>
            </w:r>
          </w:p>
        </w:tc>
      </w:tr>
      <w:tr w:rsidR="00C65724" w:rsidRPr="00FB229F" w14:paraId="3124DF6D" w14:textId="77777777" w:rsidTr="00816BFB">
        <w:tc>
          <w:tcPr>
            <w:tcW w:w="5000" w:type="pct"/>
            <w:vAlign w:val="center"/>
            <w:hideMark/>
          </w:tcPr>
          <w:p w14:paraId="46C5E667" w14:textId="77777777" w:rsidR="00C65724" w:rsidRPr="00FB229F" w:rsidRDefault="00C65724" w:rsidP="002565C0">
            <w:pPr>
              <w:rPr>
                <w:rFonts w:ascii="Arial Narrow" w:hAnsi="Arial Narrow"/>
                <w:strike/>
                <w:color w:val="333333"/>
                <w:sz w:val="20"/>
                <w:szCs w:val="20"/>
              </w:rPr>
            </w:pPr>
            <w:r w:rsidRPr="00FB229F">
              <w:rPr>
                <w:rFonts w:ascii="Arial Narrow" w:hAnsi="Arial Narrow"/>
                <w:b/>
                <w:bCs/>
                <w:strike/>
                <w:color w:val="333333"/>
                <w:sz w:val="20"/>
                <w:szCs w:val="20"/>
              </w:rPr>
              <w:t>Clinical criteria:</w:t>
            </w:r>
          </w:p>
        </w:tc>
      </w:tr>
      <w:tr w:rsidR="00C65724" w:rsidRPr="00FB229F" w14:paraId="7EF52623" w14:textId="77777777" w:rsidTr="00816BFB">
        <w:tc>
          <w:tcPr>
            <w:tcW w:w="5000" w:type="pct"/>
            <w:vAlign w:val="center"/>
            <w:hideMark/>
          </w:tcPr>
          <w:p w14:paraId="76E65FC6" w14:textId="77777777" w:rsidR="00C65724" w:rsidRPr="00FB229F" w:rsidRDefault="00C65724" w:rsidP="002565C0">
            <w:pPr>
              <w:rPr>
                <w:rFonts w:ascii="Arial Narrow" w:hAnsi="Arial Narrow"/>
                <w:strike/>
                <w:color w:val="333333"/>
                <w:sz w:val="20"/>
                <w:szCs w:val="20"/>
              </w:rPr>
            </w:pPr>
            <w:r w:rsidRPr="00FB229F">
              <w:rPr>
                <w:rFonts w:ascii="Arial Narrow" w:hAnsi="Arial Narrow"/>
                <w:strike/>
                <w:color w:val="333333"/>
                <w:sz w:val="20"/>
                <w:szCs w:val="20"/>
              </w:rPr>
              <w:t>Patient must have previously received non-PBS subsidised treatment with this drug for this condition prior to [date of PBS listing]</w:t>
            </w:r>
          </w:p>
        </w:tc>
      </w:tr>
      <w:tr w:rsidR="00C65724" w:rsidRPr="00FB229F" w14:paraId="315368B2" w14:textId="77777777" w:rsidTr="00816BFB">
        <w:tc>
          <w:tcPr>
            <w:tcW w:w="5000" w:type="pct"/>
            <w:vAlign w:val="center"/>
            <w:hideMark/>
          </w:tcPr>
          <w:p w14:paraId="2B81E5A3" w14:textId="77777777" w:rsidR="00C65724" w:rsidRPr="00FB229F" w:rsidRDefault="00C65724" w:rsidP="002565C0">
            <w:pPr>
              <w:rPr>
                <w:rFonts w:ascii="Arial Narrow" w:hAnsi="Arial Narrow"/>
                <w:strike/>
                <w:color w:val="333333"/>
                <w:sz w:val="20"/>
                <w:szCs w:val="20"/>
              </w:rPr>
            </w:pPr>
            <w:r w:rsidRPr="00FB229F">
              <w:rPr>
                <w:rFonts w:ascii="Arial Narrow" w:hAnsi="Arial Narrow"/>
                <w:b/>
                <w:bCs/>
                <w:strike/>
                <w:color w:val="333333"/>
                <w:sz w:val="20"/>
                <w:szCs w:val="20"/>
              </w:rPr>
              <w:t>AND</w:t>
            </w:r>
          </w:p>
        </w:tc>
      </w:tr>
      <w:tr w:rsidR="00C65724" w:rsidRPr="00FB229F" w14:paraId="7A074A4E" w14:textId="77777777" w:rsidTr="00816BFB">
        <w:tc>
          <w:tcPr>
            <w:tcW w:w="5000" w:type="pct"/>
            <w:vAlign w:val="center"/>
            <w:hideMark/>
          </w:tcPr>
          <w:p w14:paraId="3A0F5A48" w14:textId="77777777" w:rsidR="00C65724" w:rsidRPr="00FB229F" w:rsidRDefault="00C65724" w:rsidP="002565C0">
            <w:pPr>
              <w:rPr>
                <w:rFonts w:ascii="Arial Narrow" w:hAnsi="Arial Narrow"/>
                <w:strike/>
                <w:color w:val="333333"/>
                <w:sz w:val="20"/>
                <w:szCs w:val="20"/>
              </w:rPr>
            </w:pPr>
            <w:r w:rsidRPr="00FB229F">
              <w:rPr>
                <w:rFonts w:ascii="Arial Narrow" w:hAnsi="Arial Narrow"/>
                <w:b/>
                <w:bCs/>
                <w:strike/>
                <w:color w:val="333333"/>
                <w:sz w:val="20"/>
                <w:szCs w:val="20"/>
              </w:rPr>
              <w:t>Clinical criteria:</w:t>
            </w:r>
          </w:p>
        </w:tc>
      </w:tr>
      <w:tr w:rsidR="00C65724" w:rsidRPr="00FB229F" w14:paraId="463301B1" w14:textId="77777777" w:rsidTr="00816BFB">
        <w:tc>
          <w:tcPr>
            <w:tcW w:w="5000" w:type="pct"/>
            <w:vAlign w:val="center"/>
          </w:tcPr>
          <w:p w14:paraId="016CCE4D" w14:textId="77777777" w:rsidR="00C65724" w:rsidRPr="00FB229F" w:rsidRDefault="00C65724" w:rsidP="002565C0">
            <w:pPr>
              <w:rPr>
                <w:rFonts w:ascii="Arial Narrow" w:hAnsi="Arial Narrow"/>
                <w:strike/>
                <w:color w:val="333333"/>
                <w:sz w:val="20"/>
                <w:szCs w:val="20"/>
              </w:rPr>
            </w:pPr>
            <w:r w:rsidRPr="00FB229F">
              <w:rPr>
                <w:rFonts w:ascii="Arial Narrow" w:hAnsi="Arial Narrow"/>
                <w:strike/>
                <w:color w:val="333333"/>
                <w:sz w:val="20"/>
                <w:szCs w:val="20"/>
              </w:rPr>
              <w:t>Patient must have a WHO performance status of 2 or less prior to initiation on non-PBS subsidised treatment with this drug for this condition</w:t>
            </w:r>
          </w:p>
        </w:tc>
      </w:tr>
      <w:tr w:rsidR="00C65724" w:rsidRPr="00FB229F" w14:paraId="7C390100" w14:textId="77777777" w:rsidTr="00816BFB">
        <w:tc>
          <w:tcPr>
            <w:tcW w:w="5000" w:type="pct"/>
            <w:vAlign w:val="center"/>
            <w:hideMark/>
          </w:tcPr>
          <w:p w14:paraId="53E7BC8B" w14:textId="77777777" w:rsidR="00C65724" w:rsidRPr="00FB229F" w:rsidRDefault="00C65724" w:rsidP="002565C0">
            <w:pPr>
              <w:rPr>
                <w:rFonts w:ascii="Arial Narrow" w:hAnsi="Arial Narrow"/>
                <w:strike/>
                <w:color w:val="333333"/>
                <w:sz w:val="20"/>
                <w:szCs w:val="20"/>
              </w:rPr>
            </w:pPr>
            <w:r w:rsidRPr="00FB229F">
              <w:rPr>
                <w:rFonts w:ascii="Arial Narrow" w:hAnsi="Arial Narrow"/>
                <w:b/>
                <w:bCs/>
                <w:strike/>
                <w:color w:val="333333"/>
                <w:sz w:val="20"/>
                <w:szCs w:val="20"/>
              </w:rPr>
              <w:t>AND</w:t>
            </w:r>
          </w:p>
        </w:tc>
      </w:tr>
      <w:tr w:rsidR="00C65724" w:rsidRPr="00FB229F" w14:paraId="494A1132" w14:textId="77777777" w:rsidTr="00816BFB">
        <w:tc>
          <w:tcPr>
            <w:tcW w:w="5000" w:type="pct"/>
            <w:vAlign w:val="center"/>
            <w:hideMark/>
          </w:tcPr>
          <w:p w14:paraId="3A0768BE" w14:textId="77777777" w:rsidR="00C65724" w:rsidRPr="00FB229F" w:rsidRDefault="00C65724" w:rsidP="002565C0">
            <w:pPr>
              <w:rPr>
                <w:rFonts w:ascii="Arial Narrow" w:hAnsi="Arial Narrow"/>
                <w:strike/>
                <w:color w:val="333333"/>
                <w:sz w:val="20"/>
                <w:szCs w:val="20"/>
              </w:rPr>
            </w:pPr>
            <w:r w:rsidRPr="00FB229F">
              <w:rPr>
                <w:rFonts w:ascii="Arial Narrow" w:hAnsi="Arial Narrow"/>
                <w:b/>
                <w:bCs/>
                <w:strike/>
                <w:color w:val="333333"/>
                <w:sz w:val="20"/>
                <w:szCs w:val="20"/>
              </w:rPr>
              <w:t>Clinical criteria:</w:t>
            </w:r>
          </w:p>
        </w:tc>
      </w:tr>
      <w:tr w:rsidR="00C65724" w:rsidRPr="00FB229F" w14:paraId="004EFFC4" w14:textId="77777777" w:rsidTr="00816BFB">
        <w:tc>
          <w:tcPr>
            <w:tcW w:w="5000" w:type="pct"/>
            <w:vAlign w:val="center"/>
            <w:hideMark/>
          </w:tcPr>
          <w:p w14:paraId="6140717F" w14:textId="77777777" w:rsidR="00C65724" w:rsidRPr="00FB229F" w:rsidRDefault="00C65724" w:rsidP="002565C0">
            <w:pPr>
              <w:rPr>
                <w:rFonts w:ascii="Arial Narrow" w:hAnsi="Arial Narrow"/>
                <w:strike/>
                <w:color w:val="333333"/>
                <w:sz w:val="20"/>
                <w:szCs w:val="20"/>
              </w:rPr>
            </w:pPr>
            <w:r w:rsidRPr="00FB229F">
              <w:rPr>
                <w:rFonts w:ascii="Arial Narrow" w:hAnsi="Arial Narrow"/>
                <w:strike/>
                <w:color w:val="333333"/>
                <w:sz w:val="20"/>
                <w:szCs w:val="20"/>
              </w:rPr>
              <w:t>Patient must have evidence of a rearranged during transfection (RET) gene fusion in tumour material</w:t>
            </w:r>
          </w:p>
        </w:tc>
      </w:tr>
    </w:tbl>
    <w:p w14:paraId="3C025985" w14:textId="77777777" w:rsidR="00A11912" w:rsidRPr="00FB229F" w:rsidRDefault="00A11912" w:rsidP="00816BFB">
      <w:pPr>
        <w:pStyle w:val="ExecSumBodyText"/>
        <w:spacing w:after="0"/>
        <w:ind w:left="0" w:firstLine="0"/>
        <w:rPr>
          <w:iCs/>
        </w:rPr>
      </w:pPr>
    </w:p>
    <w:p w14:paraId="504D9455" w14:textId="0768B0D7" w:rsidR="00E62A05" w:rsidRPr="00FB229F" w:rsidRDefault="00992A96" w:rsidP="00E62A05">
      <w:pPr>
        <w:pStyle w:val="ExecSumBodyText"/>
        <w:numPr>
          <w:ilvl w:val="1"/>
          <w:numId w:val="1"/>
        </w:numPr>
        <w:rPr>
          <w:iCs/>
        </w:rPr>
      </w:pPr>
      <w:bookmarkStart w:id="11" w:name="_Ref141905270"/>
      <w:r w:rsidRPr="00FB229F">
        <w:rPr>
          <w:iCs/>
        </w:rPr>
        <w:t>The submission noted that as pembrolizumab has a special pricing arrangement (SPA) in place, the sponsor may request a SPA during discussions with the Department of Health</w:t>
      </w:r>
      <w:bookmarkEnd w:id="9"/>
      <w:r w:rsidRPr="00FB229F">
        <w:rPr>
          <w:iCs/>
        </w:rPr>
        <w:t>, should selpercatinib be recommended for PBS listing</w:t>
      </w:r>
      <w:r w:rsidR="00E62A05" w:rsidRPr="00FB229F">
        <w:rPr>
          <w:iCs/>
        </w:rPr>
        <w:t>.</w:t>
      </w:r>
      <w:r w:rsidR="002E18ED" w:rsidRPr="00FB229F">
        <w:rPr>
          <w:iCs/>
        </w:rPr>
        <w:t xml:space="preserve"> The pre-PBAC response </w:t>
      </w:r>
      <w:r w:rsidR="00BC50A0" w:rsidRPr="00FB229F">
        <w:rPr>
          <w:iCs/>
        </w:rPr>
        <w:t xml:space="preserve">offered a 1.5% reduction </w:t>
      </w:r>
      <w:r w:rsidR="0026483B" w:rsidRPr="00FB229F">
        <w:rPr>
          <w:iCs/>
        </w:rPr>
        <w:t>on</w:t>
      </w:r>
      <w:r w:rsidR="00BC50A0" w:rsidRPr="00FB229F">
        <w:rPr>
          <w:iCs/>
        </w:rPr>
        <w:t xml:space="preserve"> </w:t>
      </w:r>
      <w:r w:rsidR="005D0860" w:rsidRPr="00FB229F">
        <w:rPr>
          <w:iCs/>
        </w:rPr>
        <w:t xml:space="preserve">the price of </w:t>
      </w:r>
      <w:r w:rsidR="00BC50A0" w:rsidRPr="00FB229F">
        <w:rPr>
          <w:iCs/>
        </w:rPr>
        <w:t>selpercatinib (i.e. published</w:t>
      </w:r>
      <w:r w:rsidR="00BC50A0" w:rsidRPr="00166045">
        <w:t xml:space="preserve"> AEMP of $</w:t>
      </w:r>
      <w:r w:rsidR="00816BFB" w:rsidRPr="00BF0AEB">
        <w:rPr>
          <w:w w:val="15"/>
          <w:highlight w:val="black"/>
          <w:fitText w:val="-20" w:id="-1167881212"/>
        </w:rPr>
        <w:t xml:space="preserve">|  </w:t>
      </w:r>
      <w:r w:rsidR="00816BFB" w:rsidRPr="00BF0AEB">
        <w:rPr>
          <w:spacing w:val="-69"/>
          <w:w w:val="15"/>
          <w:highlight w:val="black"/>
          <w:fitText w:val="-20" w:id="-1167881212"/>
        </w:rPr>
        <w:t>|</w:t>
      </w:r>
      <w:r w:rsidR="00BC50A0" w:rsidRPr="00166045">
        <w:t xml:space="preserve"> for </w:t>
      </w:r>
      <w:r w:rsidR="00BC50A0" w:rsidRPr="00166045">
        <w:lastRenderedPageBreak/>
        <w:t>the 80mg x 112 pack size, $</w:t>
      </w:r>
      <w:r w:rsidR="00816BFB" w:rsidRPr="00BF0AEB">
        <w:rPr>
          <w:w w:val="15"/>
          <w:highlight w:val="black"/>
          <w:fitText w:val="-20" w:id="-1167881211"/>
        </w:rPr>
        <w:t xml:space="preserve">|  </w:t>
      </w:r>
      <w:r w:rsidR="00816BFB" w:rsidRPr="00BF0AEB">
        <w:rPr>
          <w:spacing w:val="-69"/>
          <w:w w:val="15"/>
          <w:highlight w:val="black"/>
          <w:fitText w:val="-20" w:id="-1167881211"/>
        </w:rPr>
        <w:t>|</w:t>
      </w:r>
      <w:r w:rsidR="00BC50A0" w:rsidRPr="00166045">
        <w:t xml:space="preserve"> for the </w:t>
      </w:r>
      <w:r w:rsidR="00C65724" w:rsidRPr="00166045">
        <w:t>80</w:t>
      </w:r>
      <w:r w:rsidR="00C65724">
        <w:t> </w:t>
      </w:r>
      <w:r w:rsidR="00BC50A0" w:rsidRPr="00166045">
        <w:t>mg x 56 pack size and $</w:t>
      </w:r>
      <w:r w:rsidR="00816BFB" w:rsidRPr="00BF0AEB">
        <w:rPr>
          <w:w w:val="15"/>
          <w:highlight w:val="black"/>
          <w:fitText w:val="-20" w:id="-1167881210"/>
        </w:rPr>
        <w:t xml:space="preserve">|  </w:t>
      </w:r>
      <w:r w:rsidR="00816BFB" w:rsidRPr="00BF0AEB">
        <w:rPr>
          <w:spacing w:val="-69"/>
          <w:w w:val="15"/>
          <w:highlight w:val="black"/>
          <w:fitText w:val="-20" w:id="-1167881210"/>
        </w:rPr>
        <w:t>|</w:t>
      </w:r>
      <w:r w:rsidR="00BC50A0" w:rsidRPr="00166045">
        <w:t xml:space="preserve"> for the 40 mg x 56 pack size).</w:t>
      </w:r>
      <w:bookmarkEnd w:id="11"/>
      <w:r w:rsidR="00BC50A0" w:rsidRPr="00166045">
        <w:t xml:space="preserve"> </w:t>
      </w:r>
    </w:p>
    <w:p w14:paraId="299DCE24" w14:textId="578DDFFE" w:rsidR="00992A96" w:rsidRPr="00FB229F" w:rsidRDefault="00992A96" w:rsidP="00E62A05">
      <w:pPr>
        <w:pStyle w:val="ExecSumBodyText"/>
        <w:numPr>
          <w:ilvl w:val="1"/>
          <w:numId w:val="1"/>
        </w:numPr>
        <w:rPr>
          <w:iCs/>
        </w:rPr>
      </w:pPr>
      <w:r w:rsidRPr="00FB229F">
        <w:rPr>
          <w:iCs/>
        </w:rPr>
        <w:t>The recommended dose of selpercatinib is based on body weight (≥</w:t>
      </w:r>
      <w:r w:rsidR="00C65724">
        <w:rPr>
          <w:iCs/>
        </w:rPr>
        <w:t> </w:t>
      </w:r>
      <w:r w:rsidRPr="00FB229F">
        <w:rPr>
          <w:iCs/>
        </w:rPr>
        <w:t>50 kg, 160</w:t>
      </w:r>
      <w:r w:rsidR="00C65724">
        <w:rPr>
          <w:iCs/>
        </w:rPr>
        <w:t> </w:t>
      </w:r>
      <w:r w:rsidRPr="00FB229F">
        <w:rPr>
          <w:iCs/>
        </w:rPr>
        <w:t>mg twice daily (BID); &lt;</w:t>
      </w:r>
      <w:r w:rsidR="00C65724">
        <w:rPr>
          <w:iCs/>
        </w:rPr>
        <w:t> </w:t>
      </w:r>
      <w:r w:rsidRPr="00FB229F">
        <w:rPr>
          <w:iCs/>
        </w:rPr>
        <w:t xml:space="preserve">50 kg, 120 mg BID). The proposed treatment coverage for both doses is 28 days per </w:t>
      </w:r>
      <w:r w:rsidR="00166045">
        <w:rPr>
          <w:iCs/>
        </w:rPr>
        <w:t>pre</w:t>
      </w:r>
      <w:r w:rsidRPr="00FB229F">
        <w:rPr>
          <w:iCs/>
        </w:rPr>
        <w:t>script</w:t>
      </w:r>
      <w:r w:rsidR="00166045">
        <w:rPr>
          <w:iCs/>
        </w:rPr>
        <w:t>ion</w:t>
      </w:r>
      <w:r w:rsidRPr="00FB229F">
        <w:rPr>
          <w:iCs/>
        </w:rPr>
        <w:t xml:space="preserve"> with 5 repeats (i.e. 24 weeks of treatment coverage per Authority); the 112 unit pack size of the 80 mg capsule provides 28 days treatment for the 160 mg BID dose, and the combination of the 56 unit pack size of the 80 mg capsule and the 56 unit pack size of the 40 mg capsule provides 28 days treatment for the 120 mg BID dose.</w:t>
      </w:r>
      <w:r w:rsidR="00DD339D" w:rsidRPr="00FB229F">
        <w:rPr>
          <w:iCs/>
        </w:rPr>
        <w:t xml:space="preserve"> </w:t>
      </w:r>
    </w:p>
    <w:p w14:paraId="25FA0C14" w14:textId="7074D189" w:rsidR="00992A96" w:rsidRPr="00FB229F" w:rsidRDefault="00992A96" w:rsidP="00992A96">
      <w:pPr>
        <w:pStyle w:val="ExecSumBodyText"/>
        <w:numPr>
          <w:ilvl w:val="1"/>
          <w:numId w:val="1"/>
        </w:numPr>
      </w:pPr>
      <w:bookmarkStart w:id="12" w:name="_Ref141875333"/>
      <w:r w:rsidRPr="00FB229F">
        <w:rPr>
          <w:iCs/>
        </w:rPr>
        <w:t xml:space="preserve">The requested restriction for selpercatinib is treatment line-agnostic. The submission noted that the sponsor is willing to collaborate to ensure that the restriction best supports the appropriate selection of patients for treatment with selpercatinib. Selpercatinib is recommended for use as the initial targeted therapy for </w:t>
      </w:r>
      <w:r w:rsidRPr="00FB229F">
        <w:rPr>
          <w:i/>
        </w:rPr>
        <w:t>RET</w:t>
      </w:r>
      <w:r w:rsidRPr="00FB229F">
        <w:rPr>
          <w:iCs/>
        </w:rPr>
        <w:t xml:space="preserve"> fusion-positive advanced NSCLC in international guidelines</w:t>
      </w:r>
      <w:r w:rsidRPr="00FB229F">
        <w:rPr>
          <w:rStyle w:val="FootnoteReference"/>
          <w:iCs/>
        </w:rPr>
        <w:footnoteReference w:id="1"/>
      </w:r>
      <w:r w:rsidRPr="00FB229F">
        <w:rPr>
          <w:iCs/>
        </w:rPr>
        <w:t xml:space="preserve">. The evidence supporting the efficacy of selpercatinib </w:t>
      </w:r>
      <w:r w:rsidR="00E70405" w:rsidRPr="00FB229F">
        <w:rPr>
          <w:iCs/>
        </w:rPr>
        <w:t xml:space="preserve">as </w:t>
      </w:r>
      <w:r w:rsidRPr="00FB229F">
        <w:rPr>
          <w:iCs/>
        </w:rPr>
        <w:t xml:space="preserve">first-line </w:t>
      </w:r>
      <w:r w:rsidR="00E70405" w:rsidRPr="00FB229F">
        <w:rPr>
          <w:iCs/>
        </w:rPr>
        <w:t xml:space="preserve">drug therapy </w:t>
      </w:r>
      <w:r w:rsidRPr="00FB229F">
        <w:rPr>
          <w:iCs/>
        </w:rPr>
        <w:t xml:space="preserve">is the focus of the current evaluation. </w:t>
      </w:r>
      <w:r w:rsidRPr="00FB229F">
        <w:t>The ESC considered that based on current clinical practice, if approved, selpercatinib would be used as first-line and/or second line therapy and therefore a line-agnostic listing was appropriate.</w:t>
      </w:r>
      <w:bookmarkEnd w:id="12"/>
    </w:p>
    <w:p w14:paraId="04AE1C4F" w14:textId="77CAD454" w:rsidR="00992A96" w:rsidRPr="00FB229F" w:rsidRDefault="00992A96" w:rsidP="00992A96">
      <w:pPr>
        <w:pStyle w:val="3-BodyText"/>
        <w:ind w:left="709" w:hanging="709"/>
      </w:pPr>
      <w:r w:rsidRPr="00FB229F">
        <w:rPr>
          <w:iCs/>
        </w:rPr>
        <w:t xml:space="preserve">The requested restriction was not limited to a specific NSCLC histology. Only one patient in the key LIBRETTO-001 study had NSCLC of squamous cell histology noting that </w:t>
      </w:r>
      <w:r w:rsidRPr="00FB229F">
        <w:rPr>
          <w:i/>
        </w:rPr>
        <w:t>RET</w:t>
      </w:r>
      <w:r w:rsidRPr="00FB229F">
        <w:rPr>
          <w:iCs/>
        </w:rPr>
        <w:t xml:space="preserve"> fusions are very rare in lung cancer of squamous histology. In the November</w:t>
      </w:r>
      <w:r w:rsidR="00C65724">
        <w:rPr>
          <w:iCs/>
        </w:rPr>
        <w:t> </w:t>
      </w:r>
      <w:r w:rsidRPr="00FB229F">
        <w:rPr>
          <w:iCs/>
        </w:rPr>
        <w:t xml:space="preserve">2022 MSAC consideration of small gene panel testing for NSCLC, the recommended MBS item descriptors do not specify histology subtype (p5, Application No. 1721 Small gene panel testing for NSCLC Public Summary Document (PSD), November 2022 MSAC meeting). </w:t>
      </w:r>
      <w:r w:rsidRPr="00FB229F">
        <w:t xml:space="preserve">The ESC considered it was reasonable that the restriction was not limited to a specific NSCLC histology. The ESC noted that among currently listed targeted therapies for advanced or metastatic NSCLC the restrictions for </w:t>
      </w:r>
      <w:proofErr w:type="spellStart"/>
      <w:r w:rsidRPr="00FB229F">
        <w:t>brigatinib</w:t>
      </w:r>
      <w:proofErr w:type="spellEnd"/>
      <w:r w:rsidRPr="00FB229F">
        <w:t xml:space="preserve"> and entrectinib include reference to histology whereas the restrictions for </w:t>
      </w:r>
      <w:proofErr w:type="spellStart"/>
      <w:r w:rsidRPr="00FB229F">
        <w:t>tepotinib</w:t>
      </w:r>
      <w:proofErr w:type="spellEnd"/>
      <w:r w:rsidRPr="00FB229F">
        <w:t xml:space="preserve"> and osimertinib do not. </w:t>
      </w:r>
    </w:p>
    <w:p w14:paraId="2680A94A" w14:textId="622DAD2E" w:rsidR="00992A96" w:rsidRPr="00FB229F" w:rsidRDefault="00992A96" w:rsidP="00992A96">
      <w:pPr>
        <w:pStyle w:val="3-BodyText"/>
        <w:ind w:left="709" w:hanging="709"/>
      </w:pPr>
      <w:r w:rsidRPr="00FB229F">
        <w:rPr>
          <w:iCs/>
        </w:rPr>
        <w:t xml:space="preserve">Currently, the PBS restrictions for pembrolizumab require that patients must not have previously been treated for their NSCLC in the metastatic setting, or that they have progressed after treatment with </w:t>
      </w:r>
      <w:proofErr w:type="spellStart"/>
      <w:r w:rsidRPr="00FB229F">
        <w:rPr>
          <w:iCs/>
        </w:rPr>
        <w:t>tepotinib</w:t>
      </w:r>
      <w:proofErr w:type="spellEnd"/>
      <w:r w:rsidRPr="00FB229F">
        <w:rPr>
          <w:iCs/>
        </w:rPr>
        <w:t xml:space="preserve">. The submission proposed flow on changes to the listing of pembrolizumab to also permit its use in patients who have progressed after initial treatment with selpercatinib. </w:t>
      </w:r>
      <w:r w:rsidRPr="00FB229F">
        <w:t>The ESC considered that the proposed flow-on changes were reasonable.</w:t>
      </w:r>
    </w:p>
    <w:p w14:paraId="30EB4444" w14:textId="77777777" w:rsidR="00992A96" w:rsidRPr="00FB229F" w:rsidRDefault="00992A96" w:rsidP="00992A96">
      <w:pPr>
        <w:pStyle w:val="3-BodyText"/>
        <w:ind w:left="709" w:hanging="709"/>
        <w:rPr>
          <w:iCs/>
        </w:rPr>
      </w:pPr>
      <w:r w:rsidRPr="00FB229F">
        <w:rPr>
          <w:iCs/>
        </w:rPr>
        <w:t xml:space="preserve">The proposed PBS restrictions require that treatment must cease upon disease recurrence/progression (or if unacceptable toxicity occurs). This is consistent with the draft product information (PI) for selpercatinib. However, of the 69 patients in the treatment-naïve cohort of LIBRETTO-001, 22 patients (31.9%) continued treatment </w:t>
      </w:r>
      <w:r w:rsidRPr="00FB229F">
        <w:rPr>
          <w:iCs/>
        </w:rPr>
        <w:lastRenderedPageBreak/>
        <w:t>with selpercatinib, post-progression. Robust data showing that use of selpercatinib beyond progression is effective and cost-effective are lacking in the submission.</w:t>
      </w:r>
    </w:p>
    <w:p w14:paraId="4CA6AA03" w14:textId="4D93418C" w:rsidR="00992A96" w:rsidRPr="00FB229F" w:rsidRDefault="00992A96" w:rsidP="00992A96">
      <w:pPr>
        <w:pStyle w:val="3-BodyText"/>
        <w:numPr>
          <w:ilvl w:val="0"/>
          <w:numId w:val="0"/>
        </w:numPr>
        <w:ind w:left="709"/>
        <w:rPr>
          <w:i/>
        </w:rPr>
      </w:pPr>
      <w:r w:rsidRPr="00FB229F">
        <w:rPr>
          <w:i/>
        </w:rPr>
        <w:t>For more detail on PBAC’s view, see section 7 PBAC outcome.</w:t>
      </w:r>
    </w:p>
    <w:p w14:paraId="4B3582AC" w14:textId="77777777" w:rsidR="00B50DB8" w:rsidRPr="00FB229F" w:rsidDel="00195452" w:rsidRDefault="00203181" w:rsidP="004E18E9">
      <w:pPr>
        <w:pStyle w:val="2-SectionHeading"/>
      </w:pPr>
      <w:bookmarkStart w:id="13" w:name="_Toc135215230"/>
      <w:r w:rsidRPr="00FB229F" w:rsidDel="00195452">
        <w:t xml:space="preserve">Population and </w:t>
      </w:r>
      <w:r w:rsidR="008E0D3C" w:rsidRPr="00FB229F" w:rsidDel="00195452">
        <w:t>d</w:t>
      </w:r>
      <w:r w:rsidRPr="00FB229F" w:rsidDel="00195452">
        <w:t>isease</w:t>
      </w:r>
      <w:bookmarkEnd w:id="13"/>
    </w:p>
    <w:p w14:paraId="5EE2F047" w14:textId="79D28EAC" w:rsidR="00B3692D" w:rsidRPr="00FB229F" w:rsidRDefault="00B3692D" w:rsidP="00674256">
      <w:pPr>
        <w:pStyle w:val="3-BodyText"/>
        <w:ind w:left="709" w:hanging="709"/>
      </w:pPr>
      <w:r w:rsidRPr="00FB229F">
        <w:t>Lung cancer is the fifth most common cancer in Australia</w:t>
      </w:r>
      <w:r w:rsidRPr="00FB229F">
        <w:rPr>
          <w:rStyle w:val="FootnoteReference"/>
        </w:rPr>
        <w:footnoteReference w:id="2"/>
      </w:r>
      <w:r w:rsidRPr="00FB229F">
        <w:t>, however, it causes more deaths than any other cancer. Lung cancer generally affects older Australians, with a median age at diagnosis of 72 years</w:t>
      </w:r>
      <w:r w:rsidRPr="00FB229F">
        <w:rPr>
          <w:rStyle w:val="FootnoteReference"/>
        </w:rPr>
        <w:footnoteReference w:id="3"/>
      </w:r>
      <w:r w:rsidRPr="00FB229F">
        <w:t>. The prognosis of advanced lung cancer is poor with 5-year relative survival rates of 17.1% and 3.2% for patients presenting with Stage III and Stage IV lung cancer, respectively</w:t>
      </w:r>
      <w:r w:rsidRPr="00FB229F">
        <w:rPr>
          <w:rStyle w:val="FootnoteReference"/>
        </w:rPr>
        <w:footnoteReference w:id="4"/>
      </w:r>
      <w:r w:rsidRPr="00FB229F">
        <w:t>.</w:t>
      </w:r>
    </w:p>
    <w:p w14:paraId="4328ADEF" w14:textId="4A826FC5" w:rsidR="00B3692D" w:rsidRPr="00FB229F" w:rsidRDefault="00B3692D" w:rsidP="00674256">
      <w:pPr>
        <w:pStyle w:val="3-BodyText"/>
        <w:ind w:left="709" w:hanging="709"/>
      </w:pPr>
      <w:r w:rsidRPr="00FB229F">
        <w:rPr>
          <w:i/>
          <w:iCs/>
        </w:rPr>
        <w:t>RET</w:t>
      </w:r>
      <w:r w:rsidRPr="00FB229F">
        <w:t xml:space="preserve"> fusions have emerged as clinically actionable driver alteration</w:t>
      </w:r>
      <w:r w:rsidR="008C7A58" w:rsidRPr="00FB229F">
        <w:t>s</w:t>
      </w:r>
      <w:r w:rsidRPr="00FB229F">
        <w:t xml:space="preserve"> and are present in approximately 1-2% of NSCLC patients</w:t>
      </w:r>
      <w:r w:rsidR="008A5C28" w:rsidRPr="00FB229F">
        <w:rPr>
          <w:rStyle w:val="FootnoteReference"/>
        </w:rPr>
        <w:footnoteReference w:id="5"/>
      </w:r>
      <w:r w:rsidRPr="00FB229F">
        <w:t xml:space="preserve">. Approximately 20% to 50% of </w:t>
      </w:r>
      <w:r w:rsidR="00F33303" w:rsidRPr="00FB229F">
        <w:t xml:space="preserve">these </w:t>
      </w:r>
      <w:r w:rsidRPr="00FB229F">
        <w:t xml:space="preserve">patients have central nervous system (CNS) metastases. At least 45 </w:t>
      </w:r>
      <w:r w:rsidR="003D270C" w:rsidRPr="00FB229F">
        <w:rPr>
          <w:i/>
          <w:iCs/>
        </w:rPr>
        <w:t>RET</w:t>
      </w:r>
      <w:r w:rsidRPr="00FB229F">
        <w:t xml:space="preserve"> gene fusion partners have been identified in lung cancers, the most common being KIF5B-</w:t>
      </w:r>
      <w:r w:rsidR="003D270C" w:rsidRPr="00FB229F">
        <w:t>RET</w:t>
      </w:r>
      <w:r w:rsidRPr="00FB229F">
        <w:t xml:space="preserve"> (70%-90% of </w:t>
      </w:r>
      <w:r w:rsidR="003D270C" w:rsidRPr="00FB229F">
        <w:rPr>
          <w:i/>
          <w:iCs/>
        </w:rPr>
        <w:t>RET</w:t>
      </w:r>
      <w:r w:rsidRPr="00FB229F">
        <w:t xml:space="preserve"> fusions). The clinical implications of specific gene fusion partners are currently not well defined</w:t>
      </w:r>
      <w:r w:rsidR="008A5C28" w:rsidRPr="00FB229F">
        <w:rPr>
          <w:rStyle w:val="FootnoteReference"/>
        </w:rPr>
        <w:footnoteReference w:id="6"/>
      </w:r>
      <w:r w:rsidRPr="00FB229F">
        <w:t>.</w:t>
      </w:r>
    </w:p>
    <w:p w14:paraId="0AA57102" w14:textId="03D5FBF7" w:rsidR="0057740C" w:rsidRPr="00FB229F" w:rsidRDefault="00002969" w:rsidP="00674256">
      <w:pPr>
        <w:pStyle w:val="3-BodyText"/>
        <w:ind w:left="709" w:hanging="709"/>
      </w:pPr>
      <w:r w:rsidRPr="00FB229F">
        <w:t xml:space="preserve">The submission </w:t>
      </w:r>
      <w:r w:rsidR="0004239B" w:rsidRPr="00FB229F">
        <w:t>indicated</w:t>
      </w:r>
      <w:r w:rsidRPr="00FB229F">
        <w:t xml:space="preserve"> that </w:t>
      </w:r>
      <w:r w:rsidR="00E31DE7" w:rsidRPr="00FB229F">
        <w:rPr>
          <w:i/>
          <w:iCs/>
        </w:rPr>
        <w:t>RET</w:t>
      </w:r>
      <w:r w:rsidR="00E31DE7" w:rsidRPr="00FB229F">
        <w:t xml:space="preserve"> fusion-positive NSCLC patients are in general younger, more likely to be non-smokers, and have a better performance status (PS), </w:t>
      </w:r>
      <w:r w:rsidR="00631A71" w:rsidRPr="00FB229F">
        <w:t xml:space="preserve">when compared to </w:t>
      </w:r>
      <w:r w:rsidR="00631A71" w:rsidRPr="00FB229F">
        <w:rPr>
          <w:i/>
          <w:iCs/>
        </w:rPr>
        <w:t>RET</w:t>
      </w:r>
      <w:r w:rsidR="00631A71" w:rsidRPr="00FB229F">
        <w:t xml:space="preserve"> fusion-negative NSCLC patients, </w:t>
      </w:r>
      <w:r w:rsidR="0057740C" w:rsidRPr="00FB229F">
        <w:t xml:space="preserve">and that these factors </w:t>
      </w:r>
      <w:r w:rsidR="00272431" w:rsidRPr="00FB229F">
        <w:t>positively correlate with survival</w:t>
      </w:r>
      <w:r w:rsidR="00631A71" w:rsidRPr="00FB229F">
        <w:t>.</w:t>
      </w:r>
      <w:r w:rsidR="0004239B" w:rsidRPr="00FB229F">
        <w:t xml:space="preserve"> </w:t>
      </w:r>
    </w:p>
    <w:p w14:paraId="07ED22A3" w14:textId="70A3806B" w:rsidR="001725D8" w:rsidRPr="00FB229F" w:rsidRDefault="0004239B" w:rsidP="00674256">
      <w:pPr>
        <w:pStyle w:val="3-BodyText"/>
        <w:ind w:left="709" w:hanging="709"/>
      </w:pPr>
      <w:bookmarkStart w:id="14" w:name="_Ref137039467"/>
      <w:r w:rsidRPr="00FB229F">
        <w:t>Despite this, t</w:t>
      </w:r>
      <w:r w:rsidR="00E31DE7" w:rsidRPr="00FB229F">
        <w:t xml:space="preserve">he submission </w:t>
      </w:r>
      <w:r w:rsidRPr="00FB229F">
        <w:t xml:space="preserve">stated that </w:t>
      </w:r>
      <w:r w:rsidRPr="00FB229F">
        <w:rPr>
          <w:i/>
          <w:iCs/>
        </w:rPr>
        <w:t>RET</w:t>
      </w:r>
      <w:r w:rsidRPr="00FB229F">
        <w:t xml:space="preserve"> fusion status is not an independent prognostic biomarker. A</w:t>
      </w:r>
      <w:r w:rsidR="0057740C" w:rsidRPr="00FB229F">
        <w:t>n</w:t>
      </w:r>
      <w:r w:rsidR="00E31DE7" w:rsidRPr="00FB229F">
        <w:t xml:space="preserve"> analysis </w:t>
      </w:r>
      <w:r w:rsidR="00272431" w:rsidRPr="00FB229F">
        <w:t>by Hess et al (2021)</w:t>
      </w:r>
      <w:r w:rsidR="008A5C28" w:rsidRPr="00FB229F">
        <w:rPr>
          <w:rStyle w:val="FootnoteReference"/>
        </w:rPr>
        <w:footnoteReference w:id="7"/>
      </w:r>
      <w:r w:rsidR="00272431" w:rsidRPr="00FB229F">
        <w:t xml:space="preserve"> </w:t>
      </w:r>
      <w:r w:rsidRPr="00FB229F">
        <w:t>was cited that</w:t>
      </w:r>
      <w:r w:rsidR="00272431" w:rsidRPr="00FB229F">
        <w:t xml:space="preserve"> </w:t>
      </w:r>
      <w:r w:rsidR="0057740C" w:rsidRPr="00FB229F">
        <w:t xml:space="preserve">showed </w:t>
      </w:r>
      <w:r w:rsidRPr="00FB229F">
        <w:t xml:space="preserve">no statistically significant differences in either </w:t>
      </w:r>
      <w:r w:rsidR="00603261" w:rsidRPr="00FB229F">
        <w:t>progression-free survival (</w:t>
      </w:r>
      <w:r w:rsidRPr="00FB229F">
        <w:t>PFS</w:t>
      </w:r>
      <w:r w:rsidR="00603261" w:rsidRPr="00FB229F">
        <w:t>)</w:t>
      </w:r>
      <w:r w:rsidRPr="00FB229F">
        <w:t xml:space="preserve"> (p=0.25) or </w:t>
      </w:r>
      <w:r w:rsidR="00603261" w:rsidRPr="00FB229F">
        <w:t>overall survival (</w:t>
      </w:r>
      <w:r w:rsidRPr="00FB229F">
        <w:t>OS</w:t>
      </w:r>
      <w:r w:rsidR="00603261" w:rsidRPr="00FB229F">
        <w:t>)</w:t>
      </w:r>
      <w:r w:rsidRPr="00FB229F">
        <w:t xml:space="preserve"> (p=0.08) between </w:t>
      </w:r>
      <w:r w:rsidRPr="00FB229F">
        <w:rPr>
          <w:i/>
          <w:iCs/>
        </w:rPr>
        <w:t>RET</w:t>
      </w:r>
      <w:r w:rsidRPr="00FB229F">
        <w:t xml:space="preserve"> fusion-positive and </w:t>
      </w:r>
      <w:r w:rsidRPr="00FB229F">
        <w:rPr>
          <w:i/>
          <w:iCs/>
        </w:rPr>
        <w:t>RET</w:t>
      </w:r>
      <w:r w:rsidRPr="00FB229F">
        <w:t xml:space="preserve"> fusion-negative NSCLC patients,</w:t>
      </w:r>
      <w:r w:rsidR="0057740C" w:rsidRPr="00FB229F">
        <w:t xml:space="preserve"> after adjustment for age, sex, race, </w:t>
      </w:r>
      <w:r w:rsidR="00002969" w:rsidRPr="00FB229F">
        <w:t xml:space="preserve">smoking status, </w:t>
      </w:r>
      <w:r w:rsidR="0057740C" w:rsidRPr="00FB229F">
        <w:t>disease stage, and PS</w:t>
      </w:r>
      <w:r w:rsidRPr="00FB229F">
        <w:t>.</w:t>
      </w:r>
      <w:bookmarkEnd w:id="14"/>
    </w:p>
    <w:p w14:paraId="1071C1AD" w14:textId="29FCDDF5" w:rsidR="001D0FAC" w:rsidRPr="00FB229F" w:rsidRDefault="001725D8" w:rsidP="007323E7">
      <w:pPr>
        <w:pStyle w:val="3-BodyText"/>
        <w:ind w:left="709" w:hanging="709"/>
      </w:pPr>
      <w:bookmarkStart w:id="15" w:name="_Ref137039482"/>
      <w:r w:rsidRPr="00FB229F">
        <w:t xml:space="preserve">The analysis by Hess et al (2021) was based on the US Flatiron Health database. The authors noted the need for caution in the interpretation of their </w:t>
      </w:r>
      <w:r w:rsidR="0004239B" w:rsidRPr="00FB229F">
        <w:t>findings</w:t>
      </w:r>
      <w:r w:rsidRPr="00FB229F">
        <w:t xml:space="preserve"> due to the following limitations: limited reliability in the recording of the presence of metastatic sites, lack of information on other important prognostic variables which may potentially impact clinical outcomes such as tumour grade, histologic subtypes, comorbidities and other unmeasured confounders, and the small sample size of some </w:t>
      </w:r>
      <w:r w:rsidRPr="00FB229F">
        <w:lastRenderedPageBreak/>
        <w:t xml:space="preserve">of the datasets. The authors concluded that their study was not designed to evaluate the prognostic effect of the presence of a </w:t>
      </w:r>
      <w:r w:rsidR="003D270C" w:rsidRPr="00FB229F">
        <w:rPr>
          <w:i/>
          <w:iCs/>
        </w:rPr>
        <w:t>RET</w:t>
      </w:r>
      <w:r w:rsidRPr="00FB229F">
        <w:t xml:space="preserve"> fusion in NSCLC.</w:t>
      </w:r>
      <w:bookmarkEnd w:id="15"/>
      <w:r w:rsidR="00E3251F" w:rsidRPr="00FB229F">
        <w:t xml:space="preserve"> </w:t>
      </w:r>
    </w:p>
    <w:p w14:paraId="015C9DB0" w14:textId="0D59A8F0" w:rsidR="007627BE" w:rsidRPr="00FB229F" w:rsidRDefault="00EF4066" w:rsidP="00D4713D">
      <w:pPr>
        <w:pStyle w:val="3-BodyText"/>
        <w:ind w:left="709" w:hanging="709"/>
        <w:rPr>
          <w:iCs/>
        </w:rPr>
      </w:pPr>
      <w:r w:rsidRPr="00FB229F">
        <w:t xml:space="preserve">The submission requested a line-agnostic listing for selpercatinib, but predicted that selpercatinib would be predominantly used as a first-line treatment. </w:t>
      </w:r>
      <w:r w:rsidRPr="00FB229F">
        <w:rPr>
          <w:iCs/>
        </w:rPr>
        <w:t>Th</w:t>
      </w:r>
      <w:r w:rsidR="001D0FAC" w:rsidRPr="00FB229F">
        <w:rPr>
          <w:iCs/>
        </w:rPr>
        <w:t>e ESC agreed with the evaluation that this</w:t>
      </w:r>
      <w:r w:rsidRPr="00FB229F">
        <w:rPr>
          <w:iCs/>
        </w:rPr>
        <w:t xml:space="preserve"> </w:t>
      </w:r>
      <w:r w:rsidR="001D0FAC" w:rsidRPr="00FB229F">
        <w:rPr>
          <w:iCs/>
        </w:rPr>
        <w:t>wa</w:t>
      </w:r>
      <w:r w:rsidRPr="00FB229F">
        <w:rPr>
          <w:iCs/>
        </w:rPr>
        <w:t>s reasonable.</w:t>
      </w:r>
      <w:r w:rsidRPr="00FB229F">
        <w:t xml:space="preserve"> </w:t>
      </w:r>
      <w:r w:rsidR="00346258" w:rsidRPr="00FB229F">
        <w:t>The National Comprehensive Cancer Network (NCCN) guidelines</w:t>
      </w:r>
      <w:r w:rsidR="00426F61" w:rsidRPr="00FB229F">
        <w:rPr>
          <w:rStyle w:val="FootnoteReference"/>
        </w:rPr>
        <w:footnoteReference w:id="8"/>
      </w:r>
      <w:r w:rsidR="00346258" w:rsidRPr="00FB229F">
        <w:t xml:space="preserve"> now recommend</w:t>
      </w:r>
      <w:r w:rsidR="0026483B" w:rsidRPr="00FB229F">
        <w:t>s</w:t>
      </w:r>
      <w:r w:rsidR="00346258" w:rsidRPr="00FB229F">
        <w:t xml:space="preserve"> selpercatinib and </w:t>
      </w:r>
      <w:proofErr w:type="spellStart"/>
      <w:r w:rsidR="00346258" w:rsidRPr="00FB229F">
        <w:t>pralsetinib</w:t>
      </w:r>
      <w:proofErr w:type="spellEnd"/>
      <w:r w:rsidR="00346258" w:rsidRPr="00FB229F">
        <w:t xml:space="preserve"> (another highly selective </w:t>
      </w:r>
      <w:r w:rsidR="003D270C" w:rsidRPr="00FB229F">
        <w:rPr>
          <w:i/>
          <w:iCs/>
        </w:rPr>
        <w:t>RET</w:t>
      </w:r>
      <w:r w:rsidR="00346258" w:rsidRPr="00FB229F">
        <w:t xml:space="preserve"> inhibitor) as the preferred first-line therapies for patients with </w:t>
      </w:r>
      <w:r w:rsidR="005B432B" w:rsidRPr="00FB229F">
        <w:t xml:space="preserve">metastatic </w:t>
      </w:r>
      <w:r w:rsidR="003D270C" w:rsidRPr="00FB229F">
        <w:rPr>
          <w:i/>
          <w:iCs/>
        </w:rPr>
        <w:t>RET</w:t>
      </w:r>
      <w:r w:rsidR="005B432B" w:rsidRPr="00FB229F">
        <w:t xml:space="preserve"> fusion-</w:t>
      </w:r>
      <w:r w:rsidR="00346258" w:rsidRPr="00FB229F">
        <w:t>positive NSCLC</w:t>
      </w:r>
      <w:r w:rsidR="004F1166" w:rsidRPr="00FB229F">
        <w:t>.</w:t>
      </w:r>
      <w:r w:rsidR="00346258" w:rsidRPr="00FB229F">
        <w:t xml:space="preserve"> </w:t>
      </w:r>
    </w:p>
    <w:p w14:paraId="6B1D2BEB" w14:textId="44237A28" w:rsidR="00A46C19" w:rsidRPr="00FB229F" w:rsidDel="00195452" w:rsidRDefault="00A46C19" w:rsidP="00A46C19">
      <w:pPr>
        <w:pStyle w:val="3-BodyText"/>
        <w:numPr>
          <w:ilvl w:val="0"/>
          <w:numId w:val="0"/>
        </w:numPr>
        <w:ind w:left="709"/>
        <w:rPr>
          <w:i/>
        </w:rPr>
      </w:pPr>
      <w:r w:rsidRPr="00FB229F">
        <w:rPr>
          <w:i/>
        </w:rPr>
        <w:t>For more detail on PBAC’s view, see section 7 PBAC outcome.</w:t>
      </w:r>
    </w:p>
    <w:p w14:paraId="591A1D63" w14:textId="77777777" w:rsidR="00B50DB8" w:rsidRPr="00FB229F" w:rsidRDefault="00B50DB8" w:rsidP="004E18E9">
      <w:pPr>
        <w:pStyle w:val="2-SectionHeading"/>
      </w:pPr>
      <w:bookmarkStart w:id="16" w:name="_Toc135215231"/>
      <w:r w:rsidRPr="00FB229F">
        <w:t>Comparator</w:t>
      </w:r>
      <w:bookmarkEnd w:id="16"/>
    </w:p>
    <w:p w14:paraId="59E63E80" w14:textId="57771697" w:rsidR="00411C73" w:rsidRPr="00166045" w:rsidRDefault="00426F61" w:rsidP="00674256">
      <w:pPr>
        <w:pStyle w:val="3-BodyText"/>
        <w:ind w:left="709" w:hanging="709"/>
        <w:rPr>
          <w:iCs/>
          <w:snapToGrid/>
        </w:rPr>
      </w:pPr>
      <w:r w:rsidRPr="00FB229F">
        <w:t xml:space="preserve">The submission nominated pembrolizumab + PC as the main comparator for the first-line treatment setting. </w:t>
      </w:r>
      <w:r w:rsidR="00741A6A" w:rsidRPr="00FB229F">
        <w:t>P</w:t>
      </w:r>
      <w:r w:rsidR="00411C73" w:rsidRPr="00FB229F">
        <w:t>atients eligible for treatment with pembrolizumab are increasingly likely to be treated with it in combination with chemotherapy</w:t>
      </w:r>
      <w:r w:rsidRPr="00FB229F">
        <w:t xml:space="preserve">. </w:t>
      </w:r>
      <w:r w:rsidR="00A82A3F" w:rsidRPr="00FB229F">
        <w:t>Pembrolizumab + PC is the appropriate comparator for a high proportion of patients</w:t>
      </w:r>
      <w:r w:rsidR="00FB229F">
        <w:t xml:space="preserve">. </w:t>
      </w:r>
      <w:r w:rsidR="00741A6A" w:rsidRPr="00FB229F">
        <w:t>The submission nominated docetaxel as a supplementary comparator for the refractory (pre-treated setting)</w:t>
      </w:r>
      <w:r w:rsidR="004F1166" w:rsidRPr="00FB229F">
        <w:t xml:space="preserve"> as th</w:t>
      </w:r>
      <w:r w:rsidR="00A82A3F" w:rsidRPr="00FB229F">
        <w:t>e predominant use of selpercatinib is anticipated to be in the first-line setting</w:t>
      </w:r>
      <w:r w:rsidR="00DC38A2" w:rsidRPr="00FB229F">
        <w:t>.</w:t>
      </w:r>
      <w:r w:rsidR="00B56094" w:rsidRPr="00FB229F">
        <w:t xml:space="preserve"> </w:t>
      </w:r>
      <w:r w:rsidR="00B56094" w:rsidRPr="00FB229F">
        <w:rPr>
          <w:iCs/>
        </w:rPr>
        <w:t>The ESC considered that the comparators were appropriate.</w:t>
      </w:r>
    </w:p>
    <w:p w14:paraId="72ED9BD2" w14:textId="7E832C04" w:rsidR="00A46C19" w:rsidRPr="00166045" w:rsidRDefault="00A46C19" w:rsidP="00A46C19">
      <w:pPr>
        <w:pStyle w:val="3-BodyText"/>
        <w:numPr>
          <w:ilvl w:val="0"/>
          <w:numId w:val="0"/>
        </w:numPr>
        <w:ind w:left="709"/>
        <w:rPr>
          <w:i/>
          <w:snapToGrid/>
        </w:rPr>
      </w:pPr>
      <w:r w:rsidRPr="00166045">
        <w:rPr>
          <w:i/>
          <w:snapToGrid/>
        </w:rPr>
        <w:t>For more detail on PBAC’s view, see section 7 PBAC outcome.</w:t>
      </w:r>
    </w:p>
    <w:p w14:paraId="50946074" w14:textId="77777777" w:rsidR="00223D5A" w:rsidRPr="00FB229F" w:rsidRDefault="00223D5A" w:rsidP="00223D5A">
      <w:pPr>
        <w:pStyle w:val="2-SectionHeading"/>
      </w:pPr>
      <w:bookmarkStart w:id="17" w:name="_Ref132284361"/>
      <w:bookmarkStart w:id="18" w:name="_Toc135215232"/>
      <w:bookmarkStart w:id="19" w:name="_Toc22897640"/>
      <w:r w:rsidRPr="00FB229F">
        <w:t>Consideration of the evidence</w:t>
      </w:r>
      <w:bookmarkEnd w:id="17"/>
      <w:bookmarkEnd w:id="18"/>
    </w:p>
    <w:p w14:paraId="7A447032" w14:textId="79F5D659" w:rsidR="00A46C19" w:rsidRPr="00FB229F" w:rsidRDefault="00A46C19" w:rsidP="008952FB">
      <w:pPr>
        <w:pStyle w:val="4-SubsectionHeading"/>
        <w:rPr>
          <w:i w:val="0"/>
          <w:iCs/>
        </w:rPr>
      </w:pPr>
      <w:bookmarkStart w:id="20" w:name="_Toc135215233"/>
      <w:r w:rsidRPr="00FB229F">
        <w:rPr>
          <w:i w:val="0"/>
          <w:iCs/>
        </w:rPr>
        <w:t>Sponsor hearing</w:t>
      </w:r>
    </w:p>
    <w:p w14:paraId="57231FBF" w14:textId="5BE3A871" w:rsidR="00A46C19" w:rsidRPr="00FB229F" w:rsidRDefault="0093368E" w:rsidP="0093368E">
      <w:pPr>
        <w:pStyle w:val="3-BodyText"/>
        <w:ind w:left="709" w:hanging="709"/>
        <w:rPr>
          <w:lang w:bidi="en-US"/>
        </w:rPr>
      </w:pPr>
      <w:r w:rsidRPr="00FB229F">
        <w:rPr>
          <w:lang w:bidi="en-US"/>
        </w:rPr>
        <w:t>There was no hearing for this item.</w:t>
      </w:r>
    </w:p>
    <w:p w14:paraId="27BE1AC5" w14:textId="75985076" w:rsidR="0093368E" w:rsidRPr="00FB229F" w:rsidRDefault="00A46C19" w:rsidP="0093368E">
      <w:pPr>
        <w:pStyle w:val="4-SubsectionHeading"/>
        <w:rPr>
          <w:i w:val="0"/>
        </w:rPr>
      </w:pPr>
      <w:r w:rsidRPr="00FB229F">
        <w:rPr>
          <w:i w:val="0"/>
        </w:rPr>
        <w:t>Consumer Comments</w:t>
      </w:r>
    </w:p>
    <w:p w14:paraId="1513D5BF" w14:textId="5035CECD" w:rsidR="0092106E" w:rsidRPr="00FB229F" w:rsidRDefault="00843B88" w:rsidP="00E6324C">
      <w:pPr>
        <w:pStyle w:val="3-BodyText"/>
        <w:ind w:left="709" w:hanging="709"/>
        <w:rPr>
          <w:lang w:bidi="en-US"/>
        </w:rPr>
      </w:pPr>
      <w:r w:rsidRPr="00FB229F">
        <w:rPr>
          <w:bCs/>
        </w:rPr>
        <w:t xml:space="preserve">The PBAC noted and welcomed the input from </w:t>
      </w:r>
      <w:r w:rsidR="0092106E" w:rsidRPr="00FB229F">
        <w:rPr>
          <w:bCs/>
        </w:rPr>
        <w:t xml:space="preserve">an </w:t>
      </w:r>
      <w:r w:rsidRPr="00FB229F">
        <w:rPr>
          <w:bCs/>
        </w:rPr>
        <w:t xml:space="preserve">individual (1), </w:t>
      </w:r>
      <w:r w:rsidR="0092106E" w:rsidRPr="00FB229F">
        <w:rPr>
          <w:bCs/>
        </w:rPr>
        <w:t xml:space="preserve">a </w:t>
      </w:r>
      <w:r w:rsidRPr="00FB229F">
        <w:rPr>
          <w:bCs/>
        </w:rPr>
        <w:t xml:space="preserve">health care professional (1) and organisations (3) via the Consumer Comments facility on the PBS website. The comments </w:t>
      </w:r>
      <w:r w:rsidR="0092106E" w:rsidRPr="00FB229F">
        <w:rPr>
          <w:bCs/>
        </w:rPr>
        <w:t xml:space="preserve">from an individual who would like to access the medicine to treat their own health condition described </w:t>
      </w:r>
      <w:r w:rsidRPr="00FB229F">
        <w:rPr>
          <w:bCs/>
        </w:rPr>
        <w:t xml:space="preserve">a range of benefits of treatment with </w:t>
      </w:r>
      <w:r w:rsidR="00E6324C" w:rsidRPr="00FB229F">
        <w:rPr>
          <w:bCs/>
        </w:rPr>
        <w:t>selpercatinib</w:t>
      </w:r>
      <w:r w:rsidR="0092106E" w:rsidRPr="00FB229F">
        <w:rPr>
          <w:bCs/>
        </w:rPr>
        <w:t xml:space="preserve"> including the potential for reduced adverse effects compared to chemotherapy given intravenously (IV)</w:t>
      </w:r>
      <w:r w:rsidR="0087177E" w:rsidRPr="00FB229F">
        <w:rPr>
          <w:bCs/>
        </w:rPr>
        <w:t>.</w:t>
      </w:r>
      <w:r w:rsidR="0092106E" w:rsidRPr="00FB229F">
        <w:rPr>
          <w:bCs/>
        </w:rPr>
        <w:t xml:space="preserve"> The comments also described the potential for improvements in quality of life with the oral administration of selpercatinib compared to the appointment burden associated with IV therapies and radiation</w:t>
      </w:r>
      <w:r w:rsidR="00C6585D" w:rsidRPr="00FB229F">
        <w:rPr>
          <w:bCs/>
        </w:rPr>
        <w:t>, especially for those with young families</w:t>
      </w:r>
      <w:r w:rsidR="0092106E" w:rsidRPr="00FB229F">
        <w:rPr>
          <w:bCs/>
        </w:rPr>
        <w:t xml:space="preserve">. The comments from a health care professional described the potential for improved outcomes for individuals undergoing selpercatinib treatment. </w:t>
      </w:r>
    </w:p>
    <w:p w14:paraId="337944C9" w14:textId="44FAFE93" w:rsidR="00BE6AB1" w:rsidRPr="00FB229F" w:rsidRDefault="0092106E" w:rsidP="00E6324C">
      <w:pPr>
        <w:pStyle w:val="3-BodyText"/>
        <w:ind w:left="709" w:hanging="709"/>
        <w:rPr>
          <w:lang w:bidi="en-US"/>
        </w:rPr>
      </w:pPr>
      <w:r w:rsidRPr="00FB229F">
        <w:rPr>
          <w:bCs/>
        </w:rPr>
        <w:lastRenderedPageBreak/>
        <w:t>Input from Lung Foundation Australia</w:t>
      </w:r>
      <w:r w:rsidR="00BE6AB1" w:rsidRPr="00FB229F">
        <w:rPr>
          <w:bCs/>
        </w:rPr>
        <w:t xml:space="preserve"> stated that selpercatinib is an oral targeted therapy that may allow patients to live a better and healthier life with their condition. In addition, Lung Foundation Australia described its understanding that most common adverse events associated with </w:t>
      </w:r>
      <w:r w:rsidR="0026483B" w:rsidRPr="00FB229F">
        <w:rPr>
          <w:bCs/>
        </w:rPr>
        <w:t>selpercatinib</w:t>
      </w:r>
      <w:r w:rsidR="00BE6AB1" w:rsidRPr="00FB229F">
        <w:rPr>
          <w:bCs/>
        </w:rPr>
        <w:t xml:space="preserve"> are mild. </w:t>
      </w:r>
    </w:p>
    <w:p w14:paraId="27B0C434" w14:textId="03CE072F" w:rsidR="00084CD1" w:rsidRPr="00FB229F" w:rsidRDefault="00BE6AB1" w:rsidP="00084CD1">
      <w:pPr>
        <w:pStyle w:val="3-BodyText"/>
        <w:ind w:left="709" w:hanging="709"/>
        <w:rPr>
          <w:rFonts w:cstheme="minorHAnsi"/>
        </w:rPr>
      </w:pPr>
      <w:r w:rsidRPr="00FB229F">
        <w:rPr>
          <w:bCs/>
        </w:rPr>
        <w:t xml:space="preserve">Rare Cancers Australia </w:t>
      </w:r>
      <w:r w:rsidR="00084CD1" w:rsidRPr="00FB229F">
        <w:rPr>
          <w:bCs/>
        </w:rPr>
        <w:t xml:space="preserve">highlighted that patients with NSCLC with rare mutations are often faced with an extremely poor prognosis and stated that such patients need treatment options that provide significant improvements in survival. The input noted that </w:t>
      </w:r>
      <w:r w:rsidR="0026483B" w:rsidRPr="00FB229F">
        <w:rPr>
          <w:bCs/>
        </w:rPr>
        <w:t>selpercatinib</w:t>
      </w:r>
      <w:r w:rsidR="00084CD1" w:rsidRPr="00FB229F">
        <w:rPr>
          <w:bCs/>
        </w:rPr>
        <w:t xml:space="preserve"> is taken orally which may make administration easier and improve quality of life for patients with NSCLC</w:t>
      </w:r>
      <w:r w:rsidR="00FB229F">
        <w:rPr>
          <w:bCs/>
        </w:rPr>
        <w:t xml:space="preserve">. </w:t>
      </w:r>
      <w:r w:rsidRPr="00FB229F">
        <w:rPr>
          <w:bCs/>
        </w:rPr>
        <w:t xml:space="preserve"> </w:t>
      </w:r>
    </w:p>
    <w:p w14:paraId="4F816497" w14:textId="1E646E91" w:rsidR="0087177E" w:rsidRPr="00FB229F" w:rsidRDefault="00E6324C" w:rsidP="0087177E">
      <w:pPr>
        <w:pStyle w:val="3-BodyText"/>
        <w:ind w:left="709" w:hanging="709"/>
        <w:rPr>
          <w:i/>
        </w:rPr>
      </w:pPr>
      <w:r w:rsidRPr="00FB229F">
        <w:rPr>
          <w:bCs/>
        </w:rPr>
        <w:t>The Medical Oncology Group of Australia (MOGA) also expressed its strong support for the selpercatinib submission, categorising it as one of the therapies of “highest priority for PBS listing”. The PBAC noted that the MOGA presented a European Society for Medical Oncology Magnitude of Clinical Benefit Scale (ESMO-MCBS) for selpercatinib, which was limited to 3 (out of a maximum of 5, where 5 and 4 represent the grades with substantial improvement)</w:t>
      </w:r>
      <w:r w:rsidR="0087177E" w:rsidRPr="00FB229F">
        <w:rPr>
          <w:rStyle w:val="FootnoteReference"/>
          <w:bCs/>
        </w:rPr>
        <w:footnoteReference w:id="9"/>
      </w:r>
      <w:r w:rsidR="00FB229F">
        <w:rPr>
          <w:bCs/>
        </w:rPr>
        <w:t xml:space="preserve">. </w:t>
      </w:r>
    </w:p>
    <w:p w14:paraId="33F03868" w14:textId="3BA54CD5" w:rsidR="0093368E" w:rsidRPr="00FB229F" w:rsidRDefault="00B60939" w:rsidP="0087177E">
      <w:pPr>
        <w:pStyle w:val="4-SubsectionHeading"/>
        <w:rPr>
          <w:i w:val="0"/>
          <w:iCs/>
        </w:rPr>
      </w:pPr>
      <w:r w:rsidRPr="00FB229F">
        <w:rPr>
          <w:i w:val="0"/>
          <w:iCs/>
        </w:rPr>
        <w:t xml:space="preserve">Clinical </w:t>
      </w:r>
      <w:r w:rsidR="00D5243B" w:rsidRPr="00FB229F">
        <w:rPr>
          <w:i w:val="0"/>
          <w:iCs/>
        </w:rPr>
        <w:t>studies</w:t>
      </w:r>
      <w:bookmarkEnd w:id="19"/>
      <w:bookmarkEnd w:id="20"/>
    </w:p>
    <w:p w14:paraId="64433BD7" w14:textId="3BA4A4E1" w:rsidR="00945327" w:rsidRPr="00FB229F" w:rsidRDefault="00945327" w:rsidP="007B1BC5">
      <w:pPr>
        <w:pStyle w:val="3-BodyText"/>
        <w:ind w:left="709" w:hanging="709"/>
      </w:pPr>
      <w:r w:rsidRPr="00FB229F">
        <w:t xml:space="preserve">For </w:t>
      </w:r>
      <w:r w:rsidR="004F1166" w:rsidRPr="00FB229F">
        <w:t xml:space="preserve">determining </w:t>
      </w:r>
      <w:r w:rsidR="009D0778" w:rsidRPr="00FB229F">
        <w:t xml:space="preserve">comparative effectiveness in </w:t>
      </w:r>
      <w:r w:rsidRPr="00FB229F">
        <w:t xml:space="preserve">the first-line setting, the submission </w:t>
      </w:r>
      <w:r w:rsidR="004F1166" w:rsidRPr="00FB229F">
        <w:t>provided</w:t>
      </w:r>
      <w:r w:rsidRPr="00FB229F">
        <w:t xml:space="preserve"> an indirect comparison of selpercatinib </w:t>
      </w:r>
      <w:r w:rsidR="004F1166" w:rsidRPr="00FB229F">
        <w:t xml:space="preserve">with </w:t>
      </w:r>
      <w:r w:rsidRPr="00FB229F">
        <w:t>pembrolizumab +</w:t>
      </w:r>
      <w:r w:rsidR="005A64AD" w:rsidRPr="00FB229F">
        <w:t xml:space="preserve"> </w:t>
      </w:r>
      <w:r w:rsidRPr="00FB229F">
        <w:t>PC via three studies:</w:t>
      </w:r>
    </w:p>
    <w:p w14:paraId="025B9D32" w14:textId="77777777" w:rsidR="00945327" w:rsidRPr="00FC617F" w:rsidRDefault="00945327" w:rsidP="00816BFB">
      <w:pPr>
        <w:pStyle w:val="Bulletpoints"/>
      </w:pPr>
      <w:r w:rsidRPr="00FC617F">
        <w:t xml:space="preserve">LIBRETTO-001: A phase II single-arm study of selpercatinib in patients with </w:t>
      </w:r>
      <w:r w:rsidRPr="00816BFB">
        <w:t>RET</w:t>
      </w:r>
      <w:r w:rsidRPr="00FC617F">
        <w:t xml:space="preserve"> fusion-positive advanced (locally advanced or metastatic) </w:t>
      </w:r>
      <w:r w:rsidR="009D0778" w:rsidRPr="00FC617F">
        <w:t xml:space="preserve">non-squamous </w:t>
      </w:r>
      <w:r w:rsidRPr="00FC617F">
        <w:t>NSCLC.</w:t>
      </w:r>
    </w:p>
    <w:p w14:paraId="0FAA44D5" w14:textId="377422F4" w:rsidR="00945327" w:rsidRPr="00816BFB" w:rsidRDefault="00945327" w:rsidP="00816BFB">
      <w:pPr>
        <w:pStyle w:val="Bulletpoints"/>
        <w:rPr>
          <w:rFonts w:eastAsia="MS Gothic"/>
        </w:rPr>
      </w:pPr>
      <w:r w:rsidRPr="00FC617F">
        <w:t xml:space="preserve">KN-189: </w:t>
      </w:r>
      <w:r w:rsidRPr="00816BFB">
        <w:rPr>
          <w:rFonts w:eastAsia="MS Gothic"/>
        </w:rPr>
        <w:t xml:space="preserve">A double-blind, randomised, controlled, phase III trial comparing pembrolizumab + PC versus PC in treatment-naïve patients with metastatic non-squamous NSCLC without sensitising EGFR or ALK mutations. This trial was considered by PBAC in July 2019 when making the recommendation for pembrolizumab + chemotherapy </w:t>
      </w:r>
      <w:r w:rsidR="00B50751" w:rsidRPr="00816BFB">
        <w:rPr>
          <w:rFonts w:eastAsia="MS Gothic"/>
        </w:rPr>
        <w:t>in</w:t>
      </w:r>
      <w:r w:rsidRPr="00816BFB">
        <w:rPr>
          <w:rFonts w:eastAsia="MS Gothic"/>
        </w:rPr>
        <w:t xml:space="preserve"> metastatic NSCLC.</w:t>
      </w:r>
    </w:p>
    <w:p w14:paraId="598C03C5" w14:textId="0D61B794" w:rsidR="002A5D50" w:rsidRPr="00FC617F" w:rsidRDefault="00945327" w:rsidP="00816BFB">
      <w:pPr>
        <w:pStyle w:val="Bulletpoints"/>
      </w:pPr>
      <w:r w:rsidRPr="00FC617F">
        <w:t>KN-021</w:t>
      </w:r>
      <w:r w:rsidR="002B56B4" w:rsidRPr="00FC617F">
        <w:t xml:space="preserve"> (Cohort G)</w:t>
      </w:r>
      <w:r w:rsidRPr="00FC617F">
        <w:t xml:space="preserve">: </w:t>
      </w:r>
      <w:r w:rsidR="002B56B4" w:rsidRPr="00FC617F">
        <w:t xml:space="preserve">An open-label, randomised, </w:t>
      </w:r>
      <w:r w:rsidR="002B56B4" w:rsidRPr="00FC617F">
        <w:rPr>
          <w:rFonts w:eastAsia="MS Gothic"/>
        </w:rPr>
        <w:t>controlled, phase II trial comparing pembrolizumab + PC versus PC in treatment-naïve patients with metastatic non-squamous NSCLC without sensitising EGFR or ALK mutations.</w:t>
      </w:r>
    </w:p>
    <w:p w14:paraId="6B7994AD" w14:textId="188220AE" w:rsidR="00CA0A33" w:rsidRPr="00FB229F" w:rsidRDefault="00CA0A33" w:rsidP="00674256">
      <w:pPr>
        <w:pStyle w:val="3-BodyText"/>
        <w:ind w:left="709" w:hanging="709"/>
        <w:rPr>
          <w:lang w:bidi="en-US"/>
        </w:rPr>
      </w:pPr>
      <w:r w:rsidRPr="00FB229F">
        <w:rPr>
          <w:lang w:bidi="en-US"/>
        </w:rPr>
        <w:t xml:space="preserve">For </w:t>
      </w:r>
      <w:r w:rsidR="004F1166" w:rsidRPr="00FB229F">
        <w:rPr>
          <w:lang w:bidi="en-US"/>
        </w:rPr>
        <w:t xml:space="preserve">determining </w:t>
      </w:r>
      <w:r w:rsidRPr="00FB229F">
        <w:rPr>
          <w:lang w:bidi="en-US"/>
        </w:rPr>
        <w:t>comparative safety in the first-line setting, the submission presented a descriptive comparison between LIBRETTO-001 and the pembrolizumab + PC arm of KN-189.</w:t>
      </w:r>
    </w:p>
    <w:p w14:paraId="32499135" w14:textId="6EEF2F5E" w:rsidR="00AE2EAA" w:rsidRPr="00FB229F" w:rsidRDefault="0015259B" w:rsidP="00674256">
      <w:pPr>
        <w:pStyle w:val="3-BodyText"/>
        <w:ind w:left="709" w:hanging="709"/>
        <w:rPr>
          <w:lang w:bidi="en-US"/>
        </w:rPr>
      </w:pPr>
      <w:r w:rsidRPr="00FB229F">
        <w:rPr>
          <w:iCs/>
          <w:lang w:bidi="en-US"/>
        </w:rPr>
        <w:t xml:space="preserve">The ESC noted that </w:t>
      </w:r>
      <w:r w:rsidRPr="00FB229F">
        <w:rPr>
          <w:lang w:bidi="en-US"/>
        </w:rPr>
        <w:t>a</w:t>
      </w:r>
      <w:r w:rsidR="00AE2EAA" w:rsidRPr="00FB229F">
        <w:rPr>
          <w:lang w:bidi="en-US"/>
        </w:rPr>
        <w:t xml:space="preserve"> head-to-head randomi</w:t>
      </w:r>
      <w:r w:rsidR="005A64AD" w:rsidRPr="00FB229F">
        <w:rPr>
          <w:lang w:bidi="en-US"/>
        </w:rPr>
        <w:t>s</w:t>
      </w:r>
      <w:r w:rsidR="00AE2EAA" w:rsidRPr="00FB229F">
        <w:rPr>
          <w:lang w:bidi="en-US"/>
        </w:rPr>
        <w:t>ed Phase III trial comparing selpercatinib to PC with or without pembrolizumab</w:t>
      </w:r>
      <w:r w:rsidR="00B50751" w:rsidRPr="00FB229F">
        <w:rPr>
          <w:lang w:bidi="en-US"/>
        </w:rPr>
        <w:t>,</w:t>
      </w:r>
      <w:r w:rsidR="00AE2EAA" w:rsidRPr="00FB229F">
        <w:rPr>
          <w:lang w:bidi="en-US"/>
        </w:rPr>
        <w:t xml:space="preserve"> as initial treatment of locally advanced or metastatic </w:t>
      </w:r>
      <w:r w:rsidR="003D270C" w:rsidRPr="00FB229F">
        <w:rPr>
          <w:i/>
          <w:iCs/>
          <w:lang w:bidi="en-US"/>
        </w:rPr>
        <w:t>RET</w:t>
      </w:r>
      <w:r w:rsidR="00AE2EAA" w:rsidRPr="00FB229F">
        <w:rPr>
          <w:lang w:bidi="en-US"/>
        </w:rPr>
        <w:t xml:space="preserve"> fusion-positive NSCLC</w:t>
      </w:r>
      <w:r w:rsidR="00B50751" w:rsidRPr="00FB229F">
        <w:rPr>
          <w:lang w:bidi="en-US"/>
        </w:rPr>
        <w:t>,</w:t>
      </w:r>
      <w:r w:rsidR="00AE2EAA" w:rsidRPr="00FB229F">
        <w:rPr>
          <w:lang w:bidi="en-US"/>
        </w:rPr>
        <w:t xml:space="preserve"> is currently ongoing (LIBRETTO-431, NCT04194944). The anticipated </w:t>
      </w:r>
      <w:r w:rsidR="00D21449" w:rsidRPr="00FB229F">
        <w:rPr>
          <w:lang w:bidi="en-US"/>
        </w:rPr>
        <w:t xml:space="preserve">primary </w:t>
      </w:r>
      <w:r w:rsidR="00AE2EAA" w:rsidRPr="00FB229F">
        <w:rPr>
          <w:lang w:bidi="en-US"/>
        </w:rPr>
        <w:t>completion date is December 2023</w:t>
      </w:r>
      <w:r w:rsidR="00D21449" w:rsidRPr="00FB229F">
        <w:rPr>
          <w:rStyle w:val="FootnoteReference"/>
          <w:lang w:bidi="en-US"/>
        </w:rPr>
        <w:footnoteReference w:id="10"/>
      </w:r>
      <w:r w:rsidR="00AE2EAA" w:rsidRPr="00FB229F">
        <w:rPr>
          <w:lang w:bidi="en-US"/>
        </w:rPr>
        <w:t>.</w:t>
      </w:r>
      <w:r w:rsidR="00B441DE" w:rsidRPr="00FB229F">
        <w:t xml:space="preserve"> </w:t>
      </w:r>
      <w:r w:rsidR="00B441DE" w:rsidRPr="00FB229F">
        <w:rPr>
          <w:lang w:bidi="en-US"/>
        </w:rPr>
        <w:t xml:space="preserve">It is anticipated that this study would address much of the uncertainty that is inherent in </w:t>
      </w:r>
      <w:r w:rsidR="00B441DE" w:rsidRPr="00FB229F">
        <w:rPr>
          <w:lang w:bidi="en-US"/>
        </w:rPr>
        <w:lastRenderedPageBreak/>
        <w:t>the indirect approach used to inform estimates of comparative effectiveness in this submission.</w:t>
      </w:r>
      <w:r w:rsidRPr="00FB229F">
        <w:rPr>
          <w:lang w:bidi="en-US"/>
        </w:rPr>
        <w:t xml:space="preserve"> </w:t>
      </w:r>
    </w:p>
    <w:p w14:paraId="4B546882" w14:textId="68D3AC79" w:rsidR="00945327" w:rsidRPr="00FB229F" w:rsidRDefault="002B56B4" w:rsidP="007B1BC5">
      <w:pPr>
        <w:pStyle w:val="3-BodyText"/>
        <w:ind w:left="709" w:hanging="709"/>
      </w:pPr>
      <w:bookmarkStart w:id="21" w:name="_Ref84506737"/>
      <w:r w:rsidRPr="00FB229F">
        <w:t xml:space="preserve">LIBRETTO-001 (Phase II </w:t>
      </w:r>
      <w:r w:rsidR="009D0778" w:rsidRPr="00FB229F">
        <w:t xml:space="preserve">NSCLC </w:t>
      </w:r>
      <w:r w:rsidRPr="00FB229F">
        <w:t xml:space="preserve">component) enrolled </w:t>
      </w:r>
      <w:r w:rsidR="009D0778" w:rsidRPr="00FB229F">
        <w:t>both treatment</w:t>
      </w:r>
      <w:r w:rsidR="00603261" w:rsidRPr="00FB229F">
        <w:t>-</w:t>
      </w:r>
      <w:r w:rsidR="009D0778" w:rsidRPr="00FB229F">
        <w:t xml:space="preserve">naïve and pre-treated </w:t>
      </w:r>
      <w:r w:rsidRPr="00FB229F">
        <w:t xml:space="preserve">patients with </w:t>
      </w:r>
      <w:r w:rsidRPr="00FB229F">
        <w:rPr>
          <w:i/>
          <w:iCs/>
        </w:rPr>
        <w:t>RET</w:t>
      </w:r>
      <w:r w:rsidRPr="00FB229F">
        <w:t xml:space="preserve"> fusion-positive </w:t>
      </w:r>
      <w:r w:rsidR="009D0778" w:rsidRPr="00FB229F">
        <w:t>advanced NSCLC</w:t>
      </w:r>
      <w:r w:rsidR="00945327" w:rsidRPr="00FB229F">
        <w:t>.</w:t>
      </w:r>
      <w:bookmarkEnd w:id="21"/>
      <w:r w:rsidR="00BB301F" w:rsidRPr="00FB229F">
        <w:t xml:space="preserve"> Data provided in the submission were for the most recent data </w:t>
      </w:r>
      <w:r w:rsidR="00446CC0" w:rsidRPr="00FB229F">
        <w:t>cut-off</w:t>
      </w:r>
      <w:r w:rsidR="00020BC8" w:rsidRPr="00FB229F">
        <w:t>,</w:t>
      </w:r>
      <w:r w:rsidR="00BB301F" w:rsidRPr="00FB229F">
        <w:t xml:space="preserve"> 15 June 2021.</w:t>
      </w:r>
    </w:p>
    <w:p w14:paraId="003A1D4B" w14:textId="0FBFABAC" w:rsidR="00BB301F" w:rsidRPr="00FB229F" w:rsidRDefault="00BB301F" w:rsidP="00816BFB">
      <w:pPr>
        <w:pStyle w:val="Bulletpoints"/>
      </w:pPr>
      <w:r w:rsidRPr="00FB229F">
        <w:t>Treatment</w:t>
      </w:r>
      <w:r w:rsidR="00603261" w:rsidRPr="00FB229F">
        <w:t>-</w:t>
      </w:r>
      <w:r w:rsidRPr="00FB229F">
        <w:t>naïve cohort (first-line setting</w:t>
      </w:r>
      <w:r w:rsidR="0078431B" w:rsidRPr="00FB229F">
        <w:t>, N=69</w:t>
      </w:r>
      <w:r w:rsidRPr="00FB229F">
        <w:t>)</w:t>
      </w:r>
      <w:r w:rsidR="00945327" w:rsidRPr="00FB229F">
        <w:t>:</w:t>
      </w:r>
      <w:r w:rsidRPr="00FB229F">
        <w:t xml:space="preserve"> </w:t>
      </w:r>
      <w:r w:rsidR="0078431B" w:rsidRPr="00FB229F">
        <w:t>T</w:t>
      </w:r>
      <w:r w:rsidRPr="00FB229F">
        <w:t xml:space="preserve">he median age was 63 years. 62.3% </w:t>
      </w:r>
      <w:r w:rsidR="00BC5715" w:rsidRPr="00FB229F">
        <w:t xml:space="preserve">of patients </w:t>
      </w:r>
      <w:r w:rsidRPr="00FB229F">
        <w:t xml:space="preserve">were female, and 69.6% were </w:t>
      </w:r>
      <w:r w:rsidR="0078431B" w:rsidRPr="00FB229F">
        <w:t>Caucasian</w:t>
      </w:r>
      <w:r w:rsidRPr="00FB229F">
        <w:t xml:space="preserve">. </w:t>
      </w:r>
      <w:r w:rsidR="0078431B" w:rsidRPr="00FB229F">
        <w:t xml:space="preserve">36.2% and </w:t>
      </w:r>
      <w:r w:rsidRPr="00FB229F">
        <w:t xml:space="preserve">58.0% of patients had a baseline </w:t>
      </w:r>
      <w:r w:rsidR="0078431B" w:rsidRPr="00FB229F">
        <w:t>Eastern Cooperative Oncology Group (ECOG) PS o</w:t>
      </w:r>
      <w:r w:rsidR="00B50751" w:rsidRPr="00FB229F">
        <w:t>f</w:t>
      </w:r>
      <w:r w:rsidR="0078431B" w:rsidRPr="00FB229F">
        <w:t xml:space="preserve"> 0 </w:t>
      </w:r>
      <w:r w:rsidR="00B50751" w:rsidRPr="00FB229F">
        <w:t>and</w:t>
      </w:r>
      <w:r w:rsidR="0078431B" w:rsidRPr="00FB229F">
        <w:t xml:space="preserve"> 1, respectively</w:t>
      </w:r>
      <w:r w:rsidR="00BC5715" w:rsidRPr="00FB229F">
        <w:t>,</w:t>
      </w:r>
      <w:r w:rsidR="0078431B" w:rsidRPr="00FB229F">
        <w:t xml:space="preserve"> a</w:t>
      </w:r>
      <w:r w:rsidRPr="00FB229F">
        <w:t xml:space="preserve">nd 69.6% had never smoked. 98.6% had metastases </w:t>
      </w:r>
      <w:r w:rsidR="00B50751" w:rsidRPr="00FB229F">
        <w:t>at baseline</w:t>
      </w:r>
      <w:r w:rsidRPr="00FB229F">
        <w:t>. 23.2% of patients had CNS metastases at baseline.</w:t>
      </w:r>
    </w:p>
    <w:p w14:paraId="50828675" w14:textId="645822F8" w:rsidR="00BB301F" w:rsidRPr="00FB229F" w:rsidRDefault="00BB301F" w:rsidP="00816BFB">
      <w:pPr>
        <w:pStyle w:val="Bulletpoints"/>
        <w:rPr>
          <w:iCs/>
        </w:rPr>
      </w:pPr>
      <w:r w:rsidRPr="00FB229F">
        <w:t>Platinum-</w:t>
      </w:r>
      <w:r w:rsidR="00446CC0" w:rsidRPr="00FB229F">
        <w:t>pre-treated</w:t>
      </w:r>
      <w:r w:rsidRPr="00FB229F">
        <w:t xml:space="preserve"> cohort (second-line setting</w:t>
      </w:r>
      <w:r w:rsidR="0078431B" w:rsidRPr="00FB229F">
        <w:t>, N=247</w:t>
      </w:r>
      <w:r w:rsidRPr="00FB229F">
        <w:t xml:space="preserve">): The median age was 61 years, 56.7% were female, and 43.7% were </w:t>
      </w:r>
      <w:r w:rsidR="0078431B" w:rsidRPr="00FB229F">
        <w:t>Caucasian</w:t>
      </w:r>
      <w:r w:rsidRPr="00FB229F">
        <w:t xml:space="preserve">. </w:t>
      </w:r>
      <w:r w:rsidR="00BC5715" w:rsidRPr="00FB229F">
        <w:t xml:space="preserve">36.4% and </w:t>
      </w:r>
      <w:r w:rsidRPr="00FB229F">
        <w:t xml:space="preserve">60.7% of patients had a baseline ECOG </w:t>
      </w:r>
      <w:r w:rsidR="009D0778" w:rsidRPr="00FB229F">
        <w:t xml:space="preserve">PS </w:t>
      </w:r>
      <w:r w:rsidRPr="00FB229F">
        <w:t xml:space="preserve">score of </w:t>
      </w:r>
      <w:r w:rsidR="00BC5715" w:rsidRPr="00FB229F">
        <w:t xml:space="preserve">0 </w:t>
      </w:r>
      <w:r w:rsidR="00B647AB" w:rsidRPr="00FB229F">
        <w:t>and</w:t>
      </w:r>
      <w:r w:rsidR="00BC5715" w:rsidRPr="00FB229F">
        <w:t xml:space="preserve"> 1, respectively, </w:t>
      </w:r>
      <w:r w:rsidRPr="00FB229F">
        <w:t xml:space="preserve">and 66.8% had never smoked. </w:t>
      </w:r>
      <w:r w:rsidR="00B647AB" w:rsidRPr="00FB229F">
        <w:t>A</w:t>
      </w:r>
      <w:r w:rsidRPr="00FB229F">
        <w:t xml:space="preserve">ll patients had received prior platinum chemotherapy and 58.3% of patients </w:t>
      </w:r>
      <w:r w:rsidR="00BC5715" w:rsidRPr="00FB229F">
        <w:t xml:space="preserve">had </w:t>
      </w:r>
      <w:r w:rsidRPr="00FB229F">
        <w:t xml:space="preserve">received prior </w:t>
      </w:r>
      <w:r w:rsidR="00BC5715" w:rsidRPr="00FB229F">
        <w:t>programmed cell death Ligand-1 (</w:t>
      </w:r>
      <w:r w:rsidRPr="00FB229F">
        <w:t>PD-1</w:t>
      </w:r>
      <w:r w:rsidR="00BC5715" w:rsidRPr="00FB229F">
        <w:t xml:space="preserve"> (L</w:t>
      </w:r>
      <w:r w:rsidR="00B647AB" w:rsidRPr="00FB229F">
        <w:t>)</w:t>
      </w:r>
      <w:r w:rsidR="00BC5715" w:rsidRPr="00FB229F">
        <w:t>1</w:t>
      </w:r>
      <w:r w:rsidR="00B647AB" w:rsidRPr="00FB229F">
        <w:t>)</w:t>
      </w:r>
      <w:r w:rsidRPr="00FB229F">
        <w:t xml:space="preserve"> </w:t>
      </w:r>
      <w:r w:rsidR="00BC5715" w:rsidRPr="00FB229F">
        <w:t xml:space="preserve">inhibitor </w:t>
      </w:r>
      <w:r w:rsidRPr="00FB229F">
        <w:t>therapy</w:t>
      </w:r>
      <w:r w:rsidR="00BC5715" w:rsidRPr="00FB229F">
        <w:t xml:space="preserve">. The </w:t>
      </w:r>
      <w:r w:rsidR="005A1B1F" w:rsidRPr="00FB229F">
        <w:rPr>
          <w:iCs/>
        </w:rPr>
        <w:t xml:space="preserve">ESC noted that the </w:t>
      </w:r>
      <w:r w:rsidR="00BC5715" w:rsidRPr="00FB229F">
        <w:t xml:space="preserve">proportion of patients pre-treated with </w:t>
      </w:r>
      <w:r w:rsidR="005A64AD" w:rsidRPr="00FB229F">
        <w:t>platinum + anti-</w:t>
      </w:r>
      <w:r w:rsidR="00BC5715" w:rsidRPr="00FB229F">
        <w:t xml:space="preserve">PD-1 (L1) </w:t>
      </w:r>
      <w:r w:rsidR="005A64AD" w:rsidRPr="00FB229F">
        <w:t>therapy</w:t>
      </w:r>
      <w:r w:rsidR="00BC5715" w:rsidRPr="00FB229F">
        <w:t xml:space="preserve"> could not</w:t>
      </w:r>
      <w:r w:rsidR="009D0778" w:rsidRPr="00FB229F">
        <w:t xml:space="preserve"> be identified </w:t>
      </w:r>
      <w:r w:rsidR="00B647AB" w:rsidRPr="00FB229F">
        <w:t>from</w:t>
      </w:r>
      <w:r w:rsidR="009D0778" w:rsidRPr="00FB229F">
        <w:t xml:space="preserve"> the submission</w:t>
      </w:r>
      <w:r w:rsidR="005A1B1F" w:rsidRPr="00FB229F">
        <w:t>.</w:t>
      </w:r>
    </w:p>
    <w:p w14:paraId="3A6D29E5" w14:textId="1270110C" w:rsidR="007331E3" w:rsidRPr="00FB229F" w:rsidRDefault="007331E3" w:rsidP="00816BFB">
      <w:pPr>
        <w:pStyle w:val="Bulletpoints"/>
      </w:pPr>
      <w:bookmarkStart w:id="22" w:name="_Ref132284445"/>
      <w:r w:rsidRPr="00FB229F">
        <w:t xml:space="preserve">For the second-line setting, the submission was based on an indirect comparison </w:t>
      </w:r>
      <w:r w:rsidR="00B647AB" w:rsidRPr="00FB229F">
        <w:t xml:space="preserve">between </w:t>
      </w:r>
      <w:r w:rsidRPr="00FB229F">
        <w:t xml:space="preserve">selpercatinib </w:t>
      </w:r>
      <w:r w:rsidR="00B647AB" w:rsidRPr="00FB229F">
        <w:t>(</w:t>
      </w:r>
      <w:r w:rsidRPr="00FB229F">
        <w:t>LIBRETTO-001 study</w:t>
      </w:r>
      <w:r w:rsidR="00B647AB" w:rsidRPr="00FB229F">
        <w:t>)</w:t>
      </w:r>
      <w:r w:rsidRPr="00FB229F">
        <w:t xml:space="preserve"> and </w:t>
      </w:r>
      <w:r w:rsidR="00623AAE" w:rsidRPr="00FB229F">
        <w:t>a single docetaxel ar</w:t>
      </w:r>
      <w:r w:rsidRPr="00FB229F">
        <w:t xml:space="preserve">m </w:t>
      </w:r>
      <w:r w:rsidR="00B647AB" w:rsidRPr="00FB229F">
        <w:t xml:space="preserve">from </w:t>
      </w:r>
      <w:r w:rsidR="00623AAE" w:rsidRPr="00FB229F">
        <w:t xml:space="preserve">the </w:t>
      </w:r>
      <w:r w:rsidRPr="00FB229F">
        <w:t>REVEL study</w:t>
      </w:r>
      <w:r w:rsidR="002A5D50" w:rsidRPr="00FB229F">
        <w:t>.</w:t>
      </w:r>
      <w:bookmarkEnd w:id="22"/>
      <w:r w:rsidR="00B647AB" w:rsidRPr="00FB229F">
        <w:t xml:space="preserve"> </w:t>
      </w:r>
      <w:r w:rsidRPr="00FB229F">
        <w:t xml:space="preserve">REVEL was a randomised controlled trial comparing ramucirumab </w:t>
      </w:r>
      <w:r w:rsidR="009D0778" w:rsidRPr="00FB229F">
        <w:t>+</w:t>
      </w:r>
      <w:r w:rsidRPr="00FB229F">
        <w:t xml:space="preserve"> docetaxel </w:t>
      </w:r>
      <w:r w:rsidR="009D0778" w:rsidRPr="00FB229F">
        <w:t>with</w:t>
      </w:r>
      <w:r w:rsidRPr="00FB229F">
        <w:t xml:space="preserve"> docetaxel in squamous and non-squamous</w:t>
      </w:r>
      <w:r w:rsidR="009E4FEF" w:rsidRPr="00FB229F">
        <w:t xml:space="preserve"> (72%)</w:t>
      </w:r>
      <w:r w:rsidRPr="00FB229F">
        <w:t>, Stage IV NSCLC patients who had progressed during or after a first-line, single platinum-based chemotherapy regimen, with or without bevacizumab.</w:t>
      </w:r>
    </w:p>
    <w:p w14:paraId="08ED13EE" w14:textId="4DD383EB" w:rsidR="008977F1" w:rsidRPr="00FB229F" w:rsidRDefault="007331E3" w:rsidP="00816BFB">
      <w:pPr>
        <w:pStyle w:val="Bulletpoints"/>
        <w:rPr>
          <w:iCs/>
        </w:rPr>
      </w:pPr>
      <w:r w:rsidRPr="00FB229F">
        <w:t xml:space="preserve">The REVEL study was the only included study from 40 identified studies of docetaxel. The justification </w:t>
      </w:r>
      <w:r w:rsidR="00B647AB" w:rsidRPr="00FB229F">
        <w:t xml:space="preserve">provided </w:t>
      </w:r>
      <w:r w:rsidRPr="00FB229F">
        <w:t xml:space="preserve">in the submission for excluding 39 studies was that individual patient data </w:t>
      </w:r>
      <w:r w:rsidR="00623AAE" w:rsidRPr="00FB229F">
        <w:t xml:space="preserve">(IPD) </w:t>
      </w:r>
      <w:r w:rsidRPr="00FB229F">
        <w:t xml:space="preserve">were </w:t>
      </w:r>
      <w:r w:rsidR="00623AAE" w:rsidRPr="00FB229F">
        <w:t>available for REVEL given that the study was conducted by the sponsor.</w:t>
      </w:r>
      <w:r w:rsidR="00B647AB" w:rsidRPr="00FB229F">
        <w:t xml:space="preserve"> This </w:t>
      </w:r>
      <w:r w:rsidR="001A67C3" w:rsidRPr="00FB229F">
        <w:t>wa</w:t>
      </w:r>
      <w:r w:rsidR="00B647AB" w:rsidRPr="00FB229F">
        <w:t xml:space="preserve">s problematic. </w:t>
      </w:r>
      <w:r w:rsidR="00623AAE" w:rsidRPr="00FB229F">
        <w:t>The median OS reported for docetaxel in REVEL was 9.1 months</w:t>
      </w:r>
      <w:r w:rsidR="00B647AB" w:rsidRPr="00FB229F">
        <w:t xml:space="preserve">. Median OS </w:t>
      </w:r>
      <w:r w:rsidR="00623AAE" w:rsidRPr="00FB229F">
        <w:t>varied widely from 5.03</w:t>
      </w:r>
      <w:r w:rsidR="00456627" w:rsidRPr="00FB229F">
        <w:t xml:space="preserve"> </w:t>
      </w:r>
      <w:r w:rsidR="00B647AB" w:rsidRPr="00FB229F">
        <w:t xml:space="preserve">months to </w:t>
      </w:r>
      <w:r w:rsidR="00623AAE" w:rsidRPr="00FB229F">
        <w:t xml:space="preserve">15.7 months across the original identified set of 40 studies. Furthermore, patients in the REVEL study were not </w:t>
      </w:r>
      <w:r w:rsidR="00446CC0" w:rsidRPr="00FB229F">
        <w:t>pre-treated</w:t>
      </w:r>
      <w:r w:rsidR="00623AAE" w:rsidRPr="00FB229F">
        <w:t xml:space="preserve"> with PD-1 (L1) inhibitors as these therapies were not approved during the conduct of the trial which was initiated in 2010</w:t>
      </w:r>
      <w:r w:rsidR="00623AAE" w:rsidRPr="00FB229F">
        <w:rPr>
          <w:vertAlign w:val="superscript"/>
        </w:rPr>
        <w:footnoteReference w:id="11"/>
      </w:r>
      <w:r w:rsidR="00623AAE" w:rsidRPr="00FB229F">
        <w:t xml:space="preserve">. </w:t>
      </w:r>
      <w:r w:rsidR="00346F6E" w:rsidRPr="00FB229F">
        <w:t xml:space="preserve">The </w:t>
      </w:r>
      <w:r w:rsidR="005A1B1F" w:rsidRPr="00FB229F">
        <w:rPr>
          <w:iCs/>
        </w:rPr>
        <w:t xml:space="preserve">ESC agreed with the evaluation that </w:t>
      </w:r>
      <w:r w:rsidR="00346F6E" w:rsidRPr="00FB229F">
        <w:t xml:space="preserve">exclusion of 39 studies of docetaxel introduces a high </w:t>
      </w:r>
      <w:r w:rsidR="009D0778" w:rsidRPr="00FB229F">
        <w:t>risk of selection bias</w:t>
      </w:r>
      <w:r w:rsidR="00346F6E" w:rsidRPr="00FB229F">
        <w:t xml:space="preserve"> </w:t>
      </w:r>
      <w:r w:rsidR="008977F1" w:rsidRPr="00FB229F">
        <w:t xml:space="preserve">the impact of which was not </w:t>
      </w:r>
      <w:r w:rsidR="009D0778" w:rsidRPr="00FB229F">
        <w:t xml:space="preserve">thoroughly </w:t>
      </w:r>
      <w:r w:rsidR="00346F6E" w:rsidRPr="00FB229F">
        <w:t>assess</w:t>
      </w:r>
      <w:r w:rsidR="008977F1" w:rsidRPr="00FB229F">
        <w:t>ed</w:t>
      </w:r>
      <w:r w:rsidR="00346F6E" w:rsidRPr="00FB229F">
        <w:t>.</w:t>
      </w:r>
      <w:r w:rsidR="00B35B94" w:rsidRPr="00FB229F">
        <w:t xml:space="preserve"> </w:t>
      </w:r>
    </w:p>
    <w:p w14:paraId="0A224DDB" w14:textId="01C9CE5C" w:rsidR="00945327" w:rsidRPr="00FB229F" w:rsidRDefault="00CA0A33" w:rsidP="00816BFB">
      <w:pPr>
        <w:pStyle w:val="Bulletpoints"/>
        <w:rPr>
          <w:iCs/>
        </w:rPr>
      </w:pPr>
      <w:r w:rsidRPr="00FB229F">
        <w:t>I</w:t>
      </w:r>
      <w:r w:rsidR="00346F6E" w:rsidRPr="00FB229F">
        <w:t xml:space="preserve">t is anticipated that the predominant use of selpercatinib is as initial targeted therapy for </w:t>
      </w:r>
      <w:r w:rsidR="003D270C" w:rsidRPr="00FB229F">
        <w:rPr>
          <w:i/>
          <w:iCs/>
        </w:rPr>
        <w:t>RET</w:t>
      </w:r>
      <w:r w:rsidR="00346F6E" w:rsidRPr="00FB229F">
        <w:t xml:space="preserve"> fusion-positive advanced NSCLC. The indirect comparison with docetaxel </w:t>
      </w:r>
      <w:r w:rsidRPr="00FB229F">
        <w:t>was considered</w:t>
      </w:r>
      <w:r w:rsidR="00346F6E" w:rsidRPr="00FB229F">
        <w:t xml:space="preserve"> largely uninformative and </w:t>
      </w:r>
      <w:r w:rsidR="008977F1" w:rsidRPr="00FB229F">
        <w:t>wa</w:t>
      </w:r>
      <w:r w:rsidR="00346F6E" w:rsidRPr="00FB229F">
        <w:t xml:space="preserve">s not </w:t>
      </w:r>
      <w:r w:rsidRPr="00FB229F">
        <w:t>assessed</w:t>
      </w:r>
      <w:r w:rsidR="00346F6E" w:rsidRPr="00FB229F">
        <w:t xml:space="preserve"> further in </w:t>
      </w:r>
      <w:r w:rsidR="00346F6E" w:rsidRPr="00FB229F">
        <w:lastRenderedPageBreak/>
        <w:t>the evaluation</w:t>
      </w:r>
      <w:r w:rsidR="00346F6E" w:rsidRPr="00FB229F">
        <w:rPr>
          <w:iCs/>
        </w:rPr>
        <w:t>.</w:t>
      </w:r>
      <w:r w:rsidR="00B56094" w:rsidRPr="00FB229F">
        <w:rPr>
          <w:iCs/>
        </w:rPr>
        <w:t xml:space="preserve"> </w:t>
      </w:r>
      <w:r w:rsidR="003D0567" w:rsidRPr="00FB229F">
        <w:rPr>
          <w:iCs/>
        </w:rPr>
        <w:t xml:space="preserve">The ESC </w:t>
      </w:r>
      <w:r w:rsidR="005A1B1F" w:rsidRPr="00FB229F">
        <w:rPr>
          <w:iCs/>
        </w:rPr>
        <w:t>agreed with the evaluation that the indirect comparison with docetaxel was largely uninformative due to the</w:t>
      </w:r>
      <w:r w:rsidR="003D0567" w:rsidRPr="00FB229F">
        <w:rPr>
          <w:iCs/>
        </w:rPr>
        <w:t xml:space="preserve"> high risk of </w:t>
      </w:r>
      <w:r w:rsidR="005A1B1F" w:rsidRPr="00FB229F">
        <w:rPr>
          <w:iCs/>
        </w:rPr>
        <w:t xml:space="preserve">selection </w:t>
      </w:r>
      <w:r w:rsidR="003D0567" w:rsidRPr="00FB229F">
        <w:rPr>
          <w:iCs/>
        </w:rPr>
        <w:t>bias.</w:t>
      </w:r>
    </w:p>
    <w:p w14:paraId="61118D78" w14:textId="78185ABA" w:rsidR="00CA0A33" w:rsidRPr="00FB229F" w:rsidRDefault="00CA0A33" w:rsidP="00674256">
      <w:pPr>
        <w:pStyle w:val="3-BodyText"/>
        <w:ind w:left="709" w:hanging="709"/>
      </w:pPr>
      <w:r w:rsidRPr="00FB229F">
        <w:t xml:space="preserve">Details of the studies presented in the submission are provided in the </w:t>
      </w:r>
      <w:r w:rsidRPr="00FB229F">
        <w:fldChar w:fldCharType="begin" w:fldLock="1"/>
      </w:r>
      <w:r w:rsidRPr="00FB229F">
        <w:instrText xml:space="preserve"> REF _Ref131743883 \h  \* MERGEFORMAT </w:instrText>
      </w:r>
      <w:r w:rsidRPr="00FB229F">
        <w:fldChar w:fldCharType="separate"/>
      </w:r>
      <w:r w:rsidR="00CA7201" w:rsidRPr="00FB229F">
        <w:t xml:space="preserve">Table </w:t>
      </w:r>
      <w:r w:rsidR="00CA7201" w:rsidRPr="00166045">
        <w:t>2</w:t>
      </w:r>
      <w:r w:rsidRPr="00FB229F">
        <w:fldChar w:fldCharType="end"/>
      </w:r>
      <w:r w:rsidRPr="00FB229F">
        <w:t>.</w:t>
      </w:r>
    </w:p>
    <w:p w14:paraId="796D164C" w14:textId="1DF10E60" w:rsidR="00CA0A33" w:rsidRPr="00FB229F" w:rsidRDefault="00CA0A33" w:rsidP="00750995">
      <w:pPr>
        <w:pStyle w:val="TableFigureHeading"/>
        <w:keepLines/>
      </w:pPr>
      <w:bookmarkStart w:id="23" w:name="_Ref131743883"/>
      <w:r w:rsidRPr="00FB229F">
        <w:lastRenderedPageBreak/>
        <w:t xml:space="preserve">Table </w:t>
      </w:r>
      <w:r w:rsidR="00BF0AEB">
        <w:fldChar w:fldCharType="begin" w:fldLock="1"/>
      </w:r>
      <w:r w:rsidR="00BF0AEB">
        <w:instrText xml:space="preserve"> SEQ Table \* ARABIC </w:instrText>
      </w:r>
      <w:r w:rsidR="00BF0AEB">
        <w:fldChar w:fldCharType="separate"/>
      </w:r>
      <w:r w:rsidR="00CA7201" w:rsidRPr="00166045">
        <w:t>2</w:t>
      </w:r>
      <w:r w:rsidR="00BF0AEB">
        <w:fldChar w:fldCharType="end"/>
      </w:r>
      <w:bookmarkEnd w:id="23"/>
      <w:r w:rsidRPr="00FB229F">
        <w:t xml:space="preserve">: </w:t>
      </w:r>
      <w:r w:rsidRPr="00FB229F">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5459"/>
        <w:gridCol w:w="2123"/>
      </w:tblGrid>
      <w:tr w:rsidR="00CA0A33" w:rsidRPr="00FB229F" w14:paraId="36CA7FF4" w14:textId="77777777" w:rsidTr="00DE0372">
        <w:trPr>
          <w:cantSplit/>
        </w:trPr>
        <w:tc>
          <w:tcPr>
            <w:tcW w:w="796" w:type="pct"/>
          </w:tcPr>
          <w:p w14:paraId="68FD5C6A" w14:textId="77777777" w:rsidR="00CA0A33" w:rsidRPr="00FB229F" w:rsidRDefault="00CA0A33" w:rsidP="00750995">
            <w:pPr>
              <w:pStyle w:val="Tabletext"/>
              <w:keepNext/>
              <w:keepLines/>
              <w:rPr>
                <w:b/>
              </w:rPr>
            </w:pPr>
            <w:r w:rsidRPr="00FB229F">
              <w:rPr>
                <w:b/>
              </w:rPr>
              <w:t>Trial ID</w:t>
            </w:r>
          </w:p>
        </w:tc>
        <w:tc>
          <w:tcPr>
            <w:tcW w:w="3027" w:type="pct"/>
          </w:tcPr>
          <w:p w14:paraId="5ACF439F" w14:textId="77777777" w:rsidR="00CA0A33" w:rsidRPr="00FB229F" w:rsidRDefault="00CA0A33" w:rsidP="00750995">
            <w:pPr>
              <w:pStyle w:val="Tabletext"/>
              <w:keepNext/>
              <w:keepLines/>
              <w:rPr>
                <w:b/>
              </w:rPr>
            </w:pPr>
            <w:r w:rsidRPr="00FB229F">
              <w:rPr>
                <w:b/>
              </w:rPr>
              <w:t>Protocol title/ Publication title</w:t>
            </w:r>
          </w:p>
        </w:tc>
        <w:tc>
          <w:tcPr>
            <w:tcW w:w="1177" w:type="pct"/>
          </w:tcPr>
          <w:p w14:paraId="5C6200EE" w14:textId="77777777" w:rsidR="00CA0A33" w:rsidRPr="00FB229F" w:rsidRDefault="00CA0A33" w:rsidP="00750995">
            <w:pPr>
              <w:pStyle w:val="Tabletext"/>
              <w:keepNext/>
              <w:keepLines/>
              <w:rPr>
                <w:b/>
              </w:rPr>
            </w:pPr>
            <w:r w:rsidRPr="00FB229F">
              <w:rPr>
                <w:b/>
              </w:rPr>
              <w:t>Publication citation</w:t>
            </w:r>
          </w:p>
        </w:tc>
      </w:tr>
      <w:tr w:rsidR="00CA0A33" w:rsidRPr="00FB229F" w14:paraId="190248AD" w14:textId="77777777" w:rsidTr="00DE0372">
        <w:trPr>
          <w:cantSplit/>
        </w:trPr>
        <w:tc>
          <w:tcPr>
            <w:tcW w:w="5000" w:type="pct"/>
            <w:gridSpan w:val="3"/>
          </w:tcPr>
          <w:p w14:paraId="119B9726" w14:textId="77777777" w:rsidR="00CA0A33" w:rsidRPr="00FB229F" w:rsidRDefault="00CA0A33" w:rsidP="00750995">
            <w:pPr>
              <w:pStyle w:val="Tabletext"/>
              <w:keepNext/>
              <w:keepLines/>
              <w:rPr>
                <w:b/>
              </w:rPr>
            </w:pPr>
            <w:r w:rsidRPr="00FB229F">
              <w:rPr>
                <w:b/>
              </w:rPr>
              <w:t>Selpercatinib (key single arm study)</w:t>
            </w:r>
          </w:p>
        </w:tc>
      </w:tr>
      <w:tr w:rsidR="00CA0A33" w:rsidRPr="00FB229F" w14:paraId="51539D2E" w14:textId="77777777" w:rsidTr="00DE0372">
        <w:trPr>
          <w:cantSplit/>
        </w:trPr>
        <w:tc>
          <w:tcPr>
            <w:tcW w:w="796" w:type="pct"/>
            <w:vMerge w:val="restart"/>
          </w:tcPr>
          <w:p w14:paraId="07AACD59" w14:textId="77777777" w:rsidR="00CA0A33" w:rsidRPr="00FB229F" w:rsidRDefault="00CA0A33" w:rsidP="00750995">
            <w:pPr>
              <w:pStyle w:val="Tabletext"/>
              <w:keepNext/>
              <w:keepLines/>
            </w:pPr>
            <w:r w:rsidRPr="00FB229F">
              <w:t>LIBRETTO-001</w:t>
            </w:r>
          </w:p>
          <w:p w14:paraId="3E948129" w14:textId="77777777" w:rsidR="00CA0A33" w:rsidRPr="00FB229F" w:rsidRDefault="00CA0A33" w:rsidP="00750995">
            <w:pPr>
              <w:pStyle w:val="Tabletext"/>
              <w:keepNext/>
              <w:keepLines/>
            </w:pPr>
            <w:r w:rsidRPr="00FB229F">
              <w:t>NCT03157128</w:t>
            </w:r>
          </w:p>
        </w:tc>
        <w:tc>
          <w:tcPr>
            <w:tcW w:w="3027" w:type="pct"/>
          </w:tcPr>
          <w:p w14:paraId="622BD3B7" w14:textId="282EBD40" w:rsidR="00CA0A33" w:rsidRPr="00FB229F" w:rsidRDefault="00CA0A33" w:rsidP="00750995">
            <w:pPr>
              <w:pStyle w:val="Tabletext"/>
              <w:keepNext/>
              <w:keepLines/>
              <w:rPr>
                <w:szCs w:val="18"/>
              </w:rPr>
            </w:pPr>
            <w:r w:rsidRPr="00FB229F">
              <w:rPr>
                <w:szCs w:val="18"/>
              </w:rPr>
              <w:t xml:space="preserve">Interim Clinical Study Report (Protocol LOXO-RET-17001): A Study of Selpercatinib (LOXO-292) in Participants With Advanced Solid </w:t>
            </w:r>
            <w:r w:rsidR="00446CC0" w:rsidRPr="00FB229F">
              <w:rPr>
                <w:szCs w:val="18"/>
              </w:rPr>
              <w:t>Tumours</w:t>
            </w:r>
            <w:r w:rsidRPr="00FB229F">
              <w:rPr>
                <w:szCs w:val="18"/>
              </w:rPr>
              <w:t xml:space="preserve">, </w:t>
            </w:r>
            <w:r w:rsidR="003D270C" w:rsidRPr="00FB229F">
              <w:rPr>
                <w:i/>
                <w:iCs/>
                <w:szCs w:val="18"/>
              </w:rPr>
              <w:t>RET</w:t>
            </w:r>
            <w:r w:rsidRPr="00FB229F">
              <w:rPr>
                <w:szCs w:val="18"/>
              </w:rPr>
              <w:t xml:space="preserve"> Fusion-Positive Solid </w:t>
            </w:r>
            <w:r w:rsidR="00446CC0" w:rsidRPr="00FB229F">
              <w:rPr>
                <w:szCs w:val="18"/>
              </w:rPr>
              <w:t>Tumours</w:t>
            </w:r>
            <w:r w:rsidRPr="00FB229F">
              <w:rPr>
                <w:szCs w:val="18"/>
              </w:rPr>
              <w:t xml:space="preserve">, and Medullary Thyroid Cancer: </w:t>
            </w:r>
          </w:p>
        </w:tc>
        <w:tc>
          <w:tcPr>
            <w:tcW w:w="1177" w:type="pct"/>
          </w:tcPr>
          <w:p w14:paraId="4665FACE" w14:textId="77777777" w:rsidR="00CA0A33" w:rsidRPr="00FB229F" w:rsidRDefault="00CA0A33" w:rsidP="00750995">
            <w:pPr>
              <w:pStyle w:val="Tabletext"/>
              <w:keepNext/>
              <w:keepLines/>
            </w:pPr>
            <w:r w:rsidRPr="00FB229F">
              <w:rPr>
                <w:szCs w:val="18"/>
              </w:rPr>
              <w:t>15 June 2021</w:t>
            </w:r>
          </w:p>
        </w:tc>
      </w:tr>
      <w:tr w:rsidR="00CA0A33" w:rsidRPr="00FB229F" w14:paraId="6BA3ED13" w14:textId="77777777" w:rsidTr="00DE0372">
        <w:trPr>
          <w:cantSplit/>
        </w:trPr>
        <w:tc>
          <w:tcPr>
            <w:tcW w:w="796" w:type="pct"/>
            <w:vMerge/>
          </w:tcPr>
          <w:p w14:paraId="0FC1E094" w14:textId="77777777" w:rsidR="00CA0A33" w:rsidRPr="00FB229F" w:rsidRDefault="00CA0A33" w:rsidP="00750995">
            <w:pPr>
              <w:pStyle w:val="Tabletext"/>
              <w:keepNext/>
              <w:keepLines/>
            </w:pPr>
          </w:p>
        </w:tc>
        <w:tc>
          <w:tcPr>
            <w:tcW w:w="3027" w:type="pct"/>
          </w:tcPr>
          <w:p w14:paraId="1BD152B4" w14:textId="2CF83576" w:rsidR="00CA0A33" w:rsidRPr="00FB229F" w:rsidRDefault="00CA0A33" w:rsidP="00750995">
            <w:pPr>
              <w:pStyle w:val="Tabletext"/>
              <w:keepNext/>
              <w:keepLines/>
              <w:rPr>
                <w:szCs w:val="18"/>
              </w:rPr>
            </w:pPr>
            <w:r w:rsidRPr="00FB229F">
              <w:rPr>
                <w:szCs w:val="18"/>
              </w:rPr>
              <w:t xml:space="preserve">Oxnard, G et al. Clinical Activity of LOXO-292, a Highly Selective </w:t>
            </w:r>
            <w:r w:rsidR="003D270C" w:rsidRPr="00FB229F">
              <w:rPr>
                <w:i/>
                <w:iCs/>
                <w:szCs w:val="18"/>
              </w:rPr>
              <w:t>RET</w:t>
            </w:r>
            <w:r w:rsidRPr="00FB229F">
              <w:rPr>
                <w:szCs w:val="18"/>
              </w:rPr>
              <w:t xml:space="preserve"> Inhibitor, in Patients with </w:t>
            </w:r>
            <w:r w:rsidR="003D270C" w:rsidRPr="00FB229F">
              <w:rPr>
                <w:i/>
                <w:iCs/>
                <w:szCs w:val="18"/>
              </w:rPr>
              <w:t>RET</w:t>
            </w:r>
            <w:r w:rsidRPr="00FB229F">
              <w:rPr>
                <w:szCs w:val="18"/>
              </w:rPr>
              <w:t xml:space="preserve"> Fusion+ Non-Small Cell Lung Cancer. </w:t>
            </w:r>
          </w:p>
        </w:tc>
        <w:tc>
          <w:tcPr>
            <w:tcW w:w="1177" w:type="pct"/>
          </w:tcPr>
          <w:p w14:paraId="485E7B10" w14:textId="77777777" w:rsidR="00CA0A33" w:rsidRPr="00FB229F" w:rsidRDefault="00CA0A33" w:rsidP="00750995">
            <w:pPr>
              <w:pStyle w:val="Tabletext"/>
              <w:keepNext/>
              <w:keepLines/>
              <w:rPr>
                <w:szCs w:val="18"/>
              </w:rPr>
            </w:pPr>
            <w:r w:rsidRPr="00FB229F">
              <w:rPr>
                <w:szCs w:val="18"/>
              </w:rPr>
              <w:t>J Thorac Oncol, 2018; 13, S349-S350.</w:t>
            </w:r>
          </w:p>
        </w:tc>
      </w:tr>
      <w:tr w:rsidR="00CA0A33" w:rsidRPr="00FB229F" w14:paraId="29A4152E" w14:textId="77777777" w:rsidTr="00DE0372">
        <w:trPr>
          <w:cantSplit/>
        </w:trPr>
        <w:tc>
          <w:tcPr>
            <w:tcW w:w="796" w:type="pct"/>
            <w:vMerge/>
          </w:tcPr>
          <w:p w14:paraId="0ACAF10F" w14:textId="77777777" w:rsidR="00CA0A33" w:rsidRPr="00FB229F" w:rsidRDefault="00CA0A33" w:rsidP="00750995">
            <w:pPr>
              <w:pStyle w:val="Tabletext"/>
              <w:keepNext/>
              <w:keepLines/>
            </w:pPr>
          </w:p>
        </w:tc>
        <w:tc>
          <w:tcPr>
            <w:tcW w:w="3027" w:type="pct"/>
          </w:tcPr>
          <w:p w14:paraId="268E895E" w14:textId="16E21163" w:rsidR="00CA0A33" w:rsidRPr="00FB229F" w:rsidRDefault="00CA0A33" w:rsidP="00750995">
            <w:pPr>
              <w:pStyle w:val="Tabletext"/>
              <w:keepNext/>
              <w:keepLines/>
              <w:rPr>
                <w:szCs w:val="18"/>
              </w:rPr>
            </w:pPr>
            <w:r w:rsidRPr="00FB229F">
              <w:rPr>
                <w:szCs w:val="18"/>
              </w:rPr>
              <w:t xml:space="preserve">Drilon, A et al. Efficacy of Selpercatinib in </w:t>
            </w:r>
            <w:r w:rsidR="003D270C" w:rsidRPr="00FB229F">
              <w:rPr>
                <w:i/>
                <w:iCs/>
                <w:szCs w:val="18"/>
              </w:rPr>
              <w:t>RET</w:t>
            </w:r>
            <w:r w:rsidRPr="00FB229F">
              <w:rPr>
                <w:i/>
                <w:iCs/>
                <w:szCs w:val="18"/>
              </w:rPr>
              <w:t xml:space="preserve"> </w:t>
            </w:r>
            <w:r w:rsidRPr="00FB229F">
              <w:rPr>
                <w:szCs w:val="18"/>
              </w:rPr>
              <w:t xml:space="preserve">Fusion-Positive Non-Small-Cell Lung Cancer. </w:t>
            </w:r>
          </w:p>
        </w:tc>
        <w:tc>
          <w:tcPr>
            <w:tcW w:w="1177" w:type="pct"/>
          </w:tcPr>
          <w:p w14:paraId="4538A879" w14:textId="77777777" w:rsidR="00CA0A33" w:rsidRPr="00166045" w:rsidRDefault="00CA0A33" w:rsidP="00750995">
            <w:pPr>
              <w:pStyle w:val="Tabletext"/>
              <w:keepNext/>
              <w:keepLines/>
              <w:rPr>
                <w:szCs w:val="18"/>
              </w:rPr>
            </w:pPr>
            <w:r w:rsidRPr="00FB229F">
              <w:rPr>
                <w:szCs w:val="18"/>
              </w:rPr>
              <w:t>N Engl J Med, 2020; 383, 813-824.</w:t>
            </w:r>
          </w:p>
        </w:tc>
      </w:tr>
      <w:tr w:rsidR="00CA0A33" w:rsidRPr="00FB229F" w14:paraId="1E05A9DB" w14:textId="77777777" w:rsidTr="00DE0372">
        <w:trPr>
          <w:cantSplit/>
        </w:trPr>
        <w:tc>
          <w:tcPr>
            <w:tcW w:w="796" w:type="pct"/>
            <w:vMerge/>
          </w:tcPr>
          <w:p w14:paraId="16CD5CC8" w14:textId="77777777" w:rsidR="00CA0A33" w:rsidRPr="00FB229F" w:rsidRDefault="00CA0A33" w:rsidP="00750995">
            <w:pPr>
              <w:pStyle w:val="Tabletext"/>
              <w:keepNext/>
              <w:keepLines/>
            </w:pPr>
          </w:p>
        </w:tc>
        <w:tc>
          <w:tcPr>
            <w:tcW w:w="3027" w:type="pct"/>
          </w:tcPr>
          <w:p w14:paraId="5F6D1AAE" w14:textId="1658CC0C" w:rsidR="00CA0A33" w:rsidRPr="00FB229F" w:rsidRDefault="00CA0A33" w:rsidP="00750995">
            <w:pPr>
              <w:pStyle w:val="Tabletext"/>
              <w:keepNext/>
              <w:keepLines/>
              <w:rPr>
                <w:szCs w:val="18"/>
              </w:rPr>
            </w:pPr>
            <w:proofErr w:type="spellStart"/>
            <w:r w:rsidRPr="00FB229F">
              <w:rPr>
                <w:szCs w:val="18"/>
              </w:rPr>
              <w:t>Nishio</w:t>
            </w:r>
            <w:proofErr w:type="spellEnd"/>
            <w:r w:rsidRPr="00FB229F">
              <w:rPr>
                <w:szCs w:val="18"/>
              </w:rPr>
              <w:t xml:space="preserve">, M et al. Efficacy and Safety Analysis of Selpercatinib in Patients with </w:t>
            </w:r>
            <w:r w:rsidR="003D270C" w:rsidRPr="00FB229F">
              <w:rPr>
                <w:i/>
                <w:iCs/>
                <w:szCs w:val="18"/>
              </w:rPr>
              <w:t>RET</w:t>
            </w:r>
            <w:r w:rsidRPr="00FB229F">
              <w:rPr>
                <w:i/>
                <w:iCs/>
                <w:szCs w:val="18"/>
              </w:rPr>
              <w:t xml:space="preserve"> </w:t>
            </w:r>
            <w:r w:rsidRPr="00FB229F">
              <w:rPr>
                <w:szCs w:val="18"/>
              </w:rPr>
              <w:t xml:space="preserve">Fusion-Positive Non-Small Cell Lung Cancer-Results from the Japanese Subset of a Global Phase 1/2 Study. </w:t>
            </w:r>
          </w:p>
        </w:tc>
        <w:tc>
          <w:tcPr>
            <w:tcW w:w="1177" w:type="pct"/>
          </w:tcPr>
          <w:p w14:paraId="77A55DA0" w14:textId="77777777" w:rsidR="00CA0A33" w:rsidRPr="00FB229F" w:rsidRDefault="00CA0A33" w:rsidP="00750995">
            <w:pPr>
              <w:pStyle w:val="Tabletext"/>
              <w:keepNext/>
              <w:keepLines/>
              <w:rPr>
                <w:szCs w:val="18"/>
              </w:rPr>
            </w:pPr>
            <w:r w:rsidRPr="00FB229F">
              <w:rPr>
                <w:szCs w:val="18"/>
              </w:rPr>
              <w:t xml:space="preserve">Gan To Kagaku </w:t>
            </w:r>
            <w:proofErr w:type="spellStart"/>
            <w:r w:rsidRPr="00FB229F">
              <w:rPr>
                <w:szCs w:val="18"/>
              </w:rPr>
              <w:t>Ryoho</w:t>
            </w:r>
            <w:proofErr w:type="spellEnd"/>
            <w:r w:rsidRPr="00FB229F">
              <w:rPr>
                <w:szCs w:val="18"/>
              </w:rPr>
              <w:t>, 2022; 49, 669-675.</w:t>
            </w:r>
          </w:p>
        </w:tc>
      </w:tr>
      <w:tr w:rsidR="00CA0A33" w:rsidRPr="00FB229F" w14:paraId="1ECDD906" w14:textId="77777777" w:rsidTr="00DE0372">
        <w:trPr>
          <w:cantSplit/>
        </w:trPr>
        <w:tc>
          <w:tcPr>
            <w:tcW w:w="796" w:type="pct"/>
            <w:vMerge/>
          </w:tcPr>
          <w:p w14:paraId="5A51EB3B" w14:textId="77777777" w:rsidR="00CA0A33" w:rsidRPr="00FB229F" w:rsidRDefault="00CA0A33" w:rsidP="00750995">
            <w:pPr>
              <w:pStyle w:val="Tabletext"/>
              <w:keepNext/>
              <w:keepLines/>
            </w:pPr>
          </w:p>
        </w:tc>
        <w:tc>
          <w:tcPr>
            <w:tcW w:w="3027" w:type="pct"/>
          </w:tcPr>
          <w:p w14:paraId="13BA2AE0" w14:textId="6BA23C74" w:rsidR="00CA0A33" w:rsidRPr="00FB229F" w:rsidRDefault="00CA0A33" w:rsidP="00750995">
            <w:pPr>
              <w:pStyle w:val="Tabletext"/>
              <w:keepNext/>
              <w:keepLines/>
              <w:rPr>
                <w:szCs w:val="18"/>
              </w:rPr>
            </w:pPr>
            <w:r w:rsidRPr="00FB229F">
              <w:rPr>
                <w:szCs w:val="18"/>
              </w:rPr>
              <w:t xml:space="preserve">Drilon, A et al. Selpercatinib in Patients With </w:t>
            </w:r>
            <w:r w:rsidR="003D270C" w:rsidRPr="00FB229F">
              <w:rPr>
                <w:i/>
                <w:iCs/>
                <w:szCs w:val="18"/>
              </w:rPr>
              <w:t>RET</w:t>
            </w:r>
            <w:r w:rsidRPr="00FB229F">
              <w:rPr>
                <w:szCs w:val="18"/>
              </w:rPr>
              <w:t xml:space="preserve"> Fusion-Positive Non-Small-Cell Lung Cancer: Updated Safety and Efficacy From the Registrational LIB</w:t>
            </w:r>
            <w:r w:rsidR="003D270C" w:rsidRPr="00FB229F">
              <w:rPr>
                <w:szCs w:val="18"/>
              </w:rPr>
              <w:t>RET</w:t>
            </w:r>
            <w:r w:rsidRPr="00FB229F">
              <w:rPr>
                <w:szCs w:val="18"/>
              </w:rPr>
              <w:t xml:space="preserve">TO-001 Phase I/II Trial. </w:t>
            </w:r>
          </w:p>
        </w:tc>
        <w:tc>
          <w:tcPr>
            <w:tcW w:w="1177" w:type="pct"/>
          </w:tcPr>
          <w:p w14:paraId="680B9130" w14:textId="77777777" w:rsidR="00CA0A33" w:rsidRPr="00FB229F" w:rsidRDefault="00CA0A33" w:rsidP="00750995">
            <w:pPr>
              <w:pStyle w:val="Tabletext"/>
              <w:keepNext/>
              <w:keepLines/>
              <w:rPr>
                <w:szCs w:val="18"/>
              </w:rPr>
            </w:pPr>
            <w:r w:rsidRPr="00FB229F">
              <w:rPr>
                <w:szCs w:val="18"/>
              </w:rPr>
              <w:t>J Clin Oncol, 2023; 41, 385-394.</w:t>
            </w:r>
          </w:p>
        </w:tc>
      </w:tr>
      <w:tr w:rsidR="00CA0A33" w:rsidRPr="00FB229F" w14:paraId="049269D8" w14:textId="77777777" w:rsidTr="00DE0372">
        <w:trPr>
          <w:cantSplit/>
        </w:trPr>
        <w:tc>
          <w:tcPr>
            <w:tcW w:w="5000" w:type="pct"/>
            <w:gridSpan w:val="3"/>
          </w:tcPr>
          <w:p w14:paraId="5A0B74F3" w14:textId="142FD1A0" w:rsidR="00CA0A33" w:rsidRPr="00FB229F" w:rsidRDefault="00CA0A33" w:rsidP="00750995">
            <w:pPr>
              <w:pStyle w:val="Tabletext"/>
              <w:keepNext/>
              <w:keepLines/>
              <w:rPr>
                <w:b/>
                <w:szCs w:val="18"/>
              </w:rPr>
            </w:pPr>
            <w:r w:rsidRPr="00FB229F">
              <w:rPr>
                <w:b/>
                <w:szCs w:val="18"/>
              </w:rPr>
              <w:t xml:space="preserve">Main comparator: pembrolizumab + pemetrexed + platinum chemotherapy </w:t>
            </w:r>
          </w:p>
        </w:tc>
      </w:tr>
      <w:tr w:rsidR="00CA0A33" w:rsidRPr="00FB229F" w14:paraId="3EF2BAAD" w14:textId="77777777" w:rsidTr="00DE0372">
        <w:trPr>
          <w:cantSplit/>
          <w:trHeight w:val="708"/>
        </w:trPr>
        <w:tc>
          <w:tcPr>
            <w:tcW w:w="796" w:type="pct"/>
            <w:vMerge w:val="restart"/>
          </w:tcPr>
          <w:p w14:paraId="7FF33598" w14:textId="77777777" w:rsidR="00CA0A33" w:rsidRPr="00FB229F" w:rsidRDefault="00CA0A33" w:rsidP="00750995">
            <w:pPr>
              <w:pStyle w:val="Tabletext"/>
              <w:keepNext/>
              <w:keepLines/>
            </w:pPr>
            <w:r w:rsidRPr="00FB229F">
              <w:t>KN-189</w:t>
            </w:r>
          </w:p>
        </w:tc>
        <w:tc>
          <w:tcPr>
            <w:tcW w:w="3027" w:type="pct"/>
          </w:tcPr>
          <w:p w14:paraId="305BF5EA" w14:textId="77777777" w:rsidR="00CA0A33" w:rsidRPr="00FB229F" w:rsidRDefault="00CA0A33" w:rsidP="00750995">
            <w:pPr>
              <w:pStyle w:val="Tabletext"/>
              <w:keepNext/>
              <w:keepLines/>
            </w:pPr>
            <w:r w:rsidRPr="00FB229F">
              <w:t xml:space="preserve">Study of </w:t>
            </w:r>
            <w:proofErr w:type="spellStart"/>
            <w:r w:rsidRPr="00FB229F">
              <w:t>Pemetrexed+Platinum</w:t>
            </w:r>
            <w:proofErr w:type="spellEnd"/>
            <w:r w:rsidRPr="00FB229F">
              <w:t xml:space="preserve"> Chemotherapy With or Without Pembrolizumab (MK-3475) in Participants With First Line Metastatic </w:t>
            </w:r>
            <w:proofErr w:type="spellStart"/>
            <w:r w:rsidRPr="00FB229F">
              <w:t>Nonsquamous</w:t>
            </w:r>
            <w:proofErr w:type="spellEnd"/>
            <w:r w:rsidRPr="00FB229F">
              <w:t xml:space="preserve"> Non-small Cell Lung Cancer (MK-3475-189/KEYNOTE-189)-Japan Extension Study. NCT03950674</w:t>
            </w:r>
          </w:p>
        </w:tc>
        <w:tc>
          <w:tcPr>
            <w:tcW w:w="1177" w:type="pct"/>
          </w:tcPr>
          <w:p w14:paraId="52F5E8D9" w14:textId="04DA00AC" w:rsidR="00CA0A33" w:rsidRPr="00FB229F" w:rsidRDefault="006D0EFE" w:rsidP="00750995">
            <w:pPr>
              <w:pStyle w:val="Tabletext"/>
              <w:keepNext/>
              <w:keepLines/>
            </w:pPr>
            <w:r w:rsidRPr="00FB229F">
              <w:t>Not reported</w:t>
            </w:r>
          </w:p>
        </w:tc>
      </w:tr>
      <w:tr w:rsidR="00CA0A33" w:rsidRPr="00FB229F" w14:paraId="5ABE4024" w14:textId="77777777" w:rsidTr="00DE0372">
        <w:trPr>
          <w:cantSplit/>
        </w:trPr>
        <w:tc>
          <w:tcPr>
            <w:tcW w:w="796" w:type="pct"/>
            <w:vMerge/>
          </w:tcPr>
          <w:p w14:paraId="00F063A1" w14:textId="77777777" w:rsidR="00CA0A33" w:rsidRPr="00FB229F" w:rsidRDefault="00CA0A33" w:rsidP="00750995">
            <w:pPr>
              <w:pStyle w:val="Tabletext"/>
              <w:keepNext/>
              <w:keepLines/>
            </w:pPr>
          </w:p>
        </w:tc>
        <w:tc>
          <w:tcPr>
            <w:tcW w:w="3027" w:type="pct"/>
          </w:tcPr>
          <w:p w14:paraId="212AD6BB" w14:textId="77777777" w:rsidR="00CA0A33" w:rsidRPr="00FB229F" w:rsidRDefault="00CA0A33" w:rsidP="00750995">
            <w:pPr>
              <w:pStyle w:val="Tabletext"/>
              <w:keepNext/>
              <w:keepLines/>
            </w:pPr>
            <w:r w:rsidRPr="00FB229F">
              <w:t xml:space="preserve">Study of </w:t>
            </w:r>
            <w:proofErr w:type="spellStart"/>
            <w:r w:rsidRPr="00FB229F">
              <w:t>Pemetrexed+Platinum</w:t>
            </w:r>
            <w:proofErr w:type="spellEnd"/>
            <w:r w:rsidRPr="00FB229F">
              <w:t xml:space="preserve"> Chemotherapy With or Without Pembrolizumab (MK-3475) in Participants With First-Line Metastatic </w:t>
            </w:r>
            <w:proofErr w:type="spellStart"/>
            <w:r w:rsidRPr="00FB229F">
              <w:t>Nonsquamous</w:t>
            </w:r>
            <w:proofErr w:type="spellEnd"/>
            <w:r w:rsidRPr="00FB229F">
              <w:t xml:space="preserve"> Non-small Cell Lung Cancer (MK-3475-189/KEYNOTE-189). NCT02578680</w:t>
            </w:r>
          </w:p>
        </w:tc>
        <w:tc>
          <w:tcPr>
            <w:tcW w:w="1177" w:type="pct"/>
          </w:tcPr>
          <w:p w14:paraId="037C831A" w14:textId="255400DD" w:rsidR="00CA0A33" w:rsidRPr="00FB229F" w:rsidRDefault="006D0EFE" w:rsidP="00750995">
            <w:pPr>
              <w:pStyle w:val="Tabletext"/>
              <w:keepNext/>
              <w:keepLines/>
            </w:pPr>
            <w:r w:rsidRPr="00FB229F">
              <w:t>Not reported</w:t>
            </w:r>
          </w:p>
        </w:tc>
      </w:tr>
      <w:tr w:rsidR="00CA0A33" w:rsidRPr="00FB229F" w14:paraId="208ABAB4" w14:textId="77777777" w:rsidTr="00DE0372">
        <w:trPr>
          <w:cantSplit/>
        </w:trPr>
        <w:tc>
          <w:tcPr>
            <w:tcW w:w="796" w:type="pct"/>
            <w:vMerge/>
          </w:tcPr>
          <w:p w14:paraId="4FAF9668" w14:textId="77777777" w:rsidR="00CA0A33" w:rsidRPr="00FB229F" w:rsidRDefault="00CA0A33" w:rsidP="00750995">
            <w:pPr>
              <w:pStyle w:val="Tabletext"/>
              <w:keepNext/>
              <w:keepLines/>
            </w:pPr>
          </w:p>
        </w:tc>
        <w:tc>
          <w:tcPr>
            <w:tcW w:w="3027" w:type="pct"/>
          </w:tcPr>
          <w:p w14:paraId="1E29F68A" w14:textId="7A69E369" w:rsidR="00CA0A33" w:rsidRPr="00FB229F" w:rsidRDefault="00CA0A33" w:rsidP="00750995">
            <w:pPr>
              <w:pStyle w:val="Tabletext"/>
              <w:keepNext/>
              <w:keepLines/>
            </w:pPr>
            <w:r w:rsidRPr="00FB229F">
              <w:t>Gandhi L et al. Pembrolizumab plus Chemotherapy in Metasta</w:t>
            </w:r>
            <w:r w:rsidR="009E4FEF" w:rsidRPr="00FB229F">
              <w:t>tic Non–Small-Cell Lung Cancer.</w:t>
            </w:r>
          </w:p>
        </w:tc>
        <w:tc>
          <w:tcPr>
            <w:tcW w:w="1177" w:type="pct"/>
          </w:tcPr>
          <w:p w14:paraId="4AE3CF0B" w14:textId="77777777" w:rsidR="00CA0A33" w:rsidRPr="00FB229F" w:rsidRDefault="00CA0A33" w:rsidP="00750995">
            <w:pPr>
              <w:pStyle w:val="Tabletext"/>
              <w:keepNext/>
              <w:keepLines/>
            </w:pPr>
            <w:r w:rsidRPr="00FB229F">
              <w:t>N Engl J Med, 2018; 378, 2078-2092</w:t>
            </w:r>
          </w:p>
        </w:tc>
      </w:tr>
      <w:tr w:rsidR="00CA0A33" w:rsidRPr="00FB229F" w14:paraId="0D3CBF28" w14:textId="77777777" w:rsidTr="00DE0372">
        <w:trPr>
          <w:cantSplit/>
        </w:trPr>
        <w:tc>
          <w:tcPr>
            <w:tcW w:w="796" w:type="pct"/>
            <w:vMerge/>
          </w:tcPr>
          <w:p w14:paraId="05295FD7" w14:textId="77777777" w:rsidR="00CA0A33" w:rsidRPr="00FB229F" w:rsidRDefault="00CA0A33" w:rsidP="00750995">
            <w:pPr>
              <w:pStyle w:val="Tabletext"/>
              <w:keepNext/>
              <w:keepLines/>
            </w:pPr>
          </w:p>
        </w:tc>
        <w:tc>
          <w:tcPr>
            <w:tcW w:w="3027" w:type="pct"/>
          </w:tcPr>
          <w:p w14:paraId="1F4E636B" w14:textId="77777777" w:rsidR="00CA0A33" w:rsidRPr="00FB229F" w:rsidRDefault="00CA0A33" w:rsidP="00750995">
            <w:pPr>
              <w:pStyle w:val="Tabletext"/>
              <w:keepNext/>
              <w:keepLines/>
              <w:rPr>
                <w:szCs w:val="18"/>
              </w:rPr>
            </w:pPr>
            <w:proofErr w:type="spellStart"/>
            <w:r w:rsidRPr="00FB229F">
              <w:rPr>
                <w:szCs w:val="18"/>
              </w:rPr>
              <w:t>Horinouchi</w:t>
            </w:r>
            <w:proofErr w:type="spellEnd"/>
            <w:r w:rsidRPr="00FB229F">
              <w:rPr>
                <w:szCs w:val="18"/>
              </w:rPr>
              <w:t xml:space="preserve">, H et al. Safety and tolerability of pembrolizumab or placebo plus pemetrexed and platinum as first-line therapy in Japanese patients (PTS) with metastatic non-squamous non-small cell lung cancer (NSCLC) enrolled in the phase III KEYNOTE-189 study. </w:t>
            </w:r>
          </w:p>
        </w:tc>
        <w:tc>
          <w:tcPr>
            <w:tcW w:w="1177" w:type="pct"/>
          </w:tcPr>
          <w:p w14:paraId="1D48CF13" w14:textId="77777777" w:rsidR="00CA0A33" w:rsidRPr="00FB229F" w:rsidRDefault="00CA0A33" w:rsidP="00750995">
            <w:pPr>
              <w:pStyle w:val="Tabletext"/>
              <w:keepNext/>
              <w:keepLines/>
              <w:rPr>
                <w:szCs w:val="18"/>
              </w:rPr>
            </w:pPr>
            <w:r w:rsidRPr="00FB229F">
              <w:rPr>
                <w:szCs w:val="18"/>
              </w:rPr>
              <w:t>Annals of Oncology, 2019; 30, ii56-ii57</w:t>
            </w:r>
          </w:p>
        </w:tc>
      </w:tr>
      <w:tr w:rsidR="00CA0A33" w:rsidRPr="00FB229F" w14:paraId="00AFCD9A" w14:textId="77777777" w:rsidTr="00DE0372">
        <w:trPr>
          <w:cantSplit/>
        </w:trPr>
        <w:tc>
          <w:tcPr>
            <w:tcW w:w="796" w:type="pct"/>
            <w:vMerge/>
          </w:tcPr>
          <w:p w14:paraId="6E7E1E4C" w14:textId="77777777" w:rsidR="00CA0A33" w:rsidRPr="00FB229F" w:rsidRDefault="00CA0A33" w:rsidP="00750995">
            <w:pPr>
              <w:pStyle w:val="Tabletext"/>
              <w:keepNext/>
              <w:keepLines/>
            </w:pPr>
          </w:p>
        </w:tc>
        <w:tc>
          <w:tcPr>
            <w:tcW w:w="3027" w:type="pct"/>
          </w:tcPr>
          <w:p w14:paraId="775D2F5C" w14:textId="77777777" w:rsidR="00CA0A33" w:rsidRPr="00FB229F" w:rsidRDefault="00CA0A33" w:rsidP="00750995">
            <w:pPr>
              <w:pStyle w:val="Tabletext"/>
              <w:keepNext/>
              <w:keepLines/>
              <w:rPr>
                <w:szCs w:val="18"/>
              </w:rPr>
            </w:pPr>
            <w:proofErr w:type="spellStart"/>
            <w:r w:rsidRPr="00FB229F">
              <w:rPr>
                <w:szCs w:val="18"/>
              </w:rPr>
              <w:t>Horinouchi</w:t>
            </w:r>
            <w:proofErr w:type="spellEnd"/>
            <w:r w:rsidRPr="00FB229F">
              <w:rPr>
                <w:szCs w:val="18"/>
              </w:rPr>
              <w:t xml:space="preserve">, H et al. Pembrolizumab plus pemetrexed-platinum for metastatic </w:t>
            </w:r>
            <w:proofErr w:type="spellStart"/>
            <w:r w:rsidRPr="00FB229F">
              <w:rPr>
                <w:szCs w:val="18"/>
              </w:rPr>
              <w:t>nonsquamous</w:t>
            </w:r>
            <w:proofErr w:type="spellEnd"/>
            <w:r w:rsidRPr="00FB229F">
              <w:rPr>
                <w:szCs w:val="18"/>
              </w:rPr>
              <w:t xml:space="preserve"> non-small-cell lung cancer: KEYNOTE-189 </w:t>
            </w:r>
          </w:p>
        </w:tc>
        <w:tc>
          <w:tcPr>
            <w:tcW w:w="1177" w:type="pct"/>
          </w:tcPr>
          <w:p w14:paraId="4CEED009" w14:textId="77777777" w:rsidR="00CA0A33" w:rsidRPr="00FB229F" w:rsidRDefault="00CA0A33" w:rsidP="00750995">
            <w:pPr>
              <w:pStyle w:val="Tabletext"/>
              <w:keepNext/>
              <w:keepLines/>
              <w:rPr>
                <w:szCs w:val="18"/>
              </w:rPr>
            </w:pPr>
            <w:r w:rsidRPr="00FB229F">
              <w:rPr>
                <w:szCs w:val="18"/>
              </w:rPr>
              <w:t>Japan Study. Cancer Sci, 2021; 112, 3255-3265</w:t>
            </w:r>
          </w:p>
        </w:tc>
      </w:tr>
      <w:tr w:rsidR="00CA0A33" w:rsidRPr="00FB229F" w14:paraId="1A86302C" w14:textId="77777777" w:rsidTr="00DE0372">
        <w:trPr>
          <w:cantSplit/>
          <w:trHeight w:val="912"/>
        </w:trPr>
        <w:tc>
          <w:tcPr>
            <w:tcW w:w="796" w:type="pct"/>
            <w:vMerge/>
          </w:tcPr>
          <w:p w14:paraId="736F48BC" w14:textId="77777777" w:rsidR="00CA0A33" w:rsidRPr="00FB229F" w:rsidRDefault="00CA0A33" w:rsidP="00750995">
            <w:pPr>
              <w:pStyle w:val="Tabletext"/>
              <w:keepNext/>
              <w:keepLines/>
            </w:pPr>
          </w:p>
        </w:tc>
        <w:tc>
          <w:tcPr>
            <w:tcW w:w="3027" w:type="pct"/>
          </w:tcPr>
          <w:p w14:paraId="0F46528E" w14:textId="77777777" w:rsidR="00CA0A33" w:rsidRPr="00FB229F" w:rsidRDefault="00CA0A33" w:rsidP="00750995">
            <w:pPr>
              <w:pStyle w:val="Tabletext"/>
              <w:keepNext/>
              <w:keepLines/>
              <w:rPr>
                <w:szCs w:val="18"/>
              </w:rPr>
            </w:pPr>
            <w:r w:rsidRPr="00FB229F">
              <w:rPr>
                <w:szCs w:val="18"/>
              </w:rPr>
              <w:t xml:space="preserve">Rodríguez-Abreu, D et al. Pemetrexed plus platinum with or without pembrolizumab in patients with previously untreated metastatic </w:t>
            </w:r>
            <w:proofErr w:type="spellStart"/>
            <w:r w:rsidRPr="00FB229F">
              <w:rPr>
                <w:szCs w:val="18"/>
              </w:rPr>
              <w:t>nonsquamous</w:t>
            </w:r>
            <w:proofErr w:type="spellEnd"/>
            <w:r w:rsidRPr="00FB229F">
              <w:rPr>
                <w:szCs w:val="18"/>
              </w:rPr>
              <w:t xml:space="preserve"> NSCLC: protocol-specified final analysis from KEYNOTE-189. </w:t>
            </w:r>
          </w:p>
        </w:tc>
        <w:tc>
          <w:tcPr>
            <w:tcW w:w="1177" w:type="pct"/>
          </w:tcPr>
          <w:p w14:paraId="17D9D327" w14:textId="77777777" w:rsidR="00CA0A33" w:rsidRPr="00FB229F" w:rsidRDefault="00CA0A33" w:rsidP="00750995">
            <w:pPr>
              <w:pStyle w:val="Tabletext"/>
              <w:keepNext/>
              <w:keepLines/>
              <w:rPr>
                <w:szCs w:val="18"/>
              </w:rPr>
            </w:pPr>
            <w:r w:rsidRPr="00FB229F">
              <w:rPr>
                <w:szCs w:val="18"/>
              </w:rPr>
              <w:t>Ann Oncol, 2021; 32, 881-895</w:t>
            </w:r>
          </w:p>
        </w:tc>
      </w:tr>
      <w:tr w:rsidR="00CA0A33" w:rsidRPr="00FB229F" w14:paraId="74C163D8" w14:textId="77777777" w:rsidTr="00DE0372">
        <w:trPr>
          <w:cantSplit/>
          <w:trHeight w:val="678"/>
        </w:trPr>
        <w:tc>
          <w:tcPr>
            <w:tcW w:w="796" w:type="pct"/>
            <w:vMerge w:val="restart"/>
          </w:tcPr>
          <w:p w14:paraId="28F2D9E2" w14:textId="77777777" w:rsidR="00CA0A33" w:rsidRPr="00FB229F" w:rsidRDefault="00CA0A33" w:rsidP="00750995">
            <w:pPr>
              <w:pStyle w:val="Tabletext"/>
              <w:keepNext/>
              <w:keepLines/>
            </w:pPr>
            <w:r w:rsidRPr="00FB229F">
              <w:t>KN021</w:t>
            </w:r>
          </w:p>
          <w:p w14:paraId="079D7B09" w14:textId="77777777" w:rsidR="00CA0A33" w:rsidRPr="00FB229F" w:rsidRDefault="00CA0A33" w:rsidP="00750995">
            <w:pPr>
              <w:pStyle w:val="Tabletext"/>
              <w:keepNext/>
              <w:keepLines/>
            </w:pPr>
            <w:r w:rsidRPr="00FB229F">
              <w:t>NCT02039674</w:t>
            </w:r>
          </w:p>
        </w:tc>
        <w:tc>
          <w:tcPr>
            <w:tcW w:w="3027" w:type="pct"/>
          </w:tcPr>
          <w:p w14:paraId="3F85CA22" w14:textId="77777777" w:rsidR="00CA0A33" w:rsidRPr="00FB229F" w:rsidRDefault="00CA0A33" w:rsidP="00750995">
            <w:pPr>
              <w:pStyle w:val="Tabletext"/>
              <w:keepNext/>
              <w:keepLines/>
              <w:rPr>
                <w:szCs w:val="18"/>
              </w:rPr>
            </w:pPr>
            <w:r w:rsidRPr="00FB229F">
              <w:rPr>
                <w:szCs w:val="18"/>
              </w:rPr>
              <w:t xml:space="preserve">A Study of Pembrolizumab (MK-3475) in Combination With Chemotherapy in Participants With Non-small Cell Lung Cancer (MK-3475-021/KEYNOTE-021). </w:t>
            </w:r>
          </w:p>
        </w:tc>
        <w:tc>
          <w:tcPr>
            <w:tcW w:w="1177" w:type="pct"/>
          </w:tcPr>
          <w:p w14:paraId="0AA8473B" w14:textId="3284D126" w:rsidR="00CA0A33" w:rsidRPr="00FB229F" w:rsidRDefault="006D0EFE" w:rsidP="00750995">
            <w:pPr>
              <w:pStyle w:val="Tabletext"/>
              <w:keepNext/>
              <w:keepLines/>
              <w:rPr>
                <w:szCs w:val="18"/>
              </w:rPr>
            </w:pPr>
            <w:r w:rsidRPr="00FB229F">
              <w:rPr>
                <w:szCs w:val="18"/>
              </w:rPr>
              <w:t>Not reported</w:t>
            </w:r>
          </w:p>
        </w:tc>
      </w:tr>
      <w:tr w:rsidR="00CA0A33" w:rsidRPr="00FB229F" w14:paraId="1638AB8F" w14:textId="77777777" w:rsidTr="00DE0372">
        <w:trPr>
          <w:cantSplit/>
          <w:trHeight w:val="686"/>
        </w:trPr>
        <w:tc>
          <w:tcPr>
            <w:tcW w:w="796" w:type="pct"/>
            <w:vMerge/>
          </w:tcPr>
          <w:p w14:paraId="3A204543" w14:textId="77777777" w:rsidR="00CA0A33" w:rsidRPr="00FB229F" w:rsidRDefault="00CA0A33" w:rsidP="00750995">
            <w:pPr>
              <w:pStyle w:val="Tabletext"/>
              <w:keepNext/>
              <w:keepLines/>
            </w:pPr>
          </w:p>
        </w:tc>
        <w:tc>
          <w:tcPr>
            <w:tcW w:w="3027" w:type="pct"/>
          </w:tcPr>
          <w:p w14:paraId="030DF57C" w14:textId="77777777" w:rsidR="00CA0A33" w:rsidRPr="00FB229F" w:rsidRDefault="00CA0A33" w:rsidP="00750995">
            <w:pPr>
              <w:pStyle w:val="Tabletext"/>
              <w:keepNext/>
              <w:keepLines/>
              <w:rPr>
                <w:szCs w:val="18"/>
              </w:rPr>
            </w:pPr>
            <w:r w:rsidRPr="00FB229F">
              <w:rPr>
                <w:szCs w:val="18"/>
              </w:rPr>
              <w:t xml:space="preserve">Langer, C et al. Randomized, phase 2 study of carboplatin and pemetrexed with or without pembrolizumab as first-line therapy for advanced NSCLC: KEYNOTE-021 cohort G. </w:t>
            </w:r>
          </w:p>
        </w:tc>
        <w:tc>
          <w:tcPr>
            <w:tcW w:w="1177" w:type="pct"/>
          </w:tcPr>
          <w:p w14:paraId="498F36DD" w14:textId="77777777" w:rsidR="00CA0A33" w:rsidRPr="00FB229F" w:rsidRDefault="00CA0A33" w:rsidP="00750995">
            <w:pPr>
              <w:pStyle w:val="Tabletext"/>
              <w:keepNext/>
              <w:keepLines/>
              <w:rPr>
                <w:szCs w:val="18"/>
              </w:rPr>
            </w:pPr>
            <w:r w:rsidRPr="00FB229F">
              <w:rPr>
                <w:szCs w:val="18"/>
              </w:rPr>
              <w:t>Annals of Oncology, 2016(a); 27, vi582</w:t>
            </w:r>
          </w:p>
        </w:tc>
      </w:tr>
      <w:tr w:rsidR="00CA0A33" w:rsidRPr="00FB229F" w14:paraId="3922889B" w14:textId="77777777" w:rsidTr="00DE0372">
        <w:trPr>
          <w:cantSplit/>
          <w:trHeight w:val="566"/>
        </w:trPr>
        <w:tc>
          <w:tcPr>
            <w:tcW w:w="796" w:type="pct"/>
            <w:vMerge/>
          </w:tcPr>
          <w:p w14:paraId="171A4D51" w14:textId="77777777" w:rsidR="00CA0A33" w:rsidRPr="00FB229F" w:rsidRDefault="00CA0A33" w:rsidP="00750995">
            <w:pPr>
              <w:pStyle w:val="Tabletext"/>
              <w:keepNext/>
              <w:keepLines/>
            </w:pPr>
          </w:p>
        </w:tc>
        <w:tc>
          <w:tcPr>
            <w:tcW w:w="3027" w:type="pct"/>
          </w:tcPr>
          <w:p w14:paraId="6714D106" w14:textId="77777777" w:rsidR="00CA0A33" w:rsidRPr="00FB229F" w:rsidRDefault="00CA0A33" w:rsidP="00750995">
            <w:pPr>
              <w:pStyle w:val="Tabletext"/>
              <w:keepNext/>
              <w:keepLines/>
              <w:rPr>
                <w:szCs w:val="18"/>
              </w:rPr>
            </w:pPr>
            <w:r w:rsidRPr="00FB229F">
              <w:rPr>
                <w:szCs w:val="18"/>
              </w:rPr>
              <w:t xml:space="preserve">Langer, C et al. Carboplatin and pemetrexed with or without pembrolizumab for advanced, non-squamous non-small-cell lung cancer: a randomised, phase 2 cohort of the open-label KEYNOTE-021 study. </w:t>
            </w:r>
          </w:p>
        </w:tc>
        <w:tc>
          <w:tcPr>
            <w:tcW w:w="1177" w:type="pct"/>
          </w:tcPr>
          <w:p w14:paraId="24A3C0A7" w14:textId="77777777" w:rsidR="00CA0A33" w:rsidRPr="00FB229F" w:rsidRDefault="00CA0A33" w:rsidP="00750995">
            <w:pPr>
              <w:pStyle w:val="Tabletext"/>
              <w:keepNext/>
              <w:keepLines/>
              <w:rPr>
                <w:szCs w:val="18"/>
              </w:rPr>
            </w:pPr>
            <w:r w:rsidRPr="00FB229F">
              <w:rPr>
                <w:szCs w:val="18"/>
              </w:rPr>
              <w:t>Lancet Oncol, 2016(b); 17, 1497-1508</w:t>
            </w:r>
          </w:p>
        </w:tc>
      </w:tr>
      <w:tr w:rsidR="00CA0A33" w:rsidRPr="00FB229F" w14:paraId="730707DC" w14:textId="77777777" w:rsidTr="00DE0372">
        <w:trPr>
          <w:cantSplit/>
          <w:trHeight w:val="718"/>
        </w:trPr>
        <w:tc>
          <w:tcPr>
            <w:tcW w:w="796" w:type="pct"/>
            <w:vMerge/>
          </w:tcPr>
          <w:p w14:paraId="7CDF7626" w14:textId="77777777" w:rsidR="00CA0A33" w:rsidRPr="00FB229F" w:rsidRDefault="00CA0A33" w:rsidP="00750995">
            <w:pPr>
              <w:pStyle w:val="Tabletext"/>
              <w:keepNext/>
              <w:keepLines/>
            </w:pPr>
          </w:p>
        </w:tc>
        <w:tc>
          <w:tcPr>
            <w:tcW w:w="3027" w:type="pct"/>
          </w:tcPr>
          <w:p w14:paraId="23C499D3" w14:textId="77777777" w:rsidR="00CA0A33" w:rsidRPr="00FB229F" w:rsidRDefault="00CA0A33" w:rsidP="00750995">
            <w:pPr>
              <w:pStyle w:val="Tabletext"/>
              <w:keepNext/>
              <w:keepLines/>
              <w:rPr>
                <w:i/>
                <w:szCs w:val="18"/>
              </w:rPr>
            </w:pPr>
            <w:proofErr w:type="spellStart"/>
            <w:r w:rsidRPr="00FB229F">
              <w:rPr>
                <w:szCs w:val="18"/>
              </w:rPr>
              <w:t>Awad</w:t>
            </w:r>
            <w:proofErr w:type="spellEnd"/>
            <w:r w:rsidRPr="00FB229F">
              <w:rPr>
                <w:szCs w:val="18"/>
              </w:rPr>
              <w:t xml:space="preserve">, M et al. Long-Term Overall Survival From KEYNOTE-021 Cohort G: Pemetrexed and Carboplatin With or Without Pembrolizumab as First-Line Therapy for Advanced </w:t>
            </w:r>
            <w:proofErr w:type="spellStart"/>
            <w:r w:rsidRPr="00FB229F">
              <w:rPr>
                <w:szCs w:val="18"/>
              </w:rPr>
              <w:t>Nonsquamous</w:t>
            </w:r>
            <w:proofErr w:type="spellEnd"/>
            <w:r w:rsidRPr="00FB229F">
              <w:rPr>
                <w:szCs w:val="18"/>
              </w:rPr>
              <w:t xml:space="preserve"> NSCLC. </w:t>
            </w:r>
          </w:p>
        </w:tc>
        <w:tc>
          <w:tcPr>
            <w:tcW w:w="1177" w:type="pct"/>
          </w:tcPr>
          <w:p w14:paraId="484DFD9B" w14:textId="77777777" w:rsidR="00CA0A33" w:rsidRPr="00FB229F" w:rsidRDefault="00CA0A33" w:rsidP="00750995">
            <w:pPr>
              <w:pStyle w:val="Tabletext"/>
              <w:keepNext/>
              <w:keepLines/>
              <w:rPr>
                <w:szCs w:val="18"/>
              </w:rPr>
            </w:pPr>
            <w:r w:rsidRPr="00FB229F">
              <w:rPr>
                <w:szCs w:val="18"/>
              </w:rPr>
              <w:t>J Thorac Oncol, 2021; 16, 162-168</w:t>
            </w:r>
          </w:p>
        </w:tc>
      </w:tr>
    </w:tbl>
    <w:p w14:paraId="269D697A" w14:textId="36391F39" w:rsidR="00CA0A33" w:rsidRPr="00FB229F" w:rsidRDefault="00CA0A33" w:rsidP="00816BFB">
      <w:pPr>
        <w:pStyle w:val="TableFooter"/>
        <w:spacing w:after="120"/>
      </w:pPr>
      <w:r w:rsidRPr="00FB229F">
        <w:t xml:space="preserve">Source: </w:t>
      </w:r>
      <w:r w:rsidR="009E4FEF" w:rsidRPr="00FB229F">
        <w:t>Modified from</w:t>
      </w:r>
      <w:r w:rsidR="006D0EFE" w:rsidRPr="00FB229F">
        <w:t xml:space="preserve"> </w:t>
      </w:r>
      <w:r w:rsidRPr="00FB229F">
        <w:t>Table 2-52, pp171-173 of the submission</w:t>
      </w:r>
    </w:p>
    <w:p w14:paraId="7FE4254A" w14:textId="28E565AB" w:rsidR="00CF43B3" w:rsidRPr="00FB229F" w:rsidRDefault="008F120A" w:rsidP="00674256">
      <w:pPr>
        <w:pStyle w:val="3-BodyText"/>
        <w:ind w:left="709" w:hanging="709"/>
      </w:pPr>
      <w:r w:rsidRPr="00FB229F">
        <w:t xml:space="preserve">The key features of the </w:t>
      </w:r>
      <w:r w:rsidR="00621ADA" w:rsidRPr="00FB229F">
        <w:t>included evidence</w:t>
      </w:r>
      <w:r w:rsidRPr="00FB229F">
        <w:t xml:space="preserve"> are summarised in</w:t>
      </w:r>
      <w:r w:rsidR="008977F1" w:rsidRPr="00FB229F">
        <w:t xml:space="preserve"> </w:t>
      </w:r>
      <w:r w:rsidR="008977F1" w:rsidRPr="00FB229F">
        <w:fldChar w:fldCharType="begin" w:fldLock="1"/>
      </w:r>
      <w:r w:rsidR="008977F1" w:rsidRPr="00FB229F">
        <w:instrText xml:space="preserve"> REF _Ref132287765 \h </w:instrText>
      </w:r>
      <w:r w:rsidR="008977F1" w:rsidRPr="00FB229F">
        <w:fldChar w:fldCharType="separate"/>
      </w:r>
      <w:r w:rsidR="00CA7201" w:rsidRPr="00FB229F">
        <w:t xml:space="preserve">Table </w:t>
      </w:r>
      <w:r w:rsidR="00CA7201" w:rsidRPr="00166045">
        <w:t>3</w:t>
      </w:r>
      <w:r w:rsidR="008977F1" w:rsidRPr="00FB229F">
        <w:fldChar w:fldCharType="end"/>
      </w:r>
      <w:r w:rsidRPr="00FB229F">
        <w:t>.</w:t>
      </w:r>
    </w:p>
    <w:p w14:paraId="6E777C05" w14:textId="0DA7C984" w:rsidR="00CF43B3" w:rsidRPr="00FB229F" w:rsidRDefault="00CF43B3" w:rsidP="00CF43B3">
      <w:pPr>
        <w:pStyle w:val="Caption"/>
        <w:rPr>
          <w:vertAlign w:val="superscript"/>
        </w:rPr>
      </w:pPr>
      <w:bookmarkStart w:id="24" w:name="_Ref132287765"/>
      <w:r w:rsidRPr="00FB229F">
        <w:lastRenderedPageBreak/>
        <w:t xml:space="preserve">Table </w:t>
      </w:r>
      <w:r w:rsidR="00BF0AEB">
        <w:fldChar w:fldCharType="begin" w:fldLock="1"/>
      </w:r>
      <w:r w:rsidR="00BF0AEB">
        <w:instrText xml:space="preserve"> SEQ Table \* ARABIC </w:instrText>
      </w:r>
      <w:r w:rsidR="00BF0AEB">
        <w:fldChar w:fldCharType="separate"/>
      </w:r>
      <w:r w:rsidR="00CA7201" w:rsidRPr="00166045">
        <w:t>3</w:t>
      </w:r>
      <w:r w:rsidR="00BF0AEB">
        <w:fldChar w:fldCharType="end"/>
      </w:r>
      <w:bookmarkEnd w:id="24"/>
      <w:r w:rsidRPr="00FB229F">
        <w:t>: Key features of the included evidence</w:t>
      </w:r>
      <w:r w:rsidR="0065563A" w:rsidRPr="00FB229F">
        <w:t xml:space="preserve"> for the first-line setting</w:t>
      </w:r>
      <w:r w:rsidRPr="00FB229F">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1"/>
        <w:gridCol w:w="804"/>
        <w:gridCol w:w="1634"/>
        <w:gridCol w:w="2261"/>
        <w:gridCol w:w="1089"/>
        <w:gridCol w:w="968"/>
        <w:gridCol w:w="1250"/>
      </w:tblGrid>
      <w:tr w:rsidR="001857DF" w:rsidRPr="00FB229F" w14:paraId="070D044C" w14:textId="77777777" w:rsidTr="001857DF">
        <w:tc>
          <w:tcPr>
            <w:tcW w:w="555" w:type="pct"/>
            <w:vAlign w:val="bottom"/>
            <w:hideMark/>
          </w:tcPr>
          <w:p w14:paraId="78DDBAA2" w14:textId="29746B75" w:rsidR="001857DF" w:rsidRPr="00FB229F" w:rsidRDefault="00456627" w:rsidP="007A011F">
            <w:pPr>
              <w:pStyle w:val="TableText0"/>
              <w:keepLines/>
              <w:rPr>
                <w:b/>
              </w:rPr>
            </w:pPr>
            <w:r w:rsidRPr="00FB229F">
              <w:rPr>
                <w:b/>
              </w:rPr>
              <w:t>Study</w:t>
            </w:r>
          </w:p>
        </w:tc>
        <w:tc>
          <w:tcPr>
            <w:tcW w:w="446" w:type="pct"/>
            <w:vAlign w:val="bottom"/>
            <w:hideMark/>
          </w:tcPr>
          <w:p w14:paraId="6D4DCB90" w14:textId="77777777" w:rsidR="001857DF" w:rsidRPr="00FB229F" w:rsidRDefault="001857DF" w:rsidP="007A011F">
            <w:pPr>
              <w:pStyle w:val="TableText0"/>
              <w:keepLines/>
              <w:rPr>
                <w:b/>
              </w:rPr>
            </w:pPr>
            <w:r w:rsidRPr="00FB229F">
              <w:rPr>
                <w:b/>
              </w:rPr>
              <w:t>N</w:t>
            </w:r>
          </w:p>
        </w:tc>
        <w:tc>
          <w:tcPr>
            <w:tcW w:w="901" w:type="pct"/>
            <w:vAlign w:val="bottom"/>
            <w:hideMark/>
          </w:tcPr>
          <w:p w14:paraId="5C87571C" w14:textId="77777777" w:rsidR="001857DF" w:rsidRPr="00FB229F" w:rsidRDefault="001857DF" w:rsidP="007A011F">
            <w:pPr>
              <w:pStyle w:val="TableText0"/>
              <w:keepLines/>
              <w:rPr>
                <w:b/>
              </w:rPr>
            </w:pPr>
            <w:r w:rsidRPr="00FB229F">
              <w:rPr>
                <w:b/>
              </w:rPr>
              <w:t>Design/ duration of follow-up for OS</w:t>
            </w:r>
          </w:p>
        </w:tc>
        <w:tc>
          <w:tcPr>
            <w:tcW w:w="1249" w:type="pct"/>
            <w:vAlign w:val="bottom"/>
            <w:hideMark/>
          </w:tcPr>
          <w:p w14:paraId="4F25BA7E" w14:textId="77777777" w:rsidR="001857DF" w:rsidRPr="00FB229F" w:rsidRDefault="001857DF" w:rsidP="007A011F">
            <w:pPr>
              <w:pStyle w:val="TableText0"/>
              <w:keepLines/>
              <w:rPr>
                <w:b/>
              </w:rPr>
            </w:pPr>
            <w:r w:rsidRPr="00FB229F">
              <w:rPr>
                <w:b/>
              </w:rPr>
              <w:t>Patient population</w:t>
            </w:r>
          </w:p>
        </w:tc>
        <w:tc>
          <w:tcPr>
            <w:tcW w:w="599" w:type="pct"/>
          </w:tcPr>
          <w:p w14:paraId="75704E22" w14:textId="77777777" w:rsidR="001857DF" w:rsidRPr="00FB229F" w:rsidRDefault="001857DF" w:rsidP="007A011F">
            <w:pPr>
              <w:pStyle w:val="TableText0"/>
              <w:keepLines/>
              <w:rPr>
                <w:b/>
              </w:rPr>
            </w:pPr>
            <w:r w:rsidRPr="00FB229F">
              <w:rPr>
                <w:b/>
              </w:rPr>
              <w:t>Risk of bias</w:t>
            </w:r>
          </w:p>
          <w:p w14:paraId="707270CD" w14:textId="77777777" w:rsidR="001857DF" w:rsidRPr="00FB229F" w:rsidRDefault="001857DF" w:rsidP="007A011F">
            <w:pPr>
              <w:pStyle w:val="TableText0"/>
              <w:keepLines/>
              <w:rPr>
                <w:b/>
              </w:rPr>
            </w:pPr>
            <w:r w:rsidRPr="00FB229F">
              <w:rPr>
                <w:b/>
              </w:rPr>
              <w:t>Indirect comparison</w:t>
            </w:r>
          </w:p>
        </w:tc>
        <w:tc>
          <w:tcPr>
            <w:tcW w:w="537" w:type="pct"/>
            <w:vAlign w:val="bottom"/>
            <w:hideMark/>
          </w:tcPr>
          <w:p w14:paraId="715E4B73" w14:textId="77777777" w:rsidR="001857DF" w:rsidRPr="00FB229F" w:rsidRDefault="001857DF" w:rsidP="007A011F">
            <w:pPr>
              <w:pStyle w:val="TableText0"/>
              <w:keepLines/>
              <w:rPr>
                <w:b/>
              </w:rPr>
            </w:pPr>
            <w:r w:rsidRPr="00FB229F">
              <w:rPr>
                <w:b/>
              </w:rPr>
              <w:t>Outcome(s)</w:t>
            </w:r>
          </w:p>
        </w:tc>
        <w:tc>
          <w:tcPr>
            <w:tcW w:w="714" w:type="pct"/>
            <w:vAlign w:val="bottom"/>
            <w:hideMark/>
          </w:tcPr>
          <w:p w14:paraId="49817908" w14:textId="77777777" w:rsidR="001857DF" w:rsidRPr="00FB229F" w:rsidRDefault="001857DF" w:rsidP="007A011F">
            <w:pPr>
              <w:pStyle w:val="TableText0"/>
              <w:keepLines/>
              <w:rPr>
                <w:b/>
              </w:rPr>
            </w:pPr>
            <w:r w:rsidRPr="00FB229F">
              <w:rPr>
                <w:b/>
              </w:rPr>
              <w:t>Use in modelled evaluation</w:t>
            </w:r>
          </w:p>
        </w:tc>
      </w:tr>
      <w:tr w:rsidR="001857DF" w:rsidRPr="00FB229F" w14:paraId="272FFF20" w14:textId="77777777" w:rsidTr="001857DF">
        <w:tc>
          <w:tcPr>
            <w:tcW w:w="5000" w:type="pct"/>
            <w:gridSpan w:val="7"/>
          </w:tcPr>
          <w:p w14:paraId="196A89AA" w14:textId="77777777" w:rsidR="001857DF" w:rsidRPr="00FB229F" w:rsidRDefault="001857DF" w:rsidP="007A011F">
            <w:pPr>
              <w:pStyle w:val="TableText0"/>
              <w:keepLines/>
              <w:rPr>
                <w:b/>
                <w:bCs w:val="0"/>
              </w:rPr>
            </w:pPr>
            <w:r w:rsidRPr="00FB229F">
              <w:rPr>
                <w:b/>
              </w:rPr>
              <w:t>Selpercatinib</w:t>
            </w:r>
          </w:p>
        </w:tc>
      </w:tr>
      <w:tr w:rsidR="001857DF" w:rsidRPr="00FB229F" w14:paraId="4680D394" w14:textId="77777777" w:rsidTr="001857DF">
        <w:tc>
          <w:tcPr>
            <w:tcW w:w="560" w:type="pct"/>
            <w:vAlign w:val="center"/>
            <w:hideMark/>
          </w:tcPr>
          <w:p w14:paraId="775B2339" w14:textId="77777777" w:rsidR="001857DF" w:rsidRPr="00FB229F" w:rsidRDefault="001857DF" w:rsidP="007A011F">
            <w:pPr>
              <w:pStyle w:val="TableText0"/>
              <w:keepLines/>
            </w:pPr>
            <w:r w:rsidRPr="00FB229F">
              <w:t>LIBRETTO-001</w:t>
            </w:r>
          </w:p>
        </w:tc>
        <w:tc>
          <w:tcPr>
            <w:tcW w:w="446" w:type="pct"/>
            <w:vAlign w:val="center"/>
            <w:hideMark/>
          </w:tcPr>
          <w:p w14:paraId="7E632F2C" w14:textId="77777777" w:rsidR="001857DF" w:rsidRPr="00FB229F" w:rsidRDefault="001857DF" w:rsidP="007A011F">
            <w:pPr>
              <w:pStyle w:val="TableText0"/>
              <w:keepLines/>
            </w:pPr>
            <w:r w:rsidRPr="00FB229F">
              <w:t>Total: 316</w:t>
            </w:r>
          </w:p>
          <w:p w14:paraId="3E15B9B9" w14:textId="77777777" w:rsidR="001857DF" w:rsidRPr="00FB229F" w:rsidRDefault="001857DF" w:rsidP="007A011F">
            <w:pPr>
              <w:pStyle w:val="TableText0"/>
              <w:keepLines/>
            </w:pPr>
            <w:r w:rsidRPr="00FB229F">
              <w:t>Treatment naïve: 69</w:t>
            </w:r>
          </w:p>
        </w:tc>
        <w:tc>
          <w:tcPr>
            <w:tcW w:w="906" w:type="pct"/>
            <w:vAlign w:val="center"/>
            <w:hideMark/>
          </w:tcPr>
          <w:p w14:paraId="6282C918" w14:textId="77777777" w:rsidR="001857DF" w:rsidRPr="00FB229F" w:rsidRDefault="001857DF" w:rsidP="007A011F">
            <w:pPr>
              <w:pStyle w:val="TableText0"/>
              <w:keepLines/>
            </w:pPr>
            <w:r w:rsidRPr="00FB229F">
              <w:t>Single arm, OL</w:t>
            </w:r>
          </w:p>
          <w:p w14:paraId="4E698438" w14:textId="77777777" w:rsidR="001857DF" w:rsidRPr="00FB229F" w:rsidRDefault="001857DF" w:rsidP="002B1A39">
            <w:pPr>
              <w:pStyle w:val="TableText0"/>
              <w:keepLines/>
            </w:pPr>
            <w:r w:rsidRPr="00FB229F">
              <w:t>Median 25.2 months</w:t>
            </w:r>
          </w:p>
        </w:tc>
        <w:tc>
          <w:tcPr>
            <w:tcW w:w="1254" w:type="pct"/>
            <w:vAlign w:val="center"/>
            <w:hideMark/>
          </w:tcPr>
          <w:p w14:paraId="410244C4" w14:textId="77777777" w:rsidR="001857DF" w:rsidRPr="00FB229F" w:rsidRDefault="001857DF" w:rsidP="002B1A39">
            <w:pPr>
              <w:pStyle w:val="TableText0"/>
              <w:keepLines/>
            </w:pPr>
            <w:r w:rsidRPr="00FB229F">
              <w:t xml:space="preserve">Stage IIIB or Stage IV patients with </w:t>
            </w:r>
            <w:r w:rsidRPr="00FB229F">
              <w:rPr>
                <w:i/>
                <w:iCs/>
              </w:rPr>
              <w:t>RET</w:t>
            </w:r>
            <w:r w:rsidRPr="00FB229F">
              <w:t xml:space="preserve"> fusion-positive advanced NSCLC</w:t>
            </w:r>
          </w:p>
        </w:tc>
        <w:tc>
          <w:tcPr>
            <w:tcW w:w="604" w:type="pct"/>
            <w:vMerge w:val="restart"/>
          </w:tcPr>
          <w:p w14:paraId="0F14E6AD" w14:textId="77777777" w:rsidR="001857DF" w:rsidRPr="00FB229F" w:rsidRDefault="001857DF" w:rsidP="001857DF">
            <w:pPr>
              <w:pStyle w:val="TableText0"/>
              <w:keepLines/>
            </w:pPr>
            <w:r w:rsidRPr="00FB229F">
              <w:t>High</w:t>
            </w:r>
          </w:p>
        </w:tc>
        <w:tc>
          <w:tcPr>
            <w:tcW w:w="516" w:type="pct"/>
            <w:vAlign w:val="center"/>
            <w:hideMark/>
          </w:tcPr>
          <w:p w14:paraId="2FE23BA9" w14:textId="77777777" w:rsidR="001857DF" w:rsidRPr="00FB229F" w:rsidRDefault="001857DF" w:rsidP="007A011F">
            <w:pPr>
              <w:pStyle w:val="TableText0"/>
              <w:keepLines/>
            </w:pPr>
            <w:r w:rsidRPr="00FB229F">
              <w:t>ORR, PFS, OS</w:t>
            </w:r>
          </w:p>
        </w:tc>
        <w:tc>
          <w:tcPr>
            <w:tcW w:w="714" w:type="pct"/>
            <w:vAlign w:val="center"/>
            <w:hideMark/>
          </w:tcPr>
          <w:p w14:paraId="1517A0CF" w14:textId="47F070E9" w:rsidR="001857DF" w:rsidRPr="00FB229F" w:rsidRDefault="009C10B8" w:rsidP="00FD4E06">
            <w:pPr>
              <w:pStyle w:val="TableText0"/>
              <w:keepLines/>
            </w:pPr>
            <w:r w:rsidRPr="00FB229F">
              <w:t>PFS and OS used.</w:t>
            </w:r>
          </w:p>
        </w:tc>
      </w:tr>
      <w:tr w:rsidR="001857DF" w:rsidRPr="00FB229F" w14:paraId="681999D8" w14:textId="77777777" w:rsidTr="001857DF">
        <w:tc>
          <w:tcPr>
            <w:tcW w:w="3150" w:type="pct"/>
            <w:gridSpan w:val="4"/>
          </w:tcPr>
          <w:p w14:paraId="5741BF50" w14:textId="26BB1FB2" w:rsidR="001857DF" w:rsidRPr="00FB229F" w:rsidRDefault="001857DF" w:rsidP="0065563A">
            <w:pPr>
              <w:pStyle w:val="TableText0"/>
              <w:keepLines/>
              <w:rPr>
                <w:b/>
                <w:bCs w:val="0"/>
              </w:rPr>
            </w:pPr>
            <w:r w:rsidRPr="00FB229F">
              <w:rPr>
                <w:b/>
              </w:rPr>
              <w:t xml:space="preserve">Pembrolizumab + PC vs </w:t>
            </w:r>
            <w:r w:rsidR="0065563A" w:rsidRPr="00FB229F">
              <w:rPr>
                <w:b/>
              </w:rPr>
              <w:t>common reference of PC</w:t>
            </w:r>
          </w:p>
        </w:tc>
        <w:tc>
          <w:tcPr>
            <w:tcW w:w="599" w:type="pct"/>
            <w:vMerge/>
          </w:tcPr>
          <w:p w14:paraId="10554525" w14:textId="77777777" w:rsidR="001857DF" w:rsidRPr="00FB229F" w:rsidRDefault="001857DF" w:rsidP="002B1A39">
            <w:pPr>
              <w:pStyle w:val="TableText0"/>
              <w:keepLines/>
              <w:rPr>
                <w:b/>
                <w:bCs w:val="0"/>
              </w:rPr>
            </w:pPr>
          </w:p>
        </w:tc>
        <w:tc>
          <w:tcPr>
            <w:tcW w:w="1250" w:type="pct"/>
            <w:gridSpan w:val="2"/>
          </w:tcPr>
          <w:p w14:paraId="324A5131" w14:textId="77777777" w:rsidR="001857DF" w:rsidRPr="00FB229F" w:rsidRDefault="001857DF" w:rsidP="002B1A39">
            <w:pPr>
              <w:pStyle w:val="TableText0"/>
              <w:keepLines/>
              <w:rPr>
                <w:b/>
                <w:bCs w:val="0"/>
              </w:rPr>
            </w:pPr>
          </w:p>
        </w:tc>
      </w:tr>
      <w:tr w:rsidR="001857DF" w:rsidRPr="00FB229F" w14:paraId="6716AF00" w14:textId="77777777" w:rsidTr="001857DF">
        <w:tc>
          <w:tcPr>
            <w:tcW w:w="555" w:type="pct"/>
            <w:vAlign w:val="center"/>
            <w:hideMark/>
          </w:tcPr>
          <w:p w14:paraId="392FD387" w14:textId="77777777" w:rsidR="001857DF" w:rsidRPr="00FB229F" w:rsidRDefault="001857DF" w:rsidP="007A011F">
            <w:pPr>
              <w:pStyle w:val="TableText0"/>
              <w:keepLines/>
            </w:pPr>
            <w:r w:rsidRPr="00FB229F">
              <w:t>KN189</w:t>
            </w:r>
          </w:p>
        </w:tc>
        <w:tc>
          <w:tcPr>
            <w:tcW w:w="446" w:type="pct"/>
            <w:vAlign w:val="center"/>
          </w:tcPr>
          <w:p w14:paraId="7AD2B6A2" w14:textId="77777777" w:rsidR="001857DF" w:rsidRPr="00FB229F" w:rsidRDefault="001857DF" w:rsidP="007A011F">
            <w:pPr>
              <w:pStyle w:val="Default"/>
              <w:keepNext/>
              <w:keepLines/>
              <w:rPr>
                <w:rFonts w:ascii="Arial Narrow" w:hAnsi="Arial Narrow"/>
                <w:sz w:val="20"/>
                <w:szCs w:val="20"/>
              </w:rPr>
            </w:pPr>
            <w:r w:rsidRPr="00FB229F">
              <w:rPr>
                <w:rFonts w:ascii="Arial Narrow" w:hAnsi="Arial Narrow"/>
                <w:sz w:val="20"/>
                <w:szCs w:val="20"/>
              </w:rPr>
              <w:t>616</w:t>
            </w:r>
          </w:p>
        </w:tc>
        <w:tc>
          <w:tcPr>
            <w:tcW w:w="901" w:type="pct"/>
            <w:vAlign w:val="center"/>
          </w:tcPr>
          <w:p w14:paraId="00B567D5" w14:textId="77777777" w:rsidR="001857DF" w:rsidRPr="00FB229F" w:rsidRDefault="001857DF" w:rsidP="007A011F">
            <w:pPr>
              <w:pStyle w:val="Default"/>
              <w:keepNext/>
              <w:keepLines/>
              <w:rPr>
                <w:rFonts w:ascii="Arial Narrow" w:hAnsi="Arial Narrow"/>
                <w:sz w:val="20"/>
                <w:szCs w:val="20"/>
              </w:rPr>
            </w:pPr>
            <w:r w:rsidRPr="00FB229F">
              <w:rPr>
                <w:rFonts w:ascii="Arial Narrow" w:hAnsi="Arial Narrow"/>
                <w:sz w:val="20"/>
                <w:szCs w:val="20"/>
              </w:rPr>
              <w:t>R, DB</w:t>
            </w:r>
          </w:p>
          <w:p w14:paraId="4A5CF6F9" w14:textId="77777777" w:rsidR="001857DF" w:rsidRPr="00FB229F" w:rsidRDefault="001857DF" w:rsidP="002B1A39">
            <w:pPr>
              <w:pStyle w:val="Default"/>
              <w:keepNext/>
              <w:keepLines/>
              <w:rPr>
                <w:rFonts w:ascii="Arial Narrow" w:hAnsi="Arial Narrow"/>
                <w:iCs/>
                <w:sz w:val="20"/>
                <w:szCs w:val="20"/>
              </w:rPr>
            </w:pPr>
            <w:r w:rsidRPr="00FB229F">
              <w:rPr>
                <w:rFonts w:ascii="Arial Narrow" w:hAnsi="Arial Narrow"/>
                <w:iCs/>
                <w:sz w:val="20"/>
                <w:szCs w:val="20"/>
              </w:rPr>
              <w:t>Median 31.0 months</w:t>
            </w:r>
          </w:p>
        </w:tc>
        <w:tc>
          <w:tcPr>
            <w:tcW w:w="1249" w:type="pct"/>
            <w:vAlign w:val="center"/>
          </w:tcPr>
          <w:p w14:paraId="6B7B88D2" w14:textId="77777777" w:rsidR="001857DF" w:rsidRPr="00FB229F" w:rsidRDefault="001857DF" w:rsidP="007A011F">
            <w:pPr>
              <w:pStyle w:val="TableText0"/>
              <w:keepLines/>
            </w:pPr>
            <w:r w:rsidRPr="00FB229F">
              <w:rPr>
                <w:szCs w:val="20"/>
              </w:rPr>
              <w:t xml:space="preserve">Untreated NSQ Stage IV NSCLC, </w:t>
            </w:r>
            <w:r w:rsidRPr="00FB229F">
              <w:rPr>
                <w:i/>
                <w:iCs/>
                <w:szCs w:val="20"/>
              </w:rPr>
              <w:t>EGFR</w:t>
            </w:r>
            <w:r w:rsidRPr="00FB229F">
              <w:rPr>
                <w:szCs w:val="20"/>
              </w:rPr>
              <w:t xml:space="preserve"> and </w:t>
            </w:r>
            <w:r w:rsidRPr="00FB229F">
              <w:rPr>
                <w:i/>
                <w:iCs/>
                <w:szCs w:val="20"/>
              </w:rPr>
              <w:t>ALK</w:t>
            </w:r>
            <w:r w:rsidRPr="00FB229F">
              <w:rPr>
                <w:szCs w:val="20"/>
              </w:rPr>
              <w:t xml:space="preserve"> negative</w:t>
            </w:r>
          </w:p>
        </w:tc>
        <w:tc>
          <w:tcPr>
            <w:tcW w:w="599" w:type="pct"/>
            <w:vMerge/>
          </w:tcPr>
          <w:p w14:paraId="7D3CC7D6" w14:textId="77777777" w:rsidR="001857DF" w:rsidRPr="00FB229F" w:rsidRDefault="001857DF" w:rsidP="007A011F">
            <w:pPr>
              <w:pStyle w:val="TableText0"/>
              <w:keepLines/>
            </w:pPr>
          </w:p>
        </w:tc>
        <w:tc>
          <w:tcPr>
            <w:tcW w:w="537" w:type="pct"/>
            <w:vAlign w:val="center"/>
          </w:tcPr>
          <w:p w14:paraId="1FCB5E25" w14:textId="77777777" w:rsidR="001857DF" w:rsidRPr="00FB229F" w:rsidRDefault="001857DF" w:rsidP="007A011F">
            <w:pPr>
              <w:pStyle w:val="TableText0"/>
              <w:keepLines/>
            </w:pPr>
            <w:r w:rsidRPr="00FB229F">
              <w:t>ORR, PFS, OS</w:t>
            </w:r>
          </w:p>
        </w:tc>
        <w:tc>
          <w:tcPr>
            <w:tcW w:w="714" w:type="pct"/>
            <w:vAlign w:val="center"/>
          </w:tcPr>
          <w:p w14:paraId="57E77F97" w14:textId="5767AC27" w:rsidR="001857DF" w:rsidRPr="00FB229F" w:rsidRDefault="006D0EFE" w:rsidP="007A011F">
            <w:pPr>
              <w:pStyle w:val="TableText0"/>
              <w:keepLines/>
            </w:pPr>
            <w:r w:rsidRPr="00FB229F">
              <w:t>PFS and OS used.</w:t>
            </w:r>
          </w:p>
        </w:tc>
      </w:tr>
      <w:tr w:rsidR="001857DF" w:rsidRPr="00FB229F" w14:paraId="7B496647" w14:textId="77777777" w:rsidTr="001857DF">
        <w:tc>
          <w:tcPr>
            <w:tcW w:w="555" w:type="pct"/>
            <w:vAlign w:val="center"/>
          </w:tcPr>
          <w:p w14:paraId="6C448976" w14:textId="77777777" w:rsidR="001857DF" w:rsidRPr="00FB229F" w:rsidRDefault="001857DF" w:rsidP="007A011F">
            <w:pPr>
              <w:pStyle w:val="TableText0"/>
              <w:keepLines/>
            </w:pPr>
            <w:r w:rsidRPr="00FB229F">
              <w:t>KN-021 (Cohort G)</w:t>
            </w:r>
          </w:p>
        </w:tc>
        <w:tc>
          <w:tcPr>
            <w:tcW w:w="446" w:type="pct"/>
            <w:vAlign w:val="center"/>
          </w:tcPr>
          <w:p w14:paraId="1C5A5461" w14:textId="77777777" w:rsidR="001857DF" w:rsidRPr="00FB229F" w:rsidRDefault="001857DF" w:rsidP="007A011F">
            <w:pPr>
              <w:pStyle w:val="Default"/>
              <w:keepNext/>
              <w:keepLines/>
              <w:rPr>
                <w:rFonts w:ascii="Arial Narrow" w:hAnsi="Arial Narrow"/>
                <w:sz w:val="20"/>
                <w:szCs w:val="20"/>
              </w:rPr>
            </w:pPr>
            <w:r w:rsidRPr="00FB229F">
              <w:rPr>
                <w:rFonts w:ascii="Arial Narrow" w:hAnsi="Arial Narrow"/>
                <w:sz w:val="20"/>
                <w:szCs w:val="20"/>
              </w:rPr>
              <w:t>123</w:t>
            </w:r>
          </w:p>
        </w:tc>
        <w:tc>
          <w:tcPr>
            <w:tcW w:w="901" w:type="pct"/>
            <w:vAlign w:val="center"/>
          </w:tcPr>
          <w:p w14:paraId="5063BEEA" w14:textId="77777777" w:rsidR="001857DF" w:rsidRPr="00FB229F" w:rsidRDefault="001857DF" w:rsidP="007A011F">
            <w:pPr>
              <w:pStyle w:val="Default"/>
              <w:keepNext/>
              <w:keepLines/>
              <w:rPr>
                <w:rFonts w:ascii="Arial Narrow" w:hAnsi="Arial Narrow"/>
                <w:sz w:val="20"/>
                <w:szCs w:val="20"/>
              </w:rPr>
            </w:pPr>
            <w:r w:rsidRPr="00FB229F">
              <w:rPr>
                <w:rFonts w:ascii="Arial Narrow" w:hAnsi="Arial Narrow"/>
                <w:sz w:val="20"/>
                <w:szCs w:val="20"/>
              </w:rPr>
              <w:t>R, OL</w:t>
            </w:r>
          </w:p>
          <w:p w14:paraId="1DA00142" w14:textId="77777777" w:rsidR="001857DF" w:rsidRPr="00FB229F" w:rsidRDefault="001857DF" w:rsidP="002B1A39">
            <w:pPr>
              <w:pStyle w:val="Default"/>
              <w:keepNext/>
              <w:keepLines/>
              <w:rPr>
                <w:rFonts w:ascii="Arial Narrow" w:hAnsi="Arial Narrow"/>
                <w:iCs/>
                <w:sz w:val="20"/>
                <w:szCs w:val="20"/>
              </w:rPr>
            </w:pPr>
            <w:r w:rsidRPr="00FB229F">
              <w:rPr>
                <w:rFonts w:ascii="Arial Narrow" w:hAnsi="Arial Narrow"/>
                <w:iCs/>
                <w:sz w:val="20"/>
                <w:szCs w:val="20"/>
              </w:rPr>
              <w:t>Median 49.4 months</w:t>
            </w:r>
          </w:p>
        </w:tc>
        <w:tc>
          <w:tcPr>
            <w:tcW w:w="1249" w:type="pct"/>
            <w:vAlign w:val="center"/>
          </w:tcPr>
          <w:p w14:paraId="1E5D0A2F" w14:textId="77777777" w:rsidR="001857DF" w:rsidRPr="00FB229F" w:rsidRDefault="001857DF" w:rsidP="007A011F">
            <w:pPr>
              <w:pStyle w:val="TableText0"/>
              <w:keepLines/>
              <w:rPr>
                <w:szCs w:val="20"/>
              </w:rPr>
            </w:pPr>
            <w:r w:rsidRPr="00FB229F">
              <w:rPr>
                <w:szCs w:val="20"/>
              </w:rPr>
              <w:t xml:space="preserve">Untreated NSQ Stage IV NSCLC, </w:t>
            </w:r>
            <w:r w:rsidRPr="00FB229F">
              <w:rPr>
                <w:i/>
                <w:iCs/>
                <w:szCs w:val="20"/>
              </w:rPr>
              <w:t>EGFR</w:t>
            </w:r>
            <w:r w:rsidRPr="00FB229F">
              <w:rPr>
                <w:szCs w:val="20"/>
              </w:rPr>
              <w:t xml:space="preserve"> and </w:t>
            </w:r>
            <w:r w:rsidRPr="00FB229F">
              <w:rPr>
                <w:i/>
                <w:iCs/>
                <w:szCs w:val="20"/>
              </w:rPr>
              <w:t>ALK</w:t>
            </w:r>
            <w:r w:rsidRPr="00FB229F">
              <w:rPr>
                <w:szCs w:val="20"/>
              </w:rPr>
              <w:t xml:space="preserve"> negative</w:t>
            </w:r>
          </w:p>
        </w:tc>
        <w:tc>
          <w:tcPr>
            <w:tcW w:w="599" w:type="pct"/>
            <w:vMerge/>
          </w:tcPr>
          <w:p w14:paraId="725C724E" w14:textId="77777777" w:rsidR="001857DF" w:rsidRPr="00FB229F" w:rsidRDefault="001857DF" w:rsidP="007A011F">
            <w:pPr>
              <w:pStyle w:val="TableText0"/>
              <w:keepLines/>
            </w:pPr>
          </w:p>
        </w:tc>
        <w:tc>
          <w:tcPr>
            <w:tcW w:w="537" w:type="pct"/>
            <w:vAlign w:val="center"/>
          </w:tcPr>
          <w:p w14:paraId="5F9A143E" w14:textId="77777777" w:rsidR="001857DF" w:rsidRPr="00FB229F" w:rsidRDefault="001857DF" w:rsidP="007A011F">
            <w:pPr>
              <w:pStyle w:val="TableText0"/>
              <w:keepLines/>
            </w:pPr>
            <w:r w:rsidRPr="00FB229F">
              <w:t>ORR, PFS, OS</w:t>
            </w:r>
          </w:p>
        </w:tc>
        <w:tc>
          <w:tcPr>
            <w:tcW w:w="714" w:type="pct"/>
            <w:vAlign w:val="center"/>
          </w:tcPr>
          <w:p w14:paraId="35077CBE" w14:textId="1CAE3E57" w:rsidR="001857DF" w:rsidRPr="00FB229F" w:rsidRDefault="006D0EFE" w:rsidP="007A011F">
            <w:pPr>
              <w:pStyle w:val="TableText0"/>
              <w:keepLines/>
            </w:pPr>
            <w:r w:rsidRPr="00FB229F">
              <w:t>PFS and OS used.</w:t>
            </w:r>
          </w:p>
        </w:tc>
      </w:tr>
    </w:tbl>
    <w:p w14:paraId="49E5A927" w14:textId="77777777" w:rsidR="007A0F47" w:rsidRPr="00FB229F" w:rsidRDefault="007A0F47" w:rsidP="007A0F47">
      <w:pPr>
        <w:pStyle w:val="TableFooter"/>
        <w:rPr>
          <w:iCs/>
        </w:rPr>
      </w:pPr>
      <w:r w:rsidRPr="00FB229F">
        <w:t xml:space="preserve">Source: Sections 2D.4-2D.6, pp186-263 of the submission </w:t>
      </w:r>
      <w:r w:rsidRPr="00FB229F">
        <w:rPr>
          <w:iCs/>
        </w:rPr>
        <w:t>and the key publications for KN-189 (Rodriguez 2021) and KN-021 (</w:t>
      </w:r>
      <w:proofErr w:type="spellStart"/>
      <w:r w:rsidRPr="00FB229F">
        <w:rPr>
          <w:iCs/>
        </w:rPr>
        <w:t>Awad</w:t>
      </w:r>
      <w:proofErr w:type="spellEnd"/>
      <w:r w:rsidRPr="00FB229F">
        <w:rPr>
          <w:iCs/>
        </w:rPr>
        <w:t xml:space="preserve"> et al (2021)</w:t>
      </w:r>
    </w:p>
    <w:p w14:paraId="0A9724A6" w14:textId="02A7ED52" w:rsidR="00CF43B3" w:rsidRPr="00FB229F" w:rsidRDefault="001857DF" w:rsidP="00816BFB">
      <w:pPr>
        <w:pStyle w:val="TableFooter"/>
        <w:spacing w:after="120"/>
      </w:pPr>
      <w:r w:rsidRPr="00FB229F">
        <w:rPr>
          <w:iCs/>
        </w:rPr>
        <w:t>ALK</w:t>
      </w:r>
      <w:r w:rsidRPr="00FB229F">
        <w:t xml:space="preserve">=anaplastic lymphoma kinase; DB=double blind; ECOG=Eastern Cooperative Oncology Group; </w:t>
      </w:r>
      <w:r w:rsidRPr="00FB229F">
        <w:rPr>
          <w:iCs/>
        </w:rPr>
        <w:t>EGFR</w:t>
      </w:r>
      <w:r w:rsidRPr="00FB229F">
        <w:t>=epidermal growth factor receptor (</w:t>
      </w:r>
      <w:r w:rsidRPr="00FB229F">
        <w:rPr>
          <w:iCs/>
        </w:rPr>
        <w:t>not reported for LIBRETTO-001</w:t>
      </w:r>
      <w:r w:rsidRPr="00FB229F">
        <w:t xml:space="preserve">); NSQ=non-squamous; NSCLC=non-small cell lung cancer; </w:t>
      </w:r>
      <w:r w:rsidR="00CF43B3" w:rsidRPr="00FB229F">
        <w:t xml:space="preserve">OL=open label; </w:t>
      </w:r>
      <w:r w:rsidRPr="00FB229F">
        <w:t xml:space="preserve">ORR=overall/objective response rate; OS=overall survival; </w:t>
      </w:r>
      <w:r w:rsidR="0065563A" w:rsidRPr="00FB229F">
        <w:t xml:space="preserve">PC=pemetrexed plus platinum (cisplatin or carboplatin) chemotherapy; </w:t>
      </w:r>
      <w:r w:rsidRPr="00FB229F">
        <w:t>PFS=progression</w:t>
      </w:r>
      <w:r w:rsidR="00603261" w:rsidRPr="00FB229F">
        <w:t>-</w:t>
      </w:r>
      <w:r w:rsidRPr="00FB229F">
        <w:t xml:space="preserve">free survival; </w:t>
      </w:r>
      <w:r w:rsidR="00CF43B3" w:rsidRPr="00FB229F">
        <w:t xml:space="preserve">R=randomised; </w:t>
      </w:r>
      <w:r w:rsidR="007A0F47" w:rsidRPr="00FB229F">
        <w:t>RET</w:t>
      </w:r>
      <w:r w:rsidR="00CF43B3" w:rsidRPr="00FB229F">
        <w:t>=</w:t>
      </w:r>
      <w:r w:rsidR="007A0F47" w:rsidRPr="00FB229F">
        <w:t>rearrange</w:t>
      </w:r>
      <w:r w:rsidR="007A0F47" w:rsidRPr="00FB229F">
        <w:rPr>
          <w:szCs w:val="12"/>
        </w:rPr>
        <w:t>d during transfection</w:t>
      </w:r>
      <w:r w:rsidRPr="00FB229F">
        <w:t>.</w:t>
      </w:r>
    </w:p>
    <w:p w14:paraId="4E812DF2" w14:textId="642C53C6" w:rsidR="0087177E" w:rsidRPr="00FB229F" w:rsidRDefault="003C695E" w:rsidP="00633733">
      <w:pPr>
        <w:pStyle w:val="3-BodyText"/>
        <w:ind w:left="709" w:hanging="709"/>
      </w:pPr>
      <w:r w:rsidRPr="00FB229F">
        <w:t>The indirect comparisons are associated with a high risk of bias arising from transitivity issues, differences in some prognostic factors that were not controlled for, the unmeasured impact of unknown confounders, and the limited reliability of some of the indirect analyses.</w:t>
      </w:r>
    </w:p>
    <w:p w14:paraId="7C01438A" w14:textId="5EEB1931" w:rsidR="00A2110B" w:rsidRPr="00FB229F" w:rsidRDefault="00A2110B" w:rsidP="00A2110B">
      <w:pPr>
        <w:pStyle w:val="4-SubsectionHeading"/>
        <w:rPr>
          <w:i w:val="0"/>
        </w:rPr>
      </w:pPr>
      <w:bookmarkStart w:id="25" w:name="_Toc22897641"/>
      <w:bookmarkStart w:id="26" w:name="_Toc135215234"/>
      <w:r w:rsidRPr="00FB229F">
        <w:rPr>
          <w:i w:val="0"/>
        </w:rPr>
        <w:t>Comparative effectiveness</w:t>
      </w:r>
      <w:bookmarkEnd w:id="25"/>
      <w:bookmarkEnd w:id="26"/>
    </w:p>
    <w:p w14:paraId="5789027D" w14:textId="77777777" w:rsidR="00BE2CD0" w:rsidRPr="00FB229F" w:rsidRDefault="00BE2CD0" w:rsidP="003D270C">
      <w:pPr>
        <w:pStyle w:val="3-BodyText"/>
        <w:numPr>
          <w:ilvl w:val="0"/>
          <w:numId w:val="0"/>
        </w:numPr>
        <w:rPr>
          <w:b/>
          <w:bCs/>
          <w:iCs/>
        </w:rPr>
      </w:pPr>
      <w:bookmarkStart w:id="27" w:name="_Toc135215235"/>
      <w:r w:rsidRPr="00FB229F">
        <w:rPr>
          <w:b/>
          <w:bCs/>
          <w:iCs/>
        </w:rPr>
        <w:t>LIBRETTO-001</w:t>
      </w:r>
      <w:bookmarkEnd w:id="27"/>
    </w:p>
    <w:p w14:paraId="3E314AE7" w14:textId="0F79CD58" w:rsidR="00BE2CD0" w:rsidRPr="00FB229F" w:rsidRDefault="00BE2CD0" w:rsidP="00674256">
      <w:pPr>
        <w:pStyle w:val="3-BodyText"/>
        <w:ind w:left="709" w:hanging="709"/>
      </w:pPr>
      <w:r w:rsidRPr="00FB229F">
        <w:t xml:space="preserve">As </w:t>
      </w:r>
      <w:r w:rsidR="00C02A06" w:rsidRPr="00FB229F">
        <w:t>at</w:t>
      </w:r>
      <w:r w:rsidRPr="00FB229F">
        <w:t xml:space="preserve"> the 15 June 2021 data </w:t>
      </w:r>
      <w:r w:rsidR="00446CC0" w:rsidRPr="00FB229F">
        <w:t>cut-off</w:t>
      </w:r>
      <w:r w:rsidRPr="00FB229F">
        <w:t>, all 69 patients in the treatment-naïve cohort and all 247 patients in the pre-treated cohort had been follow</w:t>
      </w:r>
      <w:r w:rsidR="00C02A06" w:rsidRPr="00FB229F">
        <w:t>ed</w:t>
      </w:r>
      <w:r w:rsidRPr="00FB229F">
        <w:t xml:space="preserve"> for at least 6 months from the first dose of selpercatinib. </w:t>
      </w:r>
      <w:r w:rsidRPr="00FB229F">
        <w:fldChar w:fldCharType="begin" w:fldLock="1"/>
      </w:r>
      <w:r w:rsidRPr="00FB229F">
        <w:instrText xml:space="preserve"> REF _Ref131768148 \h </w:instrText>
      </w:r>
      <w:r w:rsidRPr="00FB229F">
        <w:fldChar w:fldCharType="separate"/>
      </w:r>
      <w:r w:rsidR="00CA7201" w:rsidRPr="00FB229F">
        <w:t xml:space="preserve">Table </w:t>
      </w:r>
      <w:r w:rsidR="00CA7201" w:rsidRPr="00166045">
        <w:t>4</w:t>
      </w:r>
      <w:r w:rsidRPr="00FB229F">
        <w:fldChar w:fldCharType="end"/>
      </w:r>
      <w:r w:rsidRPr="00FB229F">
        <w:t xml:space="preserve"> summarises results for the primary outcome of ORR.</w:t>
      </w:r>
    </w:p>
    <w:p w14:paraId="0413636D" w14:textId="09E24D5E" w:rsidR="00BE2CD0" w:rsidRPr="00FB229F" w:rsidRDefault="00BE2CD0" w:rsidP="00FC617F">
      <w:pPr>
        <w:pStyle w:val="Caption"/>
      </w:pPr>
      <w:bookmarkStart w:id="28" w:name="_Ref131768148"/>
      <w:r w:rsidRPr="00FB229F">
        <w:lastRenderedPageBreak/>
        <w:t xml:space="preserve">Table </w:t>
      </w:r>
      <w:r w:rsidR="00BF0AEB">
        <w:fldChar w:fldCharType="begin" w:fldLock="1"/>
      </w:r>
      <w:r w:rsidR="00BF0AEB">
        <w:instrText xml:space="preserve"> SEQ Table \* ARABIC </w:instrText>
      </w:r>
      <w:r w:rsidR="00BF0AEB">
        <w:fldChar w:fldCharType="separate"/>
      </w:r>
      <w:r w:rsidR="00CA7201" w:rsidRPr="00166045">
        <w:t>4</w:t>
      </w:r>
      <w:r w:rsidR="00BF0AEB">
        <w:fldChar w:fldCharType="end"/>
      </w:r>
      <w:bookmarkEnd w:id="28"/>
      <w:r w:rsidRPr="00FB229F">
        <w:t>: LIBRETTO-001 – Summary of ORR</w:t>
      </w:r>
      <w:r w:rsidRPr="00166045">
        <w:rPr>
          <w:vertAlign w:val="superscript"/>
        </w:rPr>
        <w:t>a</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559"/>
        <w:gridCol w:w="1843"/>
        <w:gridCol w:w="1998"/>
      </w:tblGrid>
      <w:tr w:rsidR="00D62D6C" w:rsidRPr="005B1BA8" w14:paraId="75211051" w14:textId="77777777" w:rsidTr="00D62D6C">
        <w:trPr>
          <w:trHeight w:val="206"/>
        </w:trPr>
        <w:tc>
          <w:tcPr>
            <w:tcW w:w="1980" w:type="dxa"/>
            <w:vMerge w:val="restart"/>
          </w:tcPr>
          <w:p w14:paraId="76DA0876" w14:textId="77777777" w:rsidR="00D62D6C" w:rsidRPr="00FC617F" w:rsidRDefault="00D62D6C" w:rsidP="00816BFB">
            <w:pPr>
              <w:pStyle w:val="Tabletext"/>
              <w:keepNext/>
            </w:pPr>
          </w:p>
        </w:tc>
        <w:tc>
          <w:tcPr>
            <w:tcW w:w="3118" w:type="dxa"/>
            <w:gridSpan w:val="2"/>
          </w:tcPr>
          <w:p w14:paraId="25839C17" w14:textId="77777777" w:rsidR="00D62D6C" w:rsidRPr="00FC617F" w:rsidRDefault="00D62D6C" w:rsidP="00816BFB">
            <w:pPr>
              <w:pStyle w:val="Tabletext"/>
              <w:keepNext/>
              <w:rPr>
                <w:rFonts w:cstheme="minorHAnsi"/>
                <w:b/>
                <w:szCs w:val="20"/>
              </w:rPr>
            </w:pPr>
            <w:r w:rsidRPr="00FC617F">
              <w:rPr>
                <w:b/>
              </w:rPr>
              <w:t>Treatment-naïve cohort</w:t>
            </w:r>
          </w:p>
          <w:p w14:paraId="4507F6B2" w14:textId="77777777" w:rsidR="00D62D6C" w:rsidRPr="00FC617F" w:rsidRDefault="00D62D6C" w:rsidP="00816BFB">
            <w:pPr>
              <w:pStyle w:val="Tabletext"/>
              <w:keepNext/>
              <w:rPr>
                <w:rFonts w:cstheme="minorHAnsi"/>
                <w:b/>
                <w:szCs w:val="20"/>
              </w:rPr>
            </w:pPr>
            <w:r w:rsidRPr="00FC617F">
              <w:rPr>
                <w:b/>
              </w:rPr>
              <w:t>(N=69)</w:t>
            </w:r>
          </w:p>
        </w:tc>
        <w:tc>
          <w:tcPr>
            <w:tcW w:w="3841" w:type="dxa"/>
            <w:gridSpan w:val="2"/>
          </w:tcPr>
          <w:p w14:paraId="5D8FEA6C" w14:textId="42A7EFD9" w:rsidR="00D62D6C" w:rsidRPr="00FC617F" w:rsidRDefault="00D62D6C" w:rsidP="00816BFB">
            <w:pPr>
              <w:pStyle w:val="Tabletext"/>
              <w:keepNext/>
              <w:rPr>
                <w:rFonts w:cstheme="minorHAnsi"/>
                <w:b/>
                <w:szCs w:val="20"/>
              </w:rPr>
            </w:pPr>
            <w:r w:rsidRPr="00FC617F">
              <w:rPr>
                <w:b/>
              </w:rPr>
              <w:t xml:space="preserve">Previously treated </w:t>
            </w:r>
            <w:r w:rsidRPr="00FC617F">
              <w:rPr>
                <w:rFonts w:cstheme="minorHAnsi"/>
                <w:b/>
                <w:szCs w:val="20"/>
              </w:rPr>
              <w:t xml:space="preserve">with platinum-based chemotherapy cohort </w:t>
            </w:r>
            <w:r w:rsidRPr="00FC617F">
              <w:rPr>
                <w:b/>
              </w:rPr>
              <w:t>(N=247)</w:t>
            </w:r>
          </w:p>
        </w:tc>
      </w:tr>
      <w:tr w:rsidR="00D62D6C" w:rsidRPr="005B1BA8" w14:paraId="5E24EBB1" w14:textId="77777777" w:rsidTr="00D62D6C">
        <w:trPr>
          <w:trHeight w:val="218"/>
        </w:trPr>
        <w:tc>
          <w:tcPr>
            <w:tcW w:w="1980" w:type="dxa"/>
            <w:vMerge/>
          </w:tcPr>
          <w:p w14:paraId="107BE086" w14:textId="77777777" w:rsidR="00D62D6C" w:rsidRPr="00FC617F" w:rsidRDefault="00D62D6C" w:rsidP="00816BFB">
            <w:pPr>
              <w:pStyle w:val="Tabletext"/>
              <w:keepNext/>
              <w:rPr>
                <w:b/>
              </w:rPr>
            </w:pPr>
          </w:p>
        </w:tc>
        <w:tc>
          <w:tcPr>
            <w:tcW w:w="1559" w:type="dxa"/>
          </w:tcPr>
          <w:p w14:paraId="7B613A23" w14:textId="77777777" w:rsidR="00D62D6C" w:rsidRPr="00FC617F" w:rsidRDefault="00D62D6C" w:rsidP="00816BFB">
            <w:pPr>
              <w:pStyle w:val="Tabletext"/>
              <w:keepNext/>
              <w:rPr>
                <w:rFonts w:cstheme="minorHAnsi"/>
                <w:b/>
                <w:szCs w:val="20"/>
              </w:rPr>
            </w:pPr>
            <w:r w:rsidRPr="00FC617F">
              <w:rPr>
                <w:b/>
              </w:rPr>
              <w:t>IRC</w:t>
            </w:r>
            <w:r w:rsidRPr="00FC617F">
              <w:rPr>
                <w:rFonts w:cstheme="minorHAnsi"/>
                <w:b/>
                <w:szCs w:val="20"/>
              </w:rPr>
              <w:t xml:space="preserve"> </w:t>
            </w:r>
          </w:p>
        </w:tc>
        <w:tc>
          <w:tcPr>
            <w:tcW w:w="1559" w:type="dxa"/>
          </w:tcPr>
          <w:p w14:paraId="5C00392A" w14:textId="77777777" w:rsidR="00D62D6C" w:rsidRPr="00FC617F" w:rsidRDefault="00D62D6C" w:rsidP="00816BFB">
            <w:pPr>
              <w:pStyle w:val="Tabletext"/>
              <w:keepNext/>
              <w:rPr>
                <w:rFonts w:cstheme="minorHAnsi"/>
                <w:b/>
                <w:szCs w:val="20"/>
              </w:rPr>
            </w:pPr>
            <w:r w:rsidRPr="00FC617F">
              <w:rPr>
                <w:b/>
              </w:rPr>
              <w:t xml:space="preserve">Investigator Assessment </w:t>
            </w:r>
          </w:p>
        </w:tc>
        <w:tc>
          <w:tcPr>
            <w:tcW w:w="1843" w:type="dxa"/>
          </w:tcPr>
          <w:p w14:paraId="0F9DE231" w14:textId="77777777" w:rsidR="00D62D6C" w:rsidRPr="00FC617F" w:rsidRDefault="00D62D6C" w:rsidP="00816BFB">
            <w:pPr>
              <w:pStyle w:val="Tabletext"/>
              <w:keepNext/>
              <w:rPr>
                <w:rFonts w:cstheme="minorHAnsi"/>
                <w:b/>
                <w:szCs w:val="20"/>
              </w:rPr>
            </w:pPr>
            <w:r w:rsidRPr="00FC617F">
              <w:rPr>
                <w:b/>
              </w:rPr>
              <w:t xml:space="preserve">IRC </w:t>
            </w:r>
          </w:p>
        </w:tc>
        <w:tc>
          <w:tcPr>
            <w:tcW w:w="1998" w:type="dxa"/>
          </w:tcPr>
          <w:p w14:paraId="36FB34CA" w14:textId="77777777" w:rsidR="00D62D6C" w:rsidRPr="00FC617F" w:rsidRDefault="00D62D6C" w:rsidP="00816BFB">
            <w:pPr>
              <w:pStyle w:val="Tabletext"/>
              <w:keepNext/>
              <w:rPr>
                <w:rFonts w:cstheme="minorHAnsi"/>
                <w:b/>
                <w:szCs w:val="20"/>
              </w:rPr>
            </w:pPr>
            <w:r w:rsidRPr="00FC617F">
              <w:rPr>
                <w:b/>
              </w:rPr>
              <w:t xml:space="preserve">Investigator Assessment </w:t>
            </w:r>
          </w:p>
        </w:tc>
      </w:tr>
      <w:tr w:rsidR="00BE2CD0" w:rsidRPr="005B1BA8" w14:paraId="5FCB740B" w14:textId="77777777" w:rsidTr="00DE0372">
        <w:trPr>
          <w:trHeight w:val="246"/>
        </w:trPr>
        <w:tc>
          <w:tcPr>
            <w:tcW w:w="5098" w:type="dxa"/>
            <w:gridSpan w:val="3"/>
          </w:tcPr>
          <w:p w14:paraId="4972DBFD" w14:textId="77777777" w:rsidR="00BE2CD0" w:rsidRPr="00FC617F" w:rsidRDefault="00BE2CD0" w:rsidP="00816BFB">
            <w:pPr>
              <w:pStyle w:val="Tabletext"/>
              <w:keepNext/>
            </w:pPr>
            <w:r w:rsidRPr="00FC617F">
              <w:rPr>
                <w:b/>
              </w:rPr>
              <w:t>ORR</w:t>
            </w:r>
          </w:p>
        </w:tc>
        <w:tc>
          <w:tcPr>
            <w:tcW w:w="3841" w:type="dxa"/>
            <w:gridSpan w:val="2"/>
          </w:tcPr>
          <w:p w14:paraId="566E47F5" w14:textId="77777777" w:rsidR="00BE2CD0" w:rsidRPr="00FC617F" w:rsidRDefault="00BE2CD0" w:rsidP="00816BFB">
            <w:pPr>
              <w:pStyle w:val="Tabletext"/>
              <w:keepNext/>
              <w:rPr>
                <w:b/>
              </w:rPr>
            </w:pPr>
          </w:p>
        </w:tc>
      </w:tr>
      <w:tr w:rsidR="00BE2CD0" w:rsidRPr="005B1BA8" w14:paraId="63B4F23A" w14:textId="77777777" w:rsidTr="00DE0372">
        <w:trPr>
          <w:trHeight w:val="250"/>
        </w:trPr>
        <w:tc>
          <w:tcPr>
            <w:tcW w:w="1980" w:type="dxa"/>
          </w:tcPr>
          <w:p w14:paraId="1B2FB55F" w14:textId="77777777" w:rsidR="00BE2CD0" w:rsidRPr="00FC617F" w:rsidRDefault="00BE2CD0" w:rsidP="00816BFB">
            <w:pPr>
              <w:pStyle w:val="Tabletext"/>
              <w:keepNext/>
            </w:pPr>
            <w:r w:rsidRPr="00FC617F">
              <w:t>n (%)</w:t>
            </w:r>
          </w:p>
        </w:tc>
        <w:tc>
          <w:tcPr>
            <w:tcW w:w="1559" w:type="dxa"/>
          </w:tcPr>
          <w:p w14:paraId="104DBC28" w14:textId="77777777" w:rsidR="00BE2CD0" w:rsidRPr="00FC617F" w:rsidRDefault="00BE2CD0" w:rsidP="00816BFB">
            <w:pPr>
              <w:pStyle w:val="Tabletext"/>
              <w:keepNext/>
            </w:pPr>
            <w:r w:rsidRPr="00FC617F">
              <w:t>58 (84.1)</w:t>
            </w:r>
          </w:p>
        </w:tc>
        <w:tc>
          <w:tcPr>
            <w:tcW w:w="1559" w:type="dxa"/>
          </w:tcPr>
          <w:p w14:paraId="1137F851" w14:textId="77777777" w:rsidR="00BE2CD0" w:rsidRPr="00FC617F" w:rsidRDefault="00BE2CD0" w:rsidP="00816BFB">
            <w:pPr>
              <w:pStyle w:val="Tabletext"/>
              <w:keepNext/>
            </w:pPr>
            <w:r w:rsidRPr="00FC617F">
              <w:t>59 (85.5)</w:t>
            </w:r>
          </w:p>
        </w:tc>
        <w:tc>
          <w:tcPr>
            <w:tcW w:w="1843" w:type="dxa"/>
          </w:tcPr>
          <w:p w14:paraId="2B3DEE3B" w14:textId="77777777" w:rsidR="00BE2CD0" w:rsidRPr="00FC617F" w:rsidRDefault="00BE2CD0" w:rsidP="00816BFB">
            <w:pPr>
              <w:pStyle w:val="Tabletext"/>
              <w:keepNext/>
            </w:pPr>
            <w:r w:rsidRPr="00FC617F">
              <w:t xml:space="preserve">151 (61.1) </w:t>
            </w:r>
          </w:p>
        </w:tc>
        <w:tc>
          <w:tcPr>
            <w:tcW w:w="1998" w:type="dxa"/>
          </w:tcPr>
          <w:p w14:paraId="01E906C2" w14:textId="77777777" w:rsidR="00BE2CD0" w:rsidRPr="00FC617F" w:rsidRDefault="00BE2CD0" w:rsidP="00816BFB">
            <w:pPr>
              <w:pStyle w:val="Tabletext"/>
              <w:keepNext/>
            </w:pPr>
            <w:r w:rsidRPr="00FC617F">
              <w:t>159 (64.4)</w:t>
            </w:r>
          </w:p>
        </w:tc>
      </w:tr>
      <w:tr w:rsidR="00BE2CD0" w:rsidRPr="005B1BA8" w14:paraId="007E1DCF" w14:textId="77777777" w:rsidTr="00DE0372">
        <w:trPr>
          <w:trHeight w:val="250"/>
        </w:trPr>
        <w:tc>
          <w:tcPr>
            <w:tcW w:w="1980" w:type="dxa"/>
          </w:tcPr>
          <w:p w14:paraId="2FBD8C4A" w14:textId="77777777" w:rsidR="00BE2CD0" w:rsidRPr="00FC617F" w:rsidRDefault="00BE2CD0" w:rsidP="00816BFB">
            <w:pPr>
              <w:pStyle w:val="Tabletext"/>
              <w:keepNext/>
            </w:pPr>
            <w:r w:rsidRPr="00FC617F">
              <w:t>95% CI</w:t>
            </w:r>
          </w:p>
        </w:tc>
        <w:tc>
          <w:tcPr>
            <w:tcW w:w="1559" w:type="dxa"/>
          </w:tcPr>
          <w:p w14:paraId="15BBCEF9" w14:textId="77777777" w:rsidR="00BE2CD0" w:rsidRPr="00FC617F" w:rsidRDefault="00BE2CD0" w:rsidP="00816BFB">
            <w:pPr>
              <w:pStyle w:val="Tabletext"/>
              <w:keepNext/>
            </w:pPr>
            <w:r w:rsidRPr="00FC617F">
              <w:t>(73.3, 91.8)</w:t>
            </w:r>
          </w:p>
        </w:tc>
        <w:tc>
          <w:tcPr>
            <w:tcW w:w="1559" w:type="dxa"/>
          </w:tcPr>
          <w:p w14:paraId="60FFE2FF" w14:textId="77777777" w:rsidR="00BE2CD0" w:rsidRPr="00FC617F" w:rsidRDefault="00BE2CD0" w:rsidP="00816BFB">
            <w:pPr>
              <w:pStyle w:val="Tabletext"/>
              <w:keepNext/>
            </w:pPr>
            <w:r w:rsidRPr="00FC617F">
              <w:t>(75.0, 92.8)</w:t>
            </w:r>
          </w:p>
        </w:tc>
        <w:tc>
          <w:tcPr>
            <w:tcW w:w="1843" w:type="dxa"/>
          </w:tcPr>
          <w:p w14:paraId="53B447D9" w14:textId="77777777" w:rsidR="00BE2CD0" w:rsidRPr="00FC617F" w:rsidRDefault="00BE2CD0" w:rsidP="00816BFB">
            <w:pPr>
              <w:pStyle w:val="Tabletext"/>
              <w:keepNext/>
            </w:pPr>
            <w:r w:rsidRPr="00FC617F">
              <w:t xml:space="preserve">(54.7, 67.2) </w:t>
            </w:r>
          </w:p>
        </w:tc>
        <w:tc>
          <w:tcPr>
            <w:tcW w:w="1998" w:type="dxa"/>
          </w:tcPr>
          <w:p w14:paraId="4635294C" w14:textId="77777777" w:rsidR="00BE2CD0" w:rsidRPr="00FC617F" w:rsidRDefault="00BE2CD0" w:rsidP="00816BFB">
            <w:pPr>
              <w:pStyle w:val="Tabletext"/>
              <w:keepNext/>
            </w:pPr>
            <w:r w:rsidRPr="00FC617F">
              <w:t>(58.1, 70.3)</w:t>
            </w:r>
          </w:p>
        </w:tc>
      </w:tr>
      <w:tr w:rsidR="00BE2CD0" w:rsidRPr="005B1BA8" w14:paraId="7DCFAFD9" w14:textId="77777777" w:rsidTr="00DE0372">
        <w:trPr>
          <w:trHeight w:val="246"/>
        </w:trPr>
        <w:tc>
          <w:tcPr>
            <w:tcW w:w="5098" w:type="dxa"/>
            <w:gridSpan w:val="3"/>
          </w:tcPr>
          <w:p w14:paraId="014A2F79" w14:textId="77777777" w:rsidR="00BE2CD0" w:rsidRPr="00FC617F" w:rsidRDefault="00BE2CD0" w:rsidP="00816BFB">
            <w:pPr>
              <w:pStyle w:val="Tabletext"/>
              <w:keepNext/>
            </w:pPr>
            <w:r w:rsidRPr="00FC617F">
              <w:rPr>
                <w:b/>
              </w:rPr>
              <w:t>BOR, n (%)</w:t>
            </w:r>
          </w:p>
        </w:tc>
        <w:tc>
          <w:tcPr>
            <w:tcW w:w="1843" w:type="dxa"/>
          </w:tcPr>
          <w:p w14:paraId="160BDAF3" w14:textId="77777777" w:rsidR="00BE2CD0" w:rsidRPr="00FC617F" w:rsidRDefault="00BE2CD0" w:rsidP="00816BFB">
            <w:pPr>
              <w:pStyle w:val="Tabletext"/>
              <w:keepNext/>
              <w:rPr>
                <w:b/>
              </w:rPr>
            </w:pPr>
          </w:p>
        </w:tc>
        <w:tc>
          <w:tcPr>
            <w:tcW w:w="1998" w:type="dxa"/>
          </w:tcPr>
          <w:p w14:paraId="5FDB5EC6" w14:textId="77777777" w:rsidR="00BE2CD0" w:rsidRPr="00FC617F" w:rsidRDefault="00BE2CD0" w:rsidP="00816BFB">
            <w:pPr>
              <w:pStyle w:val="Tabletext"/>
              <w:keepNext/>
              <w:rPr>
                <w:b/>
              </w:rPr>
            </w:pPr>
          </w:p>
        </w:tc>
      </w:tr>
      <w:tr w:rsidR="00BE2CD0" w:rsidRPr="005B1BA8" w14:paraId="06FD5431" w14:textId="77777777" w:rsidTr="00DE0372">
        <w:trPr>
          <w:trHeight w:val="250"/>
        </w:trPr>
        <w:tc>
          <w:tcPr>
            <w:tcW w:w="1980" w:type="dxa"/>
          </w:tcPr>
          <w:p w14:paraId="239A1F28" w14:textId="77777777" w:rsidR="00BE2CD0" w:rsidRPr="00FC617F" w:rsidRDefault="00BE2CD0" w:rsidP="00816BFB">
            <w:pPr>
              <w:pStyle w:val="Tabletext"/>
              <w:keepNext/>
            </w:pPr>
            <w:r w:rsidRPr="00FC617F">
              <w:t>CR</w:t>
            </w:r>
          </w:p>
        </w:tc>
        <w:tc>
          <w:tcPr>
            <w:tcW w:w="1559" w:type="dxa"/>
          </w:tcPr>
          <w:p w14:paraId="6AA9F6CE" w14:textId="77777777" w:rsidR="00BE2CD0" w:rsidRPr="00FC617F" w:rsidRDefault="00BE2CD0" w:rsidP="00816BFB">
            <w:pPr>
              <w:pStyle w:val="Tabletext"/>
              <w:keepNext/>
            </w:pPr>
            <w:r w:rsidRPr="00FC617F">
              <w:t>4 (5.8)</w:t>
            </w:r>
          </w:p>
        </w:tc>
        <w:tc>
          <w:tcPr>
            <w:tcW w:w="1559" w:type="dxa"/>
          </w:tcPr>
          <w:p w14:paraId="156E1C4C" w14:textId="77777777" w:rsidR="00BE2CD0" w:rsidRPr="00FC617F" w:rsidRDefault="00BE2CD0" w:rsidP="00816BFB">
            <w:pPr>
              <w:pStyle w:val="Tabletext"/>
              <w:keepNext/>
            </w:pPr>
            <w:r w:rsidRPr="00FC617F">
              <w:t>1 (1.4)</w:t>
            </w:r>
          </w:p>
        </w:tc>
        <w:tc>
          <w:tcPr>
            <w:tcW w:w="1843" w:type="dxa"/>
          </w:tcPr>
          <w:p w14:paraId="3C4052D2" w14:textId="77777777" w:rsidR="00BE2CD0" w:rsidRPr="00FC617F" w:rsidRDefault="00BE2CD0" w:rsidP="00816BFB">
            <w:pPr>
              <w:pStyle w:val="Tabletext"/>
              <w:keepNext/>
            </w:pPr>
            <w:r w:rsidRPr="00FC617F">
              <w:t xml:space="preserve">18 (7.3) </w:t>
            </w:r>
          </w:p>
        </w:tc>
        <w:tc>
          <w:tcPr>
            <w:tcW w:w="1998" w:type="dxa"/>
          </w:tcPr>
          <w:p w14:paraId="0AB61982" w14:textId="77777777" w:rsidR="00BE2CD0" w:rsidRPr="00FC617F" w:rsidRDefault="00BE2CD0" w:rsidP="00816BFB">
            <w:pPr>
              <w:pStyle w:val="Tabletext"/>
              <w:keepNext/>
            </w:pPr>
            <w:r w:rsidRPr="00FC617F">
              <w:t>9 (3.6)</w:t>
            </w:r>
          </w:p>
        </w:tc>
      </w:tr>
      <w:tr w:rsidR="00BE2CD0" w:rsidRPr="005B1BA8" w14:paraId="03EA06CF" w14:textId="77777777" w:rsidTr="00DE0372">
        <w:trPr>
          <w:trHeight w:val="250"/>
        </w:trPr>
        <w:tc>
          <w:tcPr>
            <w:tcW w:w="1980" w:type="dxa"/>
          </w:tcPr>
          <w:p w14:paraId="3F93859C" w14:textId="77777777" w:rsidR="00BE2CD0" w:rsidRPr="00FC617F" w:rsidRDefault="00BE2CD0" w:rsidP="00816BFB">
            <w:pPr>
              <w:pStyle w:val="Tabletext"/>
              <w:keepNext/>
            </w:pPr>
            <w:r w:rsidRPr="00FC617F">
              <w:t>PR</w:t>
            </w:r>
          </w:p>
        </w:tc>
        <w:tc>
          <w:tcPr>
            <w:tcW w:w="1559" w:type="dxa"/>
          </w:tcPr>
          <w:p w14:paraId="19799927" w14:textId="77777777" w:rsidR="00BE2CD0" w:rsidRPr="00FC617F" w:rsidRDefault="00BE2CD0" w:rsidP="00816BFB">
            <w:pPr>
              <w:pStyle w:val="Tabletext"/>
              <w:keepNext/>
            </w:pPr>
            <w:r w:rsidRPr="00FC617F">
              <w:t>54 (78.3)</w:t>
            </w:r>
          </w:p>
        </w:tc>
        <w:tc>
          <w:tcPr>
            <w:tcW w:w="1559" w:type="dxa"/>
          </w:tcPr>
          <w:p w14:paraId="68F51AB9" w14:textId="77777777" w:rsidR="00BE2CD0" w:rsidRPr="00FC617F" w:rsidRDefault="00BE2CD0" w:rsidP="00816BFB">
            <w:pPr>
              <w:pStyle w:val="Tabletext"/>
              <w:keepNext/>
            </w:pPr>
            <w:r w:rsidRPr="00FC617F">
              <w:t>58 (84.1)</w:t>
            </w:r>
          </w:p>
        </w:tc>
        <w:tc>
          <w:tcPr>
            <w:tcW w:w="1843" w:type="dxa"/>
          </w:tcPr>
          <w:p w14:paraId="1E0F15D5" w14:textId="77777777" w:rsidR="00BE2CD0" w:rsidRPr="00FC617F" w:rsidRDefault="00BE2CD0" w:rsidP="00816BFB">
            <w:pPr>
              <w:pStyle w:val="Tabletext"/>
              <w:keepNext/>
            </w:pPr>
            <w:r w:rsidRPr="00FC617F">
              <w:t>133 (53.8)</w:t>
            </w:r>
          </w:p>
        </w:tc>
        <w:tc>
          <w:tcPr>
            <w:tcW w:w="1998" w:type="dxa"/>
          </w:tcPr>
          <w:p w14:paraId="43C55210" w14:textId="77777777" w:rsidR="00BE2CD0" w:rsidRPr="00FC617F" w:rsidRDefault="00BE2CD0" w:rsidP="00816BFB">
            <w:pPr>
              <w:pStyle w:val="Tabletext"/>
              <w:keepNext/>
            </w:pPr>
            <w:r w:rsidRPr="00FC617F">
              <w:t>150 (60.7)</w:t>
            </w:r>
          </w:p>
        </w:tc>
      </w:tr>
      <w:tr w:rsidR="00BE2CD0" w:rsidRPr="005B1BA8" w14:paraId="083423B0" w14:textId="77777777" w:rsidTr="00DE0372">
        <w:trPr>
          <w:trHeight w:val="250"/>
        </w:trPr>
        <w:tc>
          <w:tcPr>
            <w:tcW w:w="1980" w:type="dxa"/>
          </w:tcPr>
          <w:p w14:paraId="4413E241" w14:textId="77777777" w:rsidR="00BE2CD0" w:rsidRPr="00FC617F" w:rsidRDefault="00BE2CD0" w:rsidP="00816BFB">
            <w:pPr>
              <w:pStyle w:val="Tabletext"/>
              <w:keepNext/>
            </w:pPr>
            <w:r w:rsidRPr="00FC617F">
              <w:t>SD</w:t>
            </w:r>
          </w:p>
        </w:tc>
        <w:tc>
          <w:tcPr>
            <w:tcW w:w="1559" w:type="dxa"/>
          </w:tcPr>
          <w:p w14:paraId="49DBB426" w14:textId="77777777" w:rsidR="00BE2CD0" w:rsidRPr="00FC617F" w:rsidRDefault="00BE2CD0" w:rsidP="00816BFB">
            <w:pPr>
              <w:pStyle w:val="Tabletext"/>
              <w:keepNext/>
            </w:pPr>
            <w:r w:rsidRPr="00FC617F">
              <w:t>6 (8.7)</w:t>
            </w:r>
          </w:p>
        </w:tc>
        <w:tc>
          <w:tcPr>
            <w:tcW w:w="1559" w:type="dxa"/>
          </w:tcPr>
          <w:p w14:paraId="0C9AFC29" w14:textId="77777777" w:rsidR="00BE2CD0" w:rsidRPr="00FC617F" w:rsidRDefault="00BE2CD0" w:rsidP="00816BFB">
            <w:pPr>
              <w:pStyle w:val="Tabletext"/>
              <w:keepNext/>
            </w:pPr>
            <w:r w:rsidRPr="00FC617F">
              <w:t>5 (7.2)</w:t>
            </w:r>
          </w:p>
        </w:tc>
        <w:tc>
          <w:tcPr>
            <w:tcW w:w="1843" w:type="dxa"/>
          </w:tcPr>
          <w:p w14:paraId="30C86904" w14:textId="77777777" w:rsidR="00BE2CD0" w:rsidRPr="00FC617F" w:rsidRDefault="00BE2CD0" w:rsidP="00816BFB">
            <w:pPr>
              <w:pStyle w:val="Tabletext"/>
              <w:keepNext/>
            </w:pPr>
            <w:r w:rsidRPr="00FC617F">
              <w:t>81 (32.8)</w:t>
            </w:r>
          </w:p>
        </w:tc>
        <w:tc>
          <w:tcPr>
            <w:tcW w:w="1998" w:type="dxa"/>
          </w:tcPr>
          <w:p w14:paraId="13719A2B" w14:textId="77777777" w:rsidR="00BE2CD0" w:rsidRPr="00FC617F" w:rsidRDefault="00BE2CD0" w:rsidP="00816BFB">
            <w:pPr>
              <w:pStyle w:val="Tabletext"/>
              <w:keepNext/>
            </w:pPr>
            <w:r w:rsidRPr="00FC617F">
              <w:t>74 (30.0)</w:t>
            </w:r>
          </w:p>
        </w:tc>
      </w:tr>
      <w:tr w:rsidR="00BE2CD0" w:rsidRPr="005B1BA8" w14:paraId="7D48B3A2" w14:textId="77777777" w:rsidTr="00DE0372">
        <w:trPr>
          <w:trHeight w:val="246"/>
        </w:trPr>
        <w:tc>
          <w:tcPr>
            <w:tcW w:w="1980" w:type="dxa"/>
          </w:tcPr>
          <w:p w14:paraId="5349D607" w14:textId="77777777" w:rsidR="00BE2CD0" w:rsidRPr="00FC617F" w:rsidRDefault="00BE2CD0" w:rsidP="00816BFB">
            <w:pPr>
              <w:pStyle w:val="Tabletext"/>
              <w:keepNext/>
            </w:pPr>
            <w:r w:rsidRPr="00FC617F">
              <w:t xml:space="preserve">SD-16≥ </w:t>
            </w:r>
            <w:proofErr w:type="spellStart"/>
            <w:r w:rsidRPr="00FC617F">
              <w:t>weeks</w:t>
            </w:r>
            <w:r w:rsidRPr="00FC617F">
              <w:rPr>
                <w:vertAlign w:val="superscript"/>
              </w:rPr>
              <w:t>c</w:t>
            </w:r>
            <w:proofErr w:type="spellEnd"/>
          </w:p>
        </w:tc>
        <w:tc>
          <w:tcPr>
            <w:tcW w:w="1559" w:type="dxa"/>
          </w:tcPr>
          <w:p w14:paraId="52A4A222" w14:textId="77777777" w:rsidR="00BE2CD0" w:rsidRPr="00FC617F" w:rsidRDefault="00BE2CD0" w:rsidP="00816BFB">
            <w:pPr>
              <w:pStyle w:val="Tabletext"/>
              <w:keepNext/>
            </w:pPr>
            <w:r w:rsidRPr="00FC617F">
              <w:t>6 (8.7)</w:t>
            </w:r>
          </w:p>
        </w:tc>
        <w:tc>
          <w:tcPr>
            <w:tcW w:w="1559" w:type="dxa"/>
          </w:tcPr>
          <w:p w14:paraId="10ECD928" w14:textId="77777777" w:rsidR="00BE2CD0" w:rsidRPr="00FC617F" w:rsidRDefault="00BE2CD0" w:rsidP="00816BFB">
            <w:pPr>
              <w:pStyle w:val="Tabletext"/>
              <w:keepNext/>
            </w:pPr>
            <w:r w:rsidRPr="00FC617F">
              <w:t>4 (5.8)</w:t>
            </w:r>
          </w:p>
        </w:tc>
        <w:tc>
          <w:tcPr>
            <w:tcW w:w="1843" w:type="dxa"/>
          </w:tcPr>
          <w:p w14:paraId="69538F19" w14:textId="77777777" w:rsidR="00BE2CD0" w:rsidRPr="00FC617F" w:rsidRDefault="00BE2CD0" w:rsidP="00816BFB">
            <w:pPr>
              <w:pStyle w:val="Tabletext"/>
              <w:keepNext/>
            </w:pPr>
            <w:r w:rsidRPr="00FC617F">
              <w:t>60 (24.3)</w:t>
            </w:r>
          </w:p>
        </w:tc>
        <w:tc>
          <w:tcPr>
            <w:tcW w:w="1998" w:type="dxa"/>
          </w:tcPr>
          <w:p w14:paraId="45A59B6E" w14:textId="77777777" w:rsidR="00BE2CD0" w:rsidRPr="00FC617F" w:rsidRDefault="00BE2CD0" w:rsidP="00816BFB">
            <w:pPr>
              <w:pStyle w:val="Tabletext"/>
              <w:keepNext/>
            </w:pPr>
            <w:r w:rsidRPr="00FC617F">
              <w:t>55 (22.3)</w:t>
            </w:r>
          </w:p>
        </w:tc>
      </w:tr>
      <w:tr w:rsidR="00BE2CD0" w:rsidRPr="005B1BA8" w14:paraId="1A5F4EDA" w14:textId="77777777" w:rsidTr="00DE0372">
        <w:trPr>
          <w:trHeight w:val="250"/>
        </w:trPr>
        <w:tc>
          <w:tcPr>
            <w:tcW w:w="1980" w:type="dxa"/>
          </w:tcPr>
          <w:p w14:paraId="69204489" w14:textId="77777777" w:rsidR="00BE2CD0" w:rsidRPr="00FC617F" w:rsidRDefault="00BE2CD0" w:rsidP="00816BFB">
            <w:pPr>
              <w:pStyle w:val="Tabletext"/>
              <w:keepNext/>
            </w:pPr>
            <w:r w:rsidRPr="00FC617F">
              <w:t>PD</w:t>
            </w:r>
          </w:p>
        </w:tc>
        <w:tc>
          <w:tcPr>
            <w:tcW w:w="1559" w:type="dxa"/>
          </w:tcPr>
          <w:p w14:paraId="15F2312F" w14:textId="77777777" w:rsidR="00BE2CD0" w:rsidRPr="00FC617F" w:rsidRDefault="00BE2CD0" w:rsidP="00816BFB">
            <w:pPr>
              <w:pStyle w:val="Tabletext"/>
              <w:keepNext/>
            </w:pPr>
            <w:r w:rsidRPr="00FC617F">
              <w:t>3 (4.3)</w:t>
            </w:r>
          </w:p>
        </w:tc>
        <w:tc>
          <w:tcPr>
            <w:tcW w:w="1559" w:type="dxa"/>
          </w:tcPr>
          <w:p w14:paraId="0755A3C1" w14:textId="77777777" w:rsidR="00BE2CD0" w:rsidRPr="00FC617F" w:rsidRDefault="00BE2CD0" w:rsidP="00816BFB">
            <w:pPr>
              <w:pStyle w:val="Tabletext"/>
              <w:keepNext/>
            </w:pPr>
            <w:r w:rsidRPr="00FC617F">
              <w:t>3 (4.3)</w:t>
            </w:r>
          </w:p>
        </w:tc>
        <w:tc>
          <w:tcPr>
            <w:tcW w:w="1843" w:type="dxa"/>
          </w:tcPr>
          <w:p w14:paraId="7B77E81E" w14:textId="77777777" w:rsidR="00BE2CD0" w:rsidRPr="00FC617F" w:rsidRDefault="00BE2CD0" w:rsidP="00816BFB">
            <w:pPr>
              <w:pStyle w:val="Tabletext"/>
              <w:keepNext/>
            </w:pPr>
            <w:r w:rsidRPr="00FC617F">
              <w:t>7 (2.8)</w:t>
            </w:r>
          </w:p>
        </w:tc>
        <w:tc>
          <w:tcPr>
            <w:tcW w:w="1998" w:type="dxa"/>
          </w:tcPr>
          <w:p w14:paraId="4210D244" w14:textId="77777777" w:rsidR="00BE2CD0" w:rsidRPr="00FC617F" w:rsidRDefault="00BE2CD0" w:rsidP="00816BFB">
            <w:pPr>
              <w:pStyle w:val="Tabletext"/>
              <w:keepNext/>
            </w:pPr>
            <w:r w:rsidRPr="00FC617F">
              <w:t>5 (2.0)</w:t>
            </w:r>
          </w:p>
        </w:tc>
      </w:tr>
      <w:tr w:rsidR="00BE2CD0" w:rsidRPr="005B1BA8" w14:paraId="59E12E14" w14:textId="77777777" w:rsidTr="00DE0372">
        <w:trPr>
          <w:trHeight w:val="250"/>
        </w:trPr>
        <w:tc>
          <w:tcPr>
            <w:tcW w:w="1980" w:type="dxa"/>
          </w:tcPr>
          <w:p w14:paraId="5560B3FF" w14:textId="77777777" w:rsidR="00BE2CD0" w:rsidRPr="00FC617F" w:rsidRDefault="00BE2CD0" w:rsidP="00816BFB">
            <w:pPr>
              <w:pStyle w:val="Tabletext"/>
              <w:keepNext/>
            </w:pPr>
            <w:r w:rsidRPr="00FC617F">
              <w:t>Not evaluable</w:t>
            </w:r>
          </w:p>
        </w:tc>
        <w:tc>
          <w:tcPr>
            <w:tcW w:w="1559" w:type="dxa"/>
          </w:tcPr>
          <w:p w14:paraId="79E61D51" w14:textId="77777777" w:rsidR="00BE2CD0" w:rsidRPr="00FC617F" w:rsidRDefault="00BE2CD0" w:rsidP="00816BFB">
            <w:pPr>
              <w:pStyle w:val="Tabletext"/>
              <w:keepNext/>
            </w:pPr>
            <w:r w:rsidRPr="00FC617F">
              <w:t>2 (2.9)</w:t>
            </w:r>
          </w:p>
        </w:tc>
        <w:tc>
          <w:tcPr>
            <w:tcW w:w="1559" w:type="dxa"/>
          </w:tcPr>
          <w:p w14:paraId="0BFFAAE9" w14:textId="77777777" w:rsidR="00BE2CD0" w:rsidRPr="00FC617F" w:rsidRDefault="00BE2CD0" w:rsidP="00816BFB">
            <w:pPr>
              <w:pStyle w:val="Tabletext"/>
              <w:keepNext/>
            </w:pPr>
            <w:r w:rsidRPr="00FC617F">
              <w:t>2 (2.9)</w:t>
            </w:r>
          </w:p>
        </w:tc>
        <w:tc>
          <w:tcPr>
            <w:tcW w:w="1843" w:type="dxa"/>
          </w:tcPr>
          <w:p w14:paraId="6A4C5122" w14:textId="77777777" w:rsidR="00BE2CD0" w:rsidRPr="00FC617F" w:rsidRDefault="00BE2CD0" w:rsidP="00816BFB">
            <w:pPr>
              <w:pStyle w:val="Tabletext"/>
              <w:keepNext/>
            </w:pPr>
            <w:r w:rsidRPr="00FC617F">
              <w:t>8 (3.2)</w:t>
            </w:r>
          </w:p>
        </w:tc>
        <w:tc>
          <w:tcPr>
            <w:tcW w:w="1998" w:type="dxa"/>
          </w:tcPr>
          <w:p w14:paraId="0CD170CD" w14:textId="77777777" w:rsidR="00BE2CD0" w:rsidRPr="00FC617F" w:rsidRDefault="00BE2CD0" w:rsidP="00816BFB">
            <w:pPr>
              <w:pStyle w:val="Tabletext"/>
              <w:keepNext/>
            </w:pPr>
            <w:r w:rsidRPr="00FC617F">
              <w:t>9 (3.6)</w:t>
            </w:r>
          </w:p>
        </w:tc>
      </w:tr>
    </w:tbl>
    <w:p w14:paraId="2EB1ABA7" w14:textId="77777777" w:rsidR="00BE2CD0" w:rsidRPr="00FB229F" w:rsidRDefault="00BE2CD0" w:rsidP="00816BFB">
      <w:pPr>
        <w:pStyle w:val="TableFooter"/>
        <w:keepNext/>
      </w:pPr>
      <w:r w:rsidRPr="00FB229F">
        <w:t>Source: Table 2-79, p217 of the submission</w:t>
      </w:r>
    </w:p>
    <w:p w14:paraId="7112FF34" w14:textId="77777777" w:rsidR="00BE2CD0" w:rsidRPr="00FB229F" w:rsidRDefault="00C02A06" w:rsidP="00816BFB">
      <w:pPr>
        <w:pStyle w:val="TableFooter"/>
        <w:keepNext/>
        <w:rPr>
          <w:rFonts w:cstheme="minorHAnsi"/>
          <w:vertAlign w:val="superscript"/>
        </w:rPr>
      </w:pPr>
      <w:r w:rsidRPr="00FB229F">
        <w:t xml:space="preserve">BOR=best overall response; </w:t>
      </w:r>
      <w:r w:rsidR="00BE2CD0" w:rsidRPr="00FB229F">
        <w:t xml:space="preserve">CI=confidence interval; CR=complete response; IRC=Independent Review Committee; ORR=objective response rate; </w:t>
      </w:r>
      <w:r w:rsidRPr="00FB229F">
        <w:t xml:space="preserve">PD=progressive disease; </w:t>
      </w:r>
      <w:r w:rsidR="00BE2CD0" w:rsidRPr="00FB229F">
        <w:t>PR=partial response; SD=stable disease</w:t>
      </w:r>
      <w:r w:rsidR="00BE2CD0" w:rsidRPr="00FB229F">
        <w:rPr>
          <w:rFonts w:cstheme="minorHAnsi"/>
          <w:vertAlign w:val="superscript"/>
        </w:rPr>
        <w:t xml:space="preserve"> </w:t>
      </w:r>
    </w:p>
    <w:p w14:paraId="00D5706B" w14:textId="77777777" w:rsidR="00BE2CD0" w:rsidRPr="00FB229F" w:rsidRDefault="00BE2CD0" w:rsidP="00816BFB">
      <w:pPr>
        <w:pStyle w:val="TableFooter"/>
        <w:keepNext/>
      </w:pPr>
      <w:r w:rsidRPr="00FB229F">
        <w:rPr>
          <w:vertAlign w:val="superscript"/>
        </w:rPr>
        <w:t xml:space="preserve">a </w:t>
      </w:r>
      <w:r w:rsidRPr="00FB229F">
        <w:t xml:space="preserve">ORR is defined as the proportion </w:t>
      </w:r>
      <w:r w:rsidRPr="00FB229F">
        <w:rPr>
          <w:spacing w:val="-3"/>
        </w:rPr>
        <w:t xml:space="preserve">of </w:t>
      </w:r>
      <w:r w:rsidRPr="00FB229F">
        <w:t xml:space="preserve">patients with best overall response </w:t>
      </w:r>
      <w:r w:rsidRPr="00FB229F">
        <w:rPr>
          <w:spacing w:val="-3"/>
        </w:rPr>
        <w:t xml:space="preserve">of </w:t>
      </w:r>
      <w:r w:rsidRPr="00FB229F">
        <w:t xml:space="preserve">confirmed CR </w:t>
      </w:r>
      <w:r w:rsidRPr="00FB229F">
        <w:rPr>
          <w:spacing w:val="-3"/>
        </w:rPr>
        <w:t xml:space="preserve">or PR. </w:t>
      </w:r>
      <w:r w:rsidRPr="00FB229F">
        <w:t xml:space="preserve">Response </w:t>
      </w:r>
      <w:r w:rsidRPr="00FB229F">
        <w:rPr>
          <w:spacing w:val="-2"/>
        </w:rPr>
        <w:t xml:space="preserve">was </w:t>
      </w:r>
      <w:r w:rsidRPr="00FB229F">
        <w:t>confirmed by a repeat assessment ≥ 28</w:t>
      </w:r>
      <w:r w:rsidRPr="00FB229F">
        <w:rPr>
          <w:spacing w:val="-17"/>
        </w:rPr>
        <w:t xml:space="preserve"> </w:t>
      </w:r>
      <w:r w:rsidRPr="00FB229F">
        <w:rPr>
          <w:spacing w:val="-3"/>
        </w:rPr>
        <w:t>days.</w:t>
      </w:r>
    </w:p>
    <w:p w14:paraId="17467C89" w14:textId="77777777" w:rsidR="00BE2CD0" w:rsidRPr="00FB229F" w:rsidRDefault="00BE2CD0" w:rsidP="00816BFB">
      <w:pPr>
        <w:pStyle w:val="TableFooter"/>
        <w:keepNext/>
      </w:pPr>
      <w:r w:rsidRPr="00FB229F">
        <w:rPr>
          <w:vertAlign w:val="superscript"/>
        </w:rPr>
        <w:t xml:space="preserve">b </w:t>
      </w:r>
      <w:r w:rsidRPr="00FB229F">
        <w:t>95% CI was calculated using Clopper-Pearson</w:t>
      </w:r>
      <w:r w:rsidRPr="00FB229F">
        <w:rPr>
          <w:spacing w:val="-2"/>
        </w:rPr>
        <w:t xml:space="preserve"> </w:t>
      </w:r>
      <w:r w:rsidRPr="00FB229F">
        <w:t>method.</w:t>
      </w:r>
    </w:p>
    <w:p w14:paraId="06244813" w14:textId="77777777" w:rsidR="00BE2CD0" w:rsidRPr="00FB229F" w:rsidRDefault="00BE2CD0" w:rsidP="00816BFB">
      <w:pPr>
        <w:pStyle w:val="TableFooter"/>
        <w:spacing w:after="120"/>
        <w:rPr>
          <w:szCs w:val="16"/>
        </w:rPr>
      </w:pPr>
      <w:r w:rsidRPr="00FB229F">
        <w:rPr>
          <w:vertAlign w:val="superscript"/>
        </w:rPr>
        <w:t xml:space="preserve">c </w:t>
      </w:r>
      <w:r w:rsidRPr="00FB229F">
        <w:t>Indicates SD lasting ≥ 16 weeks following initiation of selpercatinib until the criteria for disease progression was first</w:t>
      </w:r>
      <w:r w:rsidRPr="00FB229F">
        <w:rPr>
          <w:spacing w:val="-2"/>
          <w:szCs w:val="16"/>
        </w:rPr>
        <w:t xml:space="preserve"> </w:t>
      </w:r>
      <w:r w:rsidRPr="00FB229F">
        <w:rPr>
          <w:szCs w:val="16"/>
        </w:rPr>
        <w:t>met.</w:t>
      </w:r>
    </w:p>
    <w:p w14:paraId="70CA014A" w14:textId="4070A713" w:rsidR="00102A09" w:rsidRPr="00FB229F" w:rsidRDefault="00BE2CD0" w:rsidP="007F03AD">
      <w:pPr>
        <w:pStyle w:val="3-BodyText"/>
        <w:ind w:left="709" w:hanging="709"/>
      </w:pPr>
      <w:r w:rsidRPr="00FB229F">
        <w:t>The ORR in treatment-naïve patients was 84.1% (95% CI: 73.3, 91.8) as assessed by an independent review Committee (IRC) and 85.5% (95%CI: 75.0, 92.8) by investigator’s assessment. 4 patients (5.8%) had a complete response</w:t>
      </w:r>
      <w:r w:rsidR="00C02A06" w:rsidRPr="00FB229F">
        <w:t xml:space="preserve"> (CR)</w:t>
      </w:r>
      <w:r w:rsidRPr="00FB229F">
        <w:t>. 8.7% of patients had stable disease (SD) while the majority of patients (78.3%) had a partial response (PR).</w:t>
      </w:r>
      <w:r w:rsidR="009B6D86" w:rsidRPr="00FB229F">
        <w:t xml:space="preserve"> </w:t>
      </w:r>
      <w:r w:rsidR="00102A09" w:rsidRPr="00FB229F">
        <w:t>The ORR in the pre-treated cohort was 61.1% (95% CI: 54.7, 67.2). 32.8% of patients had SD and 53.8% of patients had a PR.</w:t>
      </w:r>
    </w:p>
    <w:p w14:paraId="12AAC94A" w14:textId="5FC0F8BC" w:rsidR="00BE2CD0" w:rsidRPr="00FB229F" w:rsidRDefault="009B6D86" w:rsidP="007F03AD">
      <w:pPr>
        <w:pStyle w:val="3-BodyText"/>
        <w:ind w:left="709" w:hanging="709"/>
      </w:pPr>
      <w:r w:rsidRPr="00FB229F">
        <w:t>The median DOR by IRC</w:t>
      </w:r>
      <w:r w:rsidR="00102A09" w:rsidRPr="00FB229F">
        <w:t xml:space="preserve"> in treatment-naïve patients</w:t>
      </w:r>
      <w:r w:rsidRPr="00FB229F">
        <w:t xml:space="preserve"> was 20.2 months (95% CI: 13.0, not reached) with 39.7% of patients continuing treatment or </w:t>
      </w:r>
      <w:r w:rsidR="00655BC0" w:rsidRPr="00FB229F">
        <w:t xml:space="preserve">being free of </w:t>
      </w:r>
      <w:r w:rsidRPr="00FB229F">
        <w:t>progressive disease at a median follow-up of 20.3 months.</w:t>
      </w:r>
      <w:r w:rsidR="003C695E" w:rsidRPr="00FB229F">
        <w:t xml:space="preserve"> The median DOR by IRC in the pre-treated cohort was 28.6 months (95% CI: 20.4, not reached)</w:t>
      </w:r>
      <w:r w:rsidR="00F35075" w:rsidRPr="00FB229F">
        <w:t>.</w:t>
      </w:r>
      <w:r w:rsidR="003C695E" w:rsidRPr="00FB229F">
        <w:t xml:space="preserve"> </w:t>
      </w:r>
    </w:p>
    <w:p w14:paraId="2509F636" w14:textId="77777777" w:rsidR="002738AC" w:rsidRPr="00FB229F" w:rsidRDefault="00C72025" w:rsidP="007F03AD">
      <w:pPr>
        <w:pStyle w:val="3-BodyText"/>
        <w:ind w:left="709" w:hanging="709"/>
      </w:pPr>
      <w:r w:rsidRPr="00FB229F">
        <w:t>T</w:t>
      </w:r>
      <w:r w:rsidR="009B6D86" w:rsidRPr="00FB229F">
        <w:t xml:space="preserve">he median </w:t>
      </w:r>
      <w:r w:rsidR="0052199F" w:rsidRPr="00FB229F">
        <w:t xml:space="preserve">PFS </w:t>
      </w:r>
      <w:r w:rsidR="00F35075" w:rsidRPr="00FB229F">
        <w:t xml:space="preserve">by IRC </w:t>
      </w:r>
      <w:r w:rsidR="00102A09" w:rsidRPr="00FB229F">
        <w:t xml:space="preserve">in treatment-naïve patients </w:t>
      </w:r>
      <w:r w:rsidR="009B6D86" w:rsidRPr="00FB229F">
        <w:t>was 22.0 months (95% CI: 13.8</w:t>
      </w:r>
      <w:r w:rsidR="0052199F" w:rsidRPr="00FB229F">
        <w:t>, Not reached</w:t>
      </w:r>
      <w:r w:rsidR="009B6D86" w:rsidRPr="00FB229F">
        <w:t>)</w:t>
      </w:r>
      <w:r w:rsidR="0052199F" w:rsidRPr="00FB229F">
        <w:t xml:space="preserve">. The Kaplan-Meier (KM) estimates of the rate of PFS at </w:t>
      </w:r>
      <w:r w:rsidR="0052199F" w:rsidRPr="00FB229F">
        <w:rPr>
          <w:rFonts w:cstheme="minorHAnsi"/>
        </w:rPr>
        <w:t>≥</w:t>
      </w:r>
      <w:r w:rsidR="0052199F" w:rsidRPr="00FB229F">
        <w:t>12 months was 70.6% (95% CI: 57.8, 80.2), and at ≥36 months was 38.4% (95% CI: 23.8, 52.9).</w:t>
      </w:r>
      <w:r w:rsidR="00F35075" w:rsidRPr="00FB229F">
        <w:t xml:space="preserve"> The median PFS by IRC in the pre-treated cohort was 24.9 months (95% CI: 19.3, Not reached). The KM estimates of the rate of PFS at ≥12 months was 70.5% (95% CI: 64.1, 76.0), and at ≥36 months was 42.6% (95% CI: 33.4, 51.6).</w:t>
      </w:r>
    </w:p>
    <w:p w14:paraId="2F26BA62" w14:textId="6FFCA719" w:rsidR="0052199F" w:rsidRPr="008731AF" w:rsidRDefault="00B62225" w:rsidP="007F03AD">
      <w:pPr>
        <w:pStyle w:val="3-BodyText"/>
        <w:ind w:left="709" w:hanging="709"/>
      </w:pPr>
      <w:r w:rsidRPr="00FB229F">
        <w:rPr>
          <w:iCs/>
        </w:rPr>
        <w:t xml:space="preserve">The </w:t>
      </w:r>
      <w:r w:rsidR="00011565">
        <w:t>Pre-Sub-Committee Response</w:t>
      </w:r>
      <w:r w:rsidR="00011565" w:rsidRPr="00FB229F">
        <w:rPr>
          <w:iCs/>
        </w:rPr>
        <w:t xml:space="preserve"> </w:t>
      </w:r>
      <w:r w:rsidR="00011565">
        <w:rPr>
          <w:iCs/>
        </w:rPr>
        <w:t>(</w:t>
      </w:r>
      <w:r w:rsidRPr="00FB229F">
        <w:rPr>
          <w:iCs/>
        </w:rPr>
        <w:t>PSCR</w:t>
      </w:r>
      <w:r w:rsidR="00011565">
        <w:rPr>
          <w:iCs/>
        </w:rPr>
        <w:t>)</w:t>
      </w:r>
      <w:r w:rsidRPr="00FB229F">
        <w:rPr>
          <w:iCs/>
        </w:rPr>
        <w:t xml:space="preserve"> provided updated data </w:t>
      </w:r>
      <w:r w:rsidR="002738AC" w:rsidRPr="00FB229F">
        <w:rPr>
          <w:iCs/>
        </w:rPr>
        <w:t xml:space="preserve">from </w:t>
      </w:r>
      <w:r w:rsidR="002738AC" w:rsidRPr="008731AF">
        <w:rPr>
          <w:iCs/>
        </w:rPr>
        <w:t xml:space="preserve">the January 2023 data cut of LIBRETTO-001 </w:t>
      </w:r>
      <w:r w:rsidRPr="008731AF">
        <w:rPr>
          <w:iCs/>
        </w:rPr>
        <w:t xml:space="preserve">which showed a median PFS </w:t>
      </w:r>
      <w:r w:rsidR="002738AC" w:rsidRPr="008731AF">
        <w:rPr>
          <w:iCs/>
        </w:rPr>
        <w:t xml:space="preserve">by IRC </w:t>
      </w:r>
      <w:r w:rsidRPr="008731AF">
        <w:rPr>
          <w:iCs/>
        </w:rPr>
        <w:t xml:space="preserve">of </w:t>
      </w:r>
      <w:r w:rsidR="00543276" w:rsidRPr="00BF0AEB">
        <w:rPr>
          <w:iCs/>
          <w:w w:val="15"/>
          <w:highlight w:val="black"/>
          <w:fitText w:val="-20" w:id="-1163696640"/>
        </w:rPr>
        <w:t xml:space="preserve">|  </w:t>
      </w:r>
      <w:r w:rsidR="00543276" w:rsidRPr="00BF0AEB">
        <w:rPr>
          <w:iCs/>
          <w:spacing w:val="-69"/>
          <w:w w:val="15"/>
          <w:highlight w:val="black"/>
          <w:fitText w:val="-20" w:id="-1163696640"/>
        </w:rPr>
        <w:t>|</w:t>
      </w:r>
      <w:r w:rsidR="009418E2">
        <w:rPr>
          <w:rStyle w:val="FootnoteReference"/>
          <w:iCs/>
        </w:rPr>
        <w:footnoteReference w:id="12"/>
      </w:r>
      <w:r w:rsidR="009418E2">
        <w:rPr>
          <w:iCs/>
        </w:rPr>
        <w:t xml:space="preserve"> </w:t>
      </w:r>
      <w:r w:rsidRPr="008731AF">
        <w:rPr>
          <w:iCs/>
        </w:rPr>
        <w:t xml:space="preserve">months (95% CI: </w:t>
      </w:r>
      <w:r w:rsidR="00543276" w:rsidRPr="00BF0AEB">
        <w:rPr>
          <w:iCs/>
          <w:w w:val="15"/>
          <w:highlight w:val="black"/>
          <w:fitText w:val="-20" w:id="-1163696639"/>
        </w:rPr>
        <w:t xml:space="preserve">|  </w:t>
      </w:r>
      <w:r w:rsidR="00543276" w:rsidRPr="00BF0AEB">
        <w:rPr>
          <w:iCs/>
          <w:spacing w:val="-69"/>
          <w:w w:val="15"/>
          <w:highlight w:val="black"/>
          <w:fitText w:val="-20" w:id="-1163696639"/>
        </w:rPr>
        <w:t>|</w:t>
      </w:r>
      <w:r w:rsidR="009418E2">
        <w:rPr>
          <w:iCs/>
          <w:vertAlign w:val="superscript"/>
        </w:rPr>
        <w:t>12</w:t>
      </w:r>
      <w:r w:rsidRPr="008731AF">
        <w:rPr>
          <w:iCs/>
        </w:rPr>
        <w:t xml:space="preserve">) in treatment-naïve NSCLC patients treated with selpercatinib after a median follow-up of </w:t>
      </w:r>
      <w:r w:rsidR="00543276" w:rsidRPr="00BF0AEB">
        <w:rPr>
          <w:iCs/>
          <w:w w:val="15"/>
          <w:highlight w:val="black"/>
          <w:fitText w:val="-20" w:id="-1163696638"/>
        </w:rPr>
        <w:t xml:space="preserve">|  </w:t>
      </w:r>
      <w:r w:rsidR="00543276" w:rsidRPr="00BF0AEB">
        <w:rPr>
          <w:iCs/>
          <w:spacing w:val="-69"/>
          <w:w w:val="15"/>
          <w:highlight w:val="black"/>
          <w:fitText w:val="-20" w:id="-1163696638"/>
        </w:rPr>
        <w:t>|</w:t>
      </w:r>
      <w:r w:rsidR="009418E2">
        <w:rPr>
          <w:iCs/>
          <w:vertAlign w:val="superscript"/>
        </w:rPr>
        <w:t xml:space="preserve">12 </w:t>
      </w:r>
      <w:r w:rsidRPr="008731AF">
        <w:rPr>
          <w:iCs/>
        </w:rPr>
        <w:t>months.</w:t>
      </w:r>
      <w:r w:rsidR="002738AC" w:rsidRPr="008731AF">
        <w:rPr>
          <w:iCs/>
        </w:rPr>
        <w:t xml:space="preserve"> The </w:t>
      </w:r>
      <w:r w:rsidR="00E77059" w:rsidRPr="008731AF">
        <w:rPr>
          <w:iCs/>
        </w:rPr>
        <w:t>median</w:t>
      </w:r>
      <w:r w:rsidR="002738AC" w:rsidRPr="008731AF">
        <w:rPr>
          <w:iCs/>
        </w:rPr>
        <w:t xml:space="preserve"> PF</w:t>
      </w:r>
      <w:r w:rsidR="00FA3208" w:rsidRPr="008731AF">
        <w:rPr>
          <w:iCs/>
        </w:rPr>
        <w:t>S</w:t>
      </w:r>
      <w:r w:rsidR="002738AC" w:rsidRPr="008731AF">
        <w:rPr>
          <w:iCs/>
        </w:rPr>
        <w:t xml:space="preserve"> by IRC in the pre-treated cohort was </w:t>
      </w:r>
      <w:r w:rsidR="00543276" w:rsidRPr="00BF0AEB">
        <w:rPr>
          <w:iCs/>
          <w:w w:val="15"/>
          <w:highlight w:val="black"/>
          <w:fitText w:val="-20" w:id="-1163696637"/>
        </w:rPr>
        <w:t xml:space="preserve">|  </w:t>
      </w:r>
      <w:r w:rsidR="00543276" w:rsidRPr="00BF0AEB">
        <w:rPr>
          <w:iCs/>
          <w:spacing w:val="-69"/>
          <w:w w:val="15"/>
          <w:highlight w:val="black"/>
          <w:fitText w:val="-20" w:id="-1163696637"/>
        </w:rPr>
        <w:t>|</w:t>
      </w:r>
      <w:r w:rsidR="009418E2">
        <w:rPr>
          <w:iCs/>
          <w:vertAlign w:val="superscript"/>
        </w:rPr>
        <w:t>12</w:t>
      </w:r>
      <w:r w:rsidR="002738AC" w:rsidRPr="008731AF">
        <w:rPr>
          <w:iCs/>
        </w:rPr>
        <w:t xml:space="preserve">(95% CI: </w:t>
      </w:r>
      <w:r w:rsidR="00543276" w:rsidRPr="00BF0AEB">
        <w:rPr>
          <w:iCs/>
          <w:w w:val="15"/>
          <w:highlight w:val="black"/>
          <w:fitText w:val="-20" w:id="-1163696636"/>
        </w:rPr>
        <w:t xml:space="preserve">|  </w:t>
      </w:r>
      <w:r w:rsidR="00543276" w:rsidRPr="00BF0AEB">
        <w:rPr>
          <w:iCs/>
          <w:spacing w:val="-69"/>
          <w:w w:val="15"/>
          <w:highlight w:val="black"/>
          <w:fitText w:val="-20" w:id="-1163696636"/>
        </w:rPr>
        <w:t>|</w:t>
      </w:r>
      <w:r w:rsidR="009418E2">
        <w:rPr>
          <w:iCs/>
          <w:vertAlign w:val="superscript"/>
        </w:rPr>
        <w:t>12</w:t>
      </w:r>
      <w:r w:rsidR="002738AC" w:rsidRPr="008731AF">
        <w:rPr>
          <w:iCs/>
        </w:rPr>
        <w:t xml:space="preserve">) after a median follow-up of </w:t>
      </w:r>
      <w:r w:rsidR="00543276" w:rsidRPr="00BF0AEB">
        <w:rPr>
          <w:iCs/>
          <w:w w:val="15"/>
          <w:highlight w:val="black"/>
          <w:fitText w:val="-20" w:id="-1163696635"/>
        </w:rPr>
        <w:t xml:space="preserve">|  </w:t>
      </w:r>
      <w:r w:rsidR="00543276" w:rsidRPr="00BF0AEB">
        <w:rPr>
          <w:iCs/>
          <w:spacing w:val="-69"/>
          <w:w w:val="15"/>
          <w:highlight w:val="black"/>
          <w:fitText w:val="-20" w:id="-1163696635"/>
        </w:rPr>
        <w:t>|</w:t>
      </w:r>
      <w:r w:rsidR="009418E2">
        <w:rPr>
          <w:iCs/>
          <w:vertAlign w:val="superscript"/>
        </w:rPr>
        <w:t>12</w:t>
      </w:r>
      <w:r w:rsidR="002738AC" w:rsidRPr="008731AF">
        <w:rPr>
          <w:iCs/>
        </w:rPr>
        <w:t xml:space="preserve"> months.</w:t>
      </w:r>
    </w:p>
    <w:p w14:paraId="7BC8FC7E" w14:textId="26D9EE87" w:rsidR="0052199F" w:rsidRPr="00FB229F" w:rsidRDefault="0052199F" w:rsidP="007F03AD">
      <w:pPr>
        <w:pStyle w:val="3-BodyText"/>
        <w:ind w:left="709" w:hanging="709"/>
      </w:pPr>
      <w:r w:rsidRPr="00FB229F">
        <w:lastRenderedPageBreak/>
        <w:t xml:space="preserve">The overall survival results are summarised in </w:t>
      </w:r>
      <w:r w:rsidRPr="00FB229F">
        <w:fldChar w:fldCharType="begin" w:fldLock="1"/>
      </w:r>
      <w:r w:rsidRPr="00FB229F">
        <w:instrText xml:space="preserve"> REF _Ref131769724 \h </w:instrText>
      </w:r>
      <w:r w:rsidRPr="00FB229F">
        <w:fldChar w:fldCharType="separate"/>
      </w:r>
      <w:r w:rsidR="00CA7201" w:rsidRPr="00FB229F">
        <w:t xml:space="preserve">Table </w:t>
      </w:r>
      <w:r w:rsidR="00CA7201" w:rsidRPr="00166045">
        <w:t>5</w:t>
      </w:r>
      <w:r w:rsidRPr="00FB229F">
        <w:fldChar w:fldCharType="end"/>
      </w:r>
      <w:r w:rsidRPr="00FB229F">
        <w:t>.</w:t>
      </w:r>
    </w:p>
    <w:p w14:paraId="688B6522" w14:textId="352EBE9F" w:rsidR="0052199F" w:rsidRPr="00FB229F" w:rsidRDefault="0052199F" w:rsidP="0052199F">
      <w:pPr>
        <w:pStyle w:val="Caption"/>
      </w:pPr>
      <w:bookmarkStart w:id="29" w:name="_Ref131769724"/>
      <w:r w:rsidRPr="00FB229F">
        <w:t xml:space="preserve">Table </w:t>
      </w:r>
      <w:r w:rsidR="00BF0AEB">
        <w:fldChar w:fldCharType="begin" w:fldLock="1"/>
      </w:r>
      <w:r w:rsidR="00BF0AEB">
        <w:instrText xml:space="preserve"> SEQ Table \* ARABIC </w:instrText>
      </w:r>
      <w:r w:rsidR="00BF0AEB">
        <w:fldChar w:fldCharType="separate"/>
      </w:r>
      <w:r w:rsidR="00CA7201" w:rsidRPr="00166045">
        <w:t>5</w:t>
      </w:r>
      <w:r w:rsidR="00BF0AEB">
        <w:fldChar w:fldCharType="end"/>
      </w:r>
      <w:bookmarkEnd w:id="29"/>
      <w:r w:rsidRPr="00FB229F">
        <w:t>: Overall survival in treatment-naïve patients in LIBRETTO-001</w:t>
      </w: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3326"/>
      </w:tblGrid>
      <w:tr w:rsidR="0052199F" w:rsidRPr="00FB229F" w14:paraId="34D1B889" w14:textId="77777777" w:rsidTr="00816BFB">
        <w:trPr>
          <w:cantSplit/>
        </w:trPr>
        <w:tc>
          <w:tcPr>
            <w:tcW w:w="3227" w:type="dxa"/>
          </w:tcPr>
          <w:p w14:paraId="46B3B0D4" w14:textId="77777777" w:rsidR="0052199F" w:rsidRPr="00FB229F" w:rsidRDefault="0052199F" w:rsidP="00604558">
            <w:pPr>
              <w:pStyle w:val="Tabletext"/>
              <w:keepNext/>
              <w:rPr>
                <w:b/>
              </w:rPr>
            </w:pPr>
            <w:r w:rsidRPr="00FB229F">
              <w:rPr>
                <w:b/>
              </w:rPr>
              <w:t>Status</w:t>
            </w:r>
          </w:p>
        </w:tc>
        <w:tc>
          <w:tcPr>
            <w:tcW w:w="2410" w:type="dxa"/>
          </w:tcPr>
          <w:p w14:paraId="769388EF" w14:textId="77777777" w:rsidR="0052199F" w:rsidRPr="00FB229F" w:rsidRDefault="0052199F" w:rsidP="00604558">
            <w:pPr>
              <w:pStyle w:val="Tabletext"/>
              <w:keepNext/>
              <w:rPr>
                <w:b/>
              </w:rPr>
            </w:pPr>
            <w:r w:rsidRPr="00FB229F">
              <w:rPr>
                <w:b/>
              </w:rPr>
              <w:t>Treatment-Naïve Patients (N=69)</w:t>
            </w:r>
          </w:p>
        </w:tc>
        <w:tc>
          <w:tcPr>
            <w:tcW w:w="3326" w:type="dxa"/>
          </w:tcPr>
          <w:p w14:paraId="14F92373" w14:textId="52080695" w:rsidR="0052199F" w:rsidRPr="00FB229F" w:rsidRDefault="0052199F" w:rsidP="00604558">
            <w:pPr>
              <w:pStyle w:val="Tabletext"/>
              <w:keepNext/>
              <w:rPr>
                <w:b/>
              </w:rPr>
            </w:pPr>
            <w:r w:rsidRPr="00FB229F">
              <w:rPr>
                <w:b/>
              </w:rPr>
              <w:t>Patients previously treated with platinum-based chemotherapy (N=247)</w:t>
            </w:r>
          </w:p>
        </w:tc>
      </w:tr>
      <w:tr w:rsidR="0052199F" w:rsidRPr="00FB229F" w14:paraId="6077B46B" w14:textId="77777777" w:rsidTr="00816BFB">
        <w:trPr>
          <w:cantSplit/>
        </w:trPr>
        <w:tc>
          <w:tcPr>
            <w:tcW w:w="5637" w:type="dxa"/>
            <w:gridSpan w:val="2"/>
          </w:tcPr>
          <w:p w14:paraId="6CA13DBA" w14:textId="77777777" w:rsidR="0052199F" w:rsidRPr="00FB229F" w:rsidRDefault="0052199F" w:rsidP="00604558">
            <w:pPr>
              <w:pStyle w:val="Tabletext"/>
              <w:keepNext/>
            </w:pPr>
            <w:r w:rsidRPr="00FB229F">
              <w:t>Survival Status n (%)</w:t>
            </w:r>
          </w:p>
        </w:tc>
        <w:tc>
          <w:tcPr>
            <w:tcW w:w="3326" w:type="dxa"/>
          </w:tcPr>
          <w:p w14:paraId="00CA003C" w14:textId="77777777" w:rsidR="0052199F" w:rsidRPr="00FB229F" w:rsidRDefault="0052199F" w:rsidP="00604558">
            <w:pPr>
              <w:pStyle w:val="Tabletext"/>
              <w:keepNext/>
            </w:pPr>
          </w:p>
        </w:tc>
      </w:tr>
      <w:tr w:rsidR="0052199F" w:rsidRPr="00FB229F" w14:paraId="6497D19D" w14:textId="77777777" w:rsidTr="00816BFB">
        <w:trPr>
          <w:cantSplit/>
        </w:trPr>
        <w:tc>
          <w:tcPr>
            <w:tcW w:w="3227" w:type="dxa"/>
          </w:tcPr>
          <w:p w14:paraId="6B5156AB" w14:textId="77777777" w:rsidR="0052199F" w:rsidRPr="00FB229F" w:rsidRDefault="0052199F" w:rsidP="00604558">
            <w:pPr>
              <w:pStyle w:val="Tabletext"/>
              <w:keepNext/>
              <w:ind w:left="720" w:hanging="556"/>
            </w:pPr>
            <w:r w:rsidRPr="00FB229F">
              <w:t>Dead</w:t>
            </w:r>
          </w:p>
        </w:tc>
        <w:tc>
          <w:tcPr>
            <w:tcW w:w="2410" w:type="dxa"/>
          </w:tcPr>
          <w:p w14:paraId="2A76D5B5" w14:textId="77777777" w:rsidR="0052199F" w:rsidRPr="00FB229F" w:rsidRDefault="0052199F" w:rsidP="00604558">
            <w:pPr>
              <w:pStyle w:val="Tabletext"/>
              <w:keepNext/>
            </w:pPr>
            <w:r w:rsidRPr="00FB229F">
              <w:t>20 (29.0)</w:t>
            </w:r>
          </w:p>
        </w:tc>
        <w:tc>
          <w:tcPr>
            <w:tcW w:w="3326" w:type="dxa"/>
          </w:tcPr>
          <w:p w14:paraId="2BF156B3" w14:textId="77777777" w:rsidR="0052199F" w:rsidRPr="00FB229F" w:rsidRDefault="0052199F" w:rsidP="00604558">
            <w:pPr>
              <w:pStyle w:val="Tabletext"/>
              <w:keepNext/>
            </w:pPr>
            <w:r w:rsidRPr="00FB229F">
              <w:t>78 (31.6)</w:t>
            </w:r>
          </w:p>
        </w:tc>
      </w:tr>
      <w:tr w:rsidR="0052199F" w:rsidRPr="00FB229F" w14:paraId="40DEDC97" w14:textId="77777777" w:rsidTr="00816BFB">
        <w:trPr>
          <w:cantSplit/>
        </w:trPr>
        <w:tc>
          <w:tcPr>
            <w:tcW w:w="3227" w:type="dxa"/>
          </w:tcPr>
          <w:p w14:paraId="2F5163E8" w14:textId="77777777" w:rsidR="0052199F" w:rsidRPr="00FB229F" w:rsidRDefault="0052199F" w:rsidP="00604558">
            <w:pPr>
              <w:pStyle w:val="Tabletext"/>
              <w:keepNext/>
              <w:ind w:left="720" w:hanging="556"/>
            </w:pPr>
            <w:r w:rsidRPr="00FB229F">
              <w:t>Censored</w:t>
            </w:r>
          </w:p>
        </w:tc>
        <w:tc>
          <w:tcPr>
            <w:tcW w:w="2410" w:type="dxa"/>
          </w:tcPr>
          <w:p w14:paraId="60727606" w14:textId="77777777" w:rsidR="0052199F" w:rsidRPr="00FB229F" w:rsidRDefault="0052199F" w:rsidP="00604558">
            <w:pPr>
              <w:pStyle w:val="Tabletext"/>
              <w:keepNext/>
            </w:pPr>
            <w:r w:rsidRPr="00FB229F">
              <w:t>49 (71.0)</w:t>
            </w:r>
          </w:p>
        </w:tc>
        <w:tc>
          <w:tcPr>
            <w:tcW w:w="3326" w:type="dxa"/>
          </w:tcPr>
          <w:p w14:paraId="2226AD9B" w14:textId="77777777" w:rsidR="0052199F" w:rsidRPr="00FB229F" w:rsidRDefault="0052199F" w:rsidP="00604558">
            <w:pPr>
              <w:pStyle w:val="Tabletext"/>
              <w:keepNext/>
            </w:pPr>
            <w:r w:rsidRPr="00FB229F">
              <w:t>169 (68.4)</w:t>
            </w:r>
          </w:p>
        </w:tc>
      </w:tr>
      <w:tr w:rsidR="0052199F" w:rsidRPr="00FB229F" w14:paraId="548263DF" w14:textId="77777777" w:rsidTr="00DE0372">
        <w:trPr>
          <w:cantSplit/>
        </w:trPr>
        <w:tc>
          <w:tcPr>
            <w:tcW w:w="8963" w:type="dxa"/>
            <w:gridSpan w:val="3"/>
          </w:tcPr>
          <w:p w14:paraId="40C1590F" w14:textId="77777777" w:rsidR="0052199F" w:rsidRPr="00FB229F" w:rsidRDefault="0052199F" w:rsidP="00604558">
            <w:pPr>
              <w:pStyle w:val="Tabletext"/>
              <w:keepNext/>
            </w:pPr>
            <w:r w:rsidRPr="00FB229F">
              <w:t>Reason censored, n (%)</w:t>
            </w:r>
          </w:p>
        </w:tc>
      </w:tr>
      <w:tr w:rsidR="0052199F" w:rsidRPr="00FB229F" w14:paraId="5E1B2ED2" w14:textId="77777777" w:rsidTr="00816BFB">
        <w:trPr>
          <w:cantSplit/>
        </w:trPr>
        <w:tc>
          <w:tcPr>
            <w:tcW w:w="3227" w:type="dxa"/>
          </w:tcPr>
          <w:p w14:paraId="293E5088" w14:textId="77777777" w:rsidR="0052199F" w:rsidRPr="00FB229F" w:rsidRDefault="0052199F" w:rsidP="00604558">
            <w:pPr>
              <w:pStyle w:val="Tabletext"/>
              <w:keepNext/>
              <w:ind w:left="720" w:hanging="556"/>
            </w:pPr>
            <w:r w:rsidRPr="00FB229F">
              <w:t>Lost to follow-up</w:t>
            </w:r>
          </w:p>
        </w:tc>
        <w:tc>
          <w:tcPr>
            <w:tcW w:w="2410" w:type="dxa"/>
          </w:tcPr>
          <w:p w14:paraId="56A4482C" w14:textId="77777777" w:rsidR="0052199F" w:rsidRPr="00FB229F" w:rsidRDefault="0052199F" w:rsidP="00604558">
            <w:pPr>
              <w:pStyle w:val="Tabletext"/>
              <w:keepNext/>
            </w:pPr>
            <w:r w:rsidRPr="00FB229F">
              <w:t>0 (0.0)</w:t>
            </w:r>
          </w:p>
        </w:tc>
        <w:tc>
          <w:tcPr>
            <w:tcW w:w="3326" w:type="dxa"/>
          </w:tcPr>
          <w:p w14:paraId="7771A6DC" w14:textId="77777777" w:rsidR="0052199F" w:rsidRPr="00FB229F" w:rsidRDefault="0052199F" w:rsidP="00604558">
            <w:pPr>
              <w:pStyle w:val="Tabletext"/>
              <w:keepNext/>
            </w:pPr>
            <w:r w:rsidRPr="00FB229F">
              <w:t>1 (0.4)</w:t>
            </w:r>
          </w:p>
        </w:tc>
      </w:tr>
      <w:tr w:rsidR="0052199F" w:rsidRPr="00FB229F" w14:paraId="3469CB11" w14:textId="77777777" w:rsidTr="00816BFB">
        <w:trPr>
          <w:cantSplit/>
        </w:trPr>
        <w:tc>
          <w:tcPr>
            <w:tcW w:w="3227" w:type="dxa"/>
          </w:tcPr>
          <w:p w14:paraId="53E01384" w14:textId="77777777" w:rsidR="0052199F" w:rsidRPr="00FB229F" w:rsidRDefault="0052199F" w:rsidP="00604558">
            <w:pPr>
              <w:pStyle w:val="Tabletext"/>
              <w:keepNext/>
              <w:ind w:left="720" w:hanging="556"/>
            </w:pPr>
            <w:r w:rsidRPr="00FB229F">
              <w:t>OS follow-up ongoing</w:t>
            </w:r>
          </w:p>
        </w:tc>
        <w:tc>
          <w:tcPr>
            <w:tcW w:w="2410" w:type="dxa"/>
          </w:tcPr>
          <w:p w14:paraId="56599800" w14:textId="77777777" w:rsidR="0052199F" w:rsidRPr="00FB229F" w:rsidRDefault="0052199F" w:rsidP="00604558">
            <w:pPr>
              <w:pStyle w:val="Tabletext"/>
              <w:keepNext/>
            </w:pPr>
            <w:r w:rsidRPr="00FB229F">
              <w:t>44 (63.8)</w:t>
            </w:r>
          </w:p>
        </w:tc>
        <w:tc>
          <w:tcPr>
            <w:tcW w:w="3326" w:type="dxa"/>
          </w:tcPr>
          <w:p w14:paraId="46292B2A" w14:textId="77777777" w:rsidR="0052199F" w:rsidRPr="00FB229F" w:rsidRDefault="0052199F" w:rsidP="00604558">
            <w:pPr>
              <w:pStyle w:val="Tabletext"/>
              <w:keepNext/>
            </w:pPr>
            <w:r w:rsidRPr="00FB229F">
              <w:t>143 (57.9)</w:t>
            </w:r>
          </w:p>
        </w:tc>
      </w:tr>
      <w:tr w:rsidR="0052199F" w:rsidRPr="00FB229F" w14:paraId="48A1B380" w14:textId="77777777" w:rsidTr="00816BFB">
        <w:trPr>
          <w:cantSplit/>
        </w:trPr>
        <w:tc>
          <w:tcPr>
            <w:tcW w:w="3227" w:type="dxa"/>
          </w:tcPr>
          <w:p w14:paraId="59A018BA" w14:textId="77777777" w:rsidR="0052199F" w:rsidRPr="00FB229F" w:rsidRDefault="0052199F" w:rsidP="00604558">
            <w:pPr>
              <w:pStyle w:val="Tabletext"/>
              <w:keepNext/>
              <w:ind w:left="720" w:hanging="556"/>
            </w:pPr>
            <w:r w:rsidRPr="00FB229F">
              <w:t xml:space="preserve">Withdrawal of consent </w:t>
            </w:r>
          </w:p>
        </w:tc>
        <w:tc>
          <w:tcPr>
            <w:tcW w:w="2410" w:type="dxa"/>
          </w:tcPr>
          <w:p w14:paraId="6DE17155" w14:textId="77777777" w:rsidR="0052199F" w:rsidRPr="00FB229F" w:rsidRDefault="0052199F" w:rsidP="00604558">
            <w:pPr>
              <w:pStyle w:val="Tabletext"/>
              <w:keepNext/>
            </w:pPr>
            <w:r w:rsidRPr="00FB229F">
              <w:t>5 (7.2)</w:t>
            </w:r>
          </w:p>
        </w:tc>
        <w:tc>
          <w:tcPr>
            <w:tcW w:w="3326" w:type="dxa"/>
          </w:tcPr>
          <w:p w14:paraId="7CC5BAF1" w14:textId="77777777" w:rsidR="0052199F" w:rsidRPr="00FB229F" w:rsidRDefault="0052199F" w:rsidP="00604558">
            <w:pPr>
              <w:pStyle w:val="Tabletext"/>
              <w:keepNext/>
            </w:pPr>
            <w:r w:rsidRPr="00FB229F">
              <w:t>25 (10.1)</w:t>
            </w:r>
          </w:p>
        </w:tc>
      </w:tr>
      <w:tr w:rsidR="0052199F" w:rsidRPr="00FB229F" w14:paraId="3961D2EB" w14:textId="77777777" w:rsidTr="00816BFB">
        <w:trPr>
          <w:cantSplit/>
        </w:trPr>
        <w:tc>
          <w:tcPr>
            <w:tcW w:w="3227" w:type="dxa"/>
          </w:tcPr>
          <w:p w14:paraId="7E700A64" w14:textId="77777777" w:rsidR="0052199F" w:rsidRPr="00FB229F" w:rsidRDefault="0052199F" w:rsidP="00604558">
            <w:pPr>
              <w:pStyle w:val="Tabletext"/>
              <w:keepNext/>
            </w:pPr>
            <w:r w:rsidRPr="00FB229F">
              <w:t xml:space="preserve">Median duration of overall Survival, months, (95% CI) </w:t>
            </w:r>
            <w:proofErr w:type="spellStart"/>
            <w:r w:rsidRPr="00FB229F">
              <w:rPr>
                <w:vertAlign w:val="superscript"/>
              </w:rPr>
              <w:t>a,b</w:t>
            </w:r>
            <w:proofErr w:type="spellEnd"/>
            <w:r w:rsidRPr="00FB229F">
              <w:t xml:space="preserve"> </w:t>
            </w:r>
          </w:p>
        </w:tc>
        <w:tc>
          <w:tcPr>
            <w:tcW w:w="2410" w:type="dxa"/>
          </w:tcPr>
          <w:p w14:paraId="2B4B96D0" w14:textId="77777777" w:rsidR="0052199F" w:rsidRPr="00FB229F" w:rsidRDefault="0052199F" w:rsidP="00604558">
            <w:pPr>
              <w:pStyle w:val="Tabletext"/>
              <w:keepNext/>
            </w:pPr>
            <w:r w:rsidRPr="00FB229F">
              <w:t>NE (27.9, NE)</w:t>
            </w:r>
          </w:p>
        </w:tc>
        <w:tc>
          <w:tcPr>
            <w:tcW w:w="3326" w:type="dxa"/>
          </w:tcPr>
          <w:p w14:paraId="0DE58667" w14:textId="77777777" w:rsidR="0052199F" w:rsidRPr="00FB229F" w:rsidRDefault="0052199F" w:rsidP="00604558">
            <w:pPr>
              <w:pStyle w:val="Tabletext"/>
              <w:keepNext/>
            </w:pPr>
            <w:r w:rsidRPr="00FB229F">
              <w:t>NE (33.5, NE)</w:t>
            </w:r>
          </w:p>
        </w:tc>
      </w:tr>
      <w:tr w:rsidR="0052199F" w:rsidRPr="00FB229F" w14:paraId="0E52B39F" w14:textId="77777777" w:rsidTr="00816BFB">
        <w:trPr>
          <w:cantSplit/>
        </w:trPr>
        <w:tc>
          <w:tcPr>
            <w:tcW w:w="3227" w:type="dxa"/>
          </w:tcPr>
          <w:p w14:paraId="78E54F5E" w14:textId="77777777" w:rsidR="0052199F" w:rsidRPr="00FB229F" w:rsidRDefault="0052199F" w:rsidP="00604558">
            <w:pPr>
              <w:pStyle w:val="Tabletext"/>
              <w:keepNext/>
            </w:pPr>
            <w:r w:rsidRPr="00FB229F">
              <w:t xml:space="preserve">Median duration of Follow-up (months) </w:t>
            </w:r>
            <w:r w:rsidRPr="00FB229F">
              <w:rPr>
                <w:vertAlign w:val="superscript"/>
              </w:rPr>
              <w:t>a</w:t>
            </w:r>
          </w:p>
        </w:tc>
        <w:tc>
          <w:tcPr>
            <w:tcW w:w="2410" w:type="dxa"/>
          </w:tcPr>
          <w:p w14:paraId="1022CCBA" w14:textId="77777777" w:rsidR="0052199F" w:rsidRPr="00FB229F" w:rsidRDefault="0052199F" w:rsidP="00604558">
            <w:pPr>
              <w:pStyle w:val="Tabletext"/>
              <w:keepNext/>
            </w:pPr>
            <w:r w:rsidRPr="00FB229F">
              <w:t>25.2</w:t>
            </w:r>
          </w:p>
        </w:tc>
        <w:tc>
          <w:tcPr>
            <w:tcW w:w="3326" w:type="dxa"/>
          </w:tcPr>
          <w:p w14:paraId="2214AD8D" w14:textId="77777777" w:rsidR="0052199F" w:rsidRPr="00FB229F" w:rsidRDefault="0052199F" w:rsidP="00604558">
            <w:pPr>
              <w:pStyle w:val="Tabletext"/>
              <w:keepNext/>
            </w:pPr>
            <w:r w:rsidRPr="00FB229F">
              <w:t>26.4</w:t>
            </w:r>
          </w:p>
        </w:tc>
      </w:tr>
      <w:tr w:rsidR="0052199F" w:rsidRPr="00FB229F" w14:paraId="4894381D" w14:textId="77777777" w:rsidTr="00816BFB">
        <w:trPr>
          <w:cantSplit/>
        </w:trPr>
        <w:tc>
          <w:tcPr>
            <w:tcW w:w="5637" w:type="dxa"/>
            <w:gridSpan w:val="2"/>
          </w:tcPr>
          <w:p w14:paraId="15C1937C" w14:textId="037B955F" w:rsidR="0052199F" w:rsidRPr="00FB229F" w:rsidRDefault="0052199F" w:rsidP="00604558">
            <w:pPr>
              <w:pStyle w:val="Tabletext"/>
              <w:keepNext/>
            </w:pPr>
            <w:r w:rsidRPr="00FB229F">
              <w:t xml:space="preserve">Rate (%) of Overall </w:t>
            </w:r>
            <w:proofErr w:type="spellStart"/>
            <w:r w:rsidRPr="00FB229F">
              <w:t>Survival</w:t>
            </w:r>
            <w:r w:rsidRPr="00FB229F">
              <w:rPr>
                <w:vertAlign w:val="superscript"/>
              </w:rPr>
              <w:t>a</w:t>
            </w:r>
            <w:r w:rsidR="00866B13" w:rsidRPr="00FB229F">
              <w:rPr>
                <w:vertAlign w:val="superscript"/>
              </w:rPr>
              <w:t>,</w:t>
            </w:r>
            <w:r w:rsidRPr="00FB229F">
              <w:rPr>
                <w:vertAlign w:val="superscript"/>
              </w:rPr>
              <w:t>b</w:t>
            </w:r>
            <w:proofErr w:type="spellEnd"/>
          </w:p>
        </w:tc>
        <w:tc>
          <w:tcPr>
            <w:tcW w:w="3326" w:type="dxa"/>
          </w:tcPr>
          <w:p w14:paraId="3E43C2C8" w14:textId="77777777" w:rsidR="0052199F" w:rsidRPr="00FB229F" w:rsidRDefault="0052199F" w:rsidP="00604558">
            <w:pPr>
              <w:pStyle w:val="Tabletext"/>
              <w:keepNext/>
            </w:pPr>
          </w:p>
        </w:tc>
      </w:tr>
      <w:tr w:rsidR="0052199F" w:rsidRPr="00FB229F" w14:paraId="38ABE6E3" w14:textId="77777777" w:rsidTr="00816BFB">
        <w:trPr>
          <w:cantSplit/>
        </w:trPr>
        <w:tc>
          <w:tcPr>
            <w:tcW w:w="3227" w:type="dxa"/>
          </w:tcPr>
          <w:p w14:paraId="793998FB" w14:textId="77777777" w:rsidR="0052199F" w:rsidRPr="00FB229F" w:rsidRDefault="0052199F" w:rsidP="00604558">
            <w:pPr>
              <w:pStyle w:val="Tabletext"/>
              <w:keepNext/>
              <w:ind w:left="720" w:hanging="556"/>
            </w:pPr>
            <w:r w:rsidRPr="00FB229F">
              <w:t>≥12 months (95% CI)</w:t>
            </w:r>
          </w:p>
        </w:tc>
        <w:tc>
          <w:tcPr>
            <w:tcW w:w="2410" w:type="dxa"/>
          </w:tcPr>
          <w:p w14:paraId="31AEDD54" w14:textId="77777777" w:rsidR="0052199F" w:rsidRPr="00FB229F" w:rsidRDefault="0052199F" w:rsidP="00604558">
            <w:pPr>
              <w:pStyle w:val="Tabletext"/>
              <w:keepNext/>
            </w:pPr>
            <w:r w:rsidRPr="00FB229F">
              <w:t>92.7 (83.3, 96.9)</w:t>
            </w:r>
          </w:p>
        </w:tc>
        <w:tc>
          <w:tcPr>
            <w:tcW w:w="3326" w:type="dxa"/>
          </w:tcPr>
          <w:p w14:paraId="1C6DBB01" w14:textId="77777777" w:rsidR="0052199F" w:rsidRPr="00FB229F" w:rsidRDefault="0052199F" w:rsidP="00604558">
            <w:pPr>
              <w:pStyle w:val="Tabletext"/>
              <w:keepNext/>
            </w:pPr>
            <w:r w:rsidRPr="00FB229F">
              <w:t>87.9 (83.0, 91.4)</w:t>
            </w:r>
          </w:p>
        </w:tc>
      </w:tr>
      <w:tr w:rsidR="0052199F" w:rsidRPr="00FB229F" w14:paraId="12B32245" w14:textId="77777777" w:rsidTr="00816BFB">
        <w:trPr>
          <w:cantSplit/>
        </w:trPr>
        <w:tc>
          <w:tcPr>
            <w:tcW w:w="3227" w:type="dxa"/>
          </w:tcPr>
          <w:p w14:paraId="35C55DEB" w14:textId="77777777" w:rsidR="0052199F" w:rsidRPr="00FB229F" w:rsidRDefault="0052199F" w:rsidP="00604558">
            <w:pPr>
              <w:pStyle w:val="Tabletext"/>
              <w:keepNext/>
              <w:ind w:left="720" w:hanging="556"/>
            </w:pPr>
            <w:r w:rsidRPr="00FB229F">
              <w:t>≥24 months (95% CI)</w:t>
            </w:r>
          </w:p>
        </w:tc>
        <w:tc>
          <w:tcPr>
            <w:tcW w:w="2410" w:type="dxa"/>
          </w:tcPr>
          <w:p w14:paraId="6FB0D6D6" w14:textId="77777777" w:rsidR="0052199F" w:rsidRPr="00FB229F" w:rsidRDefault="0052199F" w:rsidP="00604558">
            <w:pPr>
              <w:pStyle w:val="Tabletext"/>
              <w:keepNext/>
            </w:pPr>
            <w:r w:rsidRPr="00FB229F">
              <w:t>69.3 (55.2, 79.7)</w:t>
            </w:r>
          </w:p>
        </w:tc>
        <w:tc>
          <w:tcPr>
            <w:tcW w:w="3326" w:type="dxa"/>
          </w:tcPr>
          <w:p w14:paraId="6E2EC11B" w14:textId="77777777" w:rsidR="0052199F" w:rsidRPr="00FB229F" w:rsidRDefault="0052199F" w:rsidP="00604558">
            <w:pPr>
              <w:pStyle w:val="Tabletext"/>
              <w:keepNext/>
            </w:pPr>
            <w:r w:rsidRPr="00FB229F">
              <w:t>68.9 (62.2, 74.7)</w:t>
            </w:r>
          </w:p>
        </w:tc>
      </w:tr>
      <w:tr w:rsidR="0052199F" w:rsidRPr="00FB229F" w14:paraId="12B99825" w14:textId="77777777" w:rsidTr="00816BFB">
        <w:trPr>
          <w:cantSplit/>
        </w:trPr>
        <w:tc>
          <w:tcPr>
            <w:tcW w:w="3227" w:type="dxa"/>
          </w:tcPr>
          <w:p w14:paraId="7D367579" w14:textId="77777777" w:rsidR="0052199F" w:rsidRPr="00FB229F" w:rsidRDefault="0052199F" w:rsidP="00604558">
            <w:pPr>
              <w:pStyle w:val="Tabletext"/>
              <w:keepNext/>
              <w:ind w:left="720" w:hanging="556"/>
            </w:pPr>
            <w:r w:rsidRPr="00FB229F">
              <w:t>≥36 months (95% CI)</w:t>
            </w:r>
          </w:p>
        </w:tc>
        <w:tc>
          <w:tcPr>
            <w:tcW w:w="2410" w:type="dxa"/>
          </w:tcPr>
          <w:p w14:paraId="2D459CF1" w14:textId="77777777" w:rsidR="0052199F" w:rsidRPr="00FB229F" w:rsidRDefault="0052199F" w:rsidP="00604558">
            <w:pPr>
              <w:pStyle w:val="Tabletext"/>
              <w:keepNext/>
            </w:pPr>
            <w:r w:rsidRPr="00FB229F">
              <w:t>57.1 (35.9, 73.6)</w:t>
            </w:r>
          </w:p>
        </w:tc>
        <w:tc>
          <w:tcPr>
            <w:tcW w:w="3326" w:type="dxa"/>
          </w:tcPr>
          <w:p w14:paraId="62A2984C" w14:textId="77777777" w:rsidR="0052199F" w:rsidRPr="00FB229F" w:rsidRDefault="0052199F" w:rsidP="00604558">
            <w:pPr>
              <w:pStyle w:val="Tabletext"/>
              <w:keepNext/>
            </w:pPr>
            <w:r w:rsidRPr="00FB229F">
              <w:t>58.5 (49.7, 66.3)</w:t>
            </w:r>
          </w:p>
        </w:tc>
      </w:tr>
    </w:tbl>
    <w:p w14:paraId="750E7292" w14:textId="4CF7C88E" w:rsidR="0052199F" w:rsidRPr="00FB229F" w:rsidRDefault="0052199F" w:rsidP="0052199F">
      <w:pPr>
        <w:pStyle w:val="TableFooter"/>
      </w:pPr>
      <w:r w:rsidRPr="00FB229F">
        <w:t>Source: Table 2-82, p228</w:t>
      </w:r>
      <w:r w:rsidR="005170C3" w:rsidRPr="00FB229F">
        <w:t xml:space="preserve"> </w:t>
      </w:r>
      <w:r w:rsidRPr="00FB229F">
        <w:t>of the submission</w:t>
      </w:r>
    </w:p>
    <w:p w14:paraId="464E2E8B" w14:textId="77777777" w:rsidR="0052199F" w:rsidRPr="00FB229F" w:rsidRDefault="0052199F" w:rsidP="0052199F">
      <w:pPr>
        <w:pStyle w:val="TableFooter"/>
      </w:pPr>
      <w:r w:rsidRPr="00FB229F">
        <w:t>CI=confidence interval; NE=not estimable (not reached)</w:t>
      </w:r>
    </w:p>
    <w:p w14:paraId="405C6CBA" w14:textId="77777777" w:rsidR="0052199F" w:rsidRPr="00FB229F" w:rsidRDefault="0052199F" w:rsidP="0052199F">
      <w:pPr>
        <w:pStyle w:val="TableFooter"/>
      </w:pPr>
      <w:r w:rsidRPr="00FB229F">
        <w:t xml:space="preserve">Data cutoff 15 June 2021. </w:t>
      </w:r>
    </w:p>
    <w:p w14:paraId="34C3FA6E" w14:textId="77777777" w:rsidR="0052199F" w:rsidRPr="00FB229F" w:rsidRDefault="0052199F" w:rsidP="0052199F">
      <w:pPr>
        <w:pStyle w:val="TableFooter"/>
        <w:rPr>
          <w:szCs w:val="16"/>
        </w:rPr>
      </w:pPr>
      <w:r w:rsidRPr="00FB229F">
        <w:rPr>
          <w:vertAlign w:val="superscript"/>
        </w:rPr>
        <w:t xml:space="preserve">a </w:t>
      </w:r>
      <w:r w:rsidRPr="00FB229F">
        <w:t>Estimate based on Kaplan-Meier met</w:t>
      </w:r>
      <w:r w:rsidRPr="00FB229F">
        <w:rPr>
          <w:szCs w:val="16"/>
        </w:rPr>
        <w:t>hod.</w:t>
      </w:r>
    </w:p>
    <w:p w14:paraId="5D6B2626" w14:textId="77777777" w:rsidR="0052199F" w:rsidRPr="00FB229F" w:rsidRDefault="0052199F" w:rsidP="00816BFB">
      <w:pPr>
        <w:pStyle w:val="TableFooter"/>
        <w:spacing w:after="120"/>
      </w:pPr>
      <w:r w:rsidRPr="00FB229F">
        <w:rPr>
          <w:vertAlign w:val="superscript"/>
        </w:rPr>
        <w:t>b</w:t>
      </w:r>
      <w:r w:rsidRPr="00FB229F">
        <w:t xml:space="preserve"> 95% CI was calculated using Greenwood’s formula</w:t>
      </w:r>
    </w:p>
    <w:p w14:paraId="15B95D53" w14:textId="74A2D6C7" w:rsidR="00B7142C" w:rsidRPr="00FB229F" w:rsidRDefault="009B6D86" w:rsidP="00CB0B7E">
      <w:pPr>
        <w:pStyle w:val="3-BodyText"/>
        <w:ind w:left="709" w:hanging="709"/>
        <w:rPr>
          <w:iCs/>
          <w:color w:val="0066FF"/>
        </w:rPr>
      </w:pPr>
      <w:r w:rsidRPr="00FB229F">
        <w:t xml:space="preserve">The OS data were immature </w:t>
      </w:r>
      <w:r w:rsidR="005170C3" w:rsidRPr="00FB229F">
        <w:t>at</w:t>
      </w:r>
      <w:r w:rsidRPr="00FB229F">
        <w:t xml:space="preserve"> data cutoff. The median duration of OS in both the treatment-naïve and pre-treated cohorts was not reached</w:t>
      </w:r>
      <w:r w:rsidR="0052199F" w:rsidRPr="00FB229F">
        <w:t>.</w:t>
      </w:r>
      <w:r w:rsidR="004B0569" w:rsidRPr="00FB229F">
        <w:t xml:space="preserve"> In the treatment-naïve cohort, </w:t>
      </w:r>
      <w:r w:rsidR="00DD326C" w:rsidRPr="00FB229F">
        <w:t>71.0</w:t>
      </w:r>
      <w:r w:rsidR="004B0569" w:rsidRPr="00FB229F">
        <w:t>% patients were alive at a median follow-up of 25.2 months. The KM rate for OS at ≥12 months was 92.7%, and at ≥36 months was 57.1%</w:t>
      </w:r>
      <w:r w:rsidR="002B6398" w:rsidRPr="00FB229F">
        <w:t>.</w:t>
      </w:r>
      <w:r w:rsidR="004B0569" w:rsidRPr="00FB229F">
        <w:t xml:space="preserve"> In the pre</w:t>
      </w:r>
      <w:r w:rsidR="003E09EE" w:rsidRPr="00FB229F">
        <w:t>-</w:t>
      </w:r>
      <w:r w:rsidR="004B0569" w:rsidRPr="00FB229F">
        <w:t xml:space="preserve">treated cohort, </w:t>
      </w:r>
      <w:r w:rsidR="00DD326C" w:rsidRPr="00FB229F">
        <w:t>68.4</w:t>
      </w:r>
      <w:r w:rsidR="004B0569" w:rsidRPr="00FB229F">
        <w:t>% patients were alive at a median follow-up of 26.4 months. The rate of OS at ≥12 months was 87.9%, and at ≥36 months was 58.5%.</w:t>
      </w:r>
      <w:r w:rsidR="00B62225" w:rsidRPr="00FB229F">
        <w:rPr>
          <w:iCs/>
        </w:rPr>
        <w:t xml:space="preserve"> </w:t>
      </w:r>
    </w:p>
    <w:p w14:paraId="01C54639" w14:textId="240AFFE8" w:rsidR="00AB20E9" w:rsidRPr="00FB229F" w:rsidRDefault="00B62225" w:rsidP="00327400">
      <w:pPr>
        <w:pStyle w:val="3-BodyText"/>
        <w:ind w:left="709" w:hanging="709"/>
      </w:pPr>
      <w:bookmarkStart w:id="30" w:name="_Ref138161786"/>
      <w:r w:rsidRPr="00FB229F">
        <w:rPr>
          <w:iCs/>
        </w:rPr>
        <w:t xml:space="preserve">The PSCR </w:t>
      </w:r>
      <w:r w:rsidRPr="008731AF">
        <w:rPr>
          <w:iCs/>
        </w:rPr>
        <w:t xml:space="preserve">provided updated data </w:t>
      </w:r>
      <w:r w:rsidR="00B7142C" w:rsidRPr="008731AF">
        <w:rPr>
          <w:iCs/>
        </w:rPr>
        <w:t xml:space="preserve">from the January 2023 data cut of LIBRETTO-001 </w:t>
      </w:r>
      <w:r w:rsidRPr="008731AF">
        <w:rPr>
          <w:iCs/>
        </w:rPr>
        <w:t xml:space="preserve">which showed that </w:t>
      </w:r>
      <w:r w:rsidR="00543276" w:rsidRPr="00BF0AEB">
        <w:rPr>
          <w:iCs/>
          <w:w w:val="15"/>
          <w:highlight w:val="black"/>
          <w:fitText w:val="-20" w:id="-1163696634"/>
        </w:rPr>
        <w:t xml:space="preserve">|  </w:t>
      </w:r>
      <w:r w:rsidR="00543276" w:rsidRPr="00BF0AEB">
        <w:rPr>
          <w:iCs/>
          <w:spacing w:val="-69"/>
          <w:w w:val="15"/>
          <w:highlight w:val="black"/>
          <w:fitText w:val="-20" w:id="-1163696634"/>
        </w:rPr>
        <w:t>|</w:t>
      </w:r>
      <w:r w:rsidR="009418E2" w:rsidRPr="009418E2">
        <w:rPr>
          <w:rStyle w:val="FootnoteReference"/>
          <w:iCs/>
        </w:rPr>
        <w:footnoteReference w:id="13"/>
      </w:r>
      <w:r w:rsidRPr="008731AF">
        <w:rPr>
          <w:iCs/>
        </w:rPr>
        <w:t xml:space="preserve"> </w:t>
      </w:r>
      <w:r w:rsidR="00B7142C" w:rsidRPr="008731AF">
        <w:rPr>
          <w:iCs/>
        </w:rPr>
        <w:t xml:space="preserve">in the treatment-naïve cohort </w:t>
      </w:r>
      <w:r w:rsidRPr="008731AF">
        <w:rPr>
          <w:iCs/>
        </w:rPr>
        <w:t xml:space="preserve">(95% CI: </w:t>
      </w:r>
      <w:r w:rsidR="00543276" w:rsidRPr="00BF0AEB">
        <w:rPr>
          <w:iCs/>
          <w:w w:val="15"/>
          <w:highlight w:val="black"/>
          <w:fitText w:val="-20" w:id="-1163696633"/>
        </w:rPr>
        <w:t xml:space="preserve">|  </w:t>
      </w:r>
      <w:r w:rsidR="00543276" w:rsidRPr="00BF0AEB">
        <w:rPr>
          <w:iCs/>
          <w:spacing w:val="-69"/>
          <w:w w:val="15"/>
          <w:highlight w:val="black"/>
          <w:fitText w:val="-20" w:id="-1163696633"/>
        </w:rPr>
        <w:t>|</w:t>
      </w:r>
      <w:r w:rsidR="009418E2">
        <w:rPr>
          <w:iCs/>
          <w:vertAlign w:val="superscript"/>
        </w:rPr>
        <w:t>13</w:t>
      </w:r>
      <w:r w:rsidRPr="008731AF">
        <w:rPr>
          <w:iCs/>
        </w:rPr>
        <w:t>)</w:t>
      </w:r>
      <w:r w:rsidR="00DD326C" w:rsidRPr="008731AF">
        <w:rPr>
          <w:iCs/>
        </w:rPr>
        <w:t xml:space="preserve">, with </w:t>
      </w:r>
      <w:r w:rsidR="00543276" w:rsidRPr="00BF0AEB">
        <w:rPr>
          <w:iCs/>
          <w:w w:val="15"/>
          <w:highlight w:val="black"/>
          <w:fitText w:val="-20" w:id="-1163696632"/>
        </w:rPr>
        <w:t xml:space="preserve">|  </w:t>
      </w:r>
      <w:r w:rsidR="00543276" w:rsidRPr="00BF0AEB">
        <w:rPr>
          <w:iCs/>
          <w:spacing w:val="-69"/>
          <w:w w:val="15"/>
          <w:highlight w:val="black"/>
          <w:fitText w:val="-20" w:id="-1163696632"/>
        </w:rPr>
        <w:t>|</w:t>
      </w:r>
      <w:r w:rsidR="00DD326C" w:rsidRPr="008731AF">
        <w:rPr>
          <w:iCs/>
        </w:rPr>
        <w:t>%</w:t>
      </w:r>
      <w:r w:rsidR="009418E2">
        <w:rPr>
          <w:iCs/>
          <w:vertAlign w:val="superscript"/>
        </w:rPr>
        <w:t>13</w:t>
      </w:r>
      <w:r w:rsidR="00DD326C" w:rsidRPr="008731AF">
        <w:rPr>
          <w:iCs/>
        </w:rPr>
        <w:t xml:space="preserve"> patients alive</w:t>
      </w:r>
      <w:r w:rsidRPr="008731AF">
        <w:rPr>
          <w:iCs/>
        </w:rPr>
        <w:t xml:space="preserve"> </w:t>
      </w:r>
      <w:r w:rsidR="00DD326C" w:rsidRPr="008731AF">
        <w:rPr>
          <w:iCs/>
        </w:rPr>
        <w:t>at</w:t>
      </w:r>
      <w:r w:rsidRPr="008731AF">
        <w:rPr>
          <w:iCs/>
        </w:rPr>
        <w:t xml:space="preserve"> a median follow up of </w:t>
      </w:r>
      <w:r w:rsidR="00543276" w:rsidRPr="00BF0AEB">
        <w:rPr>
          <w:iCs/>
          <w:w w:val="15"/>
          <w:highlight w:val="black"/>
          <w:fitText w:val="-20" w:id="-1163696631"/>
        </w:rPr>
        <w:t xml:space="preserve">|  </w:t>
      </w:r>
      <w:r w:rsidR="00543276" w:rsidRPr="00BF0AEB">
        <w:rPr>
          <w:iCs/>
          <w:spacing w:val="-69"/>
          <w:w w:val="15"/>
          <w:highlight w:val="black"/>
          <w:fitText w:val="-20" w:id="-1163696631"/>
        </w:rPr>
        <w:t>|</w:t>
      </w:r>
      <w:r w:rsidR="009418E2" w:rsidRPr="009418E2">
        <w:rPr>
          <w:iCs/>
          <w:vertAlign w:val="superscript"/>
        </w:rPr>
        <w:t>13</w:t>
      </w:r>
      <w:r w:rsidR="00066C98">
        <w:rPr>
          <w:iCs/>
        </w:rPr>
        <w:t xml:space="preserve"> </w:t>
      </w:r>
      <w:r w:rsidRPr="008731AF">
        <w:rPr>
          <w:iCs/>
        </w:rPr>
        <w:t>months.</w:t>
      </w:r>
      <w:r w:rsidR="00CB0B7E" w:rsidRPr="008731AF">
        <w:rPr>
          <w:iCs/>
        </w:rPr>
        <w:t xml:space="preserve"> </w:t>
      </w:r>
      <w:r w:rsidR="002963D8" w:rsidRPr="008731AF">
        <w:rPr>
          <w:iCs/>
          <w:snapToGrid/>
        </w:rPr>
        <w:t>T</w:t>
      </w:r>
      <w:r w:rsidR="00CB0B7E" w:rsidRPr="008731AF">
        <w:rPr>
          <w:iCs/>
          <w:snapToGrid/>
        </w:rPr>
        <w:t xml:space="preserve">he ESC </w:t>
      </w:r>
      <w:r w:rsidR="002963D8" w:rsidRPr="008731AF">
        <w:rPr>
          <w:iCs/>
          <w:snapToGrid/>
        </w:rPr>
        <w:t>considered</w:t>
      </w:r>
      <w:r w:rsidR="00CB0B7E" w:rsidRPr="00FB229F">
        <w:rPr>
          <w:iCs/>
          <w:snapToGrid/>
        </w:rPr>
        <w:t xml:space="preserve"> that </w:t>
      </w:r>
      <w:r w:rsidR="002963D8" w:rsidRPr="00FB229F">
        <w:rPr>
          <w:iCs/>
          <w:snapToGrid/>
        </w:rPr>
        <w:t xml:space="preserve">while </w:t>
      </w:r>
      <w:r w:rsidR="00CB0B7E" w:rsidRPr="00FB229F">
        <w:rPr>
          <w:iCs/>
          <w:snapToGrid/>
        </w:rPr>
        <w:t xml:space="preserve">the </w:t>
      </w:r>
      <w:r w:rsidR="002963D8" w:rsidRPr="00FB229F">
        <w:rPr>
          <w:iCs/>
          <w:snapToGrid/>
        </w:rPr>
        <w:t>OS data</w:t>
      </w:r>
      <w:r w:rsidR="00CB0B7E" w:rsidRPr="00FB229F">
        <w:rPr>
          <w:iCs/>
          <w:snapToGrid/>
        </w:rPr>
        <w:t xml:space="preserve"> </w:t>
      </w:r>
      <w:r w:rsidR="00CF264D" w:rsidRPr="00FB229F">
        <w:rPr>
          <w:iCs/>
          <w:snapToGrid/>
        </w:rPr>
        <w:t xml:space="preserve">for </w:t>
      </w:r>
      <w:r w:rsidR="002963D8" w:rsidRPr="00FB229F">
        <w:rPr>
          <w:iCs/>
          <w:snapToGrid/>
        </w:rPr>
        <w:t xml:space="preserve">the treatment-naïve cohort of </w:t>
      </w:r>
      <w:r w:rsidR="00CB0B7E" w:rsidRPr="00FB229F">
        <w:rPr>
          <w:iCs/>
          <w:snapToGrid/>
        </w:rPr>
        <w:t>LIBRETTO-001 were promising</w:t>
      </w:r>
      <w:r w:rsidR="002963D8" w:rsidRPr="00FB229F">
        <w:rPr>
          <w:iCs/>
          <w:snapToGrid/>
        </w:rPr>
        <w:t xml:space="preserve">, they </w:t>
      </w:r>
      <w:r w:rsidR="00CB0B7E" w:rsidRPr="00FB229F">
        <w:rPr>
          <w:iCs/>
          <w:snapToGrid/>
        </w:rPr>
        <w:t>remained immature.</w:t>
      </w:r>
      <w:bookmarkEnd w:id="30"/>
      <w:r w:rsidR="00CB0B7E" w:rsidRPr="00FB229F">
        <w:rPr>
          <w:iCs/>
          <w:snapToGrid/>
        </w:rPr>
        <w:t xml:space="preserve"> </w:t>
      </w:r>
    </w:p>
    <w:p w14:paraId="0823A5D1" w14:textId="6F2FC148" w:rsidR="00287518" w:rsidRPr="00FB229F" w:rsidRDefault="00287518" w:rsidP="003D270C">
      <w:pPr>
        <w:pStyle w:val="3-BodyText"/>
        <w:numPr>
          <w:ilvl w:val="0"/>
          <w:numId w:val="0"/>
        </w:numPr>
        <w:rPr>
          <w:b/>
          <w:bCs/>
          <w:iCs/>
        </w:rPr>
      </w:pPr>
      <w:bookmarkStart w:id="31" w:name="_Toc135215236"/>
      <w:r w:rsidRPr="00FB229F">
        <w:rPr>
          <w:b/>
          <w:bCs/>
          <w:iCs/>
        </w:rPr>
        <w:t>Indirect comparisons</w:t>
      </w:r>
      <w:bookmarkEnd w:id="31"/>
    </w:p>
    <w:p w14:paraId="5A9D03BD" w14:textId="67CDB670" w:rsidR="00287518" w:rsidRPr="00FB229F" w:rsidRDefault="00287518" w:rsidP="007F03AD">
      <w:pPr>
        <w:pStyle w:val="3-BodyText"/>
        <w:ind w:left="709" w:hanging="709"/>
      </w:pPr>
      <w:r w:rsidRPr="00FB229F">
        <w:t>The indirect comparison</w:t>
      </w:r>
      <w:r w:rsidR="00AB20E9" w:rsidRPr="00FB229F">
        <w:t>s</w:t>
      </w:r>
      <w:r w:rsidRPr="00FB229F">
        <w:t xml:space="preserve"> presented in the submission included a network meta-analysis (NMA), an anchored indirect comparison (termed </w:t>
      </w:r>
      <w:r w:rsidR="00087B73" w:rsidRPr="00FB229F">
        <w:t xml:space="preserve">the </w:t>
      </w:r>
      <w:r w:rsidRPr="00FB229F">
        <w:t>Bucher method in the submission), and an unanchored matching adjusted indirect comparison</w:t>
      </w:r>
      <w:r w:rsidR="00087B73" w:rsidRPr="00FB229F">
        <w:t xml:space="preserve"> (MAIC)</w:t>
      </w:r>
      <w:r w:rsidRPr="00FB229F">
        <w:t>.</w:t>
      </w:r>
    </w:p>
    <w:p w14:paraId="54A55F10" w14:textId="77777777" w:rsidR="002836ED" w:rsidRPr="00FB229F" w:rsidRDefault="002836ED" w:rsidP="00816BFB">
      <w:pPr>
        <w:pStyle w:val="3-BodyText"/>
        <w:ind w:left="709" w:hanging="709"/>
      </w:pPr>
      <w:r w:rsidRPr="00FB229F">
        <w:t xml:space="preserve">The </w:t>
      </w:r>
      <w:r w:rsidR="00087B73" w:rsidRPr="00FB229F">
        <w:t>approach taken by the submission involved</w:t>
      </w:r>
      <w:r w:rsidRPr="00FB229F">
        <w:t>:</w:t>
      </w:r>
    </w:p>
    <w:p w14:paraId="673CCB91" w14:textId="1441B8BE" w:rsidR="002836ED" w:rsidRPr="00FB229F" w:rsidRDefault="00C6749D" w:rsidP="00816BFB">
      <w:pPr>
        <w:pStyle w:val="Bulletpoints"/>
        <w:rPr>
          <w:iCs/>
        </w:rPr>
      </w:pPr>
      <w:r w:rsidRPr="00FB229F">
        <w:t>G</w:t>
      </w:r>
      <w:r w:rsidR="002836ED" w:rsidRPr="00FB229F">
        <w:t xml:space="preserve">eneration of a pseudo-control PC arm </w:t>
      </w:r>
      <w:r w:rsidR="00287518" w:rsidRPr="00FB229F">
        <w:t>for</w:t>
      </w:r>
      <w:r w:rsidR="002836ED" w:rsidRPr="00FB229F">
        <w:t xml:space="preserve"> selpercatinib </w:t>
      </w:r>
      <w:r w:rsidR="00AB20E9" w:rsidRPr="00FB229F">
        <w:t xml:space="preserve">to conduct the NMA and anchored indirect comparisons. </w:t>
      </w:r>
      <w:r w:rsidR="002A312B" w:rsidRPr="00FB229F">
        <w:t xml:space="preserve">This </w:t>
      </w:r>
      <w:r w:rsidR="00AB20E9" w:rsidRPr="00FB229F">
        <w:t xml:space="preserve">synthetic pseudo-control PC arm was constructed </w:t>
      </w:r>
      <w:r w:rsidR="002836ED" w:rsidRPr="00FB229F">
        <w:t xml:space="preserve">by matching </w:t>
      </w:r>
      <w:r w:rsidR="00AB20E9" w:rsidRPr="00FB229F">
        <w:t xml:space="preserve">(using propensity score matching (PSM)) </w:t>
      </w:r>
      <w:r w:rsidR="002836ED" w:rsidRPr="00FB229F">
        <w:t>the PC arm of KN</w:t>
      </w:r>
      <w:r w:rsidR="00AB20E9" w:rsidRPr="00FB229F">
        <w:t>-</w:t>
      </w:r>
      <w:r w:rsidR="002836ED" w:rsidRPr="00FB229F">
        <w:t>189 to the IPD in LIBRETTO-001</w:t>
      </w:r>
      <w:r w:rsidR="00287518" w:rsidRPr="00FB229F">
        <w:t>.</w:t>
      </w:r>
      <w:r w:rsidRPr="00FB229F">
        <w:t xml:space="preserve"> </w:t>
      </w:r>
      <w:r w:rsidR="00AB20E9" w:rsidRPr="00FB229F">
        <w:t xml:space="preserve">The submission noted that IPD were available </w:t>
      </w:r>
      <w:r w:rsidR="00AB20E9" w:rsidRPr="00FB229F">
        <w:lastRenderedPageBreak/>
        <w:t xml:space="preserve">for the PC control arm of KN-189 </w:t>
      </w:r>
      <w:r w:rsidR="00287518" w:rsidRPr="00FB229F">
        <w:t xml:space="preserve">but not for the pembrolizumab + PC intervention arm. </w:t>
      </w:r>
      <w:r w:rsidR="000477D2" w:rsidRPr="00FB229F">
        <w:rPr>
          <w:iCs/>
        </w:rPr>
        <w:t xml:space="preserve">The </w:t>
      </w:r>
      <w:r w:rsidR="00B62225" w:rsidRPr="00FB229F">
        <w:rPr>
          <w:iCs/>
        </w:rPr>
        <w:t>PSCR</w:t>
      </w:r>
      <w:r w:rsidR="000477D2" w:rsidRPr="00FB229F">
        <w:rPr>
          <w:iCs/>
        </w:rPr>
        <w:t xml:space="preserve"> </w:t>
      </w:r>
      <w:r w:rsidR="00810FB0" w:rsidRPr="00FB229F">
        <w:rPr>
          <w:iCs/>
        </w:rPr>
        <w:t>clarified</w:t>
      </w:r>
      <w:r w:rsidR="000477D2" w:rsidRPr="00FB229F">
        <w:rPr>
          <w:iCs/>
        </w:rPr>
        <w:t xml:space="preserve"> that the analysis comparing IPD data from the pembrolizumab+ PC arm with IPD for selpercatinib from LIBRETTO-001 trial was not within the scope of the contract between Lilly and Merck &amp; Co., Inc, who conducted the KEYNOTE-189 study</w:t>
      </w:r>
      <w:r w:rsidR="00935B5C" w:rsidRPr="00FB229F">
        <w:rPr>
          <w:iCs/>
        </w:rPr>
        <w:t>, and therefore the analysis using the pembrolizumab + PC arm could not be performed.</w:t>
      </w:r>
    </w:p>
    <w:p w14:paraId="225A62F4" w14:textId="120AE30E" w:rsidR="00A90F09" w:rsidRPr="00FB229F" w:rsidRDefault="00C6749D" w:rsidP="00816BFB">
      <w:pPr>
        <w:pStyle w:val="Bulletpoints"/>
      </w:pPr>
      <w:r w:rsidRPr="00FB229F">
        <w:t>Connecting</w:t>
      </w:r>
      <w:r w:rsidR="002836ED" w:rsidRPr="00FB229F">
        <w:t xml:space="preserve"> the LIBRETTO-001</w:t>
      </w:r>
      <w:r w:rsidR="00A2110B" w:rsidRPr="00FB229F">
        <w:t xml:space="preserve"> study</w:t>
      </w:r>
      <w:r w:rsidR="002836ED" w:rsidRPr="00FB229F">
        <w:t xml:space="preserve"> </w:t>
      </w:r>
      <w:r w:rsidRPr="00FB229F">
        <w:t>to a NMA</w:t>
      </w:r>
      <w:r w:rsidRPr="00FB229F">
        <w:rPr>
          <w:vertAlign w:val="superscript"/>
        </w:rPr>
        <w:footnoteReference w:id="14"/>
      </w:r>
      <w:r w:rsidRPr="00FB229F">
        <w:t xml:space="preserve"> of first-line NSCLC treatments using the</w:t>
      </w:r>
      <w:r w:rsidR="002836ED" w:rsidRPr="00FB229F">
        <w:t xml:space="preserve"> </w:t>
      </w:r>
      <w:r w:rsidR="00A2110B" w:rsidRPr="00FB229F">
        <w:t xml:space="preserve">pseudo-PC arm </w:t>
      </w:r>
      <w:r w:rsidRPr="00FB229F">
        <w:t>(</w:t>
      </w:r>
      <w:r w:rsidR="00A2110B" w:rsidRPr="00FB229F">
        <w:t xml:space="preserve">generated </w:t>
      </w:r>
      <w:r w:rsidRPr="00FB229F">
        <w:t>from</w:t>
      </w:r>
      <w:r w:rsidR="00A2110B" w:rsidRPr="00FB229F">
        <w:t xml:space="preserve"> PSM</w:t>
      </w:r>
      <w:r w:rsidR="002836ED" w:rsidRPr="00FB229F">
        <w:t xml:space="preserve">). </w:t>
      </w:r>
      <w:r w:rsidRPr="00FB229F">
        <w:t xml:space="preserve">The submission noted that </w:t>
      </w:r>
      <w:r w:rsidR="002836ED" w:rsidRPr="00FB229F">
        <w:t>PC was the most common comparator among the identified studies in the NMA.</w:t>
      </w:r>
      <w:r w:rsidRPr="00FB229F">
        <w:t xml:space="preserve"> However, t</w:t>
      </w:r>
      <w:r w:rsidR="00A90F09" w:rsidRPr="00FB229F">
        <w:t>he submission stated that given the NMA included several comparators not relevant to the current submission, and that “PBAC’s preference” is the presentation of less complex methods, an anchored indirect comparison (Bucher method) was conducted between LIBRETTO-001 (selpercatinib versus the synthetic PC arm) and the KN-189</w:t>
      </w:r>
      <w:r w:rsidRPr="00FB229F">
        <w:t>/</w:t>
      </w:r>
      <w:r w:rsidR="00A90F09" w:rsidRPr="00FB229F">
        <w:t>KN-021 studies (published data for pembrolizumab + PC versus PC) via</w:t>
      </w:r>
      <w:r w:rsidR="002836ED" w:rsidRPr="00FB229F">
        <w:t xml:space="preserve"> PC as </w:t>
      </w:r>
      <w:r w:rsidR="00A90F09" w:rsidRPr="00FB229F">
        <w:t xml:space="preserve">the </w:t>
      </w:r>
      <w:r w:rsidR="002836ED" w:rsidRPr="00FB229F">
        <w:t xml:space="preserve">“common reference” </w:t>
      </w:r>
      <w:r w:rsidR="00A90F09" w:rsidRPr="00FB229F">
        <w:t xml:space="preserve">or anchor </w:t>
      </w:r>
      <w:r w:rsidR="002836ED" w:rsidRPr="00FB229F">
        <w:t>arm</w:t>
      </w:r>
      <w:r w:rsidR="00A90F09" w:rsidRPr="00FB229F">
        <w:t xml:space="preserve">. </w:t>
      </w:r>
      <w:r w:rsidRPr="00FB229F">
        <w:t>Summary statistics from</w:t>
      </w:r>
      <w:r w:rsidR="00A90F09" w:rsidRPr="00FB229F">
        <w:t xml:space="preserve"> KN-189 and KN-021 were </w:t>
      </w:r>
      <w:r w:rsidR="002B6398" w:rsidRPr="00FB229F">
        <w:t>meta-analysed</w:t>
      </w:r>
      <w:r w:rsidR="00A2110B" w:rsidRPr="00FB229F">
        <w:t xml:space="preserve"> for the comparison with LIBRETTO-001</w:t>
      </w:r>
      <w:r w:rsidR="00A90F09" w:rsidRPr="00FB229F">
        <w:t>.</w:t>
      </w:r>
    </w:p>
    <w:p w14:paraId="0092E5FD" w14:textId="139754D4" w:rsidR="00A90F09" w:rsidRPr="00FB229F" w:rsidRDefault="002836ED" w:rsidP="00816BFB">
      <w:pPr>
        <w:pStyle w:val="Bulletpoints"/>
      </w:pPr>
      <w:r w:rsidRPr="00FB229F">
        <w:t xml:space="preserve">An </w:t>
      </w:r>
      <w:r w:rsidR="00A90F09" w:rsidRPr="00FB229F">
        <w:t xml:space="preserve">additional </w:t>
      </w:r>
      <w:r w:rsidRPr="00FB229F">
        <w:t xml:space="preserve">unanchored </w:t>
      </w:r>
      <w:r w:rsidR="00A90F09" w:rsidRPr="00FB229F">
        <w:t>matching adjusted indirect comparison (</w:t>
      </w:r>
      <w:r w:rsidRPr="00FB229F">
        <w:t>MAIC</w:t>
      </w:r>
      <w:r w:rsidR="00A90F09" w:rsidRPr="00FB229F">
        <w:t>)</w:t>
      </w:r>
      <w:r w:rsidRPr="00FB229F">
        <w:t xml:space="preserve"> between selpercatinib and pembrolizumab + PC </w:t>
      </w:r>
      <w:r w:rsidR="00A90F09" w:rsidRPr="00FB229F">
        <w:t xml:space="preserve">was conducted </w:t>
      </w:r>
      <w:r w:rsidRPr="00FB229F">
        <w:t xml:space="preserve">by matching </w:t>
      </w:r>
      <w:r w:rsidR="00A90F09" w:rsidRPr="00FB229F">
        <w:t xml:space="preserve">IPD for </w:t>
      </w:r>
      <w:r w:rsidRPr="00FB229F">
        <w:t xml:space="preserve">selpercatinib </w:t>
      </w:r>
      <w:r w:rsidR="00A90F09" w:rsidRPr="00FB229F">
        <w:t xml:space="preserve">from </w:t>
      </w:r>
      <w:r w:rsidRPr="00FB229F">
        <w:t xml:space="preserve">LIBRETTO-001 to published </w:t>
      </w:r>
      <w:r w:rsidR="002A312B" w:rsidRPr="00FB229F">
        <w:t xml:space="preserve">summary </w:t>
      </w:r>
      <w:r w:rsidRPr="00FB229F">
        <w:t>data for the pembrolizumab + PC arm of KN-189</w:t>
      </w:r>
      <w:r w:rsidR="00A90F09" w:rsidRPr="00FB229F">
        <w:t>.</w:t>
      </w:r>
      <w:r w:rsidR="00087B73" w:rsidRPr="00FB229F">
        <w:t xml:space="preserve"> Therefore, the synthetic PC control arm was not used in this indirect comparison.</w:t>
      </w:r>
    </w:p>
    <w:p w14:paraId="406486F3" w14:textId="5BC0AE07" w:rsidR="00A90F09" w:rsidRPr="00FB229F" w:rsidRDefault="00A90F09" w:rsidP="007F03AD">
      <w:pPr>
        <w:pStyle w:val="3-BodyText"/>
        <w:ind w:left="709" w:hanging="709"/>
      </w:pPr>
      <w:r w:rsidRPr="00FB229F">
        <w:fldChar w:fldCharType="begin" w:fldLock="1"/>
      </w:r>
      <w:r w:rsidRPr="00FB229F">
        <w:instrText xml:space="preserve"> REF _Ref131764868 \h </w:instrText>
      </w:r>
      <w:r w:rsidRPr="00FB229F">
        <w:fldChar w:fldCharType="separate"/>
      </w:r>
      <w:r w:rsidR="00CA7201" w:rsidRPr="00FB229F">
        <w:t xml:space="preserve">Table </w:t>
      </w:r>
      <w:r w:rsidR="00CA7201" w:rsidRPr="00166045">
        <w:t>6</w:t>
      </w:r>
      <w:r w:rsidRPr="00FB229F">
        <w:fldChar w:fldCharType="end"/>
      </w:r>
      <w:r w:rsidRPr="00FB229F">
        <w:t xml:space="preserve"> summarises the approach taken in the submission for the indirect comparisons.</w:t>
      </w:r>
    </w:p>
    <w:p w14:paraId="6B99F2FA" w14:textId="5E5E26F0" w:rsidR="00A90F09" w:rsidRPr="00FB229F" w:rsidRDefault="00A90F09" w:rsidP="00A90F09">
      <w:pPr>
        <w:pStyle w:val="Caption"/>
      </w:pPr>
      <w:bookmarkStart w:id="32" w:name="_Ref131764868"/>
      <w:r w:rsidRPr="00FB229F">
        <w:t xml:space="preserve">Table </w:t>
      </w:r>
      <w:r w:rsidR="00BF0AEB">
        <w:fldChar w:fldCharType="begin" w:fldLock="1"/>
      </w:r>
      <w:r w:rsidR="00BF0AEB">
        <w:instrText xml:space="preserve"> SEQ Table \* ARABIC </w:instrText>
      </w:r>
      <w:r w:rsidR="00BF0AEB">
        <w:fldChar w:fldCharType="separate"/>
      </w:r>
      <w:r w:rsidR="00CA7201" w:rsidRPr="00166045">
        <w:t>6</w:t>
      </w:r>
      <w:r w:rsidR="00BF0AEB">
        <w:fldChar w:fldCharType="end"/>
      </w:r>
      <w:bookmarkEnd w:id="32"/>
      <w:r w:rsidRPr="00FB229F">
        <w:t xml:space="preserve">: Summary of indirect </w:t>
      </w:r>
      <w:r w:rsidR="00BD18E1" w:rsidRPr="00FB229F">
        <w:t>comparisons</w:t>
      </w:r>
      <w:r w:rsidRPr="00FB229F">
        <w:t xml:space="preserve"> in </w:t>
      </w:r>
      <w:r w:rsidR="002B6398" w:rsidRPr="00FB229F">
        <w:t xml:space="preserve">the </w:t>
      </w:r>
      <w:r w:rsidRPr="00FB229F">
        <w:t>treatment-naïve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199"/>
        <w:gridCol w:w="6743"/>
      </w:tblGrid>
      <w:tr w:rsidR="00A90F09" w:rsidRPr="00FB229F" w14:paraId="1A0CE00A" w14:textId="77777777" w:rsidTr="00D62D6C">
        <w:trPr>
          <w:trHeight w:val="230"/>
        </w:trPr>
        <w:tc>
          <w:tcPr>
            <w:tcW w:w="596" w:type="pct"/>
          </w:tcPr>
          <w:p w14:paraId="0C0B4920" w14:textId="77777777" w:rsidR="00A90F09" w:rsidRPr="00FB229F" w:rsidRDefault="00A90F09" w:rsidP="007A011F">
            <w:pPr>
              <w:pStyle w:val="TableText0"/>
              <w:rPr>
                <w:b/>
                <w:szCs w:val="20"/>
              </w:rPr>
            </w:pPr>
            <w:r w:rsidRPr="00FB229F">
              <w:rPr>
                <w:b/>
                <w:szCs w:val="20"/>
              </w:rPr>
              <w:t xml:space="preserve">Setting </w:t>
            </w:r>
          </w:p>
        </w:tc>
        <w:tc>
          <w:tcPr>
            <w:tcW w:w="665" w:type="pct"/>
          </w:tcPr>
          <w:p w14:paraId="2800FE1C" w14:textId="77777777" w:rsidR="00A90F09" w:rsidRPr="00FB229F" w:rsidRDefault="00A90F09" w:rsidP="007A011F">
            <w:pPr>
              <w:pStyle w:val="TableText0"/>
              <w:rPr>
                <w:b/>
                <w:szCs w:val="20"/>
              </w:rPr>
            </w:pPr>
            <w:r w:rsidRPr="00FB229F">
              <w:rPr>
                <w:b/>
                <w:szCs w:val="20"/>
              </w:rPr>
              <w:t>Analysis</w:t>
            </w:r>
          </w:p>
        </w:tc>
        <w:tc>
          <w:tcPr>
            <w:tcW w:w="3738" w:type="pct"/>
          </w:tcPr>
          <w:p w14:paraId="49213577" w14:textId="77777777" w:rsidR="00A90F09" w:rsidRPr="00FB229F" w:rsidRDefault="00A90F09" w:rsidP="007A011F">
            <w:pPr>
              <w:pStyle w:val="TableText0"/>
              <w:rPr>
                <w:b/>
                <w:szCs w:val="20"/>
              </w:rPr>
            </w:pPr>
            <w:r w:rsidRPr="00FB229F">
              <w:rPr>
                <w:b/>
                <w:szCs w:val="20"/>
              </w:rPr>
              <w:t>Summary of methods</w:t>
            </w:r>
          </w:p>
        </w:tc>
      </w:tr>
      <w:tr w:rsidR="00A90F09" w:rsidRPr="00FB229F" w14:paraId="4A4A624C" w14:textId="77777777" w:rsidTr="00816BFB">
        <w:trPr>
          <w:trHeight w:val="451"/>
        </w:trPr>
        <w:tc>
          <w:tcPr>
            <w:tcW w:w="596" w:type="pct"/>
            <w:vMerge w:val="restart"/>
          </w:tcPr>
          <w:p w14:paraId="7AFB8FE2" w14:textId="77777777" w:rsidR="00A90F09" w:rsidRPr="00FB229F" w:rsidRDefault="00A90F09" w:rsidP="007A011F">
            <w:pPr>
              <w:pStyle w:val="TableText0"/>
              <w:rPr>
                <w:szCs w:val="20"/>
              </w:rPr>
            </w:pPr>
            <w:r w:rsidRPr="00FB229F">
              <w:rPr>
                <w:szCs w:val="20"/>
              </w:rPr>
              <w:t xml:space="preserve">Treatment-naïve </w:t>
            </w:r>
          </w:p>
        </w:tc>
        <w:tc>
          <w:tcPr>
            <w:tcW w:w="665" w:type="pct"/>
            <w:vMerge w:val="restart"/>
          </w:tcPr>
          <w:p w14:paraId="1FCBD068" w14:textId="77777777" w:rsidR="00A90F09" w:rsidRPr="00FB229F" w:rsidRDefault="00A90F09" w:rsidP="007A011F">
            <w:pPr>
              <w:pStyle w:val="TableText0"/>
              <w:rPr>
                <w:szCs w:val="20"/>
              </w:rPr>
            </w:pPr>
            <w:r w:rsidRPr="00FB229F">
              <w:rPr>
                <w:szCs w:val="20"/>
              </w:rPr>
              <w:t>PSM NMA</w:t>
            </w:r>
          </w:p>
        </w:tc>
        <w:tc>
          <w:tcPr>
            <w:tcW w:w="3738" w:type="pct"/>
          </w:tcPr>
          <w:p w14:paraId="6906F0A2" w14:textId="77777777" w:rsidR="00A90F09" w:rsidRPr="00FB229F" w:rsidRDefault="00A90F09" w:rsidP="007A011F">
            <w:pPr>
              <w:pStyle w:val="TableText0"/>
              <w:rPr>
                <w:szCs w:val="20"/>
              </w:rPr>
            </w:pPr>
            <w:r w:rsidRPr="00FB229F">
              <w:rPr>
                <w:szCs w:val="20"/>
                <w:u w:val="single"/>
              </w:rPr>
              <w:t>Step 1:</w:t>
            </w:r>
            <w:r w:rsidRPr="00FB229F">
              <w:rPr>
                <w:szCs w:val="20"/>
              </w:rPr>
              <w:t xml:space="preserve"> Generation of a pseudo-control arm to selpercatinib through PSM between the treatment-naïve NSCLC cohort of LIBRETTO-001 and the PC arm of the KN-189 RCT</w:t>
            </w:r>
          </w:p>
        </w:tc>
      </w:tr>
      <w:tr w:rsidR="00A90F09" w:rsidRPr="00FB229F" w14:paraId="49BD19FE" w14:textId="77777777" w:rsidTr="00D62D6C">
        <w:trPr>
          <w:trHeight w:val="489"/>
        </w:trPr>
        <w:tc>
          <w:tcPr>
            <w:tcW w:w="596" w:type="pct"/>
            <w:vMerge/>
          </w:tcPr>
          <w:p w14:paraId="22A9E995" w14:textId="77777777" w:rsidR="00A90F09" w:rsidRPr="00FB229F" w:rsidRDefault="00A90F09" w:rsidP="007A011F">
            <w:pPr>
              <w:pStyle w:val="TableText0"/>
              <w:rPr>
                <w:szCs w:val="20"/>
              </w:rPr>
            </w:pPr>
          </w:p>
        </w:tc>
        <w:tc>
          <w:tcPr>
            <w:tcW w:w="665" w:type="pct"/>
            <w:vMerge/>
          </w:tcPr>
          <w:p w14:paraId="6B72C926" w14:textId="77777777" w:rsidR="00A90F09" w:rsidRPr="00FB229F" w:rsidRDefault="00A90F09" w:rsidP="007A011F">
            <w:pPr>
              <w:pStyle w:val="TableText0"/>
              <w:rPr>
                <w:szCs w:val="20"/>
              </w:rPr>
            </w:pPr>
          </w:p>
        </w:tc>
        <w:tc>
          <w:tcPr>
            <w:tcW w:w="3738" w:type="pct"/>
          </w:tcPr>
          <w:p w14:paraId="2D9BB6B5" w14:textId="389C1675" w:rsidR="00A90F09" w:rsidRPr="00FB229F" w:rsidRDefault="00A90F09" w:rsidP="007A011F">
            <w:pPr>
              <w:pStyle w:val="TableText0"/>
              <w:rPr>
                <w:szCs w:val="20"/>
                <w:u w:val="single"/>
              </w:rPr>
            </w:pPr>
            <w:r w:rsidRPr="00FB229F">
              <w:rPr>
                <w:szCs w:val="20"/>
                <w:u w:val="single"/>
              </w:rPr>
              <w:t>Step 2:</w:t>
            </w:r>
            <w:r w:rsidRPr="00FB229F">
              <w:rPr>
                <w:szCs w:val="20"/>
              </w:rPr>
              <w:t xml:space="preserve"> Adjoining of selpercatinib to a</w:t>
            </w:r>
            <w:r w:rsidR="00BD18E1" w:rsidRPr="00FB229F">
              <w:rPr>
                <w:szCs w:val="20"/>
              </w:rPr>
              <w:t>n</w:t>
            </w:r>
            <w:r w:rsidRPr="00FB229F">
              <w:rPr>
                <w:szCs w:val="20"/>
              </w:rPr>
              <w:t xml:space="preserve"> NMA of first-line NSCLC treatments via the pseudo-control PC arm</w:t>
            </w:r>
          </w:p>
        </w:tc>
      </w:tr>
      <w:tr w:rsidR="00A90F09" w:rsidRPr="00FB229F" w14:paraId="3B508579" w14:textId="77777777" w:rsidTr="00D62D6C">
        <w:trPr>
          <w:trHeight w:val="694"/>
        </w:trPr>
        <w:tc>
          <w:tcPr>
            <w:tcW w:w="596" w:type="pct"/>
            <w:vMerge/>
          </w:tcPr>
          <w:p w14:paraId="769AEFC0" w14:textId="77777777" w:rsidR="00A90F09" w:rsidRPr="00FB229F" w:rsidRDefault="00A90F09" w:rsidP="007A011F">
            <w:pPr>
              <w:pStyle w:val="TableText0"/>
              <w:rPr>
                <w:szCs w:val="20"/>
              </w:rPr>
            </w:pPr>
          </w:p>
        </w:tc>
        <w:tc>
          <w:tcPr>
            <w:tcW w:w="665" w:type="pct"/>
          </w:tcPr>
          <w:p w14:paraId="30EC87B8" w14:textId="77777777" w:rsidR="00A90F09" w:rsidRPr="00FB229F" w:rsidRDefault="00A90F09" w:rsidP="007A011F">
            <w:pPr>
              <w:pStyle w:val="TableText0"/>
              <w:rPr>
                <w:szCs w:val="20"/>
              </w:rPr>
            </w:pPr>
            <w:r w:rsidRPr="00FB229F">
              <w:rPr>
                <w:szCs w:val="20"/>
              </w:rPr>
              <w:t>PSM Bucher ITC</w:t>
            </w:r>
          </w:p>
        </w:tc>
        <w:tc>
          <w:tcPr>
            <w:tcW w:w="3738" w:type="pct"/>
          </w:tcPr>
          <w:p w14:paraId="7D1F7821" w14:textId="00917AE4" w:rsidR="00A90F09" w:rsidRPr="00FB229F" w:rsidRDefault="00A90F09" w:rsidP="002B6398">
            <w:pPr>
              <w:pStyle w:val="TableText0"/>
              <w:rPr>
                <w:szCs w:val="20"/>
              </w:rPr>
            </w:pPr>
            <w:r w:rsidRPr="00FB229F">
              <w:rPr>
                <w:szCs w:val="20"/>
              </w:rPr>
              <w:t xml:space="preserve">An anchored indirect comparison between LIBRETTO-001 (with the pseudo-control arm derived from the PSM in Step 1 above) and published results for the KN-189 and KN-021 Cohort G trials using PC as the “common reference” arm. The KN-189 and KN-021 results were </w:t>
            </w:r>
            <w:r w:rsidR="002B6398" w:rsidRPr="00FB229F">
              <w:rPr>
                <w:szCs w:val="20"/>
              </w:rPr>
              <w:t>meta-analysed</w:t>
            </w:r>
            <w:r w:rsidRPr="00FB229F">
              <w:rPr>
                <w:szCs w:val="20"/>
              </w:rPr>
              <w:t xml:space="preserve"> before the anchored indirect comparison.</w:t>
            </w:r>
          </w:p>
        </w:tc>
      </w:tr>
      <w:tr w:rsidR="00A90F09" w:rsidRPr="00FB229F" w14:paraId="49B9D774" w14:textId="77777777" w:rsidTr="00D62D6C">
        <w:trPr>
          <w:trHeight w:val="246"/>
        </w:trPr>
        <w:tc>
          <w:tcPr>
            <w:tcW w:w="596" w:type="pct"/>
            <w:vMerge/>
          </w:tcPr>
          <w:p w14:paraId="1B1D339F" w14:textId="77777777" w:rsidR="00A90F09" w:rsidRPr="00FB229F" w:rsidRDefault="00A90F09" w:rsidP="007A011F">
            <w:pPr>
              <w:pStyle w:val="TableText0"/>
              <w:rPr>
                <w:szCs w:val="20"/>
              </w:rPr>
            </w:pPr>
          </w:p>
        </w:tc>
        <w:tc>
          <w:tcPr>
            <w:tcW w:w="665" w:type="pct"/>
          </w:tcPr>
          <w:p w14:paraId="4A522B3C" w14:textId="77777777" w:rsidR="00A90F09" w:rsidRPr="00FB229F" w:rsidRDefault="00A90F09" w:rsidP="007A011F">
            <w:pPr>
              <w:pStyle w:val="TableText0"/>
              <w:rPr>
                <w:szCs w:val="20"/>
              </w:rPr>
            </w:pPr>
            <w:r w:rsidRPr="00FB229F">
              <w:rPr>
                <w:szCs w:val="20"/>
              </w:rPr>
              <w:t>MAIC</w:t>
            </w:r>
          </w:p>
        </w:tc>
        <w:tc>
          <w:tcPr>
            <w:tcW w:w="3738" w:type="pct"/>
          </w:tcPr>
          <w:p w14:paraId="4D5179C8" w14:textId="77777777" w:rsidR="00A90F09" w:rsidRPr="00FB229F" w:rsidRDefault="00A90F09" w:rsidP="007A011F">
            <w:pPr>
              <w:pStyle w:val="TableText0"/>
              <w:rPr>
                <w:szCs w:val="20"/>
              </w:rPr>
            </w:pPr>
            <w:r w:rsidRPr="00FB229F">
              <w:rPr>
                <w:szCs w:val="20"/>
              </w:rPr>
              <w:t>An unanchored MAIC using IPD from the treatment-naïve NSCLC cohort of LIBRETTO-001 matched to published data for the pembrolizumab + PC arm of KN-189.</w:t>
            </w:r>
          </w:p>
        </w:tc>
      </w:tr>
    </w:tbl>
    <w:p w14:paraId="798B6942" w14:textId="77777777" w:rsidR="00A90F09" w:rsidRPr="00FB229F" w:rsidRDefault="00A90F09" w:rsidP="00A90F09">
      <w:pPr>
        <w:pStyle w:val="TableFooter"/>
      </w:pPr>
      <w:r w:rsidRPr="00FB229F">
        <w:t>Source: Modified from Table 2-104, p264 of the submission.</w:t>
      </w:r>
    </w:p>
    <w:p w14:paraId="74520D4C" w14:textId="77777777" w:rsidR="00A90F09" w:rsidRPr="00FB229F" w:rsidRDefault="00A90F09" w:rsidP="00816BFB">
      <w:pPr>
        <w:pStyle w:val="TableFooter"/>
        <w:spacing w:after="120"/>
      </w:pPr>
      <w:r w:rsidRPr="00FB229F">
        <w:t>ITC=indirect treatment comparison; MAIC=matched-adjusted indirect comparison; NMA=network meta-analysis; NSCLC=non-small cell lung cancer; PC= pemetrexed plus platinum chemotherapy; PSM=propensity score matching; RCT=randomised controlled trial</w:t>
      </w:r>
    </w:p>
    <w:p w14:paraId="649775C2" w14:textId="72059063" w:rsidR="00070D0E" w:rsidRPr="00FB229F" w:rsidRDefault="005C5AF8" w:rsidP="00070D0E">
      <w:pPr>
        <w:pStyle w:val="3-BodyText"/>
        <w:ind w:left="709" w:hanging="709"/>
      </w:pPr>
      <w:bookmarkStart w:id="33" w:name="_Ref137125681"/>
      <w:r w:rsidRPr="00FB229F">
        <w:t xml:space="preserve">The LIBRETTO-001 study enrolled patients with </w:t>
      </w:r>
      <w:r w:rsidR="003D270C" w:rsidRPr="00FB229F">
        <w:rPr>
          <w:i/>
          <w:iCs/>
        </w:rPr>
        <w:t>RET</w:t>
      </w:r>
      <w:r w:rsidRPr="00FB229F">
        <w:t xml:space="preserve"> fusion-positive NSCLC whereas in the KN-189 and KN-021 studies, patients were not tested for </w:t>
      </w:r>
      <w:r w:rsidR="003D270C" w:rsidRPr="00FB229F">
        <w:rPr>
          <w:i/>
          <w:iCs/>
        </w:rPr>
        <w:t>RET</w:t>
      </w:r>
      <w:r w:rsidRPr="00FB229F">
        <w:t xml:space="preserve"> status. </w:t>
      </w:r>
      <w:r w:rsidR="0004239B" w:rsidRPr="00FB229F">
        <w:t xml:space="preserve">Based on a </w:t>
      </w:r>
      <w:r w:rsidR="003D270C" w:rsidRPr="00FB229F">
        <w:rPr>
          <w:i/>
          <w:iCs/>
        </w:rPr>
        <w:lastRenderedPageBreak/>
        <w:t>RET</w:t>
      </w:r>
      <w:r w:rsidR="0004239B" w:rsidRPr="00FB229F">
        <w:t xml:space="preserve"> fusion-positive prevalence of 1-2%, 98-99% of the comparator study populations would be expected to be </w:t>
      </w:r>
      <w:r w:rsidR="003D270C" w:rsidRPr="00FB229F">
        <w:rPr>
          <w:i/>
          <w:iCs/>
        </w:rPr>
        <w:t>RET</w:t>
      </w:r>
      <w:r w:rsidR="0004239B" w:rsidRPr="00FB229F">
        <w:t xml:space="preserve"> fusion negative</w:t>
      </w:r>
      <w:r w:rsidR="004F1166" w:rsidRPr="00FB229F">
        <w:t xml:space="preserve">, meaning that the </w:t>
      </w:r>
      <w:r w:rsidR="00FF2B81" w:rsidRPr="00FB229F">
        <w:t xml:space="preserve">true </w:t>
      </w:r>
      <w:r w:rsidR="002B6398" w:rsidRPr="00FB229F">
        <w:t xml:space="preserve">treatment effect variation </w:t>
      </w:r>
      <w:r w:rsidR="004F1166" w:rsidRPr="00FB229F">
        <w:t xml:space="preserve">of </w:t>
      </w:r>
      <w:r w:rsidR="003D270C" w:rsidRPr="00FB229F">
        <w:rPr>
          <w:i/>
          <w:iCs/>
        </w:rPr>
        <w:t>RET</w:t>
      </w:r>
      <w:r w:rsidR="004F1166" w:rsidRPr="00FB229F">
        <w:t xml:space="preserve"> fusion-positivity </w:t>
      </w:r>
      <w:r w:rsidR="00FF2B81" w:rsidRPr="00FB229F">
        <w:t>on the effectiveness of selpercatinib could not be distinguished from any prognostic effect of the biomarker.</w:t>
      </w:r>
      <w:bookmarkEnd w:id="33"/>
      <w:r w:rsidR="00DC4864" w:rsidRPr="00FB229F">
        <w:t xml:space="preserve"> </w:t>
      </w:r>
    </w:p>
    <w:p w14:paraId="7A661856" w14:textId="79605AEE" w:rsidR="00070D0E" w:rsidRPr="00FB229F" w:rsidRDefault="00C56F6E" w:rsidP="00C56F6E">
      <w:pPr>
        <w:pStyle w:val="3-BodyText"/>
        <w:ind w:left="709" w:hanging="709"/>
      </w:pPr>
      <w:r w:rsidRPr="00FB229F">
        <w:rPr>
          <w:iCs/>
        </w:rPr>
        <w:t xml:space="preserve">The PSCR continued the submission argument that </w:t>
      </w:r>
      <w:r w:rsidRPr="00FB229F">
        <w:rPr>
          <w:i/>
        </w:rPr>
        <w:t>RET</w:t>
      </w:r>
      <w:r w:rsidRPr="00FB229F">
        <w:rPr>
          <w:iCs/>
        </w:rPr>
        <w:t xml:space="preserve"> fusion status </w:t>
      </w:r>
      <w:r w:rsidR="0026499F" w:rsidRPr="00FB229F">
        <w:rPr>
          <w:iCs/>
        </w:rPr>
        <w:t>wa</w:t>
      </w:r>
      <w:r w:rsidRPr="00FB229F">
        <w:rPr>
          <w:iCs/>
        </w:rPr>
        <w:t xml:space="preserve">s not an independent prognostic characteristic for PFS </w:t>
      </w:r>
      <w:r w:rsidR="0026499F" w:rsidRPr="00FB229F">
        <w:rPr>
          <w:iCs/>
        </w:rPr>
        <w:t>or</w:t>
      </w:r>
      <w:r w:rsidRPr="00FB229F">
        <w:rPr>
          <w:iCs/>
        </w:rPr>
        <w:t xml:space="preserve"> OS after adjustment for age and smoking status (see paragraphs </w:t>
      </w:r>
      <w:r w:rsidRPr="00FB229F">
        <w:rPr>
          <w:iCs/>
        </w:rPr>
        <w:fldChar w:fldCharType="begin" w:fldLock="1"/>
      </w:r>
      <w:r w:rsidRPr="00FB229F">
        <w:rPr>
          <w:iCs/>
        </w:rPr>
        <w:instrText xml:space="preserve"> REF _Ref137039467 \r \h </w:instrText>
      </w:r>
      <w:r w:rsidRPr="00FB229F">
        <w:rPr>
          <w:iCs/>
        </w:rPr>
      </w:r>
      <w:r w:rsidRPr="00FB229F">
        <w:rPr>
          <w:iCs/>
        </w:rPr>
        <w:fldChar w:fldCharType="separate"/>
      </w:r>
      <w:r w:rsidR="00CE0B36">
        <w:rPr>
          <w:iCs/>
        </w:rPr>
        <w:t>4.4</w:t>
      </w:r>
      <w:r w:rsidRPr="00FB229F">
        <w:rPr>
          <w:iCs/>
        </w:rPr>
        <w:fldChar w:fldCharType="end"/>
      </w:r>
      <w:r w:rsidRPr="00FB229F">
        <w:rPr>
          <w:iCs/>
        </w:rPr>
        <w:t xml:space="preserve"> and </w:t>
      </w:r>
      <w:r w:rsidRPr="00FB229F">
        <w:rPr>
          <w:iCs/>
        </w:rPr>
        <w:fldChar w:fldCharType="begin" w:fldLock="1"/>
      </w:r>
      <w:r w:rsidRPr="00FB229F">
        <w:rPr>
          <w:iCs/>
        </w:rPr>
        <w:instrText xml:space="preserve"> REF _Ref137039482 \r \h </w:instrText>
      </w:r>
      <w:r w:rsidRPr="00FB229F">
        <w:rPr>
          <w:iCs/>
        </w:rPr>
      </w:r>
      <w:r w:rsidRPr="00FB229F">
        <w:rPr>
          <w:iCs/>
        </w:rPr>
        <w:fldChar w:fldCharType="separate"/>
      </w:r>
      <w:r w:rsidR="00CE0B36">
        <w:rPr>
          <w:iCs/>
        </w:rPr>
        <w:t>4.5</w:t>
      </w:r>
      <w:r w:rsidRPr="00FB229F">
        <w:rPr>
          <w:iCs/>
        </w:rPr>
        <w:fldChar w:fldCharType="end"/>
      </w:r>
      <w:r w:rsidRPr="00FB229F">
        <w:rPr>
          <w:iCs/>
        </w:rPr>
        <w:t>). The PSCR noted that in a retrospective analysis by Bhandari et al (2021)</w:t>
      </w:r>
      <w:r w:rsidRPr="00FB229F">
        <w:rPr>
          <w:rStyle w:val="FootnoteReference"/>
          <w:iCs/>
        </w:rPr>
        <w:footnoteReference w:id="15"/>
      </w:r>
      <w:r w:rsidRPr="00FB229F">
        <w:rPr>
          <w:iCs/>
        </w:rPr>
        <w:t xml:space="preserve"> the median OS were comparable between </w:t>
      </w:r>
      <w:r w:rsidRPr="00FB229F">
        <w:rPr>
          <w:i/>
        </w:rPr>
        <w:t>RET</w:t>
      </w:r>
      <w:r w:rsidRPr="00FB229F">
        <w:rPr>
          <w:iCs/>
        </w:rPr>
        <w:t xml:space="preserve"> fusion-positive NSCLC patients who received </w:t>
      </w:r>
      <w:proofErr w:type="spellStart"/>
      <w:r w:rsidRPr="00FB229F">
        <w:rPr>
          <w:iCs/>
        </w:rPr>
        <w:t>pembrolizumab+PC</w:t>
      </w:r>
      <w:proofErr w:type="spellEnd"/>
      <w:r w:rsidRPr="00FB229F">
        <w:rPr>
          <w:iCs/>
        </w:rPr>
        <w:t xml:space="preserve"> and those who were treated with any immune checkpoint inhibitor regimen as first-line therapy (pembrolizumab + PC </w:t>
      </w:r>
      <w:proofErr w:type="spellStart"/>
      <w:r w:rsidRPr="00FB229F">
        <w:rPr>
          <w:iCs/>
        </w:rPr>
        <w:t>mOS</w:t>
      </w:r>
      <w:proofErr w:type="spellEnd"/>
      <w:r w:rsidRPr="00FB229F">
        <w:rPr>
          <w:iCs/>
        </w:rPr>
        <w:t xml:space="preserve">: 19.0 months (95% CI: 6.9-NR); any ICI containing regimen </w:t>
      </w:r>
      <w:proofErr w:type="spellStart"/>
      <w:r w:rsidRPr="00FB229F">
        <w:rPr>
          <w:iCs/>
        </w:rPr>
        <w:t>mPFS</w:t>
      </w:r>
      <w:proofErr w:type="spellEnd"/>
      <w:r w:rsidRPr="00FB229F">
        <w:rPr>
          <w:iCs/>
        </w:rPr>
        <w:t xml:space="preserve">: 19.1 months (95% CI: 6.9-NR). The PSCR argued that the comparability of these estimates to the median OS reported in the pembrolizumab + PC arm of KN-189 could be used to support a claim that this arm of KN-189 would be representative of outcomes for </w:t>
      </w:r>
      <w:r w:rsidRPr="00FB229F">
        <w:rPr>
          <w:i/>
        </w:rPr>
        <w:t>RET</w:t>
      </w:r>
      <w:r w:rsidRPr="00FB229F">
        <w:rPr>
          <w:iCs/>
        </w:rPr>
        <w:t xml:space="preserve"> fusion-positive NSCLC patients treated with pembrolizumab + PC. </w:t>
      </w:r>
      <w:bookmarkStart w:id="34" w:name="_Ref137125690"/>
      <w:r w:rsidR="00070D0E" w:rsidRPr="00FB229F">
        <w:rPr>
          <w:iCs/>
        </w:rPr>
        <w:t xml:space="preserve">The ESC considered a naïve comparison in outcomes between retrospective registry data and a prospective KN-189 trial </w:t>
      </w:r>
      <w:r w:rsidR="002C071E" w:rsidRPr="00FB229F">
        <w:rPr>
          <w:iCs/>
        </w:rPr>
        <w:t>wa</w:t>
      </w:r>
      <w:r w:rsidR="00070D0E" w:rsidRPr="00FB229F">
        <w:rPr>
          <w:iCs/>
        </w:rPr>
        <w:t xml:space="preserve">s essentially exploratory. The ESC considered that this highlights the value of a direct trial in </w:t>
      </w:r>
      <w:r w:rsidR="00070D0E" w:rsidRPr="00FB229F">
        <w:rPr>
          <w:i/>
        </w:rPr>
        <w:t>RET</w:t>
      </w:r>
      <w:r w:rsidR="00070D0E" w:rsidRPr="00FB229F">
        <w:rPr>
          <w:iCs/>
        </w:rPr>
        <w:t xml:space="preserve"> fusion-positive NSCLC patients (such as the ongoing </w:t>
      </w:r>
      <w:r w:rsidR="00070D0E" w:rsidRPr="00FB229F">
        <w:rPr>
          <w:bCs/>
          <w:iCs/>
        </w:rPr>
        <w:t xml:space="preserve">LIBRETTO-431 trial) as any prognostic confounding by </w:t>
      </w:r>
      <w:r w:rsidR="00070D0E" w:rsidRPr="00FB229F">
        <w:rPr>
          <w:bCs/>
          <w:i/>
        </w:rPr>
        <w:t>RET</w:t>
      </w:r>
      <w:r w:rsidR="00070D0E" w:rsidRPr="00FB229F">
        <w:rPr>
          <w:bCs/>
          <w:iCs/>
        </w:rPr>
        <w:t xml:space="preserve"> fusion positivity is nullified between the randomised selpercatinib and pembrolizumab + PC treatment arms.</w:t>
      </w:r>
      <w:bookmarkEnd w:id="34"/>
      <w:r w:rsidR="00E74253" w:rsidRPr="00FB229F">
        <w:rPr>
          <w:bCs/>
          <w:iCs/>
        </w:rPr>
        <w:t xml:space="preserve"> The </w:t>
      </w:r>
      <w:r w:rsidR="002A1B1B" w:rsidRPr="00FB229F">
        <w:rPr>
          <w:bCs/>
          <w:iCs/>
        </w:rPr>
        <w:t>pre-PBAC response provided a post-hoc analyses of the LIBRETTO-001 trial data (June 2021 data cut) comparing treatment outcomes for patients treated with selpercatinib as first-line treatment to outcomes of patients in the pre-treated cohort of LIBRETTO-001 who received a chemoimmunotherapy regimen as first-line treatment. The pre-PBAC response stated that the analysis demonstrated patients treated with selpercatinib as first-line treatment had a significantly improved time to progression compared to those treated with chemoimmunotherapy as first-line treatment</w:t>
      </w:r>
      <w:r w:rsidR="00200347">
        <w:rPr>
          <w:rStyle w:val="FootnoteReference"/>
          <w:bCs/>
          <w:iCs/>
        </w:rPr>
        <w:footnoteReference w:id="16"/>
      </w:r>
      <w:r w:rsidR="002A1B1B" w:rsidRPr="00FB229F">
        <w:rPr>
          <w:bCs/>
          <w:iCs/>
        </w:rPr>
        <w:t xml:space="preserve">. In addition, the pre-PBAC response argued that </w:t>
      </w:r>
      <w:r w:rsidR="000E2129" w:rsidRPr="00FB229F">
        <w:rPr>
          <w:bCs/>
          <w:iCs/>
        </w:rPr>
        <w:t xml:space="preserve">a retrospective multicentre study of </w:t>
      </w:r>
      <w:r w:rsidR="000E2129" w:rsidRPr="00FB229F">
        <w:rPr>
          <w:bCs/>
          <w:i/>
        </w:rPr>
        <w:t>RET</w:t>
      </w:r>
      <w:r w:rsidR="000E2129" w:rsidRPr="00FB229F">
        <w:rPr>
          <w:bCs/>
          <w:iCs/>
        </w:rPr>
        <w:t xml:space="preserve"> fusion-positive NSCLC patients (</w:t>
      </w:r>
      <w:r w:rsidR="001A67C3" w:rsidRPr="00FB229F">
        <w:rPr>
          <w:bCs/>
          <w:iCs/>
        </w:rPr>
        <w:t>N</w:t>
      </w:r>
      <w:r w:rsidR="000E2129" w:rsidRPr="00FB229F">
        <w:rPr>
          <w:bCs/>
          <w:iCs/>
        </w:rPr>
        <w:t xml:space="preserve">=218) provided additional evidence of improved efficacy of </w:t>
      </w:r>
      <w:r w:rsidR="000E2129" w:rsidRPr="00FB229F">
        <w:rPr>
          <w:bCs/>
          <w:i/>
        </w:rPr>
        <w:t>RET</w:t>
      </w:r>
      <w:r w:rsidR="000E2129" w:rsidRPr="00FB229F">
        <w:rPr>
          <w:bCs/>
          <w:iCs/>
        </w:rPr>
        <w:t xml:space="preserve"> inhibitors (including selpercatinib) compared to current standard of care medicines.</w:t>
      </w:r>
      <w:r w:rsidR="000E2129" w:rsidRPr="00FB229F">
        <w:rPr>
          <w:rStyle w:val="FootnoteReference"/>
          <w:bCs/>
          <w:iCs/>
        </w:rPr>
        <w:footnoteReference w:id="17"/>
      </w:r>
      <w:r w:rsidR="000E2129" w:rsidRPr="00FB229F">
        <w:rPr>
          <w:bCs/>
          <w:iCs/>
        </w:rPr>
        <w:t xml:space="preserve">  </w:t>
      </w:r>
    </w:p>
    <w:p w14:paraId="072C9ED9" w14:textId="6275AAA7" w:rsidR="007A011F" w:rsidRPr="00FB229F" w:rsidRDefault="005C5AF8" w:rsidP="007F03AD">
      <w:pPr>
        <w:pStyle w:val="3-BodyText"/>
        <w:ind w:left="709" w:hanging="709"/>
      </w:pPr>
      <w:r w:rsidRPr="00FB229F">
        <w:t>Generation of the pseudo-control PC arm for selpercatinib involved matching using PSM for age, ECOG</w:t>
      </w:r>
      <w:r w:rsidR="00BD18E1" w:rsidRPr="00FB229F">
        <w:t xml:space="preserve"> status</w:t>
      </w:r>
      <w:r w:rsidRPr="00FB229F">
        <w:t>, sex, smoking status, race and disease stage. To allow for matching, five patients from the LIB</w:t>
      </w:r>
      <w:r w:rsidR="003D270C" w:rsidRPr="00FB229F">
        <w:rPr>
          <w:iCs/>
        </w:rPr>
        <w:t>RET</w:t>
      </w:r>
      <w:r w:rsidRPr="00FB229F">
        <w:rPr>
          <w:iCs/>
        </w:rPr>
        <w:t>T</w:t>
      </w:r>
      <w:r w:rsidRPr="00FB229F">
        <w:t>O-001 dataset were excluded from the analysis</w:t>
      </w:r>
      <w:r w:rsidR="007A011F" w:rsidRPr="00FB229F">
        <w:t xml:space="preserve"> (</w:t>
      </w:r>
      <w:r w:rsidRPr="00FB229F">
        <w:t xml:space="preserve">four patients with </w:t>
      </w:r>
      <w:r w:rsidR="007A011F" w:rsidRPr="00FB229F">
        <w:t xml:space="preserve">an </w:t>
      </w:r>
      <w:r w:rsidRPr="00FB229F">
        <w:t xml:space="preserve">ECOG PS </w:t>
      </w:r>
      <w:r w:rsidR="007A011F" w:rsidRPr="00FB229F">
        <w:t xml:space="preserve">of </w:t>
      </w:r>
      <w:r w:rsidRPr="00FB229F">
        <w:t xml:space="preserve">2 and one patient with missing information </w:t>
      </w:r>
      <w:r w:rsidRPr="00FB229F">
        <w:lastRenderedPageBreak/>
        <w:t>on disease stage</w:t>
      </w:r>
      <w:r w:rsidR="007A011F" w:rsidRPr="00FB229F">
        <w:t>)</w:t>
      </w:r>
      <w:r w:rsidRPr="00FB229F">
        <w:t>. 64 patients from the LIBRETTO-001 dataset were included in the PSM analysis.</w:t>
      </w:r>
    </w:p>
    <w:p w14:paraId="55D69B76" w14:textId="4E0ED914" w:rsidR="003851ED" w:rsidRPr="00FB229F" w:rsidRDefault="007A011F" w:rsidP="007F03AD">
      <w:pPr>
        <w:pStyle w:val="3-BodyText"/>
        <w:ind w:left="709" w:hanging="709"/>
      </w:pPr>
      <w:r w:rsidRPr="00FB229F">
        <w:fldChar w:fldCharType="begin" w:fldLock="1"/>
      </w:r>
      <w:r w:rsidRPr="00FB229F">
        <w:instrText xml:space="preserve"> REF _Ref131766050 \h </w:instrText>
      </w:r>
      <w:r w:rsidRPr="00FB229F">
        <w:fldChar w:fldCharType="separate"/>
      </w:r>
      <w:r w:rsidR="00CA7201" w:rsidRPr="00FB229F">
        <w:t xml:space="preserve">Table </w:t>
      </w:r>
      <w:r w:rsidR="00CA7201" w:rsidRPr="00166045">
        <w:t>7</w:t>
      </w:r>
      <w:r w:rsidRPr="00FB229F">
        <w:fldChar w:fldCharType="end"/>
      </w:r>
      <w:r w:rsidRPr="00FB229F">
        <w:t xml:space="preserve"> summarises baseline characteristics of the </w:t>
      </w:r>
      <w:r w:rsidR="00A2110B" w:rsidRPr="00FB229F">
        <w:t xml:space="preserve">PC arm before and after </w:t>
      </w:r>
      <w:r w:rsidR="000A2493" w:rsidRPr="00FB229F">
        <w:t>matching</w:t>
      </w:r>
      <w:r w:rsidRPr="00FB229F">
        <w:t>.</w:t>
      </w:r>
    </w:p>
    <w:p w14:paraId="2516D34A" w14:textId="4311CB85" w:rsidR="007A011F" w:rsidRPr="00FB229F" w:rsidRDefault="007A011F" w:rsidP="00D62D6C">
      <w:pPr>
        <w:pStyle w:val="Caption"/>
        <w:keepLines w:val="0"/>
      </w:pPr>
      <w:bookmarkStart w:id="35" w:name="_Ref131766050"/>
      <w:r w:rsidRPr="00FB229F">
        <w:t xml:space="preserve">Table </w:t>
      </w:r>
      <w:r w:rsidR="00BF0AEB">
        <w:fldChar w:fldCharType="begin" w:fldLock="1"/>
      </w:r>
      <w:r w:rsidR="00BF0AEB">
        <w:instrText xml:space="preserve"> SEQ Table \* ARABIC </w:instrText>
      </w:r>
      <w:r w:rsidR="00BF0AEB">
        <w:fldChar w:fldCharType="separate"/>
      </w:r>
      <w:r w:rsidR="00CA7201" w:rsidRPr="00166045">
        <w:t>7</w:t>
      </w:r>
      <w:r w:rsidR="00BF0AEB">
        <w:fldChar w:fldCharType="end"/>
      </w:r>
      <w:bookmarkEnd w:id="35"/>
      <w:r w:rsidRPr="00FB229F">
        <w:t xml:space="preserve">: Baseline characteristics of LIBRETTO-001 (treatment-naïve) and KEYNOTE-189 (before and after </w:t>
      </w:r>
      <w:r w:rsidR="000A2493" w:rsidRPr="00FB229F">
        <w:t>PSM)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2977"/>
        <w:gridCol w:w="2784"/>
      </w:tblGrid>
      <w:tr w:rsidR="007A011F" w:rsidRPr="00FB229F" w14:paraId="6BBD5E52" w14:textId="77777777" w:rsidTr="00D62D6C">
        <w:trPr>
          <w:cantSplit/>
          <w:jc w:val="center"/>
        </w:trPr>
        <w:tc>
          <w:tcPr>
            <w:tcW w:w="940" w:type="pct"/>
            <w:vMerge w:val="restart"/>
          </w:tcPr>
          <w:p w14:paraId="77B4740E" w14:textId="77777777" w:rsidR="007A011F" w:rsidRPr="00FB229F" w:rsidRDefault="007A011F" w:rsidP="00D62D6C">
            <w:pPr>
              <w:pStyle w:val="TableText0"/>
              <w:rPr>
                <w:b/>
                <w:szCs w:val="20"/>
              </w:rPr>
            </w:pPr>
            <w:r w:rsidRPr="00FB229F">
              <w:rPr>
                <w:b/>
                <w:szCs w:val="20"/>
              </w:rPr>
              <w:t>Characteristic</w:t>
            </w:r>
          </w:p>
        </w:tc>
        <w:tc>
          <w:tcPr>
            <w:tcW w:w="4060" w:type="pct"/>
            <w:gridSpan w:val="3"/>
          </w:tcPr>
          <w:p w14:paraId="60D52370" w14:textId="77777777" w:rsidR="007A011F" w:rsidRPr="00166045" w:rsidRDefault="007A011F" w:rsidP="00D62D6C">
            <w:pPr>
              <w:pStyle w:val="TableText0"/>
              <w:rPr>
                <w:b/>
                <w:szCs w:val="20"/>
              </w:rPr>
            </w:pPr>
            <w:r w:rsidRPr="00FB229F">
              <w:rPr>
                <w:b/>
                <w:szCs w:val="20"/>
              </w:rPr>
              <w:t>Baseline characteristics</w:t>
            </w:r>
          </w:p>
        </w:tc>
      </w:tr>
      <w:tr w:rsidR="007A011F" w:rsidRPr="00FB229F" w14:paraId="50E06B9B" w14:textId="77777777" w:rsidTr="00D62D6C">
        <w:trPr>
          <w:cantSplit/>
          <w:jc w:val="center"/>
        </w:trPr>
        <w:tc>
          <w:tcPr>
            <w:tcW w:w="940" w:type="pct"/>
            <w:vMerge/>
          </w:tcPr>
          <w:p w14:paraId="5AD85970" w14:textId="77777777" w:rsidR="007A011F" w:rsidRPr="00166045" w:rsidRDefault="007A011F" w:rsidP="00D62D6C">
            <w:pPr>
              <w:pStyle w:val="TableText0"/>
              <w:rPr>
                <w:b/>
                <w:szCs w:val="20"/>
              </w:rPr>
            </w:pPr>
          </w:p>
        </w:tc>
        <w:tc>
          <w:tcPr>
            <w:tcW w:w="865" w:type="pct"/>
            <w:vMerge w:val="restart"/>
          </w:tcPr>
          <w:p w14:paraId="38EBFC06" w14:textId="77777777" w:rsidR="007A011F" w:rsidRPr="00FB229F" w:rsidRDefault="007A011F" w:rsidP="00D62D6C">
            <w:pPr>
              <w:pStyle w:val="TableText0"/>
              <w:rPr>
                <w:b/>
                <w:szCs w:val="20"/>
              </w:rPr>
            </w:pPr>
          </w:p>
          <w:p w14:paraId="50303FF4" w14:textId="77777777" w:rsidR="007A011F" w:rsidRPr="00166045" w:rsidRDefault="007A011F" w:rsidP="00D62D6C">
            <w:pPr>
              <w:pStyle w:val="TableText0"/>
              <w:rPr>
                <w:b/>
                <w:szCs w:val="20"/>
              </w:rPr>
            </w:pPr>
            <w:r w:rsidRPr="00FB229F">
              <w:rPr>
                <w:b/>
                <w:szCs w:val="20"/>
              </w:rPr>
              <w:t>LIBRETTO-001</w:t>
            </w:r>
          </w:p>
          <w:p w14:paraId="6612624F" w14:textId="77777777" w:rsidR="007A011F" w:rsidRPr="00166045" w:rsidRDefault="007A011F" w:rsidP="00D62D6C">
            <w:pPr>
              <w:pStyle w:val="TableText0"/>
              <w:rPr>
                <w:b/>
                <w:szCs w:val="20"/>
              </w:rPr>
            </w:pPr>
            <w:r w:rsidRPr="00FB229F">
              <w:rPr>
                <w:b/>
                <w:szCs w:val="20"/>
              </w:rPr>
              <w:t xml:space="preserve">(selpercatinib) </w:t>
            </w:r>
            <w:r w:rsidRPr="00FB229F">
              <w:rPr>
                <w:b/>
                <w:szCs w:val="20"/>
              </w:rPr>
              <w:br/>
              <w:t xml:space="preserve">(N = </w:t>
            </w:r>
            <w:r w:rsidRPr="00166045">
              <w:rPr>
                <w:b/>
                <w:szCs w:val="20"/>
              </w:rPr>
              <w:t>64)</w:t>
            </w:r>
          </w:p>
        </w:tc>
        <w:tc>
          <w:tcPr>
            <w:tcW w:w="1651" w:type="pct"/>
          </w:tcPr>
          <w:p w14:paraId="6A525567" w14:textId="77777777" w:rsidR="007A011F" w:rsidRPr="00166045" w:rsidRDefault="007A011F" w:rsidP="00D62D6C">
            <w:pPr>
              <w:pStyle w:val="TableText0"/>
              <w:rPr>
                <w:b/>
                <w:szCs w:val="20"/>
              </w:rPr>
            </w:pPr>
            <w:r w:rsidRPr="00FB229F">
              <w:rPr>
                <w:b/>
                <w:szCs w:val="20"/>
              </w:rPr>
              <w:t>KN-189 (PC arm)</w:t>
            </w:r>
          </w:p>
          <w:p w14:paraId="73A32F0D" w14:textId="77777777" w:rsidR="007A011F" w:rsidRPr="00166045" w:rsidRDefault="007A011F" w:rsidP="00D62D6C">
            <w:pPr>
              <w:pStyle w:val="TableText0"/>
              <w:rPr>
                <w:b/>
                <w:szCs w:val="20"/>
              </w:rPr>
            </w:pPr>
            <w:r w:rsidRPr="00FB229F">
              <w:rPr>
                <w:b/>
                <w:szCs w:val="20"/>
              </w:rPr>
              <w:t xml:space="preserve">(N </w:t>
            </w:r>
            <w:r w:rsidRPr="00166045">
              <w:rPr>
                <w:b/>
                <w:szCs w:val="20"/>
              </w:rPr>
              <w:t>=206)</w:t>
            </w:r>
          </w:p>
        </w:tc>
        <w:tc>
          <w:tcPr>
            <w:tcW w:w="1544" w:type="pct"/>
          </w:tcPr>
          <w:p w14:paraId="5650EF5F" w14:textId="77777777" w:rsidR="007A011F" w:rsidRPr="00166045" w:rsidRDefault="007A011F" w:rsidP="00D62D6C">
            <w:pPr>
              <w:pStyle w:val="TableText0"/>
              <w:rPr>
                <w:b/>
                <w:szCs w:val="20"/>
              </w:rPr>
            </w:pPr>
            <w:r w:rsidRPr="00FB229F">
              <w:rPr>
                <w:b/>
                <w:szCs w:val="20"/>
              </w:rPr>
              <w:t>KN-189 (PC arm)</w:t>
            </w:r>
          </w:p>
          <w:p w14:paraId="79FBEDD8" w14:textId="77777777" w:rsidR="007A011F" w:rsidRPr="00166045" w:rsidRDefault="007A011F" w:rsidP="00D62D6C">
            <w:pPr>
              <w:pStyle w:val="TableText0"/>
              <w:rPr>
                <w:b/>
                <w:szCs w:val="20"/>
              </w:rPr>
            </w:pPr>
            <w:r w:rsidRPr="00FB229F">
              <w:rPr>
                <w:b/>
                <w:szCs w:val="20"/>
              </w:rPr>
              <w:t>(</w:t>
            </w:r>
            <w:r w:rsidRPr="00166045">
              <w:rPr>
                <w:b/>
                <w:szCs w:val="20"/>
              </w:rPr>
              <w:t>N = 64)</w:t>
            </w:r>
          </w:p>
        </w:tc>
      </w:tr>
      <w:tr w:rsidR="007A011F" w:rsidRPr="00FB229F" w14:paraId="581624FD" w14:textId="77777777" w:rsidTr="00D62D6C">
        <w:trPr>
          <w:cantSplit/>
          <w:jc w:val="center"/>
        </w:trPr>
        <w:tc>
          <w:tcPr>
            <w:tcW w:w="940" w:type="pct"/>
            <w:vMerge/>
          </w:tcPr>
          <w:p w14:paraId="4C8D0821" w14:textId="77777777" w:rsidR="007A011F" w:rsidRPr="00166045" w:rsidRDefault="007A011F" w:rsidP="00D62D6C">
            <w:pPr>
              <w:pStyle w:val="TableText0"/>
              <w:rPr>
                <w:b/>
                <w:szCs w:val="20"/>
              </w:rPr>
            </w:pPr>
          </w:p>
        </w:tc>
        <w:tc>
          <w:tcPr>
            <w:tcW w:w="865" w:type="pct"/>
            <w:vMerge/>
          </w:tcPr>
          <w:p w14:paraId="597DA644" w14:textId="77777777" w:rsidR="007A011F" w:rsidRPr="00FB229F" w:rsidRDefault="007A011F" w:rsidP="00D62D6C">
            <w:pPr>
              <w:pStyle w:val="TableText0"/>
              <w:rPr>
                <w:b/>
                <w:szCs w:val="20"/>
              </w:rPr>
            </w:pPr>
          </w:p>
        </w:tc>
        <w:tc>
          <w:tcPr>
            <w:tcW w:w="1651" w:type="pct"/>
          </w:tcPr>
          <w:p w14:paraId="44605518" w14:textId="77777777" w:rsidR="007A011F" w:rsidRPr="00166045" w:rsidRDefault="007A011F" w:rsidP="00D62D6C">
            <w:pPr>
              <w:pStyle w:val="TableText0"/>
              <w:rPr>
                <w:b/>
                <w:szCs w:val="20"/>
              </w:rPr>
            </w:pPr>
            <w:r w:rsidRPr="00FB229F">
              <w:rPr>
                <w:b/>
                <w:szCs w:val="20"/>
              </w:rPr>
              <w:t>Before PSM</w:t>
            </w:r>
          </w:p>
        </w:tc>
        <w:tc>
          <w:tcPr>
            <w:tcW w:w="1544" w:type="pct"/>
          </w:tcPr>
          <w:p w14:paraId="3EAD641E" w14:textId="77777777" w:rsidR="007A011F" w:rsidRPr="00166045" w:rsidRDefault="007A011F" w:rsidP="00D62D6C">
            <w:pPr>
              <w:pStyle w:val="TableText0"/>
              <w:rPr>
                <w:b/>
                <w:szCs w:val="20"/>
                <w:vertAlign w:val="superscript"/>
              </w:rPr>
            </w:pPr>
            <w:r w:rsidRPr="00FB229F">
              <w:rPr>
                <w:b/>
                <w:szCs w:val="20"/>
              </w:rPr>
              <w:t xml:space="preserve">After </w:t>
            </w:r>
            <w:proofErr w:type="spellStart"/>
            <w:r w:rsidRPr="00FB229F">
              <w:rPr>
                <w:b/>
                <w:szCs w:val="20"/>
              </w:rPr>
              <w:t>PSM</w:t>
            </w:r>
            <w:r w:rsidRPr="00166045">
              <w:rPr>
                <w:b/>
                <w:szCs w:val="20"/>
                <w:vertAlign w:val="superscript"/>
              </w:rPr>
              <w:t>a</w:t>
            </w:r>
            <w:proofErr w:type="spellEnd"/>
          </w:p>
          <w:p w14:paraId="1CE6AA0B" w14:textId="77777777" w:rsidR="007A011F" w:rsidRPr="00166045" w:rsidRDefault="007A011F" w:rsidP="00D62D6C">
            <w:pPr>
              <w:pStyle w:val="TableText0"/>
              <w:rPr>
                <w:b/>
                <w:szCs w:val="20"/>
              </w:rPr>
            </w:pPr>
            <w:r w:rsidRPr="00166045">
              <w:rPr>
                <w:b/>
                <w:szCs w:val="20"/>
              </w:rPr>
              <w:t xml:space="preserve">(Pseudo-control </w:t>
            </w:r>
            <w:r w:rsidR="000A2493" w:rsidRPr="00166045">
              <w:rPr>
                <w:b/>
                <w:szCs w:val="20"/>
              </w:rPr>
              <w:t xml:space="preserve">PC </w:t>
            </w:r>
            <w:r w:rsidRPr="00166045">
              <w:rPr>
                <w:b/>
                <w:szCs w:val="20"/>
              </w:rPr>
              <w:t>arm for selpercatinib)</w:t>
            </w:r>
          </w:p>
        </w:tc>
      </w:tr>
      <w:tr w:rsidR="007A011F" w:rsidRPr="00FB229F" w14:paraId="75F97124" w14:textId="77777777" w:rsidTr="00D62D6C">
        <w:trPr>
          <w:cantSplit/>
          <w:jc w:val="center"/>
        </w:trPr>
        <w:tc>
          <w:tcPr>
            <w:tcW w:w="940" w:type="pct"/>
          </w:tcPr>
          <w:p w14:paraId="6495D234" w14:textId="77777777" w:rsidR="007A011F" w:rsidRPr="00166045" w:rsidRDefault="007A011F" w:rsidP="00D62D6C">
            <w:pPr>
              <w:pStyle w:val="TableText0"/>
              <w:rPr>
                <w:szCs w:val="20"/>
              </w:rPr>
            </w:pPr>
            <w:r w:rsidRPr="00166045">
              <w:rPr>
                <w:szCs w:val="20"/>
              </w:rPr>
              <w:t>Age (mean, years)</w:t>
            </w:r>
          </w:p>
        </w:tc>
        <w:tc>
          <w:tcPr>
            <w:tcW w:w="865" w:type="pct"/>
          </w:tcPr>
          <w:p w14:paraId="62ADFBFD" w14:textId="77777777" w:rsidR="007A011F" w:rsidRPr="00FB229F" w:rsidRDefault="007A011F" w:rsidP="00D62D6C">
            <w:pPr>
              <w:pStyle w:val="TableText0"/>
              <w:rPr>
                <w:szCs w:val="20"/>
              </w:rPr>
            </w:pPr>
            <w:r w:rsidRPr="00FB229F">
              <w:rPr>
                <w:szCs w:val="20"/>
              </w:rPr>
              <w:t>60.64</w:t>
            </w:r>
          </w:p>
        </w:tc>
        <w:tc>
          <w:tcPr>
            <w:tcW w:w="1651" w:type="pct"/>
          </w:tcPr>
          <w:p w14:paraId="47A916B7" w14:textId="77777777" w:rsidR="007A011F" w:rsidRPr="00FB229F" w:rsidRDefault="007A011F" w:rsidP="00D62D6C">
            <w:pPr>
              <w:pStyle w:val="TableText0"/>
              <w:rPr>
                <w:szCs w:val="20"/>
              </w:rPr>
            </w:pPr>
            <w:r w:rsidRPr="00FB229F">
              <w:rPr>
                <w:szCs w:val="20"/>
              </w:rPr>
              <w:t>62.84</w:t>
            </w:r>
          </w:p>
        </w:tc>
        <w:tc>
          <w:tcPr>
            <w:tcW w:w="1544" w:type="pct"/>
          </w:tcPr>
          <w:p w14:paraId="3CD94359" w14:textId="77777777" w:rsidR="007A011F" w:rsidRPr="00FB229F" w:rsidRDefault="007A011F" w:rsidP="00D62D6C">
            <w:pPr>
              <w:pStyle w:val="TableText0"/>
              <w:rPr>
                <w:szCs w:val="20"/>
              </w:rPr>
            </w:pPr>
            <w:r w:rsidRPr="00FB229F">
              <w:rPr>
                <w:szCs w:val="20"/>
              </w:rPr>
              <w:t>61.19</w:t>
            </w:r>
          </w:p>
        </w:tc>
      </w:tr>
      <w:tr w:rsidR="007A011F" w:rsidRPr="00FB229F" w14:paraId="295FFC23" w14:textId="77777777" w:rsidTr="00D62D6C">
        <w:trPr>
          <w:cantSplit/>
          <w:jc w:val="center"/>
        </w:trPr>
        <w:tc>
          <w:tcPr>
            <w:tcW w:w="940" w:type="pct"/>
          </w:tcPr>
          <w:p w14:paraId="7D765AAD" w14:textId="77777777" w:rsidR="007A011F" w:rsidRPr="00166045" w:rsidRDefault="007A011F" w:rsidP="00D62D6C">
            <w:pPr>
              <w:pStyle w:val="TableText0"/>
              <w:rPr>
                <w:szCs w:val="20"/>
              </w:rPr>
            </w:pPr>
            <w:r w:rsidRPr="00166045">
              <w:rPr>
                <w:szCs w:val="20"/>
              </w:rPr>
              <w:t xml:space="preserve">ECOG PS=1 </w:t>
            </w:r>
          </w:p>
        </w:tc>
        <w:tc>
          <w:tcPr>
            <w:tcW w:w="865" w:type="pct"/>
          </w:tcPr>
          <w:p w14:paraId="40818E91" w14:textId="77777777" w:rsidR="007A011F" w:rsidRPr="00FB229F" w:rsidRDefault="007A011F" w:rsidP="00D62D6C">
            <w:pPr>
              <w:pStyle w:val="TableText0"/>
              <w:rPr>
                <w:szCs w:val="20"/>
              </w:rPr>
            </w:pPr>
            <w:r w:rsidRPr="00FB229F">
              <w:rPr>
                <w:szCs w:val="20"/>
              </w:rPr>
              <w:t>60.9%</w:t>
            </w:r>
          </w:p>
        </w:tc>
        <w:tc>
          <w:tcPr>
            <w:tcW w:w="1651" w:type="pct"/>
          </w:tcPr>
          <w:p w14:paraId="454723EC" w14:textId="77777777" w:rsidR="007A011F" w:rsidRPr="00FB229F" w:rsidRDefault="007A011F" w:rsidP="00D62D6C">
            <w:pPr>
              <w:pStyle w:val="TableText0"/>
              <w:rPr>
                <w:szCs w:val="20"/>
              </w:rPr>
            </w:pPr>
            <w:r w:rsidRPr="00FB229F">
              <w:rPr>
                <w:szCs w:val="20"/>
              </w:rPr>
              <w:t>60.8%</w:t>
            </w:r>
          </w:p>
        </w:tc>
        <w:tc>
          <w:tcPr>
            <w:tcW w:w="1544" w:type="pct"/>
          </w:tcPr>
          <w:p w14:paraId="5539E701" w14:textId="77777777" w:rsidR="007A011F" w:rsidRPr="00FB229F" w:rsidRDefault="007A011F" w:rsidP="00D62D6C">
            <w:pPr>
              <w:pStyle w:val="TableText0"/>
              <w:rPr>
                <w:szCs w:val="20"/>
              </w:rPr>
            </w:pPr>
            <w:r w:rsidRPr="00FB229F">
              <w:rPr>
                <w:szCs w:val="20"/>
              </w:rPr>
              <w:t>68.8%</w:t>
            </w:r>
          </w:p>
        </w:tc>
      </w:tr>
      <w:tr w:rsidR="007A011F" w:rsidRPr="00FB229F" w14:paraId="1787B4BF" w14:textId="77777777" w:rsidTr="00D62D6C">
        <w:trPr>
          <w:cantSplit/>
          <w:jc w:val="center"/>
        </w:trPr>
        <w:tc>
          <w:tcPr>
            <w:tcW w:w="940" w:type="pct"/>
          </w:tcPr>
          <w:p w14:paraId="62589E55" w14:textId="77777777" w:rsidR="007A011F" w:rsidRPr="00166045" w:rsidRDefault="007A011F" w:rsidP="00D62D6C">
            <w:pPr>
              <w:pStyle w:val="TableText0"/>
              <w:rPr>
                <w:szCs w:val="20"/>
              </w:rPr>
            </w:pPr>
            <w:r w:rsidRPr="00166045">
              <w:rPr>
                <w:szCs w:val="20"/>
              </w:rPr>
              <w:t xml:space="preserve">Female </w:t>
            </w:r>
          </w:p>
        </w:tc>
        <w:tc>
          <w:tcPr>
            <w:tcW w:w="865" w:type="pct"/>
          </w:tcPr>
          <w:p w14:paraId="7CBF17FD" w14:textId="77777777" w:rsidR="007A011F" w:rsidRPr="00FB229F" w:rsidRDefault="007A011F" w:rsidP="00D62D6C">
            <w:pPr>
              <w:pStyle w:val="TableText0"/>
              <w:rPr>
                <w:szCs w:val="20"/>
              </w:rPr>
            </w:pPr>
            <w:r w:rsidRPr="00FB229F">
              <w:rPr>
                <w:szCs w:val="20"/>
              </w:rPr>
              <w:t>60.9%</w:t>
            </w:r>
          </w:p>
        </w:tc>
        <w:tc>
          <w:tcPr>
            <w:tcW w:w="1651" w:type="pct"/>
          </w:tcPr>
          <w:p w14:paraId="4A084171" w14:textId="77777777" w:rsidR="007A011F" w:rsidRPr="00FB229F" w:rsidRDefault="007A011F" w:rsidP="00D62D6C">
            <w:pPr>
              <w:pStyle w:val="TableText0"/>
              <w:rPr>
                <w:szCs w:val="20"/>
              </w:rPr>
            </w:pPr>
            <w:r w:rsidRPr="00FB229F">
              <w:rPr>
                <w:szCs w:val="20"/>
              </w:rPr>
              <w:t>47.1%</w:t>
            </w:r>
          </w:p>
        </w:tc>
        <w:tc>
          <w:tcPr>
            <w:tcW w:w="1544" w:type="pct"/>
          </w:tcPr>
          <w:p w14:paraId="39C361B2" w14:textId="77777777" w:rsidR="007A011F" w:rsidRPr="00FB229F" w:rsidRDefault="007A011F" w:rsidP="00D62D6C">
            <w:pPr>
              <w:pStyle w:val="TableText0"/>
              <w:rPr>
                <w:szCs w:val="20"/>
              </w:rPr>
            </w:pPr>
            <w:r w:rsidRPr="00FB229F">
              <w:rPr>
                <w:szCs w:val="20"/>
              </w:rPr>
              <w:t>59.4%</w:t>
            </w:r>
          </w:p>
        </w:tc>
      </w:tr>
      <w:tr w:rsidR="007A011F" w:rsidRPr="00FB229F" w14:paraId="459B32DD" w14:textId="77777777" w:rsidTr="00D62D6C">
        <w:trPr>
          <w:cantSplit/>
          <w:jc w:val="center"/>
        </w:trPr>
        <w:tc>
          <w:tcPr>
            <w:tcW w:w="940" w:type="pct"/>
          </w:tcPr>
          <w:p w14:paraId="4C2DB703" w14:textId="77777777" w:rsidR="007A011F" w:rsidRPr="00166045" w:rsidRDefault="007A011F" w:rsidP="00D62D6C">
            <w:pPr>
              <w:pStyle w:val="TableText0"/>
              <w:rPr>
                <w:szCs w:val="20"/>
              </w:rPr>
            </w:pPr>
            <w:r w:rsidRPr="00166045">
              <w:rPr>
                <w:szCs w:val="20"/>
              </w:rPr>
              <w:t>Never smoked</w:t>
            </w:r>
          </w:p>
        </w:tc>
        <w:tc>
          <w:tcPr>
            <w:tcW w:w="865" w:type="pct"/>
          </w:tcPr>
          <w:p w14:paraId="10D2CDB4" w14:textId="77777777" w:rsidR="007A011F" w:rsidRPr="00FB229F" w:rsidRDefault="007A011F" w:rsidP="00D62D6C">
            <w:pPr>
              <w:pStyle w:val="TableText0"/>
              <w:rPr>
                <w:szCs w:val="20"/>
              </w:rPr>
            </w:pPr>
            <w:r w:rsidRPr="00FB229F">
              <w:rPr>
                <w:szCs w:val="20"/>
              </w:rPr>
              <w:t>68.8%</w:t>
            </w:r>
          </w:p>
        </w:tc>
        <w:tc>
          <w:tcPr>
            <w:tcW w:w="1651" w:type="pct"/>
          </w:tcPr>
          <w:p w14:paraId="022A1D2E" w14:textId="77777777" w:rsidR="007A011F" w:rsidRPr="00FB229F" w:rsidRDefault="007A011F" w:rsidP="00D62D6C">
            <w:pPr>
              <w:pStyle w:val="TableText0"/>
              <w:rPr>
                <w:szCs w:val="20"/>
              </w:rPr>
            </w:pPr>
            <w:r w:rsidRPr="00FB229F">
              <w:rPr>
                <w:szCs w:val="20"/>
              </w:rPr>
              <w:t>12.3%</w:t>
            </w:r>
          </w:p>
        </w:tc>
        <w:tc>
          <w:tcPr>
            <w:tcW w:w="1544" w:type="pct"/>
          </w:tcPr>
          <w:p w14:paraId="24AE1653" w14:textId="77777777" w:rsidR="007A011F" w:rsidRPr="00FB229F" w:rsidRDefault="007A011F" w:rsidP="00D62D6C">
            <w:pPr>
              <w:pStyle w:val="TableText0"/>
              <w:rPr>
                <w:szCs w:val="20"/>
              </w:rPr>
            </w:pPr>
            <w:r w:rsidRPr="00FB229F">
              <w:rPr>
                <w:szCs w:val="20"/>
              </w:rPr>
              <w:t>39.1%</w:t>
            </w:r>
          </w:p>
        </w:tc>
      </w:tr>
      <w:tr w:rsidR="007A011F" w:rsidRPr="00FB229F" w14:paraId="52698999" w14:textId="77777777" w:rsidTr="00D62D6C">
        <w:trPr>
          <w:cantSplit/>
          <w:jc w:val="center"/>
        </w:trPr>
        <w:tc>
          <w:tcPr>
            <w:tcW w:w="940" w:type="pct"/>
          </w:tcPr>
          <w:p w14:paraId="6DFB286A" w14:textId="77777777" w:rsidR="007A011F" w:rsidRPr="00166045" w:rsidRDefault="007A011F" w:rsidP="00D62D6C">
            <w:pPr>
              <w:pStyle w:val="TableText0"/>
              <w:rPr>
                <w:szCs w:val="20"/>
              </w:rPr>
            </w:pPr>
            <w:r w:rsidRPr="00166045">
              <w:rPr>
                <w:szCs w:val="20"/>
              </w:rPr>
              <w:t>Race: Asian</w:t>
            </w:r>
          </w:p>
        </w:tc>
        <w:tc>
          <w:tcPr>
            <w:tcW w:w="865" w:type="pct"/>
          </w:tcPr>
          <w:p w14:paraId="574A6C6F" w14:textId="77777777" w:rsidR="007A011F" w:rsidRPr="00FB229F" w:rsidRDefault="007A011F" w:rsidP="00D62D6C">
            <w:pPr>
              <w:pStyle w:val="TableText0"/>
              <w:rPr>
                <w:szCs w:val="20"/>
              </w:rPr>
            </w:pPr>
            <w:r w:rsidRPr="00FB229F">
              <w:rPr>
                <w:szCs w:val="20"/>
              </w:rPr>
              <w:t>18.8%</w:t>
            </w:r>
          </w:p>
        </w:tc>
        <w:tc>
          <w:tcPr>
            <w:tcW w:w="1651" w:type="pct"/>
          </w:tcPr>
          <w:p w14:paraId="5D2EB6F7" w14:textId="77777777" w:rsidR="007A011F" w:rsidRPr="00FB229F" w:rsidRDefault="007A011F" w:rsidP="00D62D6C">
            <w:pPr>
              <w:pStyle w:val="TableText0"/>
              <w:rPr>
                <w:szCs w:val="20"/>
              </w:rPr>
            </w:pPr>
            <w:r w:rsidRPr="00FB229F">
              <w:rPr>
                <w:szCs w:val="20"/>
              </w:rPr>
              <w:t>3.9%</w:t>
            </w:r>
          </w:p>
        </w:tc>
        <w:tc>
          <w:tcPr>
            <w:tcW w:w="1544" w:type="pct"/>
          </w:tcPr>
          <w:p w14:paraId="642DF6FF" w14:textId="77777777" w:rsidR="007A011F" w:rsidRPr="00FB229F" w:rsidRDefault="007A011F" w:rsidP="00D62D6C">
            <w:pPr>
              <w:pStyle w:val="TableText0"/>
              <w:rPr>
                <w:szCs w:val="20"/>
              </w:rPr>
            </w:pPr>
            <w:r w:rsidRPr="00FB229F">
              <w:rPr>
                <w:szCs w:val="20"/>
              </w:rPr>
              <w:t>12.5%</w:t>
            </w:r>
          </w:p>
        </w:tc>
      </w:tr>
      <w:tr w:rsidR="007A011F" w:rsidRPr="00FB229F" w14:paraId="079F7016" w14:textId="77777777" w:rsidTr="00D62D6C">
        <w:trPr>
          <w:cantSplit/>
          <w:jc w:val="center"/>
        </w:trPr>
        <w:tc>
          <w:tcPr>
            <w:tcW w:w="940" w:type="pct"/>
          </w:tcPr>
          <w:p w14:paraId="35D0A12D" w14:textId="77777777" w:rsidR="007A011F" w:rsidRPr="00166045" w:rsidRDefault="007A011F" w:rsidP="00D62D6C">
            <w:pPr>
              <w:pStyle w:val="TableText0"/>
              <w:rPr>
                <w:szCs w:val="20"/>
              </w:rPr>
            </w:pPr>
            <w:r w:rsidRPr="00166045">
              <w:rPr>
                <w:szCs w:val="20"/>
              </w:rPr>
              <w:t xml:space="preserve">Race: </w:t>
            </w:r>
            <w:proofErr w:type="spellStart"/>
            <w:r w:rsidRPr="00166045">
              <w:rPr>
                <w:szCs w:val="20"/>
              </w:rPr>
              <w:t>Other</w:t>
            </w:r>
            <w:r w:rsidRPr="00166045">
              <w:rPr>
                <w:szCs w:val="20"/>
                <w:vertAlign w:val="superscript"/>
              </w:rPr>
              <w:t>b</w:t>
            </w:r>
            <w:proofErr w:type="spellEnd"/>
          </w:p>
        </w:tc>
        <w:tc>
          <w:tcPr>
            <w:tcW w:w="865" w:type="pct"/>
          </w:tcPr>
          <w:p w14:paraId="1FC41916" w14:textId="77777777" w:rsidR="007A011F" w:rsidRPr="00FB229F" w:rsidRDefault="007A011F" w:rsidP="00D62D6C">
            <w:pPr>
              <w:pStyle w:val="TableText0"/>
              <w:rPr>
                <w:szCs w:val="20"/>
              </w:rPr>
            </w:pPr>
            <w:r w:rsidRPr="00FB229F">
              <w:rPr>
                <w:szCs w:val="20"/>
              </w:rPr>
              <w:t>10.9%</w:t>
            </w:r>
          </w:p>
        </w:tc>
        <w:tc>
          <w:tcPr>
            <w:tcW w:w="1651" w:type="pct"/>
          </w:tcPr>
          <w:p w14:paraId="41031D62" w14:textId="77777777" w:rsidR="007A011F" w:rsidRPr="00FB229F" w:rsidRDefault="007A011F" w:rsidP="00D62D6C">
            <w:pPr>
              <w:pStyle w:val="TableText0"/>
              <w:rPr>
                <w:szCs w:val="20"/>
              </w:rPr>
            </w:pPr>
            <w:r w:rsidRPr="00FB229F">
              <w:rPr>
                <w:szCs w:val="20"/>
              </w:rPr>
              <w:t>1.5%</w:t>
            </w:r>
          </w:p>
        </w:tc>
        <w:tc>
          <w:tcPr>
            <w:tcW w:w="1544" w:type="pct"/>
          </w:tcPr>
          <w:p w14:paraId="2F8B21E1" w14:textId="77777777" w:rsidR="007A011F" w:rsidRPr="00FB229F" w:rsidRDefault="007A011F" w:rsidP="00D62D6C">
            <w:pPr>
              <w:pStyle w:val="TableText0"/>
              <w:rPr>
                <w:szCs w:val="20"/>
              </w:rPr>
            </w:pPr>
            <w:r w:rsidRPr="00FB229F">
              <w:rPr>
                <w:szCs w:val="20"/>
              </w:rPr>
              <w:t>4.7%</w:t>
            </w:r>
          </w:p>
        </w:tc>
      </w:tr>
      <w:tr w:rsidR="007A011F" w:rsidRPr="00FB229F" w14:paraId="7ACB4518" w14:textId="77777777" w:rsidTr="00D62D6C">
        <w:trPr>
          <w:cantSplit/>
          <w:trHeight w:val="60"/>
          <w:jc w:val="center"/>
        </w:trPr>
        <w:tc>
          <w:tcPr>
            <w:tcW w:w="940" w:type="pct"/>
          </w:tcPr>
          <w:p w14:paraId="0A9BAA14" w14:textId="77777777" w:rsidR="007A011F" w:rsidRPr="00166045" w:rsidRDefault="007A011F" w:rsidP="00D62D6C">
            <w:pPr>
              <w:pStyle w:val="TableText0"/>
              <w:rPr>
                <w:szCs w:val="20"/>
              </w:rPr>
            </w:pPr>
            <w:r w:rsidRPr="00166045">
              <w:rPr>
                <w:szCs w:val="20"/>
              </w:rPr>
              <w:t>Stage III</w:t>
            </w:r>
          </w:p>
        </w:tc>
        <w:tc>
          <w:tcPr>
            <w:tcW w:w="865" w:type="pct"/>
          </w:tcPr>
          <w:p w14:paraId="10D86995" w14:textId="77777777" w:rsidR="007A011F" w:rsidRPr="00FB229F" w:rsidRDefault="007A011F" w:rsidP="00D62D6C">
            <w:pPr>
              <w:pStyle w:val="TableText0"/>
              <w:rPr>
                <w:szCs w:val="20"/>
              </w:rPr>
            </w:pPr>
            <w:r w:rsidRPr="00FB229F">
              <w:rPr>
                <w:szCs w:val="20"/>
              </w:rPr>
              <w:t>3.1%</w:t>
            </w:r>
          </w:p>
        </w:tc>
        <w:tc>
          <w:tcPr>
            <w:tcW w:w="1651" w:type="pct"/>
          </w:tcPr>
          <w:p w14:paraId="595721F7" w14:textId="77777777" w:rsidR="007A011F" w:rsidRPr="00FB229F" w:rsidRDefault="007A011F" w:rsidP="00D62D6C">
            <w:pPr>
              <w:pStyle w:val="TableText0"/>
              <w:rPr>
                <w:szCs w:val="20"/>
              </w:rPr>
            </w:pPr>
            <w:r w:rsidRPr="00FB229F">
              <w:rPr>
                <w:szCs w:val="20"/>
              </w:rPr>
              <w:t>0.5%</w:t>
            </w:r>
          </w:p>
        </w:tc>
        <w:tc>
          <w:tcPr>
            <w:tcW w:w="1544" w:type="pct"/>
          </w:tcPr>
          <w:p w14:paraId="7EBEDA57" w14:textId="77777777" w:rsidR="007A011F" w:rsidRPr="00FB229F" w:rsidRDefault="007A011F" w:rsidP="00D62D6C">
            <w:pPr>
              <w:pStyle w:val="TableText0"/>
              <w:rPr>
                <w:szCs w:val="20"/>
              </w:rPr>
            </w:pPr>
            <w:r w:rsidRPr="00FB229F">
              <w:rPr>
                <w:szCs w:val="20"/>
              </w:rPr>
              <w:t>1.6%</w:t>
            </w:r>
          </w:p>
        </w:tc>
      </w:tr>
      <w:tr w:rsidR="007A011F" w:rsidRPr="00FB229F" w14:paraId="1C95E79D" w14:textId="77777777" w:rsidTr="00D62D6C">
        <w:trPr>
          <w:cantSplit/>
          <w:jc w:val="center"/>
        </w:trPr>
        <w:tc>
          <w:tcPr>
            <w:tcW w:w="940" w:type="pct"/>
          </w:tcPr>
          <w:p w14:paraId="6326B5E8" w14:textId="77777777" w:rsidR="007A011F" w:rsidRPr="00166045" w:rsidRDefault="007A011F" w:rsidP="00D62D6C">
            <w:pPr>
              <w:pStyle w:val="TableText0"/>
              <w:rPr>
                <w:szCs w:val="20"/>
              </w:rPr>
            </w:pPr>
            <w:r w:rsidRPr="00166045">
              <w:rPr>
                <w:szCs w:val="20"/>
              </w:rPr>
              <w:t>Stage IV</w:t>
            </w:r>
          </w:p>
        </w:tc>
        <w:tc>
          <w:tcPr>
            <w:tcW w:w="865" w:type="pct"/>
          </w:tcPr>
          <w:p w14:paraId="5F1D7FCA" w14:textId="77777777" w:rsidR="007A011F" w:rsidRPr="00FB229F" w:rsidRDefault="007A011F" w:rsidP="00D62D6C">
            <w:pPr>
              <w:pStyle w:val="TableText0"/>
              <w:rPr>
                <w:szCs w:val="20"/>
              </w:rPr>
            </w:pPr>
            <w:r w:rsidRPr="00FB229F">
              <w:rPr>
                <w:szCs w:val="20"/>
              </w:rPr>
              <w:t>93.8%</w:t>
            </w:r>
          </w:p>
        </w:tc>
        <w:tc>
          <w:tcPr>
            <w:tcW w:w="1651" w:type="pct"/>
          </w:tcPr>
          <w:p w14:paraId="09BC418D" w14:textId="77777777" w:rsidR="007A011F" w:rsidRPr="00FB229F" w:rsidRDefault="007A011F" w:rsidP="00D62D6C">
            <w:pPr>
              <w:pStyle w:val="TableText0"/>
              <w:rPr>
                <w:szCs w:val="20"/>
              </w:rPr>
            </w:pPr>
            <w:r w:rsidRPr="00FB229F">
              <w:rPr>
                <w:szCs w:val="20"/>
              </w:rPr>
              <w:t>99.5%</w:t>
            </w:r>
          </w:p>
        </w:tc>
        <w:tc>
          <w:tcPr>
            <w:tcW w:w="1544" w:type="pct"/>
          </w:tcPr>
          <w:p w14:paraId="162B778C" w14:textId="77777777" w:rsidR="007A011F" w:rsidRPr="00FB229F" w:rsidRDefault="007A011F" w:rsidP="00D62D6C">
            <w:pPr>
              <w:pStyle w:val="TableText0"/>
              <w:rPr>
                <w:szCs w:val="20"/>
              </w:rPr>
            </w:pPr>
            <w:r w:rsidRPr="00FB229F">
              <w:rPr>
                <w:szCs w:val="20"/>
              </w:rPr>
              <w:t>98.4%</w:t>
            </w:r>
          </w:p>
        </w:tc>
      </w:tr>
    </w:tbl>
    <w:p w14:paraId="3DFAA1B6" w14:textId="77777777" w:rsidR="00F90FA2" w:rsidRPr="00FB229F" w:rsidRDefault="00F90FA2" w:rsidP="00F90FA2">
      <w:pPr>
        <w:pStyle w:val="TableFooter"/>
      </w:pPr>
      <w:r w:rsidRPr="00FB229F">
        <w:t>Source: Table 2-105, p266 of the submission</w:t>
      </w:r>
    </w:p>
    <w:p w14:paraId="51A3BBE9" w14:textId="77777777" w:rsidR="007A011F" w:rsidRPr="00FB229F" w:rsidRDefault="007A011F" w:rsidP="00F90FA2">
      <w:pPr>
        <w:pStyle w:val="TableFooter"/>
      </w:pPr>
      <w:r w:rsidRPr="00FB229F">
        <w:t>ECOG= Eastern Cooperative Oncology Group; PC= pemetrexed + platinum chemotherapy; PSM=propensity score matching</w:t>
      </w:r>
    </w:p>
    <w:p w14:paraId="116CC59F" w14:textId="63C0916C" w:rsidR="007A011F" w:rsidRPr="00FB229F" w:rsidRDefault="007A011F" w:rsidP="00F90FA2">
      <w:pPr>
        <w:pStyle w:val="TableFooter"/>
      </w:pPr>
      <w:r w:rsidRPr="00FB229F">
        <w:rPr>
          <w:vertAlign w:val="superscript"/>
        </w:rPr>
        <w:t>a</w:t>
      </w:r>
      <w:r w:rsidRPr="00FB229F">
        <w:t xml:space="preserve"> The analysis followed </w:t>
      </w:r>
      <w:r w:rsidR="00BD18E1" w:rsidRPr="00FB229F">
        <w:t xml:space="preserve">a </w:t>
      </w:r>
      <w:r w:rsidRPr="00FB229F">
        <w:t>greedy matching algorithm</w:t>
      </w:r>
      <w:r w:rsidR="00FF2B81" w:rsidRPr="00FB229F">
        <w:t xml:space="preserve"> and therefore</w:t>
      </w:r>
      <w:r w:rsidRPr="00FB229F">
        <w:t xml:space="preserve"> imbalances are not reconsidered</w:t>
      </w:r>
      <w:r w:rsidR="00A2110B" w:rsidRPr="00FB229F">
        <w:t xml:space="preserve"> or re-adjusted after matching</w:t>
      </w:r>
      <w:r w:rsidRPr="00FB229F">
        <w:t xml:space="preserve">. </w:t>
      </w:r>
    </w:p>
    <w:p w14:paraId="14E60E6D" w14:textId="038B4839" w:rsidR="00045017" w:rsidRPr="00FB229F" w:rsidRDefault="007A011F" w:rsidP="00816BFB">
      <w:pPr>
        <w:pStyle w:val="TableFooter"/>
        <w:spacing w:after="120"/>
      </w:pPr>
      <w:r w:rsidRPr="00FB229F">
        <w:rPr>
          <w:vertAlign w:val="superscript"/>
        </w:rPr>
        <w:t>b</w:t>
      </w:r>
      <w:r w:rsidRPr="00FB229F">
        <w:t xml:space="preserve"> Race:</w:t>
      </w:r>
      <w:r w:rsidR="00BD18E1" w:rsidRPr="00FB229F">
        <w:t xml:space="preserve"> </w:t>
      </w:r>
      <w:r w:rsidRPr="00FB229F">
        <w:t>other includes non-white, non-Asian and unknown</w:t>
      </w:r>
      <w:r w:rsidR="002836ED" w:rsidRPr="00FB229F">
        <w:t xml:space="preserve"> </w:t>
      </w:r>
    </w:p>
    <w:p w14:paraId="76DD6E17" w14:textId="44DBB0D4" w:rsidR="003851ED" w:rsidRPr="00FB229F" w:rsidRDefault="003851ED" w:rsidP="007F03AD">
      <w:pPr>
        <w:pStyle w:val="3-BodyText"/>
        <w:ind w:left="709" w:hanging="709"/>
      </w:pPr>
      <w:bookmarkStart w:id="36" w:name="_Ref137120141"/>
      <w:r w:rsidRPr="00FB229F">
        <w:rPr>
          <w:snapToGrid/>
        </w:rPr>
        <w:t xml:space="preserve">Matching resulted in a better balance for gender. However, for the selpercatinib arm compared with the pseudo-control PC arm, there were residual imbalances </w:t>
      </w:r>
      <w:r w:rsidR="000A2493" w:rsidRPr="00FB229F">
        <w:rPr>
          <w:snapToGrid/>
        </w:rPr>
        <w:t xml:space="preserve">after matching </w:t>
      </w:r>
      <w:r w:rsidRPr="00FB229F">
        <w:rPr>
          <w:snapToGrid/>
        </w:rPr>
        <w:t xml:space="preserve">in never-smokers (68.8% versus 39.1%), ECOG PS=1 (60.9% versus 68.8%), and Stage IV disease (93.8% versus 98.4%). These differences </w:t>
      </w:r>
      <w:r w:rsidR="008865D5" w:rsidRPr="00FB229F">
        <w:rPr>
          <w:snapToGrid/>
        </w:rPr>
        <w:t>are likely to</w:t>
      </w:r>
      <w:r w:rsidRPr="00FB229F">
        <w:rPr>
          <w:snapToGrid/>
        </w:rPr>
        <w:t xml:space="preserve"> favour selpercatinib over PC, and </w:t>
      </w:r>
      <w:r w:rsidR="008865D5" w:rsidRPr="00FB229F">
        <w:rPr>
          <w:snapToGrid/>
        </w:rPr>
        <w:t xml:space="preserve">consequently </w:t>
      </w:r>
      <w:r w:rsidRPr="00FB229F">
        <w:rPr>
          <w:snapToGrid/>
        </w:rPr>
        <w:t xml:space="preserve">favour selpercatinib over pembrolizumab + PC. Notably, before matching, ECOG status appeared similar between the selpercatinib arm and PC arm of KN-189, with </w:t>
      </w:r>
      <w:r w:rsidR="000A2493" w:rsidRPr="00FB229F">
        <w:rPr>
          <w:snapToGrid/>
        </w:rPr>
        <w:t>any</w:t>
      </w:r>
      <w:r w:rsidRPr="00FB229F">
        <w:rPr>
          <w:snapToGrid/>
        </w:rPr>
        <w:t xml:space="preserve"> small difference likely a result of random variation and unlikely to have any prognostic relevance.</w:t>
      </w:r>
      <w:bookmarkEnd w:id="36"/>
    </w:p>
    <w:p w14:paraId="27D5523B" w14:textId="7AFA005A" w:rsidR="008865D5" w:rsidRPr="00FB229F" w:rsidRDefault="003851ED" w:rsidP="007F03AD">
      <w:pPr>
        <w:pStyle w:val="3-BodyText"/>
        <w:ind w:left="709" w:hanging="709"/>
      </w:pPr>
      <w:bookmarkStart w:id="37" w:name="_Ref137196630"/>
      <w:r w:rsidRPr="00FB229F">
        <w:rPr>
          <w:snapToGrid/>
        </w:rPr>
        <w:t xml:space="preserve">Matching substantially decreased the original sample size of the </w:t>
      </w:r>
      <w:r w:rsidR="000A2493" w:rsidRPr="00FB229F">
        <w:rPr>
          <w:snapToGrid/>
        </w:rPr>
        <w:t xml:space="preserve">KN-189 </w:t>
      </w:r>
      <w:r w:rsidRPr="00FB229F">
        <w:rPr>
          <w:snapToGrid/>
        </w:rPr>
        <w:t xml:space="preserve">PC arm (N=206) by approximately two-thirds (n=64) indicating </w:t>
      </w:r>
      <w:r w:rsidR="000A2493" w:rsidRPr="00FB229F">
        <w:rPr>
          <w:snapToGrid/>
        </w:rPr>
        <w:t xml:space="preserve">the </w:t>
      </w:r>
      <w:r w:rsidRPr="00FB229F">
        <w:rPr>
          <w:snapToGrid/>
        </w:rPr>
        <w:t>lack of overlap in characteristics between the populations.</w:t>
      </w:r>
      <w:bookmarkEnd w:id="37"/>
      <w:r w:rsidRPr="00FB229F">
        <w:rPr>
          <w:snapToGrid/>
        </w:rPr>
        <w:t xml:space="preserve"> </w:t>
      </w:r>
    </w:p>
    <w:p w14:paraId="3DC06E3C" w14:textId="0CD12494" w:rsidR="000D5F22" w:rsidRPr="00FB229F" w:rsidRDefault="00E8560A" w:rsidP="007F03AD">
      <w:pPr>
        <w:pStyle w:val="3-BodyText"/>
        <w:ind w:left="709" w:hanging="709"/>
        <w:rPr>
          <w:snapToGrid/>
        </w:rPr>
      </w:pPr>
      <w:r w:rsidRPr="00FB229F">
        <w:rPr>
          <w:snapToGrid/>
        </w:rPr>
        <w:t xml:space="preserve">The relative treatment effects in terms of ORR, for selpercatinib versus the synthetic PC arm, are summarised in </w:t>
      </w:r>
      <w:r w:rsidRPr="00FB229F">
        <w:rPr>
          <w:snapToGrid/>
        </w:rPr>
        <w:fldChar w:fldCharType="begin" w:fldLock="1"/>
      </w:r>
      <w:r w:rsidRPr="00FB229F">
        <w:rPr>
          <w:snapToGrid/>
        </w:rPr>
        <w:instrText xml:space="preserve"> REF _Ref131772128 \h </w:instrText>
      </w:r>
      <w:r w:rsidRPr="00FB229F">
        <w:rPr>
          <w:snapToGrid/>
        </w:rPr>
      </w:r>
      <w:r w:rsidRPr="00FB229F">
        <w:rPr>
          <w:snapToGrid/>
        </w:rPr>
        <w:fldChar w:fldCharType="separate"/>
      </w:r>
      <w:r w:rsidR="00CA7201" w:rsidRPr="00FB229F">
        <w:t xml:space="preserve">Table </w:t>
      </w:r>
      <w:r w:rsidR="00CA7201" w:rsidRPr="00166045">
        <w:t>8</w:t>
      </w:r>
      <w:r w:rsidRPr="00FB229F">
        <w:rPr>
          <w:snapToGrid/>
        </w:rPr>
        <w:fldChar w:fldCharType="end"/>
      </w:r>
      <w:r w:rsidRPr="00FB229F">
        <w:rPr>
          <w:snapToGrid/>
        </w:rPr>
        <w:t xml:space="preserve">. The relative treatment effects in terms of PFS and OS are summarised in </w:t>
      </w:r>
      <w:r w:rsidRPr="00FB229F">
        <w:rPr>
          <w:snapToGrid/>
        </w:rPr>
        <w:fldChar w:fldCharType="begin" w:fldLock="1"/>
      </w:r>
      <w:r w:rsidRPr="00FB229F">
        <w:rPr>
          <w:snapToGrid/>
        </w:rPr>
        <w:instrText xml:space="preserve"> REF _Ref131772167 \h </w:instrText>
      </w:r>
      <w:r w:rsidRPr="00FB229F">
        <w:rPr>
          <w:snapToGrid/>
        </w:rPr>
      </w:r>
      <w:r w:rsidRPr="00FB229F">
        <w:rPr>
          <w:snapToGrid/>
        </w:rPr>
        <w:fldChar w:fldCharType="separate"/>
      </w:r>
      <w:r w:rsidR="00CA7201" w:rsidRPr="00FB229F">
        <w:t xml:space="preserve">Table </w:t>
      </w:r>
      <w:r w:rsidR="00CA7201" w:rsidRPr="00166045">
        <w:t>9</w:t>
      </w:r>
      <w:r w:rsidRPr="00FB229F">
        <w:rPr>
          <w:snapToGrid/>
        </w:rPr>
        <w:fldChar w:fldCharType="end"/>
      </w:r>
      <w:r w:rsidRPr="00FB229F">
        <w:rPr>
          <w:snapToGrid/>
        </w:rPr>
        <w:t>.</w:t>
      </w:r>
      <w:r w:rsidR="000A2493" w:rsidRPr="00FB229F">
        <w:rPr>
          <w:snapToGrid/>
        </w:rPr>
        <w:t xml:space="preserve"> The corresponding Kaplan-Meier curves </w:t>
      </w:r>
      <w:r w:rsidR="000D5F22" w:rsidRPr="00FB229F">
        <w:rPr>
          <w:snapToGrid/>
        </w:rPr>
        <w:t xml:space="preserve">are presented in </w:t>
      </w:r>
      <w:r w:rsidR="000D5F22" w:rsidRPr="00FB229F">
        <w:rPr>
          <w:snapToGrid/>
        </w:rPr>
        <w:fldChar w:fldCharType="begin" w:fldLock="1"/>
      </w:r>
      <w:r w:rsidR="000D5F22" w:rsidRPr="00FB229F">
        <w:rPr>
          <w:snapToGrid/>
        </w:rPr>
        <w:instrText xml:space="preserve"> REF _Ref132289953 \h </w:instrText>
      </w:r>
      <w:r w:rsidR="000D5F22" w:rsidRPr="00FB229F">
        <w:rPr>
          <w:snapToGrid/>
        </w:rPr>
      </w:r>
      <w:r w:rsidR="000D5F22" w:rsidRPr="00FB229F">
        <w:rPr>
          <w:snapToGrid/>
        </w:rPr>
        <w:fldChar w:fldCharType="separate"/>
      </w:r>
      <w:r w:rsidR="00CA7201" w:rsidRPr="00FB229F">
        <w:t xml:space="preserve">Figure </w:t>
      </w:r>
      <w:r w:rsidR="00CA7201" w:rsidRPr="00166045">
        <w:t>1</w:t>
      </w:r>
      <w:r w:rsidR="000D5F22" w:rsidRPr="00FB229F">
        <w:rPr>
          <w:snapToGrid/>
        </w:rPr>
        <w:fldChar w:fldCharType="end"/>
      </w:r>
      <w:r w:rsidR="000D5F22" w:rsidRPr="00FB229F">
        <w:rPr>
          <w:snapToGrid/>
        </w:rPr>
        <w:t xml:space="preserve"> and </w:t>
      </w:r>
      <w:r w:rsidR="000D5F22" w:rsidRPr="00FB229F">
        <w:rPr>
          <w:snapToGrid/>
        </w:rPr>
        <w:fldChar w:fldCharType="begin" w:fldLock="1"/>
      </w:r>
      <w:r w:rsidR="000D5F22" w:rsidRPr="00FB229F">
        <w:rPr>
          <w:snapToGrid/>
        </w:rPr>
        <w:instrText xml:space="preserve"> REF _Ref132289957 \h </w:instrText>
      </w:r>
      <w:r w:rsidR="000D5F22" w:rsidRPr="00FB229F">
        <w:rPr>
          <w:snapToGrid/>
        </w:rPr>
      </w:r>
      <w:r w:rsidR="000D5F22" w:rsidRPr="00FB229F">
        <w:rPr>
          <w:snapToGrid/>
        </w:rPr>
        <w:fldChar w:fldCharType="separate"/>
      </w:r>
      <w:r w:rsidR="00CA7201" w:rsidRPr="00FB229F">
        <w:t xml:space="preserve">Figure </w:t>
      </w:r>
      <w:r w:rsidR="00CA7201" w:rsidRPr="00166045">
        <w:t>2</w:t>
      </w:r>
      <w:r w:rsidR="000D5F22" w:rsidRPr="00FB229F">
        <w:rPr>
          <w:snapToGrid/>
        </w:rPr>
        <w:fldChar w:fldCharType="end"/>
      </w:r>
      <w:r w:rsidR="000D5F22" w:rsidRPr="00FB229F">
        <w:rPr>
          <w:snapToGrid/>
        </w:rPr>
        <w:t>.</w:t>
      </w:r>
    </w:p>
    <w:p w14:paraId="1A51D49B" w14:textId="67E40217" w:rsidR="00E8560A" w:rsidRPr="00FB229F" w:rsidRDefault="00E8560A" w:rsidP="001A67C3">
      <w:pPr>
        <w:pStyle w:val="Caption"/>
      </w:pPr>
      <w:bookmarkStart w:id="38" w:name="_Ref131772128"/>
      <w:r w:rsidRPr="00FB229F">
        <w:t xml:space="preserve">Table </w:t>
      </w:r>
      <w:r w:rsidR="00BF0AEB">
        <w:fldChar w:fldCharType="begin" w:fldLock="1"/>
      </w:r>
      <w:r w:rsidR="00BF0AEB">
        <w:instrText xml:space="preserve"> SEQ Table \* ARABIC </w:instrText>
      </w:r>
      <w:r w:rsidR="00BF0AEB">
        <w:fldChar w:fldCharType="separate"/>
      </w:r>
      <w:r w:rsidR="00CA7201" w:rsidRPr="00166045">
        <w:t>8</w:t>
      </w:r>
      <w:r w:rsidR="00BF0AEB">
        <w:fldChar w:fldCharType="end"/>
      </w:r>
      <w:bookmarkEnd w:id="38"/>
      <w:r w:rsidRPr="00FB229F">
        <w:t>: Estimated ORR treatment effects (RD, OR and RR) for selpercatinib versus PC arm of KN-189 using propensity score matching (pseudo-control PC arm)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05"/>
        <w:gridCol w:w="1227"/>
        <w:gridCol w:w="1605"/>
        <w:gridCol w:w="1700"/>
        <w:gridCol w:w="1655"/>
      </w:tblGrid>
      <w:tr w:rsidR="00E8560A" w:rsidRPr="00FB229F" w14:paraId="7C42CD7A" w14:textId="77777777" w:rsidTr="00DE0372">
        <w:tc>
          <w:tcPr>
            <w:tcW w:w="1525" w:type="dxa"/>
            <w:vMerge w:val="restart"/>
          </w:tcPr>
          <w:p w14:paraId="50560BDC" w14:textId="77777777" w:rsidR="00E8560A" w:rsidRPr="00FB229F" w:rsidRDefault="00E8560A" w:rsidP="001A67C3">
            <w:pPr>
              <w:pStyle w:val="Tabletext"/>
              <w:keepNext/>
              <w:keepLines/>
              <w:rPr>
                <w:b/>
              </w:rPr>
            </w:pPr>
            <w:r w:rsidRPr="00FB229F">
              <w:rPr>
                <w:b/>
              </w:rPr>
              <w:t>Endpoint</w:t>
            </w:r>
          </w:p>
        </w:tc>
        <w:tc>
          <w:tcPr>
            <w:tcW w:w="2532" w:type="dxa"/>
            <w:gridSpan w:val="2"/>
          </w:tcPr>
          <w:p w14:paraId="1011D0B0" w14:textId="77777777" w:rsidR="00E8560A" w:rsidRPr="00FB229F" w:rsidRDefault="00E8560A" w:rsidP="001A67C3">
            <w:pPr>
              <w:pStyle w:val="Tabletext"/>
              <w:keepNext/>
              <w:keepLines/>
              <w:rPr>
                <w:b/>
              </w:rPr>
            </w:pPr>
            <w:r w:rsidRPr="00FB229F">
              <w:rPr>
                <w:b/>
              </w:rPr>
              <w:t>Number of events n/N (%)</w:t>
            </w:r>
          </w:p>
        </w:tc>
        <w:tc>
          <w:tcPr>
            <w:tcW w:w="1605" w:type="dxa"/>
            <w:vMerge w:val="restart"/>
          </w:tcPr>
          <w:p w14:paraId="167FBAA5" w14:textId="77777777" w:rsidR="00E8560A" w:rsidRPr="00FB229F" w:rsidRDefault="00E8560A" w:rsidP="001A67C3">
            <w:pPr>
              <w:pStyle w:val="Tabletext"/>
              <w:keepNext/>
              <w:keepLines/>
              <w:rPr>
                <w:b/>
              </w:rPr>
            </w:pPr>
            <w:r w:rsidRPr="00FB229F">
              <w:rPr>
                <w:b/>
              </w:rPr>
              <w:t>Risk difference vs. PC</w:t>
            </w:r>
          </w:p>
          <w:p w14:paraId="3D280317" w14:textId="77777777" w:rsidR="00E8560A" w:rsidRPr="00FB229F" w:rsidRDefault="00E8560A" w:rsidP="001A67C3">
            <w:pPr>
              <w:pStyle w:val="Tabletext"/>
              <w:keepNext/>
              <w:keepLines/>
              <w:rPr>
                <w:b/>
              </w:rPr>
            </w:pPr>
            <w:r w:rsidRPr="00FB229F">
              <w:rPr>
                <w:b/>
              </w:rPr>
              <w:t>(95% CI)</w:t>
            </w:r>
          </w:p>
        </w:tc>
        <w:tc>
          <w:tcPr>
            <w:tcW w:w="1700" w:type="dxa"/>
            <w:vMerge w:val="restart"/>
          </w:tcPr>
          <w:p w14:paraId="430B5735" w14:textId="77777777" w:rsidR="00E8560A" w:rsidRPr="00FB229F" w:rsidRDefault="00E8560A" w:rsidP="001A67C3">
            <w:pPr>
              <w:pStyle w:val="Tabletext"/>
              <w:keepNext/>
              <w:keepLines/>
              <w:rPr>
                <w:b/>
                <w:szCs w:val="20"/>
              </w:rPr>
            </w:pPr>
            <w:r w:rsidRPr="00FB229F">
              <w:rPr>
                <w:b/>
                <w:szCs w:val="20"/>
              </w:rPr>
              <w:t>Odds ratio vs. PC</w:t>
            </w:r>
          </w:p>
          <w:p w14:paraId="251D5B88" w14:textId="77777777" w:rsidR="00E8560A" w:rsidRPr="00FB229F" w:rsidRDefault="00E8560A" w:rsidP="001A67C3">
            <w:pPr>
              <w:pStyle w:val="Tabletext"/>
              <w:keepNext/>
              <w:keepLines/>
              <w:rPr>
                <w:b/>
                <w:szCs w:val="20"/>
              </w:rPr>
            </w:pPr>
            <w:r w:rsidRPr="00FB229F">
              <w:rPr>
                <w:b/>
                <w:szCs w:val="20"/>
              </w:rPr>
              <w:t>(95% CI)</w:t>
            </w:r>
          </w:p>
        </w:tc>
        <w:tc>
          <w:tcPr>
            <w:tcW w:w="1649" w:type="dxa"/>
            <w:vMerge w:val="restart"/>
          </w:tcPr>
          <w:p w14:paraId="724D2A9F" w14:textId="63772624" w:rsidR="00E8560A" w:rsidRPr="00FB229F" w:rsidRDefault="00E8560A" w:rsidP="001A67C3">
            <w:pPr>
              <w:pStyle w:val="Tabletext"/>
              <w:keepNext/>
              <w:keepLines/>
              <w:rPr>
                <w:b/>
                <w:szCs w:val="20"/>
              </w:rPr>
            </w:pPr>
            <w:r w:rsidRPr="00FB229F">
              <w:rPr>
                <w:b/>
                <w:szCs w:val="20"/>
              </w:rPr>
              <w:t>Relative risk vs.</w:t>
            </w:r>
            <w:r w:rsidR="00BD18E1" w:rsidRPr="00FB229F">
              <w:rPr>
                <w:b/>
                <w:szCs w:val="20"/>
              </w:rPr>
              <w:t xml:space="preserve"> </w:t>
            </w:r>
            <w:r w:rsidRPr="00FB229F">
              <w:rPr>
                <w:b/>
                <w:szCs w:val="20"/>
              </w:rPr>
              <w:t>PC</w:t>
            </w:r>
          </w:p>
          <w:p w14:paraId="15691B23" w14:textId="77777777" w:rsidR="00E8560A" w:rsidRPr="00FB229F" w:rsidRDefault="00E8560A" w:rsidP="001A67C3">
            <w:pPr>
              <w:pStyle w:val="Tabletext"/>
              <w:keepNext/>
              <w:keepLines/>
              <w:rPr>
                <w:b/>
                <w:szCs w:val="20"/>
              </w:rPr>
            </w:pPr>
            <w:r w:rsidRPr="00FB229F">
              <w:rPr>
                <w:b/>
                <w:szCs w:val="20"/>
              </w:rPr>
              <w:t>(95% CI)</w:t>
            </w:r>
          </w:p>
        </w:tc>
      </w:tr>
      <w:tr w:rsidR="00E8560A" w:rsidRPr="00FB229F" w14:paraId="43F81308" w14:textId="77777777" w:rsidTr="00DE0372">
        <w:tc>
          <w:tcPr>
            <w:tcW w:w="1525" w:type="dxa"/>
            <w:vMerge/>
          </w:tcPr>
          <w:p w14:paraId="29D1B144" w14:textId="77777777" w:rsidR="00E8560A" w:rsidRPr="00FB229F" w:rsidRDefault="00E8560A" w:rsidP="001A67C3">
            <w:pPr>
              <w:pStyle w:val="Tabletext"/>
              <w:keepNext/>
              <w:keepLines/>
              <w:rPr>
                <w:szCs w:val="16"/>
              </w:rPr>
            </w:pPr>
          </w:p>
        </w:tc>
        <w:tc>
          <w:tcPr>
            <w:tcW w:w="1305" w:type="dxa"/>
          </w:tcPr>
          <w:p w14:paraId="6C8A3F90" w14:textId="77777777" w:rsidR="00E8560A" w:rsidRPr="00FB229F" w:rsidRDefault="00E8560A" w:rsidP="001A67C3">
            <w:pPr>
              <w:pStyle w:val="Tabletext"/>
              <w:keepNext/>
              <w:keepLines/>
              <w:rPr>
                <w:b/>
              </w:rPr>
            </w:pPr>
            <w:r w:rsidRPr="00FB229F">
              <w:rPr>
                <w:b/>
              </w:rPr>
              <w:t>Selpercatinib</w:t>
            </w:r>
          </w:p>
        </w:tc>
        <w:tc>
          <w:tcPr>
            <w:tcW w:w="1227" w:type="dxa"/>
          </w:tcPr>
          <w:p w14:paraId="0EB56A8E" w14:textId="77777777" w:rsidR="00E8560A" w:rsidRPr="00FB229F" w:rsidRDefault="00E8560A" w:rsidP="001A67C3">
            <w:pPr>
              <w:pStyle w:val="Tabletext"/>
              <w:keepNext/>
              <w:keepLines/>
              <w:rPr>
                <w:b/>
              </w:rPr>
            </w:pPr>
            <w:r w:rsidRPr="00FB229F">
              <w:rPr>
                <w:b/>
              </w:rPr>
              <w:t>Pseudo-control PC</w:t>
            </w:r>
          </w:p>
        </w:tc>
        <w:tc>
          <w:tcPr>
            <w:tcW w:w="1605" w:type="dxa"/>
            <w:vMerge/>
          </w:tcPr>
          <w:p w14:paraId="60C58B26" w14:textId="77777777" w:rsidR="00E8560A" w:rsidRPr="00FB229F" w:rsidRDefault="00E8560A" w:rsidP="001A67C3">
            <w:pPr>
              <w:pStyle w:val="Tabletext"/>
              <w:keepNext/>
              <w:keepLines/>
              <w:rPr>
                <w:szCs w:val="16"/>
              </w:rPr>
            </w:pPr>
          </w:p>
        </w:tc>
        <w:tc>
          <w:tcPr>
            <w:tcW w:w="1700" w:type="dxa"/>
            <w:vMerge/>
          </w:tcPr>
          <w:p w14:paraId="1578082D" w14:textId="77777777" w:rsidR="00E8560A" w:rsidRPr="00FB229F" w:rsidRDefault="00E8560A" w:rsidP="001A67C3">
            <w:pPr>
              <w:pStyle w:val="Tabletext"/>
              <w:keepNext/>
              <w:keepLines/>
              <w:rPr>
                <w:szCs w:val="16"/>
              </w:rPr>
            </w:pPr>
          </w:p>
        </w:tc>
        <w:tc>
          <w:tcPr>
            <w:tcW w:w="1649" w:type="dxa"/>
            <w:vMerge/>
          </w:tcPr>
          <w:p w14:paraId="38DE51E2" w14:textId="77777777" w:rsidR="00E8560A" w:rsidRPr="00FB229F" w:rsidRDefault="00E8560A" w:rsidP="001A67C3">
            <w:pPr>
              <w:pStyle w:val="Tabletext"/>
              <w:keepNext/>
              <w:keepLines/>
              <w:rPr>
                <w:szCs w:val="16"/>
              </w:rPr>
            </w:pPr>
          </w:p>
        </w:tc>
      </w:tr>
      <w:tr w:rsidR="00E8560A" w:rsidRPr="00FB229F" w14:paraId="6C46D374" w14:textId="77777777" w:rsidTr="00DE0372">
        <w:tc>
          <w:tcPr>
            <w:tcW w:w="1525" w:type="dxa"/>
          </w:tcPr>
          <w:p w14:paraId="1EFF0222" w14:textId="77777777" w:rsidR="00E8560A" w:rsidRPr="00FB229F" w:rsidRDefault="00E8560A" w:rsidP="001A67C3">
            <w:pPr>
              <w:pStyle w:val="Tabletext"/>
              <w:keepNext/>
              <w:keepLines/>
            </w:pPr>
            <w:r w:rsidRPr="00FB229F">
              <w:t>ORR, n/N, (%)</w:t>
            </w:r>
          </w:p>
        </w:tc>
        <w:tc>
          <w:tcPr>
            <w:tcW w:w="1305" w:type="dxa"/>
          </w:tcPr>
          <w:p w14:paraId="38019F3B" w14:textId="77777777" w:rsidR="00E8560A" w:rsidRPr="00FB229F" w:rsidRDefault="00E8560A" w:rsidP="001A67C3">
            <w:pPr>
              <w:pStyle w:val="Tabletext"/>
              <w:keepNext/>
              <w:keepLines/>
            </w:pPr>
            <w:r w:rsidRPr="00FB229F">
              <w:t>53/64 (82.8)</w:t>
            </w:r>
          </w:p>
        </w:tc>
        <w:tc>
          <w:tcPr>
            <w:tcW w:w="1227" w:type="dxa"/>
          </w:tcPr>
          <w:p w14:paraId="31465BD9" w14:textId="77777777" w:rsidR="00E8560A" w:rsidRPr="00FB229F" w:rsidRDefault="00E8560A" w:rsidP="001A67C3">
            <w:pPr>
              <w:pStyle w:val="Tabletext"/>
              <w:keepNext/>
              <w:keepLines/>
            </w:pPr>
            <w:r w:rsidRPr="00FB229F">
              <w:t>12/64 (18.8)</w:t>
            </w:r>
          </w:p>
        </w:tc>
        <w:tc>
          <w:tcPr>
            <w:tcW w:w="1605" w:type="dxa"/>
          </w:tcPr>
          <w:p w14:paraId="733E5D42" w14:textId="77777777" w:rsidR="00E8560A" w:rsidRPr="00FB229F" w:rsidRDefault="00E8560A" w:rsidP="001A67C3">
            <w:pPr>
              <w:pStyle w:val="Tabletext"/>
              <w:keepNext/>
              <w:keepLines/>
              <w:rPr>
                <w:bCs/>
              </w:rPr>
            </w:pPr>
            <w:r w:rsidRPr="00FB229F">
              <w:t xml:space="preserve">0.64 </w:t>
            </w:r>
          </w:p>
          <w:p w14:paraId="3A8CAD7B" w14:textId="77777777" w:rsidR="00E8560A" w:rsidRPr="00FB229F" w:rsidRDefault="00E8560A" w:rsidP="001A67C3">
            <w:pPr>
              <w:pStyle w:val="Tabletext"/>
              <w:keepNext/>
              <w:keepLines/>
              <w:rPr>
                <w:bCs/>
              </w:rPr>
            </w:pPr>
            <w:r w:rsidRPr="00FB229F">
              <w:t>(0.51, 0.77)</w:t>
            </w:r>
          </w:p>
        </w:tc>
        <w:tc>
          <w:tcPr>
            <w:tcW w:w="1700" w:type="dxa"/>
          </w:tcPr>
          <w:p w14:paraId="41E80EF1" w14:textId="77777777" w:rsidR="00E8560A" w:rsidRPr="00FB229F" w:rsidRDefault="00E8560A" w:rsidP="001A67C3">
            <w:pPr>
              <w:pStyle w:val="Tabletext"/>
              <w:keepNext/>
              <w:keepLines/>
              <w:rPr>
                <w:bCs/>
              </w:rPr>
            </w:pPr>
            <w:r w:rsidRPr="00FB229F">
              <w:t xml:space="preserve">20.9 </w:t>
            </w:r>
          </w:p>
          <w:p w14:paraId="7E92036C" w14:textId="77777777" w:rsidR="00E8560A" w:rsidRPr="00FB229F" w:rsidRDefault="00E8560A" w:rsidP="001A67C3">
            <w:pPr>
              <w:pStyle w:val="Tabletext"/>
              <w:keepNext/>
              <w:keepLines/>
              <w:rPr>
                <w:bCs/>
              </w:rPr>
            </w:pPr>
            <w:r w:rsidRPr="00FB229F">
              <w:t>(8.5, 51.5)</w:t>
            </w:r>
          </w:p>
        </w:tc>
        <w:tc>
          <w:tcPr>
            <w:tcW w:w="1655" w:type="dxa"/>
          </w:tcPr>
          <w:p w14:paraId="429A3833" w14:textId="77777777" w:rsidR="00E8560A" w:rsidRPr="00FB229F" w:rsidRDefault="00E8560A" w:rsidP="001A67C3">
            <w:pPr>
              <w:pStyle w:val="Tabletext"/>
              <w:keepNext/>
              <w:keepLines/>
              <w:rPr>
                <w:bCs/>
              </w:rPr>
            </w:pPr>
            <w:r w:rsidRPr="00FB229F">
              <w:t xml:space="preserve">4.4 </w:t>
            </w:r>
          </w:p>
          <w:p w14:paraId="316AE102" w14:textId="77777777" w:rsidR="00E8560A" w:rsidRPr="00FB229F" w:rsidRDefault="00E8560A" w:rsidP="001A67C3">
            <w:pPr>
              <w:pStyle w:val="Tabletext"/>
              <w:keepNext/>
              <w:keepLines/>
            </w:pPr>
            <w:r w:rsidRPr="00FB229F">
              <w:t>(2.6, 7.4)</w:t>
            </w:r>
          </w:p>
        </w:tc>
      </w:tr>
    </w:tbl>
    <w:p w14:paraId="742AFF26" w14:textId="77777777" w:rsidR="00E8560A" w:rsidRPr="00FB229F" w:rsidRDefault="00E8560A" w:rsidP="001A67C3">
      <w:pPr>
        <w:pStyle w:val="TableFooter"/>
        <w:keepNext/>
        <w:keepLines/>
        <w:rPr>
          <w:rStyle w:val="TableFooterChar"/>
        </w:rPr>
      </w:pPr>
      <w:r w:rsidRPr="00FB229F">
        <w:rPr>
          <w:rStyle w:val="TableFooterChar"/>
        </w:rPr>
        <w:t>Source: Table 2-106, p267 of the submission</w:t>
      </w:r>
    </w:p>
    <w:p w14:paraId="308B584E" w14:textId="77777777" w:rsidR="00E8560A" w:rsidRPr="00166045" w:rsidRDefault="00E8560A" w:rsidP="00816BFB">
      <w:pPr>
        <w:pStyle w:val="TableFooter"/>
        <w:keepLines/>
        <w:spacing w:after="120"/>
      </w:pPr>
      <w:r w:rsidRPr="00FB229F">
        <w:rPr>
          <w:rStyle w:val="TableFooterChar"/>
        </w:rPr>
        <w:t>OR=odds ratio; ORR=objective response rate</w:t>
      </w:r>
      <w:r w:rsidRPr="00166045">
        <w:t>; PC=pemetrexed + platinum chemotherapy; RD=risk difference; RR=risk ratio</w:t>
      </w:r>
    </w:p>
    <w:p w14:paraId="3B97D881" w14:textId="631D16B3" w:rsidR="008865D5" w:rsidRPr="00FB229F" w:rsidRDefault="008865D5" w:rsidP="008865D5">
      <w:pPr>
        <w:pStyle w:val="Caption"/>
      </w:pPr>
      <w:bookmarkStart w:id="39" w:name="_Ref131772167"/>
      <w:r w:rsidRPr="00FB229F">
        <w:lastRenderedPageBreak/>
        <w:t xml:space="preserve">Table </w:t>
      </w:r>
      <w:r w:rsidR="00BF0AEB">
        <w:fldChar w:fldCharType="begin" w:fldLock="1"/>
      </w:r>
      <w:r w:rsidR="00BF0AEB">
        <w:instrText xml:space="preserve"> SEQ Table \* ARABIC </w:instrText>
      </w:r>
      <w:r w:rsidR="00BF0AEB">
        <w:fldChar w:fldCharType="separate"/>
      </w:r>
      <w:r w:rsidR="00CA7201" w:rsidRPr="00166045">
        <w:t>9</w:t>
      </w:r>
      <w:r w:rsidR="00BF0AEB">
        <w:fldChar w:fldCharType="end"/>
      </w:r>
      <w:bookmarkEnd w:id="39"/>
      <w:r w:rsidRPr="00FB229F">
        <w:t>: Estimated PFS and OS treatment effects for selpercatinib versus PC arm of KN-189 (unadjusted and adjusted using propensity score matching)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2764"/>
        <w:gridCol w:w="2863"/>
        <w:gridCol w:w="1651"/>
      </w:tblGrid>
      <w:tr w:rsidR="008865D5" w:rsidRPr="00FB229F" w14:paraId="26E93046" w14:textId="77777777" w:rsidTr="00816BFB">
        <w:trPr>
          <w:cantSplit/>
          <w:trHeight w:val="622"/>
        </w:trPr>
        <w:tc>
          <w:tcPr>
            <w:tcW w:w="1739" w:type="dxa"/>
          </w:tcPr>
          <w:p w14:paraId="4B59A79A" w14:textId="77777777" w:rsidR="008865D5" w:rsidRPr="00FB229F" w:rsidRDefault="008865D5" w:rsidP="0043289E">
            <w:pPr>
              <w:pStyle w:val="TableText0"/>
              <w:rPr>
                <w:b/>
                <w:szCs w:val="20"/>
              </w:rPr>
            </w:pPr>
            <w:r w:rsidRPr="00FB229F">
              <w:rPr>
                <w:b/>
                <w:szCs w:val="20"/>
              </w:rPr>
              <w:t>Model</w:t>
            </w:r>
          </w:p>
        </w:tc>
        <w:tc>
          <w:tcPr>
            <w:tcW w:w="2764" w:type="dxa"/>
          </w:tcPr>
          <w:p w14:paraId="497F9783" w14:textId="77777777" w:rsidR="008865D5" w:rsidRPr="00FB229F" w:rsidRDefault="008865D5" w:rsidP="0043289E">
            <w:pPr>
              <w:pStyle w:val="TableText0"/>
              <w:rPr>
                <w:b/>
                <w:szCs w:val="20"/>
              </w:rPr>
            </w:pPr>
            <w:r w:rsidRPr="00FB229F">
              <w:rPr>
                <w:b/>
                <w:szCs w:val="20"/>
              </w:rPr>
              <w:t>LIBRETTO-001 (selpercatinib)</w:t>
            </w:r>
          </w:p>
          <w:p w14:paraId="3EE44AE4" w14:textId="77777777" w:rsidR="008865D5" w:rsidRPr="00FB229F" w:rsidRDefault="008865D5" w:rsidP="0043289E">
            <w:pPr>
              <w:pStyle w:val="TableText0"/>
              <w:rPr>
                <w:b/>
                <w:szCs w:val="20"/>
              </w:rPr>
            </w:pPr>
            <w:r w:rsidRPr="00FB229F">
              <w:rPr>
                <w:b/>
                <w:szCs w:val="20"/>
              </w:rPr>
              <w:t xml:space="preserve">N=64 </w:t>
            </w:r>
          </w:p>
          <w:p w14:paraId="5719DF8C" w14:textId="77777777" w:rsidR="008865D5" w:rsidRPr="00FB229F" w:rsidRDefault="008865D5" w:rsidP="0043289E">
            <w:pPr>
              <w:pStyle w:val="TableText0"/>
              <w:rPr>
                <w:b/>
                <w:szCs w:val="20"/>
              </w:rPr>
            </w:pPr>
            <w:r w:rsidRPr="00FB229F">
              <w:rPr>
                <w:b/>
                <w:szCs w:val="20"/>
              </w:rPr>
              <w:t>Median survival time, months (95% CI)</w:t>
            </w:r>
          </w:p>
        </w:tc>
        <w:tc>
          <w:tcPr>
            <w:tcW w:w="2863" w:type="dxa"/>
          </w:tcPr>
          <w:p w14:paraId="16A1EC15" w14:textId="77777777" w:rsidR="008865D5" w:rsidRPr="00FB229F" w:rsidRDefault="008865D5" w:rsidP="0043289E">
            <w:pPr>
              <w:pStyle w:val="TableText0"/>
              <w:rPr>
                <w:b/>
                <w:szCs w:val="20"/>
              </w:rPr>
            </w:pPr>
            <w:r w:rsidRPr="00FB229F">
              <w:rPr>
                <w:b/>
                <w:szCs w:val="20"/>
              </w:rPr>
              <w:t>KN-189 (pseudo-control PC)</w:t>
            </w:r>
          </w:p>
          <w:p w14:paraId="5CEA9C85" w14:textId="77777777" w:rsidR="008865D5" w:rsidRPr="00FB229F" w:rsidRDefault="008865D5" w:rsidP="0043289E">
            <w:pPr>
              <w:pStyle w:val="TableText0"/>
              <w:rPr>
                <w:b/>
                <w:szCs w:val="20"/>
              </w:rPr>
            </w:pPr>
            <w:r w:rsidRPr="00FB229F">
              <w:rPr>
                <w:b/>
                <w:szCs w:val="20"/>
              </w:rPr>
              <w:t xml:space="preserve">N=64 </w:t>
            </w:r>
          </w:p>
          <w:p w14:paraId="2F8391AE" w14:textId="77777777" w:rsidR="008865D5" w:rsidRPr="00FB229F" w:rsidRDefault="008865D5" w:rsidP="0043289E">
            <w:pPr>
              <w:pStyle w:val="TableText0"/>
              <w:rPr>
                <w:b/>
                <w:szCs w:val="20"/>
              </w:rPr>
            </w:pPr>
            <w:r w:rsidRPr="00FB229F">
              <w:rPr>
                <w:b/>
                <w:szCs w:val="20"/>
              </w:rPr>
              <w:t>Median survival time, months (95% CI)</w:t>
            </w:r>
          </w:p>
        </w:tc>
        <w:tc>
          <w:tcPr>
            <w:tcW w:w="1651" w:type="dxa"/>
          </w:tcPr>
          <w:p w14:paraId="6578813F" w14:textId="77777777" w:rsidR="008865D5" w:rsidRPr="00FB229F" w:rsidRDefault="008865D5" w:rsidP="0043289E">
            <w:pPr>
              <w:pStyle w:val="TableText0"/>
              <w:rPr>
                <w:b/>
                <w:szCs w:val="20"/>
              </w:rPr>
            </w:pPr>
            <w:r w:rsidRPr="00FB229F">
              <w:rPr>
                <w:b/>
                <w:szCs w:val="20"/>
              </w:rPr>
              <w:t>HR</w:t>
            </w:r>
          </w:p>
          <w:p w14:paraId="5B034133" w14:textId="77777777" w:rsidR="008865D5" w:rsidRPr="00FB229F" w:rsidRDefault="008865D5" w:rsidP="0043289E">
            <w:pPr>
              <w:pStyle w:val="TableText0"/>
              <w:rPr>
                <w:b/>
                <w:szCs w:val="20"/>
              </w:rPr>
            </w:pPr>
            <w:r w:rsidRPr="00FB229F">
              <w:rPr>
                <w:b/>
                <w:szCs w:val="20"/>
              </w:rPr>
              <w:t>Selpercatinib vs. PC (95% CI)</w:t>
            </w:r>
          </w:p>
        </w:tc>
      </w:tr>
      <w:tr w:rsidR="008865D5" w:rsidRPr="00FB229F" w14:paraId="6BEED72C" w14:textId="77777777" w:rsidTr="00DE0372">
        <w:trPr>
          <w:cantSplit/>
          <w:trHeight w:val="256"/>
        </w:trPr>
        <w:tc>
          <w:tcPr>
            <w:tcW w:w="9017" w:type="dxa"/>
            <w:gridSpan w:val="4"/>
          </w:tcPr>
          <w:p w14:paraId="5AEDB2BD" w14:textId="77777777" w:rsidR="008865D5" w:rsidRPr="00FB229F" w:rsidRDefault="008865D5" w:rsidP="0043289E">
            <w:pPr>
              <w:pStyle w:val="TableText0"/>
              <w:rPr>
                <w:b/>
                <w:szCs w:val="20"/>
              </w:rPr>
            </w:pPr>
            <w:r w:rsidRPr="00FB229F">
              <w:rPr>
                <w:b/>
                <w:szCs w:val="20"/>
              </w:rPr>
              <w:t>PFS</w:t>
            </w:r>
          </w:p>
        </w:tc>
      </w:tr>
      <w:tr w:rsidR="008865D5" w:rsidRPr="00FB229F" w14:paraId="08E333F2" w14:textId="77777777" w:rsidTr="00816BFB">
        <w:trPr>
          <w:cantSplit/>
          <w:trHeight w:val="273"/>
        </w:trPr>
        <w:tc>
          <w:tcPr>
            <w:tcW w:w="1739" w:type="dxa"/>
          </w:tcPr>
          <w:p w14:paraId="44C19D02" w14:textId="77777777" w:rsidR="008865D5" w:rsidRPr="00FB229F" w:rsidRDefault="008865D5" w:rsidP="0043289E">
            <w:pPr>
              <w:pStyle w:val="TableText0"/>
              <w:rPr>
                <w:szCs w:val="20"/>
              </w:rPr>
            </w:pPr>
            <w:r w:rsidRPr="00FB229F">
              <w:rPr>
                <w:szCs w:val="20"/>
              </w:rPr>
              <w:t xml:space="preserve">Unadjusted </w:t>
            </w:r>
          </w:p>
        </w:tc>
        <w:tc>
          <w:tcPr>
            <w:tcW w:w="2764" w:type="dxa"/>
          </w:tcPr>
          <w:p w14:paraId="52B13077" w14:textId="77777777" w:rsidR="008865D5" w:rsidRPr="00FB229F" w:rsidRDefault="008865D5" w:rsidP="0043289E">
            <w:pPr>
              <w:pStyle w:val="TableText0"/>
              <w:rPr>
                <w:szCs w:val="20"/>
              </w:rPr>
            </w:pPr>
            <w:r w:rsidRPr="00FB229F">
              <w:rPr>
                <w:szCs w:val="20"/>
              </w:rPr>
              <w:t>22.0 (17.1, NR)</w:t>
            </w:r>
          </w:p>
        </w:tc>
        <w:tc>
          <w:tcPr>
            <w:tcW w:w="2863" w:type="dxa"/>
          </w:tcPr>
          <w:p w14:paraId="729D1DCB" w14:textId="77777777" w:rsidR="008865D5" w:rsidRPr="00FB229F" w:rsidRDefault="008865D5" w:rsidP="0043289E">
            <w:pPr>
              <w:pStyle w:val="TableText0"/>
              <w:rPr>
                <w:szCs w:val="20"/>
              </w:rPr>
            </w:pPr>
            <w:r w:rsidRPr="00FB229F">
              <w:rPr>
                <w:szCs w:val="20"/>
              </w:rPr>
              <w:t>4.9 (4.7, 5.5)</w:t>
            </w:r>
          </w:p>
        </w:tc>
        <w:tc>
          <w:tcPr>
            <w:tcW w:w="1651" w:type="dxa"/>
          </w:tcPr>
          <w:p w14:paraId="108CE96A" w14:textId="77777777" w:rsidR="008865D5" w:rsidRPr="00FB229F" w:rsidRDefault="008865D5" w:rsidP="0043289E">
            <w:pPr>
              <w:pStyle w:val="TableText0"/>
              <w:rPr>
                <w:szCs w:val="20"/>
              </w:rPr>
            </w:pPr>
            <w:r w:rsidRPr="00FB229F">
              <w:rPr>
                <w:szCs w:val="20"/>
              </w:rPr>
              <w:t xml:space="preserve">0.18 (0.11, 0.29) </w:t>
            </w:r>
          </w:p>
        </w:tc>
      </w:tr>
      <w:tr w:rsidR="008865D5" w:rsidRPr="00FB229F" w14:paraId="74C62619" w14:textId="77777777" w:rsidTr="00816BFB">
        <w:trPr>
          <w:cantSplit/>
          <w:trHeight w:val="215"/>
        </w:trPr>
        <w:tc>
          <w:tcPr>
            <w:tcW w:w="1739" w:type="dxa"/>
          </w:tcPr>
          <w:p w14:paraId="0F4C7361" w14:textId="77777777" w:rsidR="008865D5" w:rsidRPr="00FB229F" w:rsidRDefault="008865D5" w:rsidP="0043289E">
            <w:pPr>
              <w:pStyle w:val="TableText0"/>
              <w:rPr>
                <w:szCs w:val="20"/>
              </w:rPr>
            </w:pPr>
            <w:r w:rsidRPr="00FB229F">
              <w:rPr>
                <w:szCs w:val="20"/>
              </w:rPr>
              <w:t>Adjusted (matched)</w:t>
            </w:r>
          </w:p>
        </w:tc>
        <w:tc>
          <w:tcPr>
            <w:tcW w:w="2764" w:type="dxa"/>
          </w:tcPr>
          <w:p w14:paraId="02F30704" w14:textId="77777777" w:rsidR="008865D5" w:rsidRPr="00FB229F" w:rsidRDefault="008865D5" w:rsidP="0043289E">
            <w:pPr>
              <w:pStyle w:val="TableText0"/>
              <w:rPr>
                <w:szCs w:val="20"/>
              </w:rPr>
            </w:pPr>
            <w:r w:rsidRPr="00FB229F">
              <w:rPr>
                <w:szCs w:val="20"/>
              </w:rPr>
              <w:t>22.0 (17.1, NR)</w:t>
            </w:r>
          </w:p>
        </w:tc>
        <w:tc>
          <w:tcPr>
            <w:tcW w:w="2863" w:type="dxa"/>
          </w:tcPr>
          <w:p w14:paraId="4060CF76" w14:textId="77777777" w:rsidR="008865D5" w:rsidRPr="00FB229F" w:rsidRDefault="008865D5" w:rsidP="0043289E">
            <w:pPr>
              <w:pStyle w:val="TableText0"/>
              <w:rPr>
                <w:szCs w:val="20"/>
              </w:rPr>
            </w:pPr>
            <w:r w:rsidRPr="00FB229F">
              <w:rPr>
                <w:szCs w:val="20"/>
              </w:rPr>
              <w:t>4.9 (4.7, 6.7)</w:t>
            </w:r>
          </w:p>
        </w:tc>
        <w:tc>
          <w:tcPr>
            <w:tcW w:w="1651" w:type="dxa"/>
          </w:tcPr>
          <w:p w14:paraId="5D03C5BF" w14:textId="77777777" w:rsidR="008865D5" w:rsidRPr="00FB229F" w:rsidRDefault="008865D5" w:rsidP="0043289E">
            <w:pPr>
              <w:pStyle w:val="TableText0"/>
              <w:rPr>
                <w:szCs w:val="20"/>
              </w:rPr>
            </w:pPr>
            <w:r w:rsidRPr="00FB229F">
              <w:rPr>
                <w:szCs w:val="20"/>
              </w:rPr>
              <w:t xml:space="preserve">0.20 (0.12, 0.35) </w:t>
            </w:r>
          </w:p>
        </w:tc>
      </w:tr>
      <w:tr w:rsidR="008865D5" w:rsidRPr="00FB229F" w14:paraId="3C7745E4" w14:textId="77777777" w:rsidTr="00DE0372">
        <w:trPr>
          <w:cantSplit/>
          <w:trHeight w:val="273"/>
        </w:trPr>
        <w:tc>
          <w:tcPr>
            <w:tcW w:w="9017" w:type="dxa"/>
            <w:gridSpan w:val="4"/>
          </w:tcPr>
          <w:p w14:paraId="70B074A1" w14:textId="77777777" w:rsidR="008865D5" w:rsidRPr="00FB229F" w:rsidRDefault="008865D5" w:rsidP="0043289E">
            <w:pPr>
              <w:pStyle w:val="TableText0"/>
              <w:rPr>
                <w:b/>
                <w:szCs w:val="20"/>
              </w:rPr>
            </w:pPr>
            <w:r w:rsidRPr="00FB229F">
              <w:rPr>
                <w:b/>
                <w:szCs w:val="20"/>
              </w:rPr>
              <w:t>OS</w:t>
            </w:r>
          </w:p>
        </w:tc>
      </w:tr>
      <w:tr w:rsidR="008865D5" w:rsidRPr="00FB229F" w14:paraId="1C8E6E9D" w14:textId="77777777" w:rsidTr="00816BFB">
        <w:trPr>
          <w:cantSplit/>
          <w:trHeight w:val="273"/>
        </w:trPr>
        <w:tc>
          <w:tcPr>
            <w:tcW w:w="1739" w:type="dxa"/>
          </w:tcPr>
          <w:p w14:paraId="46C109FA" w14:textId="77777777" w:rsidR="008865D5" w:rsidRPr="00FB229F" w:rsidRDefault="008865D5" w:rsidP="0043289E">
            <w:pPr>
              <w:pStyle w:val="TableText0"/>
              <w:rPr>
                <w:szCs w:val="20"/>
              </w:rPr>
            </w:pPr>
            <w:r w:rsidRPr="00FB229F">
              <w:rPr>
                <w:szCs w:val="20"/>
              </w:rPr>
              <w:t xml:space="preserve">Unadjusted </w:t>
            </w:r>
          </w:p>
        </w:tc>
        <w:tc>
          <w:tcPr>
            <w:tcW w:w="2764" w:type="dxa"/>
          </w:tcPr>
          <w:p w14:paraId="76A8A6F7" w14:textId="77777777" w:rsidR="008865D5" w:rsidRPr="00FB229F" w:rsidRDefault="008865D5" w:rsidP="0043289E">
            <w:pPr>
              <w:pStyle w:val="TableText0"/>
              <w:rPr>
                <w:szCs w:val="20"/>
              </w:rPr>
            </w:pPr>
            <w:r w:rsidRPr="00FB229F">
              <w:rPr>
                <w:szCs w:val="20"/>
              </w:rPr>
              <w:t>NR (27.9, NR)</w:t>
            </w:r>
          </w:p>
        </w:tc>
        <w:tc>
          <w:tcPr>
            <w:tcW w:w="2863" w:type="dxa"/>
          </w:tcPr>
          <w:p w14:paraId="3F1A4831" w14:textId="77777777" w:rsidR="008865D5" w:rsidRPr="00FB229F" w:rsidRDefault="008865D5" w:rsidP="0043289E">
            <w:pPr>
              <w:pStyle w:val="TableText0"/>
              <w:rPr>
                <w:szCs w:val="20"/>
              </w:rPr>
            </w:pPr>
            <w:r w:rsidRPr="00FB229F">
              <w:rPr>
                <w:szCs w:val="20"/>
              </w:rPr>
              <w:t>10.8 (8.7, 15.1)</w:t>
            </w:r>
          </w:p>
        </w:tc>
        <w:tc>
          <w:tcPr>
            <w:tcW w:w="1651" w:type="dxa"/>
          </w:tcPr>
          <w:p w14:paraId="6E506061" w14:textId="77777777" w:rsidR="008865D5" w:rsidRPr="00FB229F" w:rsidRDefault="008865D5" w:rsidP="0043289E">
            <w:pPr>
              <w:pStyle w:val="TableText0"/>
              <w:rPr>
                <w:szCs w:val="20"/>
              </w:rPr>
            </w:pPr>
            <w:r w:rsidRPr="00FB229F">
              <w:rPr>
                <w:szCs w:val="20"/>
              </w:rPr>
              <w:t>0.23 (0.13, 0.40)</w:t>
            </w:r>
          </w:p>
        </w:tc>
      </w:tr>
      <w:tr w:rsidR="00E8560A" w:rsidRPr="00FB229F" w14:paraId="42037708" w14:textId="77777777" w:rsidTr="00816BFB">
        <w:trPr>
          <w:cantSplit/>
          <w:trHeight w:val="213"/>
        </w:trPr>
        <w:tc>
          <w:tcPr>
            <w:tcW w:w="1739" w:type="dxa"/>
          </w:tcPr>
          <w:p w14:paraId="1F363CCD" w14:textId="77777777" w:rsidR="008865D5" w:rsidRPr="00FB229F" w:rsidRDefault="008865D5" w:rsidP="0043289E">
            <w:pPr>
              <w:pStyle w:val="TableText0"/>
              <w:rPr>
                <w:szCs w:val="20"/>
              </w:rPr>
            </w:pPr>
            <w:r w:rsidRPr="00FB229F">
              <w:rPr>
                <w:szCs w:val="20"/>
              </w:rPr>
              <w:t>Adjusted (matched)</w:t>
            </w:r>
          </w:p>
        </w:tc>
        <w:tc>
          <w:tcPr>
            <w:tcW w:w="2764" w:type="dxa"/>
          </w:tcPr>
          <w:p w14:paraId="7EC74E0C" w14:textId="77777777" w:rsidR="008865D5" w:rsidRPr="00FB229F" w:rsidRDefault="008865D5" w:rsidP="0043289E">
            <w:pPr>
              <w:pStyle w:val="TableText0"/>
              <w:rPr>
                <w:szCs w:val="20"/>
              </w:rPr>
            </w:pPr>
            <w:r w:rsidRPr="00FB229F">
              <w:rPr>
                <w:szCs w:val="20"/>
              </w:rPr>
              <w:t>NR (27.9, NR)</w:t>
            </w:r>
          </w:p>
        </w:tc>
        <w:tc>
          <w:tcPr>
            <w:tcW w:w="2863" w:type="dxa"/>
          </w:tcPr>
          <w:p w14:paraId="3F0A30CC" w14:textId="77777777" w:rsidR="008865D5" w:rsidRPr="00FB229F" w:rsidRDefault="008865D5" w:rsidP="0043289E">
            <w:pPr>
              <w:pStyle w:val="TableText0"/>
              <w:rPr>
                <w:szCs w:val="20"/>
              </w:rPr>
            </w:pPr>
            <w:r w:rsidRPr="00FB229F">
              <w:rPr>
                <w:szCs w:val="20"/>
              </w:rPr>
              <w:t>12.4 (7.6, NR)</w:t>
            </w:r>
          </w:p>
        </w:tc>
        <w:tc>
          <w:tcPr>
            <w:tcW w:w="1651" w:type="dxa"/>
          </w:tcPr>
          <w:p w14:paraId="04FEE77E" w14:textId="77777777" w:rsidR="008865D5" w:rsidRPr="00FB229F" w:rsidRDefault="008865D5" w:rsidP="0043289E">
            <w:pPr>
              <w:pStyle w:val="TableText0"/>
              <w:rPr>
                <w:szCs w:val="20"/>
              </w:rPr>
            </w:pPr>
            <w:r w:rsidRPr="00FB229F">
              <w:rPr>
                <w:szCs w:val="20"/>
              </w:rPr>
              <w:t>0.21 (0.11, 0.40)</w:t>
            </w:r>
          </w:p>
        </w:tc>
      </w:tr>
    </w:tbl>
    <w:p w14:paraId="19FA58D5" w14:textId="77777777" w:rsidR="008865D5" w:rsidRPr="00FB229F" w:rsidRDefault="008865D5" w:rsidP="008865D5">
      <w:pPr>
        <w:pStyle w:val="TableFooter"/>
      </w:pPr>
      <w:r w:rsidRPr="00FB229F">
        <w:rPr>
          <w:rStyle w:val="TableFooterChar"/>
        </w:rPr>
        <w:t>Source: Table 2-107, p267 of the submission</w:t>
      </w:r>
    </w:p>
    <w:p w14:paraId="342E9E93" w14:textId="77777777" w:rsidR="002C2775" w:rsidRPr="00FB229F" w:rsidRDefault="008865D5" w:rsidP="00816BFB">
      <w:pPr>
        <w:pStyle w:val="TableFooter"/>
        <w:spacing w:after="120"/>
      </w:pPr>
      <w:r w:rsidRPr="00FB229F">
        <w:t>CI=confidence interval; HR=hazard ratio; NR=not reached OS=overall survival; PC=platinum chemotherapy; PFS=progression-free survival</w:t>
      </w:r>
    </w:p>
    <w:p w14:paraId="6682488F" w14:textId="72D1D618" w:rsidR="000A2493" w:rsidRPr="00FB229F" w:rsidRDefault="000A2493" w:rsidP="000A2493">
      <w:pPr>
        <w:pStyle w:val="Caption"/>
      </w:pPr>
      <w:bookmarkStart w:id="40" w:name="_Ref132289953"/>
      <w:r w:rsidRPr="00FB229F">
        <w:t xml:space="preserve">Figure </w:t>
      </w:r>
      <w:r w:rsidR="00BF0AEB">
        <w:fldChar w:fldCharType="begin" w:fldLock="1"/>
      </w:r>
      <w:r w:rsidR="00BF0AEB">
        <w:instrText xml:space="preserve"> SEQ Figure \* ARABIC </w:instrText>
      </w:r>
      <w:r w:rsidR="00BF0AEB">
        <w:fldChar w:fldCharType="separate"/>
      </w:r>
      <w:r w:rsidR="00CA7201" w:rsidRPr="00166045">
        <w:t>1</w:t>
      </w:r>
      <w:r w:rsidR="00BF0AEB">
        <w:fldChar w:fldCharType="end"/>
      </w:r>
      <w:bookmarkEnd w:id="40"/>
      <w:r w:rsidRPr="00FB229F">
        <w:t>:</w:t>
      </w:r>
      <w:r w:rsidR="00651CD3" w:rsidRPr="00FB229F">
        <w:t xml:space="preserve"> </w:t>
      </w:r>
      <w:r w:rsidRPr="00FB229F">
        <w:t>Kaplan-Meier Curves for progression-free survival for selpercatinib and PC using propensity score matching</w:t>
      </w:r>
    </w:p>
    <w:p w14:paraId="2F268AC4" w14:textId="77777777" w:rsidR="000A2493" w:rsidRPr="00FB229F" w:rsidRDefault="000A2493" w:rsidP="000A2493">
      <w:r w:rsidRPr="00E40104">
        <w:rPr>
          <w:noProof/>
        </w:rPr>
        <w:drawing>
          <wp:inline distT="0" distB="0" distL="0" distR="0" wp14:anchorId="3BE92B00" wp14:editId="7E3277CC">
            <wp:extent cx="5730875" cy="2543175"/>
            <wp:effectExtent l="0" t="0" r="3175" b="9525"/>
            <wp:docPr id="15" name="Picture 15" descr="Figure 1: Kaplan-Meier Curves for progression-free survival for selpercatinib and PC using propensity score mat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1: Kaplan-Meier Curves for progression-free survival for selpercatinib and PC using propensity score matching"/>
                    <pic:cNvPicPr/>
                  </pic:nvPicPr>
                  <pic:blipFill>
                    <a:blip r:embed="rId8"/>
                    <a:stretch>
                      <a:fillRect/>
                    </a:stretch>
                  </pic:blipFill>
                  <pic:spPr>
                    <a:xfrm>
                      <a:off x="0" y="0"/>
                      <a:ext cx="5762360" cy="2557147"/>
                    </a:xfrm>
                    <a:prstGeom prst="rect">
                      <a:avLst/>
                    </a:prstGeom>
                  </pic:spPr>
                </pic:pic>
              </a:graphicData>
            </a:graphic>
          </wp:inline>
        </w:drawing>
      </w:r>
    </w:p>
    <w:p w14:paraId="74A63B7F" w14:textId="77777777" w:rsidR="000A2493" w:rsidRPr="00FB229F" w:rsidRDefault="000A2493" w:rsidP="00604558">
      <w:pPr>
        <w:pStyle w:val="TableFooter"/>
      </w:pPr>
      <w:r w:rsidRPr="00FB229F">
        <w:rPr>
          <w:rStyle w:val="TableFooterChar"/>
        </w:rPr>
        <w:t>Source: Figure 2-50, p268 of the submission</w:t>
      </w:r>
    </w:p>
    <w:p w14:paraId="28455D1E" w14:textId="1D2806AE" w:rsidR="000A2493" w:rsidRPr="00FB229F" w:rsidRDefault="000A2493" w:rsidP="00604558">
      <w:pPr>
        <w:pStyle w:val="TableFooter"/>
      </w:pPr>
      <w:r w:rsidRPr="00FB229F">
        <w:t>ECOG PS=Eastern Cooperative Oncology Group performance status; PFS=progression</w:t>
      </w:r>
      <w:r w:rsidR="00603261" w:rsidRPr="00FB229F">
        <w:t>-</w:t>
      </w:r>
      <w:r w:rsidRPr="00FB229F">
        <w:t>free survival; PC=pemetrexed + platinum chemotherapy</w:t>
      </w:r>
    </w:p>
    <w:p w14:paraId="0812039F" w14:textId="15F77966" w:rsidR="000A2493" w:rsidRPr="00FB229F" w:rsidRDefault="000A2493" w:rsidP="00604558">
      <w:pPr>
        <w:pStyle w:val="TableFooter"/>
      </w:pPr>
      <w:r w:rsidRPr="00FB229F">
        <w:rPr>
          <w:rStyle w:val="TableFooterChar"/>
        </w:rPr>
        <w:t>Control arm was matched by age, the proportion of female patients, the proportion of patients who never smoked, ECOG PS, race, and stage at diagnosis</w:t>
      </w:r>
      <w:r w:rsidRPr="00FB229F">
        <w:t>.</w:t>
      </w:r>
    </w:p>
    <w:p w14:paraId="416A4B39" w14:textId="6C57EEEC" w:rsidR="000A2493" w:rsidRPr="00FB229F" w:rsidRDefault="000A2493" w:rsidP="000A2493">
      <w:pPr>
        <w:pStyle w:val="Caption"/>
      </w:pPr>
      <w:bookmarkStart w:id="41" w:name="_Ref132289957"/>
      <w:r w:rsidRPr="00FB229F">
        <w:lastRenderedPageBreak/>
        <w:t xml:space="preserve">Figure </w:t>
      </w:r>
      <w:r w:rsidR="00BF0AEB">
        <w:fldChar w:fldCharType="begin" w:fldLock="1"/>
      </w:r>
      <w:r w:rsidR="00BF0AEB">
        <w:instrText xml:space="preserve"> SEQ Figure \* ARABIC </w:instrText>
      </w:r>
      <w:r w:rsidR="00BF0AEB">
        <w:fldChar w:fldCharType="separate"/>
      </w:r>
      <w:r w:rsidR="00CA7201" w:rsidRPr="00166045">
        <w:t>2</w:t>
      </w:r>
      <w:r w:rsidR="00BF0AEB">
        <w:fldChar w:fldCharType="end"/>
      </w:r>
      <w:bookmarkEnd w:id="41"/>
      <w:r w:rsidRPr="00FB229F">
        <w:t>: Kaplan-Meier Curves for overall survival for selpercatinib and PC using propensity score matching</w:t>
      </w:r>
    </w:p>
    <w:p w14:paraId="25D49AC8" w14:textId="77777777" w:rsidR="000A2493" w:rsidRPr="00FB229F" w:rsidRDefault="000A2493" w:rsidP="000A2493">
      <w:r w:rsidRPr="00E40104">
        <w:rPr>
          <w:noProof/>
        </w:rPr>
        <w:drawing>
          <wp:inline distT="0" distB="0" distL="0" distR="0" wp14:anchorId="176769BE" wp14:editId="39F68DBA">
            <wp:extent cx="5731298" cy="3552825"/>
            <wp:effectExtent l="0" t="0" r="3175" b="0"/>
            <wp:docPr id="20" name="Picture 20" descr="Figure 2: Kaplan-Meier Curves for overall survival for selpercatinib and PC using propensity score mat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2: Kaplan-Meier Curves for overall survival for selpercatinib and PC using propensity score matching"/>
                    <pic:cNvPicPr/>
                  </pic:nvPicPr>
                  <pic:blipFill>
                    <a:blip r:embed="rId9"/>
                    <a:stretch>
                      <a:fillRect/>
                    </a:stretch>
                  </pic:blipFill>
                  <pic:spPr>
                    <a:xfrm>
                      <a:off x="0" y="0"/>
                      <a:ext cx="5739653" cy="3558004"/>
                    </a:xfrm>
                    <a:prstGeom prst="rect">
                      <a:avLst/>
                    </a:prstGeom>
                  </pic:spPr>
                </pic:pic>
              </a:graphicData>
            </a:graphic>
          </wp:inline>
        </w:drawing>
      </w:r>
    </w:p>
    <w:p w14:paraId="6842B2A9" w14:textId="77777777" w:rsidR="000A2493" w:rsidRPr="00FB229F" w:rsidRDefault="000A2493" w:rsidP="000A2493">
      <w:pPr>
        <w:pStyle w:val="TableFooter"/>
      </w:pPr>
      <w:r w:rsidRPr="00FB229F">
        <w:rPr>
          <w:rStyle w:val="TableFooterChar"/>
        </w:rPr>
        <w:t>Source: Figure 2-50, p268 of the submission</w:t>
      </w:r>
    </w:p>
    <w:p w14:paraId="61CCEC96" w14:textId="77777777" w:rsidR="000A2493" w:rsidRPr="00FB229F" w:rsidRDefault="000A2493" w:rsidP="000A2493">
      <w:pPr>
        <w:pStyle w:val="TableFooter"/>
      </w:pPr>
      <w:r w:rsidRPr="00FB229F">
        <w:t>ECOG PS= Eastern Cooperative Oncology Group performance status; OS=overall survival; PC=pemetrexed + platinum chemotherapy</w:t>
      </w:r>
    </w:p>
    <w:p w14:paraId="0D9D259D" w14:textId="77777777" w:rsidR="000A2493" w:rsidRPr="00FB229F" w:rsidRDefault="000A2493" w:rsidP="00816BFB">
      <w:pPr>
        <w:pStyle w:val="TableFooter"/>
        <w:spacing w:after="120"/>
      </w:pPr>
      <w:r w:rsidRPr="00FB229F">
        <w:t>Control arm was matched by prognostic factors: age, the proportion of female patients, the proportion of patients who never smoked, ECOG PS, race, and stage at diagnosis</w:t>
      </w:r>
    </w:p>
    <w:p w14:paraId="29BD9990" w14:textId="52190637" w:rsidR="00E8560A" w:rsidRPr="00FB229F" w:rsidRDefault="00E8560A" w:rsidP="007F03AD">
      <w:pPr>
        <w:pStyle w:val="3-BodyText"/>
        <w:ind w:left="709" w:hanging="709"/>
      </w:pPr>
      <w:r w:rsidRPr="00166045">
        <w:rPr>
          <w:snapToGrid/>
        </w:rPr>
        <w:t xml:space="preserve">Results of the indirect comparisons based on the NMA are summarised in </w:t>
      </w:r>
      <w:r w:rsidR="00131D5E" w:rsidRPr="00166045">
        <w:rPr>
          <w:snapToGrid/>
        </w:rPr>
        <w:fldChar w:fldCharType="begin" w:fldLock="1"/>
      </w:r>
      <w:r w:rsidR="00131D5E" w:rsidRPr="00166045">
        <w:rPr>
          <w:snapToGrid/>
        </w:rPr>
        <w:instrText xml:space="preserve"> REF _Ref131772512 \h </w:instrText>
      </w:r>
      <w:r w:rsidR="00131D5E" w:rsidRPr="00166045">
        <w:rPr>
          <w:snapToGrid/>
        </w:rPr>
      </w:r>
      <w:r w:rsidR="00131D5E" w:rsidRPr="00166045">
        <w:rPr>
          <w:snapToGrid/>
        </w:rPr>
        <w:fldChar w:fldCharType="separate"/>
      </w:r>
      <w:r w:rsidR="00CA7201" w:rsidRPr="00FB229F">
        <w:t xml:space="preserve">Table </w:t>
      </w:r>
      <w:r w:rsidR="00CA7201" w:rsidRPr="00166045">
        <w:t>10</w:t>
      </w:r>
      <w:r w:rsidR="00131D5E" w:rsidRPr="00166045">
        <w:rPr>
          <w:snapToGrid/>
        </w:rPr>
        <w:fldChar w:fldCharType="end"/>
      </w:r>
      <w:r w:rsidR="00131D5E" w:rsidRPr="00166045">
        <w:rPr>
          <w:snapToGrid/>
        </w:rPr>
        <w:t xml:space="preserve">, and </w:t>
      </w:r>
      <w:r w:rsidR="00131D5E" w:rsidRPr="00166045">
        <w:rPr>
          <w:snapToGrid/>
        </w:rPr>
        <w:fldChar w:fldCharType="begin" w:fldLock="1"/>
      </w:r>
      <w:r w:rsidR="00131D5E" w:rsidRPr="00166045">
        <w:rPr>
          <w:snapToGrid/>
        </w:rPr>
        <w:instrText xml:space="preserve"> REF _Ref131772514 \h </w:instrText>
      </w:r>
      <w:r w:rsidR="00131D5E" w:rsidRPr="00166045">
        <w:rPr>
          <w:snapToGrid/>
        </w:rPr>
      </w:r>
      <w:r w:rsidR="00131D5E" w:rsidRPr="00166045">
        <w:rPr>
          <w:snapToGrid/>
        </w:rPr>
        <w:fldChar w:fldCharType="separate"/>
      </w:r>
      <w:r w:rsidR="00CA7201" w:rsidRPr="00FB229F">
        <w:t xml:space="preserve">Table </w:t>
      </w:r>
      <w:r w:rsidR="00CA7201" w:rsidRPr="00166045">
        <w:t>11</w:t>
      </w:r>
      <w:r w:rsidR="00131D5E" w:rsidRPr="00166045">
        <w:rPr>
          <w:snapToGrid/>
        </w:rPr>
        <w:fldChar w:fldCharType="end"/>
      </w:r>
      <w:r w:rsidR="00131D5E" w:rsidRPr="00166045">
        <w:rPr>
          <w:snapToGrid/>
        </w:rPr>
        <w:t xml:space="preserve"> for PFS, and OS, respectively.</w:t>
      </w:r>
    </w:p>
    <w:p w14:paraId="69B8EED8" w14:textId="438CD098" w:rsidR="00E8560A" w:rsidRPr="00166045" w:rsidRDefault="00E8560A" w:rsidP="00E8560A">
      <w:pPr>
        <w:pStyle w:val="Caption"/>
        <w:rPr>
          <w:b w:val="0"/>
          <w:iCs/>
        </w:rPr>
      </w:pPr>
      <w:bookmarkStart w:id="42" w:name="_Ref131772512"/>
      <w:r w:rsidRPr="00FB229F">
        <w:t xml:space="preserve">Table </w:t>
      </w:r>
      <w:r w:rsidR="00BF0AEB">
        <w:fldChar w:fldCharType="begin" w:fldLock="1"/>
      </w:r>
      <w:r w:rsidR="00BF0AEB">
        <w:instrText xml:space="preserve"> SEQ Table \* ARABIC </w:instrText>
      </w:r>
      <w:r w:rsidR="00BF0AEB">
        <w:fldChar w:fldCharType="separate"/>
      </w:r>
      <w:r w:rsidR="00CA7201" w:rsidRPr="00166045">
        <w:t>10</w:t>
      </w:r>
      <w:r w:rsidR="00BF0AEB">
        <w:fldChar w:fldCharType="end"/>
      </w:r>
      <w:bookmarkEnd w:id="42"/>
      <w:r w:rsidRPr="00FB229F">
        <w:t>: Relative treatment effect estimates of PFS expressed as HRs, network meta-analysis, random effects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3636"/>
      </w:tblGrid>
      <w:tr w:rsidR="00E8560A" w:rsidRPr="00FB229F" w14:paraId="609CDC8F" w14:textId="77777777" w:rsidTr="00F90FA2">
        <w:tc>
          <w:tcPr>
            <w:tcW w:w="2984" w:type="pct"/>
            <w:hideMark/>
          </w:tcPr>
          <w:p w14:paraId="76AFC3E2" w14:textId="77777777" w:rsidR="00E8560A" w:rsidRPr="00166045" w:rsidRDefault="00E8560A" w:rsidP="0043289E">
            <w:pPr>
              <w:pStyle w:val="Tabletext"/>
              <w:rPr>
                <w:b/>
              </w:rPr>
            </w:pPr>
            <w:r w:rsidRPr="00FB229F">
              <w:rPr>
                <w:b/>
              </w:rPr>
              <w:t xml:space="preserve">Treatment comparison </w:t>
            </w:r>
          </w:p>
        </w:tc>
        <w:tc>
          <w:tcPr>
            <w:tcW w:w="2016" w:type="pct"/>
            <w:hideMark/>
          </w:tcPr>
          <w:p w14:paraId="4FFAB920" w14:textId="77777777" w:rsidR="00E8560A" w:rsidRPr="00166045" w:rsidRDefault="00E8560A" w:rsidP="0043289E">
            <w:pPr>
              <w:pStyle w:val="Tabletext"/>
              <w:rPr>
                <w:b/>
              </w:rPr>
            </w:pPr>
            <w:r w:rsidRPr="00FB229F">
              <w:rPr>
                <w:b/>
              </w:rPr>
              <w:t>Median HR (95% CrI) versus pemetrexed + platinum chemotherapy</w:t>
            </w:r>
          </w:p>
        </w:tc>
      </w:tr>
      <w:tr w:rsidR="00E8560A" w:rsidRPr="00FB229F" w14:paraId="44583DAD" w14:textId="77777777" w:rsidTr="00F90FA2">
        <w:tc>
          <w:tcPr>
            <w:tcW w:w="2984" w:type="pct"/>
            <w:hideMark/>
          </w:tcPr>
          <w:p w14:paraId="7CC65547" w14:textId="77777777" w:rsidR="00E8560A" w:rsidRPr="00166045" w:rsidRDefault="00E8560A" w:rsidP="0043289E">
            <w:pPr>
              <w:pStyle w:val="Tabletext"/>
            </w:pPr>
            <w:r w:rsidRPr="00FB229F">
              <w:t>Selpercatinib versus PC (pseudo-control)</w:t>
            </w:r>
          </w:p>
        </w:tc>
        <w:tc>
          <w:tcPr>
            <w:tcW w:w="2016" w:type="pct"/>
          </w:tcPr>
          <w:p w14:paraId="5FC2843F" w14:textId="77777777" w:rsidR="00E8560A" w:rsidRPr="00FB229F" w:rsidRDefault="00E8560A" w:rsidP="0043289E">
            <w:pPr>
              <w:pStyle w:val="Tabletext"/>
            </w:pPr>
            <w:r w:rsidRPr="00FB229F">
              <w:t>0.20 (0.11, 0.37)</w:t>
            </w:r>
          </w:p>
        </w:tc>
      </w:tr>
      <w:tr w:rsidR="00E8560A" w:rsidRPr="00FB229F" w14:paraId="5A096265" w14:textId="77777777" w:rsidTr="00F90FA2">
        <w:tc>
          <w:tcPr>
            <w:tcW w:w="2984" w:type="pct"/>
            <w:hideMark/>
          </w:tcPr>
          <w:p w14:paraId="0842F90E" w14:textId="77777777" w:rsidR="00E8560A" w:rsidRPr="00166045" w:rsidRDefault="00E8560A" w:rsidP="0043289E">
            <w:pPr>
              <w:pStyle w:val="Tabletext"/>
            </w:pPr>
            <w:r w:rsidRPr="00FB229F">
              <w:t>Pembrolizumab + PC versus PC</w:t>
            </w:r>
          </w:p>
        </w:tc>
        <w:tc>
          <w:tcPr>
            <w:tcW w:w="2016" w:type="pct"/>
          </w:tcPr>
          <w:p w14:paraId="0C595472" w14:textId="77777777" w:rsidR="00E8560A" w:rsidRPr="00FB229F" w:rsidRDefault="00E8560A" w:rsidP="0043289E">
            <w:pPr>
              <w:pStyle w:val="Tabletext"/>
            </w:pPr>
            <w:r w:rsidRPr="00FB229F">
              <w:t>0.52 (0.40, 0.68)</w:t>
            </w:r>
          </w:p>
        </w:tc>
      </w:tr>
      <w:tr w:rsidR="00E8560A" w:rsidRPr="00FB229F" w14:paraId="1EE7C640" w14:textId="77777777" w:rsidTr="00F90FA2">
        <w:tc>
          <w:tcPr>
            <w:tcW w:w="2984" w:type="pct"/>
          </w:tcPr>
          <w:p w14:paraId="35109362" w14:textId="77777777" w:rsidR="00E8560A" w:rsidRPr="00166045" w:rsidRDefault="00E8560A" w:rsidP="0043289E">
            <w:pPr>
              <w:pStyle w:val="Tabletext"/>
            </w:pPr>
            <w:r w:rsidRPr="00FB229F">
              <w:t>Selpercatinib vs. Pembrolizumab + PC</w:t>
            </w:r>
          </w:p>
        </w:tc>
        <w:tc>
          <w:tcPr>
            <w:tcW w:w="2016" w:type="pct"/>
          </w:tcPr>
          <w:p w14:paraId="57F2F682" w14:textId="432D5840" w:rsidR="00E8560A" w:rsidRPr="00FB229F" w:rsidRDefault="00E8560A" w:rsidP="0043289E">
            <w:pPr>
              <w:pStyle w:val="Tabletext"/>
            </w:pPr>
            <w:r w:rsidRPr="00FB229F">
              <w:t>0.39 (0.20,</w:t>
            </w:r>
            <w:r w:rsidR="00D12CC8" w:rsidRPr="00FB229F">
              <w:t xml:space="preserve"> </w:t>
            </w:r>
            <w:r w:rsidRPr="00FB229F">
              <w:t>0.76)</w:t>
            </w:r>
          </w:p>
        </w:tc>
      </w:tr>
    </w:tbl>
    <w:p w14:paraId="3CAD43BE" w14:textId="77777777" w:rsidR="00E8560A" w:rsidRPr="00166045" w:rsidRDefault="00E8560A" w:rsidP="00E8560A">
      <w:pPr>
        <w:pStyle w:val="TableFooter"/>
      </w:pPr>
      <w:r w:rsidRPr="00FB229F">
        <w:rPr>
          <w:rStyle w:val="TableFooterChar"/>
        </w:rPr>
        <w:t>Source: Tables 2-108 and 2-109, p272 of the submission</w:t>
      </w:r>
    </w:p>
    <w:p w14:paraId="5E0C963B" w14:textId="77777777" w:rsidR="00E8560A" w:rsidRPr="00166045" w:rsidRDefault="00E8560A" w:rsidP="00816BFB">
      <w:pPr>
        <w:pStyle w:val="TableFooter"/>
        <w:spacing w:after="120"/>
      </w:pPr>
      <w:r w:rsidRPr="00166045">
        <w:t>CrI=credible interval; HR=hazard ratio (rounded to 2 decimal places); PC=pemetrexed + platinum chemotherapy; PFS=progression-free survival</w:t>
      </w:r>
    </w:p>
    <w:p w14:paraId="3800B50A" w14:textId="557BE0B9" w:rsidR="00E8560A" w:rsidRPr="00166045" w:rsidRDefault="00E8560A" w:rsidP="00E8560A">
      <w:pPr>
        <w:pStyle w:val="Caption"/>
        <w:rPr>
          <w:b w:val="0"/>
          <w:iCs/>
        </w:rPr>
      </w:pPr>
      <w:bookmarkStart w:id="43" w:name="_Ref131772514"/>
      <w:r w:rsidRPr="00FB229F">
        <w:t xml:space="preserve">Table </w:t>
      </w:r>
      <w:r w:rsidR="00BF0AEB">
        <w:fldChar w:fldCharType="begin" w:fldLock="1"/>
      </w:r>
      <w:r w:rsidR="00BF0AEB">
        <w:instrText xml:space="preserve"> SEQ Table \* ARABIC </w:instrText>
      </w:r>
      <w:r w:rsidR="00BF0AEB">
        <w:fldChar w:fldCharType="separate"/>
      </w:r>
      <w:r w:rsidR="00CA7201" w:rsidRPr="00166045">
        <w:t>11</w:t>
      </w:r>
      <w:r w:rsidR="00BF0AEB">
        <w:fldChar w:fldCharType="end"/>
      </w:r>
      <w:bookmarkEnd w:id="43"/>
      <w:r w:rsidR="00131D5E" w:rsidRPr="00FB229F">
        <w:t xml:space="preserve">: </w:t>
      </w:r>
      <w:r w:rsidRPr="00FB229F">
        <w:t>Relative treatment effect estimates of OS expressed as HRs, network meta-analysis, random effects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3636"/>
      </w:tblGrid>
      <w:tr w:rsidR="00E8560A" w:rsidRPr="00FB229F" w14:paraId="3461091E" w14:textId="77777777" w:rsidTr="00F90FA2">
        <w:tc>
          <w:tcPr>
            <w:tcW w:w="2984" w:type="pct"/>
            <w:hideMark/>
          </w:tcPr>
          <w:p w14:paraId="0E2E1FCC" w14:textId="77777777" w:rsidR="00E8560A" w:rsidRPr="00166045" w:rsidRDefault="00E8560A" w:rsidP="0043289E">
            <w:pPr>
              <w:pStyle w:val="Tabletext"/>
              <w:widowControl w:val="0"/>
              <w:rPr>
                <w:b/>
              </w:rPr>
            </w:pPr>
            <w:r w:rsidRPr="00FB229F">
              <w:rPr>
                <w:b/>
              </w:rPr>
              <w:t xml:space="preserve">Treatment comparison </w:t>
            </w:r>
          </w:p>
        </w:tc>
        <w:tc>
          <w:tcPr>
            <w:tcW w:w="2016" w:type="pct"/>
            <w:hideMark/>
          </w:tcPr>
          <w:p w14:paraId="1A867C73" w14:textId="77777777" w:rsidR="00E8560A" w:rsidRPr="00166045" w:rsidRDefault="00E8560A" w:rsidP="0043289E">
            <w:pPr>
              <w:pStyle w:val="Tabletext"/>
              <w:widowControl w:val="0"/>
              <w:rPr>
                <w:b/>
              </w:rPr>
            </w:pPr>
            <w:r w:rsidRPr="00FB229F">
              <w:rPr>
                <w:b/>
              </w:rPr>
              <w:t>Median HR (95% CrI) versus PC</w:t>
            </w:r>
          </w:p>
        </w:tc>
      </w:tr>
      <w:tr w:rsidR="00E8560A" w:rsidRPr="00FB229F" w14:paraId="2515E162" w14:textId="77777777" w:rsidTr="00F90FA2">
        <w:tc>
          <w:tcPr>
            <w:tcW w:w="2984" w:type="pct"/>
            <w:hideMark/>
          </w:tcPr>
          <w:p w14:paraId="09A7865D" w14:textId="77777777" w:rsidR="00E8560A" w:rsidRPr="00166045" w:rsidRDefault="00E8560A" w:rsidP="0043289E">
            <w:pPr>
              <w:pStyle w:val="Tabletext"/>
              <w:widowControl w:val="0"/>
            </w:pPr>
            <w:r w:rsidRPr="00FB229F">
              <w:t>Selpercatinib versus PC (pseudo-control)</w:t>
            </w:r>
          </w:p>
        </w:tc>
        <w:tc>
          <w:tcPr>
            <w:tcW w:w="2016" w:type="pct"/>
          </w:tcPr>
          <w:p w14:paraId="7ADA55AE" w14:textId="77777777" w:rsidR="00E8560A" w:rsidRPr="00FB229F" w:rsidRDefault="00E8560A" w:rsidP="0043289E">
            <w:pPr>
              <w:pStyle w:val="Tabletext"/>
              <w:widowControl w:val="0"/>
            </w:pPr>
            <w:r w:rsidRPr="00FB229F">
              <w:t>0.21 (0.10, 0.41)</w:t>
            </w:r>
          </w:p>
        </w:tc>
      </w:tr>
      <w:tr w:rsidR="00E8560A" w:rsidRPr="00FB229F" w14:paraId="4A7AA80F" w14:textId="77777777" w:rsidTr="00F90FA2">
        <w:tc>
          <w:tcPr>
            <w:tcW w:w="2984" w:type="pct"/>
            <w:hideMark/>
          </w:tcPr>
          <w:p w14:paraId="5374391A" w14:textId="77777777" w:rsidR="00E8560A" w:rsidRPr="00166045" w:rsidRDefault="00E8560A" w:rsidP="0043289E">
            <w:pPr>
              <w:pStyle w:val="Tabletext"/>
              <w:widowControl w:val="0"/>
            </w:pPr>
            <w:r w:rsidRPr="00FB229F">
              <w:t>Pembrolizumab + PC versus PC</w:t>
            </w:r>
          </w:p>
        </w:tc>
        <w:tc>
          <w:tcPr>
            <w:tcW w:w="2016" w:type="pct"/>
          </w:tcPr>
          <w:p w14:paraId="2CBF85BE" w14:textId="77777777" w:rsidR="00E8560A" w:rsidRPr="00FB229F" w:rsidRDefault="00E8560A" w:rsidP="0043289E">
            <w:pPr>
              <w:pStyle w:val="Tabletext"/>
              <w:widowControl w:val="0"/>
            </w:pPr>
            <w:r w:rsidRPr="00FB229F">
              <w:t>0.61 (0.49, 0.76)</w:t>
            </w:r>
          </w:p>
        </w:tc>
      </w:tr>
      <w:tr w:rsidR="00E8560A" w:rsidRPr="00FB229F" w14:paraId="3E6FA246" w14:textId="77777777" w:rsidTr="00F90FA2">
        <w:tc>
          <w:tcPr>
            <w:tcW w:w="2984" w:type="pct"/>
          </w:tcPr>
          <w:p w14:paraId="5E8E1FB7" w14:textId="77777777" w:rsidR="00E8560A" w:rsidRPr="00166045" w:rsidRDefault="00E8560A" w:rsidP="0043289E">
            <w:pPr>
              <w:pStyle w:val="Tabletext"/>
              <w:widowControl w:val="0"/>
            </w:pPr>
            <w:r w:rsidRPr="00FB229F">
              <w:t>Selpercatinib vs. Pembrolizumab + PC</w:t>
            </w:r>
          </w:p>
        </w:tc>
        <w:tc>
          <w:tcPr>
            <w:tcW w:w="2016" w:type="pct"/>
          </w:tcPr>
          <w:p w14:paraId="0D638846" w14:textId="77777777" w:rsidR="00E8560A" w:rsidRPr="00FB229F" w:rsidRDefault="00E8560A" w:rsidP="0043289E">
            <w:pPr>
              <w:pStyle w:val="Tabletext"/>
              <w:widowControl w:val="0"/>
            </w:pPr>
            <w:r w:rsidRPr="00FB229F">
              <w:t>0.34 (0.17, 0.69)</w:t>
            </w:r>
          </w:p>
        </w:tc>
      </w:tr>
    </w:tbl>
    <w:p w14:paraId="5BB11DC9" w14:textId="77777777" w:rsidR="00E8560A" w:rsidRPr="00166045" w:rsidRDefault="00E8560A" w:rsidP="00131D5E">
      <w:pPr>
        <w:pStyle w:val="TableFooter"/>
      </w:pPr>
      <w:r w:rsidRPr="00FB229F">
        <w:rPr>
          <w:rStyle w:val="TableFooterChar"/>
        </w:rPr>
        <w:t>Source: Tables 2-112 and 2-113, p275 of the submission</w:t>
      </w:r>
    </w:p>
    <w:p w14:paraId="34D0975D" w14:textId="77777777" w:rsidR="00E8560A" w:rsidRPr="00FB229F" w:rsidRDefault="00E8560A" w:rsidP="00816BFB">
      <w:pPr>
        <w:pStyle w:val="TableFooter"/>
        <w:spacing w:after="120"/>
      </w:pPr>
      <w:r w:rsidRPr="00166045">
        <w:t>CrI=credible interval; HR=hazard ratio (rounded to 2 decimal places); OS=overall survival; PC=pemetrexed + platinum chemotherapy</w:t>
      </w:r>
    </w:p>
    <w:p w14:paraId="0D7EA53B" w14:textId="77777777" w:rsidR="00131D5E" w:rsidRPr="00FB229F" w:rsidRDefault="00131D5E" w:rsidP="007B1BC5">
      <w:pPr>
        <w:pStyle w:val="3-BodyText"/>
        <w:ind w:left="709" w:hanging="709"/>
      </w:pPr>
      <w:r w:rsidRPr="00FB229F">
        <w:t>The NMA-based indirect comparisons indicated that:</w:t>
      </w:r>
    </w:p>
    <w:p w14:paraId="4E958F17" w14:textId="77777777" w:rsidR="00131D5E" w:rsidRPr="00FB229F" w:rsidRDefault="00131D5E" w:rsidP="00816BFB">
      <w:pPr>
        <w:pStyle w:val="ListParagraph"/>
        <w:numPr>
          <w:ilvl w:val="4"/>
          <w:numId w:val="6"/>
        </w:numPr>
        <w:ind w:left="1077" w:hanging="357"/>
      </w:pPr>
      <w:r w:rsidRPr="00FB229F">
        <w:t>selpercatinib was associated with a 61% reduction in the hazard of progression or death compared to pembrolizumab + PC (HR=0.39; 95% CI: 0.20, 0.76); and</w:t>
      </w:r>
    </w:p>
    <w:p w14:paraId="5A9F4A35" w14:textId="77777777" w:rsidR="00131D5E" w:rsidRPr="00FB229F" w:rsidRDefault="00131D5E" w:rsidP="00F73D0A">
      <w:pPr>
        <w:pStyle w:val="ListParagraph"/>
        <w:numPr>
          <w:ilvl w:val="4"/>
          <w:numId w:val="6"/>
        </w:numPr>
        <w:ind w:left="1077" w:hanging="357"/>
      </w:pPr>
      <w:r w:rsidRPr="00FB229F">
        <w:lastRenderedPageBreak/>
        <w:t>selpercatinib was associated with a 66% reduction in the hazard of death compared to pembrolizumab + PC (HR=0.34; 95% CI: 0.17, 0.69).</w:t>
      </w:r>
    </w:p>
    <w:p w14:paraId="2BEEBFD4" w14:textId="1441B8E7" w:rsidR="00131D5E" w:rsidRPr="00FB229F" w:rsidRDefault="00131D5E" w:rsidP="004A2F35">
      <w:pPr>
        <w:pStyle w:val="3-BodyText"/>
        <w:ind w:left="709" w:hanging="709"/>
      </w:pPr>
      <w:r w:rsidRPr="00FB229F">
        <w:t xml:space="preserve">There is a high degree of uncertainty associated with the </w:t>
      </w:r>
      <w:r w:rsidR="000D5F22" w:rsidRPr="00FB229F">
        <w:t xml:space="preserve">indirect </w:t>
      </w:r>
      <w:r w:rsidRPr="00FB229F">
        <w:t xml:space="preserve">estimates of </w:t>
      </w:r>
      <w:r w:rsidR="000D5F22" w:rsidRPr="00FB229F">
        <w:t xml:space="preserve">relative </w:t>
      </w:r>
      <w:r w:rsidRPr="00FB229F">
        <w:t>treatment effect. There is the potential for residual confounding due to i) imbalances</w:t>
      </w:r>
      <w:r w:rsidR="00984179" w:rsidRPr="00FB229F">
        <w:t>,</w:t>
      </w:r>
      <w:r w:rsidRPr="00FB229F">
        <w:t xml:space="preserve"> </w:t>
      </w:r>
      <w:r w:rsidR="000D5F22" w:rsidRPr="00FB229F">
        <w:t>despite matching</w:t>
      </w:r>
      <w:r w:rsidRPr="00FB229F">
        <w:t xml:space="preserve"> for some covariates</w:t>
      </w:r>
      <w:r w:rsidR="00984179" w:rsidRPr="00FB229F">
        <w:t>,</w:t>
      </w:r>
      <w:r w:rsidRPr="00FB229F">
        <w:t xml:space="preserve"> that may </w:t>
      </w:r>
      <w:r w:rsidR="000D5F22" w:rsidRPr="00FB229F">
        <w:t xml:space="preserve">have </w:t>
      </w:r>
      <w:r w:rsidRPr="00FB229F">
        <w:t>favour</w:t>
      </w:r>
      <w:r w:rsidR="000D5F22" w:rsidRPr="00FB229F">
        <w:t>ed</w:t>
      </w:r>
      <w:r w:rsidRPr="00FB229F">
        <w:t xml:space="preserve"> selpercatinib</w:t>
      </w:r>
      <w:r w:rsidR="00984179" w:rsidRPr="00FB229F">
        <w:t xml:space="preserve"> (most notably ‘never smoking’)</w:t>
      </w:r>
      <w:r w:rsidRPr="00FB229F">
        <w:t xml:space="preserve">, and ii) other </w:t>
      </w:r>
      <w:r w:rsidR="00E7006E" w:rsidRPr="00FB229F">
        <w:t>unknown confounders that may impact the indirect estimates in either direction</w:t>
      </w:r>
      <w:r w:rsidRPr="00FB229F">
        <w:t>.</w:t>
      </w:r>
      <w:r w:rsidR="00F0424B" w:rsidRPr="00FB229F">
        <w:t xml:space="preserve"> </w:t>
      </w:r>
    </w:p>
    <w:p w14:paraId="0141E310" w14:textId="1E1EEB9E" w:rsidR="00131D5E" w:rsidRPr="00FB229F" w:rsidRDefault="00131D5E" w:rsidP="007F03AD">
      <w:pPr>
        <w:pStyle w:val="3-BodyText"/>
        <w:ind w:left="709" w:hanging="709"/>
      </w:pPr>
      <w:r w:rsidRPr="00FB229F">
        <w:t>The NMA was conducted by synthesising HRs for time-to-event endpoints (such as OS and PFS) assuming constant relative hazards between treatment arms (proportional hazards (PH) assumption). However, where the PH assumption does not hold, the NMA could lead to biased indirect estimates of the HR. The PH assumption did not hold for both PFS and OS in the KN-189 trial</w:t>
      </w:r>
      <w:r w:rsidR="00EE64C9">
        <w:t>.</w:t>
      </w:r>
    </w:p>
    <w:p w14:paraId="57B09562" w14:textId="58504DF2" w:rsidR="000D5F22" w:rsidRPr="00FB229F" w:rsidRDefault="00131D5E" w:rsidP="007F03AD">
      <w:pPr>
        <w:pStyle w:val="3-BodyText"/>
        <w:ind w:left="709" w:hanging="709"/>
        <w:rPr>
          <w:snapToGrid/>
        </w:rPr>
      </w:pPr>
      <w:r w:rsidRPr="00FB229F">
        <w:rPr>
          <w:snapToGrid/>
        </w:rPr>
        <w:t>Results for the anchored indirect comparison</w:t>
      </w:r>
      <w:r w:rsidR="00984179" w:rsidRPr="00FB229F">
        <w:rPr>
          <w:snapToGrid/>
        </w:rPr>
        <w:t>, via a generated common reference arm,</w:t>
      </w:r>
      <w:r w:rsidRPr="00FB229F">
        <w:rPr>
          <w:snapToGrid/>
        </w:rPr>
        <w:t xml:space="preserve"> of PFS and OS</w:t>
      </w:r>
      <w:r w:rsidR="00222969" w:rsidRPr="00FB229F">
        <w:rPr>
          <w:snapToGrid/>
        </w:rPr>
        <w:t xml:space="preserve"> </w:t>
      </w:r>
      <w:r w:rsidRPr="00FB229F">
        <w:rPr>
          <w:snapToGrid/>
        </w:rPr>
        <w:t>are summarised in</w:t>
      </w:r>
      <w:r w:rsidR="00222969" w:rsidRPr="00FB229F">
        <w:rPr>
          <w:snapToGrid/>
        </w:rPr>
        <w:t xml:space="preserve"> </w:t>
      </w:r>
      <w:r w:rsidR="00222969" w:rsidRPr="00FB229F">
        <w:rPr>
          <w:snapToGrid/>
        </w:rPr>
        <w:fldChar w:fldCharType="begin" w:fldLock="1"/>
      </w:r>
      <w:r w:rsidR="00222969" w:rsidRPr="00FB229F">
        <w:rPr>
          <w:snapToGrid/>
        </w:rPr>
        <w:instrText xml:space="preserve"> REF _Ref131773160 \h </w:instrText>
      </w:r>
      <w:r w:rsidR="00222969" w:rsidRPr="00FB229F">
        <w:rPr>
          <w:snapToGrid/>
        </w:rPr>
      </w:r>
      <w:r w:rsidR="00222969" w:rsidRPr="00FB229F">
        <w:rPr>
          <w:snapToGrid/>
        </w:rPr>
        <w:fldChar w:fldCharType="separate"/>
      </w:r>
      <w:r w:rsidR="00CA7201" w:rsidRPr="00FB229F">
        <w:t xml:space="preserve">Table </w:t>
      </w:r>
      <w:r w:rsidR="00CA7201" w:rsidRPr="00166045">
        <w:t>12</w:t>
      </w:r>
      <w:r w:rsidR="00222969" w:rsidRPr="00FB229F">
        <w:rPr>
          <w:snapToGrid/>
        </w:rPr>
        <w:fldChar w:fldCharType="end"/>
      </w:r>
      <w:r w:rsidR="00222969" w:rsidRPr="00FB229F">
        <w:rPr>
          <w:snapToGrid/>
        </w:rPr>
        <w:t>.</w:t>
      </w:r>
    </w:p>
    <w:p w14:paraId="2C5FAFC3" w14:textId="405471A9" w:rsidR="00131D5E" w:rsidRPr="00FB229F" w:rsidRDefault="00131D5E" w:rsidP="00131D5E">
      <w:pPr>
        <w:pStyle w:val="Caption"/>
      </w:pPr>
      <w:bookmarkStart w:id="44" w:name="_Ref131773160"/>
      <w:r w:rsidRPr="00FB229F">
        <w:t xml:space="preserve">Table </w:t>
      </w:r>
      <w:r w:rsidR="00BF0AEB">
        <w:fldChar w:fldCharType="begin" w:fldLock="1"/>
      </w:r>
      <w:r w:rsidR="00BF0AEB">
        <w:instrText xml:space="preserve"> SEQ Table \* ARABIC </w:instrText>
      </w:r>
      <w:r w:rsidR="00BF0AEB">
        <w:fldChar w:fldCharType="separate"/>
      </w:r>
      <w:r w:rsidR="00CA7201" w:rsidRPr="00166045">
        <w:t>12</w:t>
      </w:r>
      <w:r w:rsidR="00BF0AEB">
        <w:fldChar w:fldCharType="end"/>
      </w:r>
      <w:bookmarkEnd w:id="44"/>
      <w:r w:rsidRPr="00FB229F">
        <w:t>: Anchored indirect comparison of PFS and OS between selpercatinib and pembrolizumab plus 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5076"/>
        <w:gridCol w:w="2957"/>
      </w:tblGrid>
      <w:tr w:rsidR="00131D5E" w:rsidRPr="00FB229F" w14:paraId="45DC760B" w14:textId="77777777" w:rsidTr="00F90FA2">
        <w:trPr>
          <w:cantSplit/>
          <w:trHeight w:val="261"/>
        </w:trPr>
        <w:tc>
          <w:tcPr>
            <w:tcW w:w="983" w:type="dxa"/>
          </w:tcPr>
          <w:p w14:paraId="6DE6A501" w14:textId="77777777" w:rsidR="00131D5E" w:rsidRPr="00FB229F" w:rsidRDefault="00131D5E" w:rsidP="00604558">
            <w:pPr>
              <w:pStyle w:val="TableText0"/>
              <w:rPr>
                <w:b/>
                <w:szCs w:val="20"/>
              </w:rPr>
            </w:pPr>
            <w:r w:rsidRPr="00FB229F">
              <w:rPr>
                <w:b/>
                <w:szCs w:val="20"/>
              </w:rPr>
              <w:t>Outcome</w:t>
            </w:r>
          </w:p>
        </w:tc>
        <w:tc>
          <w:tcPr>
            <w:tcW w:w="5076" w:type="dxa"/>
          </w:tcPr>
          <w:p w14:paraId="4454F70C" w14:textId="77777777" w:rsidR="00131D5E" w:rsidRPr="00FB229F" w:rsidRDefault="00131D5E" w:rsidP="00604558">
            <w:pPr>
              <w:pStyle w:val="TableText0"/>
              <w:rPr>
                <w:b/>
                <w:szCs w:val="20"/>
              </w:rPr>
            </w:pPr>
            <w:r w:rsidRPr="00FB229F">
              <w:rPr>
                <w:b/>
                <w:szCs w:val="20"/>
              </w:rPr>
              <w:t>Trial</w:t>
            </w:r>
          </w:p>
        </w:tc>
        <w:tc>
          <w:tcPr>
            <w:tcW w:w="2957" w:type="dxa"/>
          </w:tcPr>
          <w:p w14:paraId="0A965F8E" w14:textId="77777777" w:rsidR="00131D5E" w:rsidRPr="00FB229F" w:rsidRDefault="00131D5E" w:rsidP="00604558">
            <w:pPr>
              <w:pStyle w:val="TableText0"/>
              <w:rPr>
                <w:b/>
                <w:szCs w:val="20"/>
              </w:rPr>
            </w:pPr>
            <w:r w:rsidRPr="00FB229F">
              <w:rPr>
                <w:b/>
                <w:szCs w:val="20"/>
              </w:rPr>
              <w:t>Hazard ratio (95% CI), p-value</w:t>
            </w:r>
          </w:p>
        </w:tc>
      </w:tr>
      <w:tr w:rsidR="00131D5E" w:rsidRPr="00FB229F" w14:paraId="3C42AC38" w14:textId="77777777" w:rsidTr="00F90FA2">
        <w:trPr>
          <w:cantSplit/>
          <w:trHeight w:val="251"/>
        </w:trPr>
        <w:tc>
          <w:tcPr>
            <w:tcW w:w="983" w:type="dxa"/>
            <w:vMerge w:val="restart"/>
          </w:tcPr>
          <w:p w14:paraId="35A96B53" w14:textId="77777777" w:rsidR="00131D5E" w:rsidRPr="00FB229F" w:rsidRDefault="00131D5E" w:rsidP="00604558">
            <w:pPr>
              <w:pStyle w:val="TableText0"/>
              <w:rPr>
                <w:b/>
                <w:szCs w:val="20"/>
              </w:rPr>
            </w:pPr>
            <w:r w:rsidRPr="00FB229F">
              <w:rPr>
                <w:b/>
                <w:szCs w:val="20"/>
              </w:rPr>
              <w:t>PFS</w:t>
            </w:r>
          </w:p>
        </w:tc>
        <w:tc>
          <w:tcPr>
            <w:tcW w:w="8033" w:type="dxa"/>
            <w:gridSpan w:val="2"/>
          </w:tcPr>
          <w:p w14:paraId="3F871523" w14:textId="6C0FA7A4" w:rsidR="00131D5E" w:rsidRPr="00FB229F" w:rsidRDefault="00131D5E" w:rsidP="00604558">
            <w:pPr>
              <w:pStyle w:val="TableText0"/>
              <w:rPr>
                <w:b/>
                <w:szCs w:val="20"/>
              </w:rPr>
            </w:pPr>
            <w:r w:rsidRPr="00FB229F">
              <w:rPr>
                <w:b/>
                <w:szCs w:val="20"/>
              </w:rPr>
              <w:t xml:space="preserve">Selpercatinib vs </w:t>
            </w:r>
            <w:r w:rsidR="00B07490" w:rsidRPr="00FB229F">
              <w:rPr>
                <w:b/>
                <w:szCs w:val="20"/>
              </w:rPr>
              <w:t xml:space="preserve">generated </w:t>
            </w:r>
            <w:r w:rsidR="001C5072" w:rsidRPr="00FB229F">
              <w:rPr>
                <w:b/>
                <w:szCs w:val="20"/>
              </w:rPr>
              <w:t xml:space="preserve">pseudo-control </w:t>
            </w:r>
            <w:r w:rsidRPr="00FB229F">
              <w:rPr>
                <w:b/>
                <w:szCs w:val="20"/>
              </w:rPr>
              <w:t>PC</w:t>
            </w:r>
          </w:p>
        </w:tc>
      </w:tr>
      <w:tr w:rsidR="00131D5E" w:rsidRPr="00FB229F" w14:paraId="58602E18" w14:textId="77777777" w:rsidTr="00F90FA2">
        <w:trPr>
          <w:cantSplit/>
          <w:trHeight w:val="261"/>
        </w:trPr>
        <w:tc>
          <w:tcPr>
            <w:tcW w:w="983" w:type="dxa"/>
            <w:vMerge/>
          </w:tcPr>
          <w:p w14:paraId="64D5A547" w14:textId="77777777" w:rsidR="00131D5E" w:rsidRPr="00FB229F" w:rsidRDefault="00131D5E" w:rsidP="00604558">
            <w:pPr>
              <w:pStyle w:val="TableText0"/>
              <w:rPr>
                <w:b/>
                <w:szCs w:val="20"/>
              </w:rPr>
            </w:pPr>
          </w:p>
        </w:tc>
        <w:tc>
          <w:tcPr>
            <w:tcW w:w="5076" w:type="dxa"/>
          </w:tcPr>
          <w:p w14:paraId="733272D3" w14:textId="77777777" w:rsidR="00131D5E" w:rsidRPr="00FB229F" w:rsidRDefault="00131D5E" w:rsidP="00604558">
            <w:pPr>
              <w:pStyle w:val="TableText0"/>
              <w:rPr>
                <w:szCs w:val="20"/>
              </w:rPr>
            </w:pPr>
            <w:r w:rsidRPr="00FB229F">
              <w:rPr>
                <w:szCs w:val="20"/>
              </w:rPr>
              <w:t>LIBRETTO PSM</w:t>
            </w:r>
          </w:p>
        </w:tc>
        <w:tc>
          <w:tcPr>
            <w:tcW w:w="2957" w:type="dxa"/>
          </w:tcPr>
          <w:p w14:paraId="716C0747" w14:textId="77777777" w:rsidR="00131D5E" w:rsidRPr="00FB229F" w:rsidRDefault="00131D5E" w:rsidP="00604558">
            <w:pPr>
              <w:pStyle w:val="TableText0"/>
              <w:rPr>
                <w:szCs w:val="20"/>
              </w:rPr>
            </w:pPr>
            <w:r w:rsidRPr="00FB229F">
              <w:rPr>
                <w:szCs w:val="20"/>
              </w:rPr>
              <w:t>0.2 (0.1, 0.3), p&lt;0.001</w:t>
            </w:r>
          </w:p>
        </w:tc>
      </w:tr>
      <w:tr w:rsidR="00131D5E" w:rsidRPr="00FB229F" w14:paraId="2BA50631" w14:textId="77777777" w:rsidTr="00F90FA2">
        <w:trPr>
          <w:cantSplit/>
          <w:trHeight w:val="251"/>
        </w:trPr>
        <w:tc>
          <w:tcPr>
            <w:tcW w:w="983" w:type="dxa"/>
            <w:vMerge/>
          </w:tcPr>
          <w:p w14:paraId="7CD53FEF" w14:textId="77777777" w:rsidR="00131D5E" w:rsidRPr="00FB229F" w:rsidRDefault="00131D5E" w:rsidP="00604558">
            <w:pPr>
              <w:pStyle w:val="TableText0"/>
              <w:rPr>
                <w:b/>
                <w:szCs w:val="20"/>
              </w:rPr>
            </w:pPr>
          </w:p>
        </w:tc>
        <w:tc>
          <w:tcPr>
            <w:tcW w:w="8033" w:type="dxa"/>
            <w:gridSpan w:val="2"/>
          </w:tcPr>
          <w:p w14:paraId="1C029F46" w14:textId="77777777" w:rsidR="00131D5E" w:rsidRPr="00FB229F" w:rsidRDefault="00131D5E" w:rsidP="00604558">
            <w:pPr>
              <w:pStyle w:val="TableText0"/>
              <w:rPr>
                <w:b/>
                <w:szCs w:val="20"/>
              </w:rPr>
            </w:pPr>
            <w:r w:rsidRPr="00FB229F">
              <w:rPr>
                <w:b/>
                <w:szCs w:val="20"/>
              </w:rPr>
              <w:t>Pembrolizumab + PC vs PC</w:t>
            </w:r>
          </w:p>
        </w:tc>
      </w:tr>
      <w:tr w:rsidR="00131D5E" w:rsidRPr="00FB229F" w14:paraId="2271ED16" w14:textId="77777777" w:rsidTr="00F90FA2">
        <w:trPr>
          <w:cantSplit/>
          <w:trHeight w:val="261"/>
        </w:trPr>
        <w:tc>
          <w:tcPr>
            <w:tcW w:w="983" w:type="dxa"/>
            <w:vMerge/>
          </w:tcPr>
          <w:p w14:paraId="74EB3D65" w14:textId="77777777" w:rsidR="00131D5E" w:rsidRPr="00FB229F" w:rsidRDefault="00131D5E" w:rsidP="00604558">
            <w:pPr>
              <w:pStyle w:val="TableText0"/>
              <w:rPr>
                <w:b/>
                <w:szCs w:val="20"/>
              </w:rPr>
            </w:pPr>
          </w:p>
        </w:tc>
        <w:tc>
          <w:tcPr>
            <w:tcW w:w="5076" w:type="dxa"/>
          </w:tcPr>
          <w:p w14:paraId="7F9F4359" w14:textId="77777777" w:rsidR="00131D5E" w:rsidRPr="00FB229F" w:rsidRDefault="00131D5E" w:rsidP="00604558">
            <w:pPr>
              <w:pStyle w:val="TableText0"/>
              <w:rPr>
                <w:szCs w:val="20"/>
              </w:rPr>
            </w:pPr>
            <w:r w:rsidRPr="00FB229F">
              <w:rPr>
                <w:szCs w:val="20"/>
              </w:rPr>
              <w:t>KEYNOTE-189</w:t>
            </w:r>
          </w:p>
        </w:tc>
        <w:tc>
          <w:tcPr>
            <w:tcW w:w="2957" w:type="dxa"/>
          </w:tcPr>
          <w:p w14:paraId="1BE7B0AF" w14:textId="77777777" w:rsidR="00131D5E" w:rsidRPr="00FB229F" w:rsidRDefault="00131D5E" w:rsidP="00604558">
            <w:pPr>
              <w:pStyle w:val="TableText0"/>
              <w:rPr>
                <w:szCs w:val="20"/>
              </w:rPr>
            </w:pPr>
            <w:r w:rsidRPr="00FB229F">
              <w:rPr>
                <w:szCs w:val="20"/>
              </w:rPr>
              <w:t>0.5 (0.4, 0.6), p&lt;0.001</w:t>
            </w:r>
          </w:p>
        </w:tc>
      </w:tr>
      <w:tr w:rsidR="00131D5E" w:rsidRPr="00FB229F" w14:paraId="79CE0A46" w14:textId="77777777" w:rsidTr="00F90FA2">
        <w:trPr>
          <w:cantSplit/>
          <w:trHeight w:val="251"/>
        </w:trPr>
        <w:tc>
          <w:tcPr>
            <w:tcW w:w="983" w:type="dxa"/>
            <w:vMerge/>
          </w:tcPr>
          <w:p w14:paraId="07A131B9" w14:textId="77777777" w:rsidR="00131D5E" w:rsidRPr="00FB229F" w:rsidRDefault="00131D5E" w:rsidP="00604558">
            <w:pPr>
              <w:pStyle w:val="TableText0"/>
              <w:rPr>
                <w:b/>
                <w:szCs w:val="20"/>
              </w:rPr>
            </w:pPr>
          </w:p>
        </w:tc>
        <w:tc>
          <w:tcPr>
            <w:tcW w:w="5076" w:type="dxa"/>
          </w:tcPr>
          <w:p w14:paraId="4DFD39AF" w14:textId="77777777" w:rsidR="00131D5E" w:rsidRPr="00FB229F" w:rsidRDefault="00131D5E" w:rsidP="00604558">
            <w:pPr>
              <w:pStyle w:val="TableText0"/>
              <w:rPr>
                <w:szCs w:val="20"/>
              </w:rPr>
            </w:pPr>
            <w:r w:rsidRPr="00FB229F">
              <w:rPr>
                <w:szCs w:val="20"/>
              </w:rPr>
              <w:t>KEYNOTE-021 Cohort G</w:t>
            </w:r>
          </w:p>
        </w:tc>
        <w:tc>
          <w:tcPr>
            <w:tcW w:w="2957" w:type="dxa"/>
          </w:tcPr>
          <w:p w14:paraId="069AC040" w14:textId="77777777" w:rsidR="00131D5E" w:rsidRPr="00FB229F" w:rsidRDefault="00131D5E" w:rsidP="00604558">
            <w:pPr>
              <w:pStyle w:val="TableText0"/>
              <w:rPr>
                <w:szCs w:val="20"/>
              </w:rPr>
            </w:pPr>
            <w:r w:rsidRPr="00FB229F">
              <w:rPr>
                <w:szCs w:val="20"/>
              </w:rPr>
              <w:t>0.5 (0.3, 0.8), p=0.010</w:t>
            </w:r>
          </w:p>
        </w:tc>
      </w:tr>
      <w:tr w:rsidR="00131D5E" w:rsidRPr="00FB229F" w14:paraId="7459BA34" w14:textId="77777777" w:rsidTr="00F90FA2">
        <w:trPr>
          <w:cantSplit/>
          <w:trHeight w:val="261"/>
        </w:trPr>
        <w:tc>
          <w:tcPr>
            <w:tcW w:w="983" w:type="dxa"/>
            <w:vMerge/>
          </w:tcPr>
          <w:p w14:paraId="706D1404" w14:textId="77777777" w:rsidR="00131D5E" w:rsidRPr="00FB229F" w:rsidRDefault="00131D5E" w:rsidP="00604558">
            <w:pPr>
              <w:pStyle w:val="TableText0"/>
              <w:rPr>
                <w:b/>
                <w:szCs w:val="20"/>
              </w:rPr>
            </w:pPr>
          </w:p>
        </w:tc>
        <w:tc>
          <w:tcPr>
            <w:tcW w:w="5076" w:type="dxa"/>
          </w:tcPr>
          <w:p w14:paraId="23A5CF92" w14:textId="77777777" w:rsidR="00131D5E" w:rsidRPr="00FB229F" w:rsidRDefault="00131D5E" w:rsidP="00604558">
            <w:pPr>
              <w:pStyle w:val="TableText0"/>
              <w:rPr>
                <w:szCs w:val="20"/>
              </w:rPr>
            </w:pPr>
            <w:r w:rsidRPr="00FB229F">
              <w:rPr>
                <w:szCs w:val="20"/>
              </w:rPr>
              <w:t>Pooled result from random effects model</w:t>
            </w:r>
          </w:p>
        </w:tc>
        <w:tc>
          <w:tcPr>
            <w:tcW w:w="2957" w:type="dxa"/>
          </w:tcPr>
          <w:p w14:paraId="2B18E018" w14:textId="77777777" w:rsidR="00131D5E" w:rsidRPr="00FB229F" w:rsidRDefault="00131D5E" w:rsidP="00604558">
            <w:pPr>
              <w:pStyle w:val="TableText0"/>
              <w:rPr>
                <w:szCs w:val="20"/>
              </w:rPr>
            </w:pPr>
            <w:r w:rsidRPr="00FB229F">
              <w:rPr>
                <w:szCs w:val="20"/>
              </w:rPr>
              <w:t>0.51 (0.43, 0.60), p&lt;0.001</w:t>
            </w:r>
          </w:p>
        </w:tc>
      </w:tr>
      <w:tr w:rsidR="001C5072" w:rsidRPr="00FB229F" w14:paraId="46D5BD69" w14:textId="77777777" w:rsidTr="00F90FA2">
        <w:trPr>
          <w:cantSplit/>
          <w:trHeight w:val="261"/>
        </w:trPr>
        <w:tc>
          <w:tcPr>
            <w:tcW w:w="983" w:type="dxa"/>
            <w:vMerge/>
          </w:tcPr>
          <w:p w14:paraId="314953A7" w14:textId="77777777" w:rsidR="001C5072" w:rsidRPr="00FB229F" w:rsidRDefault="001C5072" w:rsidP="00604558">
            <w:pPr>
              <w:pStyle w:val="TableText0"/>
              <w:rPr>
                <w:b/>
                <w:szCs w:val="20"/>
              </w:rPr>
            </w:pPr>
          </w:p>
        </w:tc>
        <w:tc>
          <w:tcPr>
            <w:tcW w:w="8033" w:type="dxa"/>
            <w:gridSpan w:val="2"/>
          </w:tcPr>
          <w:p w14:paraId="586C1E5D" w14:textId="0FF8D9C3" w:rsidR="001C5072" w:rsidRPr="00FB229F" w:rsidRDefault="001C5072" w:rsidP="001C5072">
            <w:pPr>
              <w:pStyle w:val="TableText0"/>
              <w:rPr>
                <w:szCs w:val="20"/>
              </w:rPr>
            </w:pPr>
            <w:r w:rsidRPr="00FB229F">
              <w:rPr>
                <w:szCs w:val="20"/>
              </w:rPr>
              <w:t>Q (</w:t>
            </w:r>
            <w:proofErr w:type="spellStart"/>
            <w:r w:rsidRPr="00FB229F">
              <w:rPr>
                <w:szCs w:val="20"/>
              </w:rPr>
              <w:t>df</w:t>
            </w:r>
            <w:proofErr w:type="spellEnd"/>
            <w:r w:rsidRPr="00FB229F">
              <w:rPr>
                <w:szCs w:val="20"/>
              </w:rPr>
              <w:t>), p-value: 0.1 (1) p=0.747</w:t>
            </w:r>
          </w:p>
        </w:tc>
      </w:tr>
      <w:tr w:rsidR="001C5072" w:rsidRPr="00FB229F" w14:paraId="760CDC37" w14:textId="77777777" w:rsidTr="00F90FA2">
        <w:trPr>
          <w:cantSplit/>
          <w:trHeight w:val="261"/>
        </w:trPr>
        <w:tc>
          <w:tcPr>
            <w:tcW w:w="983" w:type="dxa"/>
            <w:vMerge/>
          </w:tcPr>
          <w:p w14:paraId="10D04701" w14:textId="77777777" w:rsidR="001C5072" w:rsidRPr="00FB229F" w:rsidRDefault="001C5072" w:rsidP="00604558">
            <w:pPr>
              <w:pStyle w:val="TableText0"/>
              <w:rPr>
                <w:b/>
                <w:szCs w:val="20"/>
              </w:rPr>
            </w:pPr>
          </w:p>
        </w:tc>
        <w:tc>
          <w:tcPr>
            <w:tcW w:w="8033" w:type="dxa"/>
            <w:gridSpan w:val="2"/>
          </w:tcPr>
          <w:p w14:paraId="49484F09" w14:textId="7258824D" w:rsidR="001C5072" w:rsidRPr="00FB229F" w:rsidRDefault="001C5072" w:rsidP="001C5072">
            <w:pPr>
              <w:pStyle w:val="TableText0"/>
              <w:rPr>
                <w:szCs w:val="20"/>
              </w:rPr>
            </w:pPr>
            <w:r w:rsidRPr="00FB229F">
              <w:rPr>
                <w:szCs w:val="20"/>
              </w:rPr>
              <w:t>I</w:t>
            </w:r>
            <w:r w:rsidRPr="00FB229F">
              <w:rPr>
                <w:szCs w:val="20"/>
                <w:vertAlign w:val="superscript"/>
              </w:rPr>
              <w:t>2</w:t>
            </w:r>
            <w:r w:rsidRPr="00FB229F">
              <w:rPr>
                <w:szCs w:val="20"/>
              </w:rPr>
              <w:t>, %, (95% CI): 0 (NR, NR)</w:t>
            </w:r>
          </w:p>
        </w:tc>
      </w:tr>
      <w:tr w:rsidR="00131D5E" w:rsidRPr="00FB229F" w14:paraId="148F36A2" w14:textId="77777777" w:rsidTr="00F90FA2">
        <w:trPr>
          <w:cantSplit/>
          <w:trHeight w:val="261"/>
        </w:trPr>
        <w:tc>
          <w:tcPr>
            <w:tcW w:w="983" w:type="dxa"/>
            <w:vMerge/>
          </w:tcPr>
          <w:p w14:paraId="666922EA" w14:textId="77777777" w:rsidR="00131D5E" w:rsidRPr="00FB229F" w:rsidRDefault="00131D5E" w:rsidP="00604558">
            <w:pPr>
              <w:pStyle w:val="TableText0"/>
              <w:rPr>
                <w:b/>
                <w:szCs w:val="20"/>
              </w:rPr>
            </w:pPr>
          </w:p>
        </w:tc>
        <w:tc>
          <w:tcPr>
            <w:tcW w:w="5076" w:type="dxa"/>
          </w:tcPr>
          <w:p w14:paraId="6A6D4B70" w14:textId="470A6AD0" w:rsidR="00131D5E" w:rsidRPr="00FB229F" w:rsidRDefault="00131D5E" w:rsidP="00604558">
            <w:pPr>
              <w:pStyle w:val="TableText0"/>
              <w:rPr>
                <w:b/>
                <w:szCs w:val="20"/>
              </w:rPr>
            </w:pPr>
            <w:r w:rsidRPr="00FB229F">
              <w:rPr>
                <w:b/>
                <w:szCs w:val="20"/>
              </w:rPr>
              <w:t>Indirect comparison selpercatinib vs pembrolizumab + PC</w:t>
            </w:r>
          </w:p>
        </w:tc>
        <w:tc>
          <w:tcPr>
            <w:tcW w:w="2957" w:type="dxa"/>
          </w:tcPr>
          <w:p w14:paraId="7DF3FF1F" w14:textId="77777777" w:rsidR="00131D5E" w:rsidRPr="00FB229F" w:rsidRDefault="00131D5E" w:rsidP="00604558">
            <w:pPr>
              <w:pStyle w:val="TableText0"/>
              <w:rPr>
                <w:b/>
                <w:szCs w:val="20"/>
              </w:rPr>
            </w:pPr>
            <w:r w:rsidRPr="00FB229F">
              <w:rPr>
                <w:b/>
                <w:szCs w:val="20"/>
              </w:rPr>
              <w:t>0.40 (0.23, 0.71), p=0.002</w:t>
            </w:r>
          </w:p>
        </w:tc>
      </w:tr>
      <w:tr w:rsidR="00131D5E" w:rsidRPr="00FB229F" w14:paraId="58FF778E" w14:textId="77777777" w:rsidTr="00F90FA2">
        <w:trPr>
          <w:cantSplit/>
          <w:trHeight w:val="251"/>
        </w:trPr>
        <w:tc>
          <w:tcPr>
            <w:tcW w:w="983" w:type="dxa"/>
            <w:vMerge w:val="restart"/>
          </w:tcPr>
          <w:p w14:paraId="552FADC1" w14:textId="77777777" w:rsidR="00131D5E" w:rsidRPr="00FB229F" w:rsidRDefault="00131D5E" w:rsidP="00604558">
            <w:pPr>
              <w:pStyle w:val="TableText0"/>
              <w:rPr>
                <w:b/>
                <w:szCs w:val="20"/>
              </w:rPr>
            </w:pPr>
            <w:r w:rsidRPr="00FB229F">
              <w:rPr>
                <w:b/>
                <w:szCs w:val="20"/>
              </w:rPr>
              <w:t>OS</w:t>
            </w:r>
          </w:p>
        </w:tc>
        <w:tc>
          <w:tcPr>
            <w:tcW w:w="8033" w:type="dxa"/>
            <w:gridSpan w:val="2"/>
          </w:tcPr>
          <w:p w14:paraId="2129BB34" w14:textId="7755E6B5" w:rsidR="00131D5E" w:rsidRPr="00FB229F" w:rsidRDefault="00131D5E" w:rsidP="00604558">
            <w:pPr>
              <w:pStyle w:val="TableText0"/>
              <w:rPr>
                <w:b/>
                <w:szCs w:val="20"/>
              </w:rPr>
            </w:pPr>
            <w:r w:rsidRPr="00FB229F">
              <w:rPr>
                <w:b/>
                <w:szCs w:val="20"/>
              </w:rPr>
              <w:t xml:space="preserve">Selpercatinib vs </w:t>
            </w:r>
            <w:r w:rsidR="00B07490" w:rsidRPr="00FB229F">
              <w:rPr>
                <w:b/>
                <w:szCs w:val="20"/>
              </w:rPr>
              <w:t xml:space="preserve">generated </w:t>
            </w:r>
            <w:r w:rsidR="00815531" w:rsidRPr="00FB229F">
              <w:rPr>
                <w:b/>
                <w:szCs w:val="20"/>
              </w:rPr>
              <w:t>pseudo-control PC</w:t>
            </w:r>
          </w:p>
        </w:tc>
      </w:tr>
      <w:tr w:rsidR="00131D5E" w:rsidRPr="00FB229F" w14:paraId="3E0FD4A0" w14:textId="77777777" w:rsidTr="00F90FA2">
        <w:trPr>
          <w:cantSplit/>
          <w:trHeight w:val="261"/>
        </w:trPr>
        <w:tc>
          <w:tcPr>
            <w:tcW w:w="983" w:type="dxa"/>
            <w:vMerge/>
          </w:tcPr>
          <w:p w14:paraId="5B9A6F3B" w14:textId="77777777" w:rsidR="00131D5E" w:rsidRPr="00FB229F" w:rsidRDefault="00131D5E" w:rsidP="00604558">
            <w:pPr>
              <w:pStyle w:val="TableText0"/>
              <w:rPr>
                <w:szCs w:val="20"/>
              </w:rPr>
            </w:pPr>
          </w:p>
        </w:tc>
        <w:tc>
          <w:tcPr>
            <w:tcW w:w="5076" w:type="dxa"/>
          </w:tcPr>
          <w:p w14:paraId="4EAA12CF" w14:textId="77777777" w:rsidR="00131D5E" w:rsidRPr="00FB229F" w:rsidRDefault="00131D5E" w:rsidP="00604558">
            <w:pPr>
              <w:pStyle w:val="TableText0"/>
              <w:rPr>
                <w:szCs w:val="20"/>
              </w:rPr>
            </w:pPr>
            <w:r w:rsidRPr="00FB229F">
              <w:rPr>
                <w:szCs w:val="20"/>
              </w:rPr>
              <w:t>LIBRETTO PSM</w:t>
            </w:r>
          </w:p>
        </w:tc>
        <w:tc>
          <w:tcPr>
            <w:tcW w:w="2957" w:type="dxa"/>
          </w:tcPr>
          <w:p w14:paraId="6DA06A03" w14:textId="27D5386B" w:rsidR="00131D5E" w:rsidRPr="00FB229F" w:rsidRDefault="00131D5E" w:rsidP="00815531">
            <w:pPr>
              <w:pStyle w:val="TableText0"/>
              <w:rPr>
                <w:szCs w:val="20"/>
              </w:rPr>
            </w:pPr>
            <w:r w:rsidRPr="00FB229F">
              <w:rPr>
                <w:szCs w:val="20"/>
              </w:rPr>
              <w:t xml:space="preserve">0.2 (0.1, </w:t>
            </w:r>
            <w:r w:rsidR="00815531" w:rsidRPr="00FB229F">
              <w:rPr>
                <w:szCs w:val="20"/>
              </w:rPr>
              <w:t>0</w:t>
            </w:r>
            <w:r w:rsidRPr="00FB229F">
              <w:rPr>
                <w:szCs w:val="20"/>
              </w:rPr>
              <w:t>.4), p&lt;0.001</w:t>
            </w:r>
          </w:p>
        </w:tc>
      </w:tr>
      <w:tr w:rsidR="00131D5E" w:rsidRPr="00FB229F" w14:paraId="053E6F8E" w14:textId="77777777" w:rsidTr="00F90FA2">
        <w:trPr>
          <w:cantSplit/>
          <w:trHeight w:val="251"/>
        </w:trPr>
        <w:tc>
          <w:tcPr>
            <w:tcW w:w="983" w:type="dxa"/>
            <w:vMerge/>
          </w:tcPr>
          <w:p w14:paraId="005CC862" w14:textId="77777777" w:rsidR="00131D5E" w:rsidRPr="00FB229F" w:rsidRDefault="00131D5E" w:rsidP="00604558">
            <w:pPr>
              <w:pStyle w:val="TableText0"/>
              <w:rPr>
                <w:szCs w:val="20"/>
              </w:rPr>
            </w:pPr>
          </w:p>
        </w:tc>
        <w:tc>
          <w:tcPr>
            <w:tcW w:w="8033" w:type="dxa"/>
            <w:gridSpan w:val="2"/>
          </w:tcPr>
          <w:p w14:paraId="02800B4E" w14:textId="77777777" w:rsidR="00131D5E" w:rsidRPr="00FB229F" w:rsidRDefault="00131D5E" w:rsidP="00604558">
            <w:pPr>
              <w:pStyle w:val="TableText0"/>
              <w:rPr>
                <w:b/>
                <w:szCs w:val="20"/>
              </w:rPr>
            </w:pPr>
            <w:r w:rsidRPr="00FB229F">
              <w:rPr>
                <w:b/>
                <w:szCs w:val="20"/>
              </w:rPr>
              <w:t>Pembrolizumab + PC vs PC</w:t>
            </w:r>
          </w:p>
        </w:tc>
      </w:tr>
      <w:tr w:rsidR="00131D5E" w:rsidRPr="00FB229F" w14:paraId="22FF8CE3" w14:textId="77777777" w:rsidTr="00F90FA2">
        <w:trPr>
          <w:cantSplit/>
          <w:trHeight w:val="261"/>
        </w:trPr>
        <w:tc>
          <w:tcPr>
            <w:tcW w:w="983" w:type="dxa"/>
            <w:vMerge/>
          </w:tcPr>
          <w:p w14:paraId="474A4FA0" w14:textId="77777777" w:rsidR="00131D5E" w:rsidRPr="00FB229F" w:rsidRDefault="00131D5E" w:rsidP="00604558">
            <w:pPr>
              <w:pStyle w:val="TableText0"/>
              <w:rPr>
                <w:szCs w:val="20"/>
              </w:rPr>
            </w:pPr>
          </w:p>
        </w:tc>
        <w:tc>
          <w:tcPr>
            <w:tcW w:w="5076" w:type="dxa"/>
          </w:tcPr>
          <w:p w14:paraId="08DD77CB" w14:textId="77777777" w:rsidR="00131D5E" w:rsidRPr="00FB229F" w:rsidRDefault="00131D5E" w:rsidP="00604558">
            <w:pPr>
              <w:pStyle w:val="TableText0"/>
              <w:rPr>
                <w:szCs w:val="20"/>
              </w:rPr>
            </w:pPr>
            <w:r w:rsidRPr="00FB229F">
              <w:rPr>
                <w:szCs w:val="20"/>
              </w:rPr>
              <w:t>KEYNOTE-189</w:t>
            </w:r>
          </w:p>
        </w:tc>
        <w:tc>
          <w:tcPr>
            <w:tcW w:w="2957" w:type="dxa"/>
          </w:tcPr>
          <w:p w14:paraId="33496DA1" w14:textId="77777777" w:rsidR="00131D5E" w:rsidRPr="00FB229F" w:rsidRDefault="00131D5E" w:rsidP="00604558">
            <w:pPr>
              <w:pStyle w:val="TableText0"/>
              <w:rPr>
                <w:szCs w:val="20"/>
              </w:rPr>
            </w:pPr>
            <w:r w:rsidRPr="00FB229F">
              <w:rPr>
                <w:szCs w:val="20"/>
              </w:rPr>
              <w:t>0.6 (0.5, 0.7), p&lt;0.001</w:t>
            </w:r>
          </w:p>
        </w:tc>
      </w:tr>
      <w:tr w:rsidR="00131D5E" w:rsidRPr="00FB229F" w14:paraId="41BA088B" w14:textId="77777777" w:rsidTr="00F90FA2">
        <w:trPr>
          <w:cantSplit/>
          <w:trHeight w:val="251"/>
        </w:trPr>
        <w:tc>
          <w:tcPr>
            <w:tcW w:w="983" w:type="dxa"/>
            <w:vMerge/>
          </w:tcPr>
          <w:p w14:paraId="40CC9A4F" w14:textId="77777777" w:rsidR="00131D5E" w:rsidRPr="00FB229F" w:rsidRDefault="00131D5E" w:rsidP="00604558">
            <w:pPr>
              <w:pStyle w:val="TableText0"/>
              <w:rPr>
                <w:szCs w:val="20"/>
              </w:rPr>
            </w:pPr>
          </w:p>
        </w:tc>
        <w:tc>
          <w:tcPr>
            <w:tcW w:w="5076" w:type="dxa"/>
          </w:tcPr>
          <w:p w14:paraId="0448AB3C" w14:textId="77777777" w:rsidR="00131D5E" w:rsidRPr="00FB229F" w:rsidRDefault="00131D5E" w:rsidP="00604558">
            <w:pPr>
              <w:pStyle w:val="TableText0"/>
              <w:rPr>
                <w:szCs w:val="20"/>
              </w:rPr>
            </w:pPr>
            <w:r w:rsidRPr="00FB229F">
              <w:rPr>
                <w:szCs w:val="20"/>
              </w:rPr>
              <w:t>KEYNOTE-021 Cohort G</w:t>
            </w:r>
          </w:p>
        </w:tc>
        <w:tc>
          <w:tcPr>
            <w:tcW w:w="2957" w:type="dxa"/>
          </w:tcPr>
          <w:p w14:paraId="72DDCACD" w14:textId="77777777" w:rsidR="00131D5E" w:rsidRPr="00FB229F" w:rsidRDefault="00131D5E" w:rsidP="00604558">
            <w:pPr>
              <w:pStyle w:val="TableText0"/>
              <w:rPr>
                <w:szCs w:val="20"/>
              </w:rPr>
            </w:pPr>
            <w:r w:rsidRPr="00FB229F">
              <w:rPr>
                <w:szCs w:val="20"/>
              </w:rPr>
              <w:t>0.7 (0.5, 1.1), p=0.140</w:t>
            </w:r>
          </w:p>
        </w:tc>
      </w:tr>
      <w:tr w:rsidR="00131D5E" w:rsidRPr="00FB229F" w14:paraId="4D6069D7" w14:textId="77777777" w:rsidTr="00F90FA2">
        <w:trPr>
          <w:cantSplit/>
          <w:trHeight w:val="261"/>
        </w:trPr>
        <w:tc>
          <w:tcPr>
            <w:tcW w:w="983" w:type="dxa"/>
            <w:vMerge/>
          </w:tcPr>
          <w:p w14:paraId="18E68FE5" w14:textId="77777777" w:rsidR="00131D5E" w:rsidRPr="00FB229F" w:rsidRDefault="00131D5E" w:rsidP="00604558">
            <w:pPr>
              <w:pStyle w:val="TableText0"/>
              <w:rPr>
                <w:szCs w:val="20"/>
              </w:rPr>
            </w:pPr>
          </w:p>
        </w:tc>
        <w:tc>
          <w:tcPr>
            <w:tcW w:w="5076" w:type="dxa"/>
          </w:tcPr>
          <w:p w14:paraId="602AFE09" w14:textId="77777777" w:rsidR="00131D5E" w:rsidRPr="00FB229F" w:rsidRDefault="00131D5E" w:rsidP="00604558">
            <w:pPr>
              <w:pStyle w:val="TableText0"/>
              <w:rPr>
                <w:szCs w:val="20"/>
              </w:rPr>
            </w:pPr>
            <w:r w:rsidRPr="00FB229F">
              <w:rPr>
                <w:szCs w:val="20"/>
              </w:rPr>
              <w:t>Pooled result from random effects model</w:t>
            </w:r>
          </w:p>
        </w:tc>
        <w:tc>
          <w:tcPr>
            <w:tcW w:w="2957" w:type="dxa"/>
          </w:tcPr>
          <w:p w14:paraId="6C6081CC" w14:textId="77777777" w:rsidR="00131D5E" w:rsidRPr="00FB229F" w:rsidRDefault="00131D5E" w:rsidP="00604558">
            <w:pPr>
              <w:pStyle w:val="TableText0"/>
              <w:rPr>
                <w:szCs w:val="20"/>
              </w:rPr>
            </w:pPr>
            <w:r w:rsidRPr="00FB229F">
              <w:rPr>
                <w:szCs w:val="20"/>
              </w:rPr>
              <w:t>0.61 (0.52, 0.73), p&lt;0.001</w:t>
            </w:r>
          </w:p>
        </w:tc>
      </w:tr>
      <w:tr w:rsidR="00815531" w:rsidRPr="00FB229F" w14:paraId="4D93958E" w14:textId="77777777" w:rsidTr="00F90FA2">
        <w:trPr>
          <w:cantSplit/>
          <w:trHeight w:val="261"/>
        </w:trPr>
        <w:tc>
          <w:tcPr>
            <w:tcW w:w="983" w:type="dxa"/>
            <w:vMerge/>
          </w:tcPr>
          <w:p w14:paraId="06C94B54" w14:textId="77777777" w:rsidR="00815531" w:rsidRPr="00FB229F" w:rsidRDefault="00815531" w:rsidP="00604558">
            <w:pPr>
              <w:pStyle w:val="TableText0"/>
              <w:rPr>
                <w:szCs w:val="20"/>
              </w:rPr>
            </w:pPr>
          </w:p>
        </w:tc>
        <w:tc>
          <w:tcPr>
            <w:tcW w:w="8033" w:type="dxa"/>
            <w:gridSpan w:val="2"/>
          </w:tcPr>
          <w:p w14:paraId="1ABFDD25" w14:textId="67E9939B" w:rsidR="00815531" w:rsidRPr="00FB229F" w:rsidRDefault="00815531" w:rsidP="00815531">
            <w:pPr>
              <w:pStyle w:val="TableText0"/>
              <w:rPr>
                <w:szCs w:val="20"/>
              </w:rPr>
            </w:pPr>
            <w:r w:rsidRPr="00FB229F">
              <w:rPr>
                <w:szCs w:val="20"/>
              </w:rPr>
              <w:t>Q (</w:t>
            </w:r>
            <w:proofErr w:type="spellStart"/>
            <w:r w:rsidRPr="00FB229F">
              <w:rPr>
                <w:szCs w:val="20"/>
              </w:rPr>
              <w:t>df</w:t>
            </w:r>
            <w:proofErr w:type="spellEnd"/>
            <w:r w:rsidRPr="00FB229F">
              <w:rPr>
                <w:szCs w:val="20"/>
              </w:rPr>
              <w:t>), p-value: 0.45 (1), p=0.502</w:t>
            </w:r>
          </w:p>
        </w:tc>
      </w:tr>
      <w:tr w:rsidR="00815531" w:rsidRPr="00FB229F" w14:paraId="02AEEFB7" w14:textId="77777777" w:rsidTr="00F90FA2">
        <w:trPr>
          <w:cantSplit/>
          <w:trHeight w:val="261"/>
        </w:trPr>
        <w:tc>
          <w:tcPr>
            <w:tcW w:w="983" w:type="dxa"/>
            <w:vMerge/>
          </w:tcPr>
          <w:p w14:paraId="31DD3C82" w14:textId="77777777" w:rsidR="00815531" w:rsidRPr="00FB229F" w:rsidRDefault="00815531" w:rsidP="00604558">
            <w:pPr>
              <w:pStyle w:val="TableText0"/>
              <w:rPr>
                <w:szCs w:val="20"/>
              </w:rPr>
            </w:pPr>
          </w:p>
        </w:tc>
        <w:tc>
          <w:tcPr>
            <w:tcW w:w="8033" w:type="dxa"/>
            <w:gridSpan w:val="2"/>
          </w:tcPr>
          <w:p w14:paraId="7F308017" w14:textId="3449532F" w:rsidR="00815531" w:rsidRPr="00FB229F" w:rsidRDefault="00815531" w:rsidP="00815531">
            <w:pPr>
              <w:pStyle w:val="TableText0"/>
              <w:rPr>
                <w:szCs w:val="20"/>
              </w:rPr>
            </w:pPr>
            <w:r w:rsidRPr="00FB229F">
              <w:rPr>
                <w:szCs w:val="20"/>
              </w:rPr>
              <w:t>I</w:t>
            </w:r>
            <w:r w:rsidRPr="00FB229F">
              <w:rPr>
                <w:szCs w:val="20"/>
                <w:vertAlign w:val="superscript"/>
              </w:rPr>
              <w:t xml:space="preserve">2 </w:t>
            </w:r>
            <w:r w:rsidRPr="00FB229F">
              <w:rPr>
                <w:szCs w:val="20"/>
              </w:rPr>
              <w:t>, %, (95% CI): 0 (NR, NR)</w:t>
            </w:r>
          </w:p>
        </w:tc>
      </w:tr>
      <w:tr w:rsidR="00131D5E" w:rsidRPr="00FB229F" w14:paraId="40FE530F" w14:textId="77777777" w:rsidTr="00F90FA2">
        <w:trPr>
          <w:cantSplit/>
          <w:trHeight w:val="261"/>
        </w:trPr>
        <w:tc>
          <w:tcPr>
            <w:tcW w:w="983" w:type="dxa"/>
            <w:vMerge/>
          </w:tcPr>
          <w:p w14:paraId="0C2EEE9D" w14:textId="77777777" w:rsidR="00131D5E" w:rsidRPr="00FB229F" w:rsidRDefault="00131D5E" w:rsidP="00604558">
            <w:pPr>
              <w:pStyle w:val="TableText0"/>
              <w:rPr>
                <w:szCs w:val="20"/>
              </w:rPr>
            </w:pPr>
          </w:p>
        </w:tc>
        <w:tc>
          <w:tcPr>
            <w:tcW w:w="5076" w:type="dxa"/>
          </w:tcPr>
          <w:p w14:paraId="7F84BA2D" w14:textId="4932F536" w:rsidR="00131D5E" w:rsidRPr="00FB229F" w:rsidRDefault="00131D5E" w:rsidP="00604558">
            <w:pPr>
              <w:pStyle w:val="TableText0"/>
              <w:rPr>
                <w:b/>
                <w:szCs w:val="20"/>
              </w:rPr>
            </w:pPr>
            <w:r w:rsidRPr="00FB229F">
              <w:rPr>
                <w:b/>
                <w:szCs w:val="20"/>
              </w:rPr>
              <w:t>Indirect comparison selpercatinib vs pembrolizumab + PC</w:t>
            </w:r>
          </w:p>
        </w:tc>
        <w:tc>
          <w:tcPr>
            <w:tcW w:w="2957" w:type="dxa"/>
          </w:tcPr>
          <w:p w14:paraId="21E74993" w14:textId="77777777" w:rsidR="00131D5E" w:rsidRPr="00FB229F" w:rsidRDefault="00131D5E" w:rsidP="00604558">
            <w:pPr>
              <w:pStyle w:val="TableText0"/>
              <w:rPr>
                <w:b/>
                <w:szCs w:val="20"/>
              </w:rPr>
            </w:pPr>
            <w:r w:rsidRPr="00FB229F">
              <w:rPr>
                <w:b/>
                <w:szCs w:val="20"/>
              </w:rPr>
              <w:t>0.33 (0.17, 0.66), p=0.002</w:t>
            </w:r>
          </w:p>
        </w:tc>
      </w:tr>
    </w:tbl>
    <w:p w14:paraId="77C54B4D" w14:textId="77777777" w:rsidR="00131D5E" w:rsidRPr="00FB229F" w:rsidRDefault="00131D5E" w:rsidP="00131D5E">
      <w:pPr>
        <w:pStyle w:val="TableFooter"/>
      </w:pPr>
      <w:r w:rsidRPr="00FB229F">
        <w:t>Source: Table 2-115, p277 of the submission and the published results for KN-189 (Rodríguez et al 2021) and KN-021 (</w:t>
      </w:r>
      <w:proofErr w:type="spellStart"/>
      <w:r w:rsidRPr="00FB229F">
        <w:t>Awad</w:t>
      </w:r>
      <w:proofErr w:type="spellEnd"/>
      <w:r w:rsidRPr="00FB229F">
        <w:t xml:space="preserve"> et al 2021).</w:t>
      </w:r>
    </w:p>
    <w:p w14:paraId="66E6B58B" w14:textId="77777777" w:rsidR="00131D5E" w:rsidRPr="00FB229F" w:rsidRDefault="00131D5E" w:rsidP="00131D5E">
      <w:pPr>
        <w:pStyle w:val="TableFooter"/>
      </w:pPr>
      <w:r w:rsidRPr="00FB229F">
        <w:t xml:space="preserve">CI=confidence interval; </w:t>
      </w:r>
      <w:proofErr w:type="spellStart"/>
      <w:r w:rsidRPr="00FB229F">
        <w:t>df</w:t>
      </w:r>
      <w:proofErr w:type="spellEnd"/>
      <w:r w:rsidRPr="00FB229F">
        <w:t>=degrees of freedom; NR=not reported; OS=overall survival; PC=pemetrexed + platinum chemotherapy; PFS=progression-free survival; PSM=propensity score matching.</w:t>
      </w:r>
    </w:p>
    <w:p w14:paraId="3BCF76FA" w14:textId="77777777" w:rsidR="00131D5E" w:rsidRPr="00FB229F" w:rsidRDefault="00131D5E" w:rsidP="00131D5E">
      <w:pPr>
        <w:pStyle w:val="TableFooter"/>
      </w:pPr>
      <w:r w:rsidRPr="00FB229F">
        <w:t>Median durations of follow-up varied across the studies: LIBRETTO-001: 25.2 months; KN-189: 31.0 months; KN-021: 49.4 months</w:t>
      </w:r>
    </w:p>
    <w:p w14:paraId="21143ABA" w14:textId="77777777" w:rsidR="00131D5E" w:rsidRPr="00FB229F" w:rsidRDefault="00131D5E" w:rsidP="00131D5E">
      <w:pPr>
        <w:pStyle w:val="TableFooter"/>
      </w:pPr>
      <w:r w:rsidRPr="00FB229F">
        <w:t>I</w:t>
      </w:r>
      <w:r w:rsidRPr="00FB229F">
        <w:rPr>
          <w:vertAlign w:val="superscript"/>
        </w:rPr>
        <w:t>2</w:t>
      </w:r>
      <w:r w:rsidRPr="00FB229F">
        <w:t>=The I</w:t>
      </w:r>
      <w:r w:rsidRPr="00FB229F">
        <w:rPr>
          <w:vertAlign w:val="superscript"/>
        </w:rPr>
        <w:t>2</w:t>
      </w:r>
      <w:r w:rsidRPr="00FB229F">
        <w:t xml:space="preserve"> index measures the extent of heterogeneity by dividing the result of Cochran's Q test and its degrees of freedom by the Q-value itself</w:t>
      </w:r>
      <w:r w:rsidR="00222969" w:rsidRPr="00FB229F">
        <w:t>.</w:t>
      </w:r>
    </w:p>
    <w:p w14:paraId="201DA63F" w14:textId="77777777" w:rsidR="00222969" w:rsidRPr="00FB229F" w:rsidRDefault="00222969" w:rsidP="00816BFB">
      <w:pPr>
        <w:pStyle w:val="TableFooter"/>
        <w:spacing w:after="120"/>
      </w:pPr>
      <w:r w:rsidRPr="00FB229F">
        <w:t xml:space="preserve">A </w:t>
      </w:r>
      <w:proofErr w:type="spellStart"/>
      <w:r w:rsidRPr="00FB229F">
        <w:t>DerSimonian</w:t>
      </w:r>
      <w:proofErr w:type="spellEnd"/>
      <w:r w:rsidRPr="00FB229F">
        <w:t>-Laird random effects model was used to pool the efficacy results across the KN-189 and KN-021 studies</w:t>
      </w:r>
    </w:p>
    <w:p w14:paraId="344F9D8C" w14:textId="77777777" w:rsidR="00DF6341" w:rsidRPr="00FB229F" w:rsidRDefault="00222969" w:rsidP="007F03AD">
      <w:pPr>
        <w:pStyle w:val="3-BodyText"/>
        <w:ind w:left="709" w:hanging="709"/>
      </w:pPr>
      <w:r w:rsidRPr="00FB229F">
        <w:rPr>
          <w:snapToGrid/>
        </w:rPr>
        <w:t xml:space="preserve">The anchored indirect comparison indicated that selpercatinib was associated with a 60% reduction in the hazard of progression or death compared to pembrolizumab + PC which was statistically significant (PFS HR: 0.40; 95% CI: 0.23, 0.71, p=0.002). Treatment with selpercatinib was also associated with a 67% reduction in hazard of </w:t>
      </w:r>
      <w:r w:rsidRPr="00FB229F">
        <w:rPr>
          <w:snapToGrid/>
        </w:rPr>
        <w:lastRenderedPageBreak/>
        <w:t>death compared to pembrolizumab + PC which was statistically significant (OS HR: 0.33; 95% CI: 0.17, 0.66, p=0.002).</w:t>
      </w:r>
    </w:p>
    <w:p w14:paraId="6D5BD814" w14:textId="6CFFA9CC" w:rsidR="00222969" w:rsidRPr="00FB229F" w:rsidRDefault="00222969" w:rsidP="007F03AD">
      <w:pPr>
        <w:pStyle w:val="3-BodyText"/>
        <w:ind w:left="709" w:hanging="709"/>
      </w:pPr>
      <w:r w:rsidRPr="00FB229F">
        <w:t xml:space="preserve">Essentially, the anchored indirect comparison between selpercatinib and pembrolizumab + PC used the synthetic HR for selpercatinib (relative to the pseudo-control PC arm </w:t>
      </w:r>
      <w:r w:rsidR="00B07490" w:rsidRPr="00FB229F">
        <w:t xml:space="preserve">created </w:t>
      </w:r>
      <w:r w:rsidRPr="00FB229F">
        <w:t xml:space="preserve">from PSM) and the published </w:t>
      </w:r>
      <w:r w:rsidR="00B07490" w:rsidRPr="00FB229F">
        <w:t xml:space="preserve">summary </w:t>
      </w:r>
      <w:r w:rsidRPr="00FB229F">
        <w:t xml:space="preserve">HR for pembrolizumab + PC (relative to </w:t>
      </w:r>
      <w:r w:rsidR="00880D45" w:rsidRPr="00FB229F">
        <w:t xml:space="preserve">the </w:t>
      </w:r>
      <w:r w:rsidR="000D5F22" w:rsidRPr="00FB229F">
        <w:t>original randomised</w:t>
      </w:r>
      <w:r w:rsidR="00880D45" w:rsidRPr="00FB229F">
        <w:t xml:space="preserve"> </w:t>
      </w:r>
      <w:r w:rsidRPr="00FB229F">
        <w:t>PC arm of the KN-189</w:t>
      </w:r>
      <w:r w:rsidR="00880D45" w:rsidRPr="00FB229F">
        <w:t xml:space="preserve"> </w:t>
      </w:r>
      <w:r w:rsidRPr="00FB229F">
        <w:t xml:space="preserve">trial). Thus, the “common reference” </w:t>
      </w:r>
      <w:r w:rsidR="000D5F22" w:rsidRPr="00FB229F">
        <w:t xml:space="preserve">of </w:t>
      </w:r>
      <w:r w:rsidRPr="00FB229F">
        <w:t xml:space="preserve">PC varies substantially between the </w:t>
      </w:r>
      <w:r w:rsidR="00880D45" w:rsidRPr="00FB229F">
        <w:t xml:space="preserve">data sets being compared </w:t>
      </w:r>
      <w:r w:rsidRPr="00FB229F">
        <w:t xml:space="preserve">in terms of baseline prognostic factors and sample size due to the </w:t>
      </w:r>
      <w:r w:rsidR="009B5554" w:rsidRPr="00FB229F">
        <w:t xml:space="preserve">direct </w:t>
      </w:r>
      <w:r w:rsidRPr="00FB229F">
        <w:t>impact of matching. This raises a fundamental transitivity issue associated with th</w:t>
      </w:r>
      <w:r w:rsidR="00B07490" w:rsidRPr="00FB229F">
        <w:t>is</w:t>
      </w:r>
      <w:r w:rsidRPr="00FB229F">
        <w:t xml:space="preserve"> </w:t>
      </w:r>
      <w:r w:rsidR="00880D45" w:rsidRPr="00FB229F">
        <w:t>indirect comparison.</w:t>
      </w:r>
    </w:p>
    <w:p w14:paraId="777D5765" w14:textId="6AA1FC49" w:rsidR="00222969" w:rsidRPr="00FB229F" w:rsidRDefault="00222969" w:rsidP="007F03AD">
      <w:pPr>
        <w:pStyle w:val="3-BodyText"/>
        <w:ind w:left="709" w:hanging="709"/>
      </w:pPr>
      <w:r w:rsidRPr="00FB229F">
        <w:t xml:space="preserve">The anchored indirect comparison </w:t>
      </w:r>
      <w:r w:rsidR="009B5554" w:rsidRPr="00FB229F">
        <w:t xml:space="preserve">of HRs </w:t>
      </w:r>
      <w:r w:rsidRPr="00FB229F">
        <w:t xml:space="preserve">shares several of the limitations </w:t>
      </w:r>
      <w:r w:rsidR="009B5554" w:rsidRPr="00FB229F">
        <w:t>associated with</w:t>
      </w:r>
      <w:r w:rsidRPr="00FB229F">
        <w:t xml:space="preserve"> the NMA including, among</w:t>
      </w:r>
      <w:r w:rsidR="009B5554" w:rsidRPr="00FB229F">
        <w:t>st</w:t>
      </w:r>
      <w:r w:rsidRPr="00FB229F">
        <w:t xml:space="preserve"> others, the unknown impact of the prognostic effect of </w:t>
      </w:r>
      <w:r w:rsidR="003D270C" w:rsidRPr="00FB229F">
        <w:rPr>
          <w:i/>
          <w:iCs/>
        </w:rPr>
        <w:t>RET</w:t>
      </w:r>
      <w:r w:rsidRPr="00FB229F">
        <w:t xml:space="preserve"> fusion status</w:t>
      </w:r>
      <w:r w:rsidR="009B5554" w:rsidRPr="00FB229F">
        <w:t xml:space="preserve">, </w:t>
      </w:r>
      <w:r w:rsidRPr="00FB229F">
        <w:t>other unmeasured confounding</w:t>
      </w:r>
      <w:r w:rsidR="009B5554" w:rsidRPr="00FB229F">
        <w:t>,</w:t>
      </w:r>
      <w:r w:rsidRPr="00FB229F">
        <w:t xml:space="preserve"> and </w:t>
      </w:r>
      <w:r w:rsidR="00B07490" w:rsidRPr="00FB229F">
        <w:t xml:space="preserve">not meeting </w:t>
      </w:r>
      <w:r w:rsidRPr="00FB229F">
        <w:t>the underlying assumption of constant proportional hazards.</w:t>
      </w:r>
    </w:p>
    <w:p w14:paraId="1E8EBFB2" w14:textId="77777777" w:rsidR="00880D45" w:rsidRPr="00FB229F" w:rsidRDefault="00880D45" w:rsidP="007B1BC5">
      <w:pPr>
        <w:pStyle w:val="3-BodyText"/>
        <w:ind w:left="709" w:hanging="709"/>
      </w:pPr>
      <w:r w:rsidRPr="00FB229F">
        <w:t xml:space="preserve">Other </w:t>
      </w:r>
      <w:r w:rsidR="009B5554" w:rsidRPr="00FB229F">
        <w:t xml:space="preserve">concerns with the indirect comparisons </w:t>
      </w:r>
      <w:r w:rsidRPr="00FB229F">
        <w:t>include:</w:t>
      </w:r>
    </w:p>
    <w:p w14:paraId="655CC8D5" w14:textId="2341C45F" w:rsidR="00880D45" w:rsidRPr="00FB229F" w:rsidRDefault="00880D45" w:rsidP="00816BFB">
      <w:pPr>
        <w:pStyle w:val="ListParagraph"/>
        <w:numPr>
          <w:ilvl w:val="4"/>
          <w:numId w:val="6"/>
        </w:numPr>
        <w:ind w:left="1077" w:hanging="357"/>
      </w:pPr>
      <w:r w:rsidRPr="00FB229F">
        <w:t>differences in median follow-up durations across the studies (LIBRETTO-001: 25.2 months (Clinical Study Report June 20210; KN-189: 31.0 months</w:t>
      </w:r>
      <w:r w:rsidR="008A5C28" w:rsidRPr="00FB229F">
        <w:rPr>
          <w:rStyle w:val="FootnoteReference"/>
        </w:rPr>
        <w:footnoteReference w:id="18"/>
      </w:r>
      <w:r w:rsidRPr="00FB229F">
        <w:t>; KN-021: 49.</w:t>
      </w:r>
      <w:r w:rsidR="00EE64C9" w:rsidRPr="00FB229F">
        <w:t>4</w:t>
      </w:r>
      <w:r w:rsidR="00EE64C9">
        <w:t> </w:t>
      </w:r>
      <w:r w:rsidRPr="00FB229F">
        <w:t>months</w:t>
      </w:r>
      <w:r w:rsidR="008A5C28" w:rsidRPr="00FB229F">
        <w:rPr>
          <w:rStyle w:val="FootnoteReference"/>
        </w:rPr>
        <w:footnoteReference w:id="19"/>
      </w:r>
      <w:r w:rsidRPr="00FB229F">
        <w:t>); and</w:t>
      </w:r>
    </w:p>
    <w:p w14:paraId="707EC7D4" w14:textId="2D36FFC8" w:rsidR="00880D45" w:rsidRPr="00FB229F" w:rsidRDefault="00880D45" w:rsidP="00F73D0A">
      <w:pPr>
        <w:pStyle w:val="ListParagraph"/>
        <w:numPr>
          <w:ilvl w:val="4"/>
          <w:numId w:val="6"/>
        </w:numPr>
        <w:ind w:left="1077" w:hanging="357"/>
      </w:pPr>
      <w:r w:rsidRPr="00FB229F">
        <w:t>the</w:t>
      </w:r>
      <w:r w:rsidR="009B5554" w:rsidRPr="00FB229F">
        <w:t xml:space="preserve"> unknown</w:t>
      </w:r>
      <w:r w:rsidRPr="00FB229F">
        <w:t xml:space="preserve"> impact of treatment switching in the KN-189 and KN-021 </w:t>
      </w:r>
      <w:r w:rsidR="009B5554" w:rsidRPr="00FB229F">
        <w:t>studies</w:t>
      </w:r>
      <w:r w:rsidRPr="00FB229F">
        <w:t>. 41% and 70% of patients switched from the PC arm to the pembrolizumab + PC arm in Studies KN-189 and KN-021, respectively. This treatment switching would tend to disfavour the pembrolizumab + PC arm</w:t>
      </w:r>
      <w:r w:rsidR="005927C4" w:rsidRPr="00FB229F">
        <w:t xml:space="preserve"> relative to PC</w:t>
      </w:r>
      <w:r w:rsidRPr="00FB229F">
        <w:t xml:space="preserve"> </w:t>
      </w:r>
      <w:r w:rsidR="005927C4" w:rsidRPr="00FB229F">
        <w:t>in KN-189</w:t>
      </w:r>
      <w:r w:rsidRPr="00FB229F">
        <w:t xml:space="preserve">. However, the </w:t>
      </w:r>
      <w:r w:rsidR="00A4688E" w:rsidRPr="00FB229F">
        <w:t xml:space="preserve">overall </w:t>
      </w:r>
      <w:r w:rsidRPr="00FB229F">
        <w:t>impact on the indirect estimate</w:t>
      </w:r>
      <w:r w:rsidR="00A4688E" w:rsidRPr="00FB229F">
        <w:t xml:space="preserve">s of </w:t>
      </w:r>
      <w:r w:rsidRPr="00FB229F">
        <w:t xml:space="preserve">effect </w:t>
      </w:r>
      <w:r w:rsidR="00A4688E" w:rsidRPr="00FB229F">
        <w:t xml:space="preserve">between selpercatinib and pembrolizumab + PC remains </w:t>
      </w:r>
      <w:r w:rsidRPr="00FB229F">
        <w:t>unknown</w:t>
      </w:r>
      <w:r w:rsidR="00222969" w:rsidRPr="00FB229F">
        <w:t>.</w:t>
      </w:r>
    </w:p>
    <w:p w14:paraId="4AC4FAB7" w14:textId="5653C9C7" w:rsidR="00222969" w:rsidRPr="00FB229F" w:rsidRDefault="00880D45" w:rsidP="007F03AD">
      <w:pPr>
        <w:pStyle w:val="3-BodyText"/>
        <w:ind w:left="709" w:hanging="709"/>
      </w:pPr>
      <w:r w:rsidRPr="00FB229F">
        <w:t>The MAIC approach implemented in the submission was to match IPD from the treatment-naïve NSCLC cohort of LIBRETTO-001 to baseline characteristics (using published data) of the pembrolizumab + PC arm of KN-189.</w:t>
      </w:r>
    </w:p>
    <w:p w14:paraId="01D30B23" w14:textId="77777777" w:rsidR="00880D45" w:rsidRPr="00FB229F" w:rsidRDefault="00880D45" w:rsidP="007B1BC5">
      <w:pPr>
        <w:pStyle w:val="3-BodyText"/>
        <w:ind w:left="709" w:hanging="709"/>
      </w:pPr>
      <w:r w:rsidRPr="00FB229F">
        <w:t xml:space="preserve">The covariates considered </w:t>
      </w:r>
      <w:r w:rsidR="0043289E" w:rsidRPr="00FB229F">
        <w:t>for</w:t>
      </w:r>
      <w:r w:rsidRPr="00FB229F">
        <w:t xml:space="preserve"> matching</w:t>
      </w:r>
      <w:r w:rsidR="0043289E" w:rsidRPr="00FB229F">
        <w:t>/weighting</w:t>
      </w:r>
      <w:r w:rsidRPr="00FB229F">
        <w:t xml:space="preserve"> were age, smoking status, sex, ECOG PS</w:t>
      </w:r>
      <w:r w:rsidR="0043289E" w:rsidRPr="00FB229F">
        <w:t>,</w:t>
      </w:r>
      <w:r w:rsidRPr="00FB229F">
        <w:t xml:space="preserve"> and the presence of brain metastases. The submission noted that due to the large imbalance in smoking status between the LIBRETTO-001 and KN-189 studies, and the resulting impact on the effective sample size (ESS) when used for matching, two models were considered:</w:t>
      </w:r>
    </w:p>
    <w:p w14:paraId="185EEA3A" w14:textId="77777777" w:rsidR="00880D45" w:rsidRPr="00FB229F" w:rsidRDefault="00880D45" w:rsidP="00816BFB">
      <w:pPr>
        <w:pStyle w:val="Bulletpoints"/>
      </w:pPr>
      <w:r w:rsidRPr="00FB229F">
        <w:t xml:space="preserve">Model 1: matching for prespecified covariates except for smoking status; and </w:t>
      </w:r>
    </w:p>
    <w:p w14:paraId="0C4C6281" w14:textId="77777777" w:rsidR="00880D45" w:rsidRPr="00FB229F" w:rsidRDefault="00880D45" w:rsidP="00816BFB">
      <w:pPr>
        <w:pStyle w:val="Bulletpoints"/>
      </w:pPr>
      <w:r w:rsidRPr="00FB229F">
        <w:lastRenderedPageBreak/>
        <w:t>Model 2: matching for all the prespecified covariates including smoking status</w:t>
      </w:r>
      <w:r w:rsidR="0043289E" w:rsidRPr="00FB229F">
        <w:t>.</w:t>
      </w:r>
    </w:p>
    <w:p w14:paraId="696BB884" w14:textId="5D4FB68F" w:rsidR="00A4688E" w:rsidRPr="00FB229F" w:rsidRDefault="00880D45" w:rsidP="007F03AD">
      <w:pPr>
        <w:pStyle w:val="3-BodyText"/>
        <w:ind w:left="709" w:hanging="709"/>
        <w:rPr>
          <w:snapToGrid/>
        </w:rPr>
      </w:pPr>
      <w:r w:rsidRPr="00FB229F">
        <w:rPr>
          <w:snapToGrid/>
        </w:rPr>
        <w:t>The baseline characteristics</w:t>
      </w:r>
      <w:r w:rsidR="0043289E" w:rsidRPr="00FB229F">
        <w:rPr>
          <w:snapToGrid/>
        </w:rPr>
        <w:t>, before and after adjustment,</w:t>
      </w:r>
      <w:r w:rsidRPr="00FB229F">
        <w:rPr>
          <w:snapToGrid/>
        </w:rPr>
        <w:t xml:space="preserve"> varying across the arms being compared are presented in</w:t>
      </w:r>
      <w:r w:rsidR="00A4688E" w:rsidRPr="00FB229F">
        <w:rPr>
          <w:snapToGrid/>
        </w:rPr>
        <w:t xml:space="preserve"> </w:t>
      </w:r>
      <w:r w:rsidR="00A4688E" w:rsidRPr="00FB229F">
        <w:rPr>
          <w:snapToGrid/>
        </w:rPr>
        <w:fldChar w:fldCharType="begin" w:fldLock="1"/>
      </w:r>
      <w:r w:rsidR="00A4688E" w:rsidRPr="00FB229F">
        <w:rPr>
          <w:snapToGrid/>
        </w:rPr>
        <w:instrText xml:space="preserve"> REF _Ref132291852 \h </w:instrText>
      </w:r>
      <w:r w:rsidR="00A4688E" w:rsidRPr="00FB229F">
        <w:rPr>
          <w:snapToGrid/>
        </w:rPr>
      </w:r>
      <w:r w:rsidR="00A4688E" w:rsidRPr="00FB229F">
        <w:rPr>
          <w:snapToGrid/>
        </w:rPr>
        <w:fldChar w:fldCharType="separate"/>
      </w:r>
      <w:r w:rsidR="00CA7201" w:rsidRPr="00FB229F">
        <w:t xml:space="preserve">Table </w:t>
      </w:r>
      <w:r w:rsidR="00CA7201" w:rsidRPr="00166045">
        <w:t>13</w:t>
      </w:r>
      <w:r w:rsidR="00A4688E" w:rsidRPr="00FB229F">
        <w:rPr>
          <w:snapToGrid/>
        </w:rPr>
        <w:fldChar w:fldCharType="end"/>
      </w:r>
      <w:r w:rsidR="00A4688E" w:rsidRPr="00FB229F">
        <w:rPr>
          <w:snapToGrid/>
        </w:rPr>
        <w:t>.</w:t>
      </w:r>
    </w:p>
    <w:p w14:paraId="64928EFF" w14:textId="793F3BA5" w:rsidR="0043289E" w:rsidRPr="00FB229F" w:rsidRDefault="0043289E" w:rsidP="0043289E">
      <w:pPr>
        <w:pStyle w:val="Caption"/>
      </w:pPr>
      <w:bookmarkStart w:id="45" w:name="_Ref132291852"/>
      <w:r w:rsidRPr="00FB229F">
        <w:t xml:space="preserve">Table </w:t>
      </w:r>
      <w:r w:rsidR="00BF0AEB">
        <w:fldChar w:fldCharType="begin" w:fldLock="1"/>
      </w:r>
      <w:r w:rsidR="00BF0AEB">
        <w:instrText xml:space="preserve"> SEQ Table \* ARABIC </w:instrText>
      </w:r>
      <w:r w:rsidR="00BF0AEB">
        <w:fldChar w:fldCharType="separate"/>
      </w:r>
      <w:r w:rsidR="00CA7201" w:rsidRPr="00166045">
        <w:t>13</w:t>
      </w:r>
      <w:r w:rsidR="00BF0AEB">
        <w:fldChar w:fldCharType="end"/>
      </w:r>
      <w:bookmarkEnd w:id="45"/>
      <w:r w:rsidRPr="00FB229F">
        <w:t xml:space="preserve">: Baseline characteristics in LIBRETTO-001 </w:t>
      </w:r>
      <w:r w:rsidR="00992CE0" w:rsidRPr="00FB229F">
        <w:t xml:space="preserve">(treatment-naïve) </w:t>
      </w:r>
      <w:r w:rsidRPr="00FB229F">
        <w:t>and KN-189 before and after adjustment - Model 1 (no adjustment for smoking status)</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1441"/>
        <w:gridCol w:w="1701"/>
        <w:gridCol w:w="1701"/>
        <w:gridCol w:w="2382"/>
      </w:tblGrid>
      <w:tr w:rsidR="0043289E" w:rsidRPr="00FB229F" w14:paraId="1B7D48C9" w14:textId="77777777" w:rsidTr="00F90FA2">
        <w:trPr>
          <w:cantSplit/>
        </w:trPr>
        <w:tc>
          <w:tcPr>
            <w:tcW w:w="1815" w:type="dxa"/>
            <w:vMerge w:val="restart"/>
          </w:tcPr>
          <w:p w14:paraId="6584ADD1" w14:textId="77777777" w:rsidR="0043289E" w:rsidRPr="00166045" w:rsidRDefault="0043289E" w:rsidP="00604558">
            <w:pPr>
              <w:pStyle w:val="TableText0"/>
              <w:rPr>
                <w:b/>
                <w:szCs w:val="20"/>
              </w:rPr>
            </w:pPr>
            <w:r w:rsidRPr="00FB229F">
              <w:rPr>
                <w:b/>
                <w:szCs w:val="20"/>
              </w:rPr>
              <w:t>Characteristics</w:t>
            </w:r>
          </w:p>
        </w:tc>
        <w:tc>
          <w:tcPr>
            <w:tcW w:w="1441" w:type="dxa"/>
            <w:vMerge w:val="restart"/>
          </w:tcPr>
          <w:p w14:paraId="2E0D1B52" w14:textId="77777777" w:rsidR="0043289E" w:rsidRPr="00166045" w:rsidRDefault="0043289E" w:rsidP="00604558">
            <w:pPr>
              <w:pStyle w:val="TableText0"/>
              <w:rPr>
                <w:b/>
                <w:szCs w:val="20"/>
              </w:rPr>
            </w:pPr>
            <w:r w:rsidRPr="00FB229F">
              <w:rPr>
                <w:b/>
                <w:szCs w:val="20"/>
              </w:rPr>
              <w:t>Category</w:t>
            </w:r>
          </w:p>
        </w:tc>
        <w:tc>
          <w:tcPr>
            <w:tcW w:w="3402" w:type="dxa"/>
            <w:gridSpan w:val="2"/>
          </w:tcPr>
          <w:p w14:paraId="47DDDDF3" w14:textId="4EA4A650" w:rsidR="0043289E" w:rsidRPr="00166045" w:rsidRDefault="0043289E" w:rsidP="00604558">
            <w:pPr>
              <w:pStyle w:val="TableText0"/>
              <w:rPr>
                <w:b/>
                <w:szCs w:val="20"/>
              </w:rPr>
            </w:pPr>
            <w:r w:rsidRPr="00FB229F">
              <w:rPr>
                <w:b/>
                <w:szCs w:val="20"/>
              </w:rPr>
              <w:t>LIBRETTO-001</w:t>
            </w:r>
            <w:r w:rsidR="005C50B5" w:rsidRPr="00FB229F">
              <w:rPr>
                <w:b/>
                <w:szCs w:val="20"/>
              </w:rPr>
              <w:t xml:space="preserve"> (RET fusion-positive)</w:t>
            </w:r>
          </w:p>
        </w:tc>
        <w:tc>
          <w:tcPr>
            <w:tcW w:w="2382" w:type="dxa"/>
            <w:vMerge w:val="restart"/>
          </w:tcPr>
          <w:p w14:paraId="25987FDB" w14:textId="77777777" w:rsidR="0043289E" w:rsidRPr="00166045" w:rsidRDefault="0043289E" w:rsidP="00604558">
            <w:pPr>
              <w:pStyle w:val="TableText0"/>
              <w:rPr>
                <w:b/>
                <w:szCs w:val="20"/>
              </w:rPr>
            </w:pPr>
            <w:r w:rsidRPr="00FB229F">
              <w:rPr>
                <w:b/>
                <w:szCs w:val="20"/>
              </w:rPr>
              <w:t xml:space="preserve">Keynote - 189 </w:t>
            </w:r>
          </w:p>
          <w:p w14:paraId="3AB438EC" w14:textId="77777777" w:rsidR="0043289E" w:rsidRPr="00166045" w:rsidRDefault="0043289E" w:rsidP="00604558">
            <w:pPr>
              <w:pStyle w:val="TableText0"/>
              <w:rPr>
                <w:b/>
                <w:szCs w:val="20"/>
              </w:rPr>
            </w:pPr>
            <w:r w:rsidRPr="00FB229F">
              <w:rPr>
                <w:b/>
                <w:szCs w:val="20"/>
              </w:rPr>
              <w:t xml:space="preserve">Pembrolizumab + Platinum chemotherapy </w:t>
            </w:r>
            <w:r w:rsidRPr="00166045">
              <w:rPr>
                <w:b/>
                <w:szCs w:val="20"/>
              </w:rPr>
              <w:t>N=410</w:t>
            </w:r>
          </w:p>
          <w:p w14:paraId="666DC075" w14:textId="50504886" w:rsidR="005C50B5" w:rsidRPr="00166045" w:rsidRDefault="005C50B5" w:rsidP="00604558">
            <w:pPr>
              <w:pStyle w:val="TableText0"/>
              <w:rPr>
                <w:b/>
                <w:szCs w:val="20"/>
              </w:rPr>
            </w:pPr>
            <w:r w:rsidRPr="00166045">
              <w:rPr>
                <w:b/>
                <w:szCs w:val="20"/>
              </w:rPr>
              <w:t xml:space="preserve">Regardless of </w:t>
            </w:r>
            <w:r w:rsidRPr="00166045">
              <w:rPr>
                <w:b/>
                <w:i/>
                <w:iCs/>
                <w:szCs w:val="20"/>
              </w:rPr>
              <w:t>RET</w:t>
            </w:r>
            <w:r w:rsidRPr="00166045">
              <w:rPr>
                <w:b/>
                <w:szCs w:val="20"/>
              </w:rPr>
              <w:t xml:space="preserve"> status</w:t>
            </w:r>
          </w:p>
        </w:tc>
      </w:tr>
      <w:tr w:rsidR="0043289E" w:rsidRPr="00FB229F" w14:paraId="233FF214" w14:textId="77777777" w:rsidTr="00F90FA2">
        <w:trPr>
          <w:cantSplit/>
        </w:trPr>
        <w:tc>
          <w:tcPr>
            <w:tcW w:w="1815" w:type="dxa"/>
            <w:vMerge/>
          </w:tcPr>
          <w:p w14:paraId="305DF94C" w14:textId="77777777" w:rsidR="0043289E" w:rsidRPr="00166045" w:rsidRDefault="0043289E" w:rsidP="00604558">
            <w:pPr>
              <w:pStyle w:val="TableText0"/>
              <w:rPr>
                <w:szCs w:val="20"/>
              </w:rPr>
            </w:pPr>
          </w:p>
        </w:tc>
        <w:tc>
          <w:tcPr>
            <w:tcW w:w="1441" w:type="dxa"/>
            <w:vMerge/>
          </w:tcPr>
          <w:p w14:paraId="2031ADE1" w14:textId="77777777" w:rsidR="0043289E" w:rsidRPr="00166045" w:rsidRDefault="0043289E" w:rsidP="00604558">
            <w:pPr>
              <w:pStyle w:val="TableText0"/>
              <w:rPr>
                <w:szCs w:val="20"/>
              </w:rPr>
            </w:pPr>
          </w:p>
        </w:tc>
        <w:tc>
          <w:tcPr>
            <w:tcW w:w="1701" w:type="dxa"/>
          </w:tcPr>
          <w:p w14:paraId="2CE85F57" w14:textId="77777777" w:rsidR="0043289E" w:rsidRPr="00166045" w:rsidRDefault="0043289E" w:rsidP="00604558">
            <w:pPr>
              <w:pStyle w:val="TableText0"/>
              <w:rPr>
                <w:b/>
                <w:szCs w:val="20"/>
              </w:rPr>
            </w:pPr>
            <w:r w:rsidRPr="00FB229F">
              <w:rPr>
                <w:b/>
                <w:szCs w:val="20"/>
              </w:rPr>
              <w:t>Before adjustment N=69</w:t>
            </w:r>
          </w:p>
        </w:tc>
        <w:tc>
          <w:tcPr>
            <w:tcW w:w="1701" w:type="dxa"/>
          </w:tcPr>
          <w:p w14:paraId="699E54D6" w14:textId="3148EE5B" w:rsidR="0043289E" w:rsidRPr="00166045" w:rsidRDefault="0043289E" w:rsidP="009743C6">
            <w:pPr>
              <w:pStyle w:val="TableText0"/>
              <w:rPr>
                <w:b/>
                <w:szCs w:val="20"/>
                <w:vertAlign w:val="superscript"/>
              </w:rPr>
            </w:pPr>
            <w:r w:rsidRPr="00FB229F">
              <w:rPr>
                <w:b/>
                <w:szCs w:val="20"/>
              </w:rPr>
              <w:t>After adjustment ESS=46.5</w:t>
            </w:r>
            <w:r w:rsidR="009743C6" w:rsidRPr="00FB229F">
              <w:rPr>
                <w:b/>
                <w:szCs w:val="20"/>
                <w:vertAlign w:val="superscript"/>
              </w:rPr>
              <w:t>b</w:t>
            </w:r>
          </w:p>
        </w:tc>
        <w:tc>
          <w:tcPr>
            <w:tcW w:w="2382" w:type="dxa"/>
            <w:vMerge/>
          </w:tcPr>
          <w:p w14:paraId="7A297379" w14:textId="77777777" w:rsidR="0043289E" w:rsidRPr="00166045" w:rsidRDefault="0043289E" w:rsidP="00604558">
            <w:pPr>
              <w:pStyle w:val="TableText0"/>
              <w:rPr>
                <w:szCs w:val="20"/>
              </w:rPr>
            </w:pPr>
          </w:p>
        </w:tc>
      </w:tr>
      <w:tr w:rsidR="0043289E" w:rsidRPr="00FB229F" w14:paraId="2040F572" w14:textId="77777777" w:rsidTr="00F90FA2">
        <w:trPr>
          <w:cantSplit/>
        </w:trPr>
        <w:tc>
          <w:tcPr>
            <w:tcW w:w="1815" w:type="dxa"/>
          </w:tcPr>
          <w:p w14:paraId="6736AC53" w14:textId="77777777" w:rsidR="0043289E" w:rsidRPr="00166045" w:rsidRDefault="0043289E" w:rsidP="00604558">
            <w:pPr>
              <w:pStyle w:val="TableText0"/>
              <w:rPr>
                <w:szCs w:val="20"/>
              </w:rPr>
            </w:pPr>
            <w:r w:rsidRPr="00166045">
              <w:rPr>
                <w:szCs w:val="20"/>
              </w:rPr>
              <w:t>Mean age, years</w:t>
            </w:r>
          </w:p>
        </w:tc>
        <w:tc>
          <w:tcPr>
            <w:tcW w:w="1441" w:type="dxa"/>
          </w:tcPr>
          <w:p w14:paraId="377DDBCC" w14:textId="77777777" w:rsidR="0043289E" w:rsidRPr="00166045" w:rsidRDefault="0043289E" w:rsidP="00604558">
            <w:pPr>
              <w:pStyle w:val="TableText0"/>
              <w:rPr>
                <w:szCs w:val="20"/>
              </w:rPr>
            </w:pPr>
            <w:r w:rsidRPr="00166045">
              <w:rPr>
                <w:szCs w:val="20"/>
              </w:rPr>
              <w:t>Mean (SD)</w:t>
            </w:r>
          </w:p>
        </w:tc>
        <w:tc>
          <w:tcPr>
            <w:tcW w:w="1701" w:type="dxa"/>
          </w:tcPr>
          <w:p w14:paraId="7265ED4F" w14:textId="0FB52D26" w:rsidR="0043289E" w:rsidRPr="00FB229F" w:rsidRDefault="0043289E" w:rsidP="005C50B5">
            <w:pPr>
              <w:pStyle w:val="TableText0"/>
              <w:rPr>
                <w:szCs w:val="20"/>
              </w:rPr>
            </w:pPr>
            <w:r w:rsidRPr="00FB229F">
              <w:rPr>
                <w:szCs w:val="20"/>
              </w:rPr>
              <w:t>61.5 (13.0)</w:t>
            </w:r>
          </w:p>
        </w:tc>
        <w:tc>
          <w:tcPr>
            <w:tcW w:w="1701" w:type="dxa"/>
          </w:tcPr>
          <w:p w14:paraId="4B4DE57C" w14:textId="37FE51C3" w:rsidR="0043289E" w:rsidRPr="00FB229F" w:rsidRDefault="0043289E" w:rsidP="005C50B5">
            <w:pPr>
              <w:pStyle w:val="TableText0"/>
              <w:rPr>
                <w:szCs w:val="20"/>
              </w:rPr>
            </w:pPr>
            <w:r w:rsidRPr="00FB229F">
              <w:rPr>
                <w:szCs w:val="20"/>
              </w:rPr>
              <w:t>65.0 (7.4)</w:t>
            </w:r>
          </w:p>
        </w:tc>
        <w:tc>
          <w:tcPr>
            <w:tcW w:w="2382" w:type="dxa"/>
          </w:tcPr>
          <w:p w14:paraId="0669B492" w14:textId="59DEF39D" w:rsidR="0043289E" w:rsidRPr="00FB229F" w:rsidRDefault="0043289E" w:rsidP="005C50B5">
            <w:pPr>
              <w:pStyle w:val="TableText0"/>
              <w:rPr>
                <w:szCs w:val="20"/>
              </w:rPr>
            </w:pPr>
            <w:r w:rsidRPr="00FB229F">
              <w:rPr>
                <w:szCs w:val="20"/>
              </w:rPr>
              <w:t>65.0 (8.3)</w:t>
            </w:r>
            <w:r w:rsidRPr="00FB229F">
              <w:rPr>
                <w:szCs w:val="20"/>
                <w:vertAlign w:val="superscript"/>
              </w:rPr>
              <w:t>a</w:t>
            </w:r>
          </w:p>
        </w:tc>
      </w:tr>
      <w:tr w:rsidR="0043289E" w:rsidRPr="00FB229F" w14:paraId="209E30B2" w14:textId="77777777" w:rsidTr="00F90FA2">
        <w:trPr>
          <w:cantSplit/>
        </w:trPr>
        <w:tc>
          <w:tcPr>
            <w:tcW w:w="1815" w:type="dxa"/>
          </w:tcPr>
          <w:p w14:paraId="7714D6ED" w14:textId="77777777" w:rsidR="0043289E" w:rsidRPr="00166045" w:rsidRDefault="0043289E" w:rsidP="00604558">
            <w:pPr>
              <w:pStyle w:val="TableText0"/>
              <w:rPr>
                <w:szCs w:val="20"/>
              </w:rPr>
            </w:pPr>
            <w:r w:rsidRPr="00166045">
              <w:rPr>
                <w:szCs w:val="20"/>
              </w:rPr>
              <w:t>Sex</w:t>
            </w:r>
          </w:p>
        </w:tc>
        <w:tc>
          <w:tcPr>
            <w:tcW w:w="1441" w:type="dxa"/>
          </w:tcPr>
          <w:p w14:paraId="75862AFF" w14:textId="77777777" w:rsidR="0043289E" w:rsidRPr="00166045" w:rsidRDefault="0043289E" w:rsidP="00604558">
            <w:pPr>
              <w:pStyle w:val="TableText0"/>
              <w:rPr>
                <w:szCs w:val="20"/>
              </w:rPr>
            </w:pPr>
            <w:r w:rsidRPr="00166045">
              <w:rPr>
                <w:szCs w:val="20"/>
              </w:rPr>
              <w:t>Female</w:t>
            </w:r>
          </w:p>
        </w:tc>
        <w:tc>
          <w:tcPr>
            <w:tcW w:w="1701" w:type="dxa"/>
          </w:tcPr>
          <w:p w14:paraId="372C5DDE" w14:textId="7CD172F8" w:rsidR="0043289E" w:rsidRPr="00FB229F" w:rsidRDefault="0043289E" w:rsidP="005C50B5">
            <w:pPr>
              <w:pStyle w:val="TableText0"/>
              <w:rPr>
                <w:szCs w:val="20"/>
              </w:rPr>
            </w:pPr>
            <w:r w:rsidRPr="00FB229F">
              <w:rPr>
                <w:szCs w:val="20"/>
              </w:rPr>
              <w:t>43 (62.3%)</w:t>
            </w:r>
          </w:p>
        </w:tc>
        <w:tc>
          <w:tcPr>
            <w:tcW w:w="1701" w:type="dxa"/>
          </w:tcPr>
          <w:p w14:paraId="3C19D069" w14:textId="5C8FC3DA" w:rsidR="0043289E" w:rsidRPr="00FB229F" w:rsidRDefault="0043289E" w:rsidP="005C50B5">
            <w:pPr>
              <w:pStyle w:val="TableText0"/>
              <w:rPr>
                <w:szCs w:val="20"/>
              </w:rPr>
            </w:pPr>
            <w:r w:rsidRPr="00FB229F">
              <w:rPr>
                <w:szCs w:val="20"/>
              </w:rPr>
              <w:t>21 (38.</w:t>
            </w:r>
            <w:r w:rsidR="005C50B5" w:rsidRPr="00FB229F">
              <w:rPr>
                <w:szCs w:val="20"/>
              </w:rPr>
              <w:t>1</w:t>
            </w:r>
            <w:r w:rsidRPr="00FB229F">
              <w:rPr>
                <w:szCs w:val="20"/>
              </w:rPr>
              <w:t>%)</w:t>
            </w:r>
          </w:p>
        </w:tc>
        <w:tc>
          <w:tcPr>
            <w:tcW w:w="2382" w:type="dxa"/>
          </w:tcPr>
          <w:p w14:paraId="455D1FEA" w14:textId="77777777" w:rsidR="0043289E" w:rsidRPr="00FB229F" w:rsidRDefault="0043289E" w:rsidP="00604558">
            <w:pPr>
              <w:pStyle w:val="TableText0"/>
              <w:rPr>
                <w:szCs w:val="20"/>
              </w:rPr>
            </w:pPr>
            <w:r w:rsidRPr="00FB229F">
              <w:rPr>
                <w:szCs w:val="20"/>
              </w:rPr>
              <w:t>156 (38.0%)</w:t>
            </w:r>
          </w:p>
        </w:tc>
      </w:tr>
      <w:tr w:rsidR="0043289E" w:rsidRPr="00FB229F" w14:paraId="66A3B6E5" w14:textId="77777777" w:rsidTr="00F90FA2">
        <w:trPr>
          <w:cantSplit/>
        </w:trPr>
        <w:tc>
          <w:tcPr>
            <w:tcW w:w="1815" w:type="dxa"/>
          </w:tcPr>
          <w:p w14:paraId="6FBEEA96" w14:textId="77777777" w:rsidR="0043289E" w:rsidRPr="00166045" w:rsidRDefault="0043289E" w:rsidP="00604558">
            <w:pPr>
              <w:pStyle w:val="TableText0"/>
              <w:rPr>
                <w:szCs w:val="20"/>
              </w:rPr>
            </w:pPr>
            <w:r w:rsidRPr="00166045">
              <w:rPr>
                <w:szCs w:val="20"/>
              </w:rPr>
              <w:t>Smoking history</w:t>
            </w:r>
          </w:p>
        </w:tc>
        <w:tc>
          <w:tcPr>
            <w:tcW w:w="1441" w:type="dxa"/>
          </w:tcPr>
          <w:p w14:paraId="0A3A791A" w14:textId="77777777" w:rsidR="0043289E" w:rsidRPr="00166045" w:rsidRDefault="0043289E" w:rsidP="00604558">
            <w:pPr>
              <w:pStyle w:val="TableText0"/>
              <w:rPr>
                <w:szCs w:val="20"/>
              </w:rPr>
            </w:pPr>
            <w:r w:rsidRPr="00166045">
              <w:rPr>
                <w:szCs w:val="20"/>
              </w:rPr>
              <w:t>Never smoked</w:t>
            </w:r>
          </w:p>
        </w:tc>
        <w:tc>
          <w:tcPr>
            <w:tcW w:w="1701" w:type="dxa"/>
          </w:tcPr>
          <w:p w14:paraId="0044909F" w14:textId="7BBC3F90" w:rsidR="0043289E" w:rsidRPr="00FB229F" w:rsidRDefault="0043289E" w:rsidP="005C50B5">
            <w:pPr>
              <w:pStyle w:val="TableText0"/>
              <w:rPr>
                <w:szCs w:val="20"/>
              </w:rPr>
            </w:pPr>
            <w:r w:rsidRPr="00FB229F">
              <w:rPr>
                <w:szCs w:val="20"/>
              </w:rPr>
              <w:t>48 (69.</w:t>
            </w:r>
            <w:r w:rsidR="005C50B5" w:rsidRPr="00FB229F">
              <w:rPr>
                <w:szCs w:val="20"/>
              </w:rPr>
              <w:t>6</w:t>
            </w:r>
            <w:r w:rsidRPr="00FB229F">
              <w:rPr>
                <w:szCs w:val="20"/>
              </w:rPr>
              <w:t>%)</w:t>
            </w:r>
          </w:p>
        </w:tc>
        <w:tc>
          <w:tcPr>
            <w:tcW w:w="1701" w:type="dxa"/>
          </w:tcPr>
          <w:p w14:paraId="616CE3C0" w14:textId="72F3705E" w:rsidR="0043289E" w:rsidRPr="00FB229F" w:rsidRDefault="0043289E" w:rsidP="005C50B5">
            <w:pPr>
              <w:pStyle w:val="TableText0"/>
              <w:rPr>
                <w:szCs w:val="20"/>
              </w:rPr>
            </w:pPr>
            <w:r w:rsidRPr="00FB229F">
              <w:rPr>
                <w:szCs w:val="20"/>
              </w:rPr>
              <w:t>34 (63.</w:t>
            </w:r>
            <w:r w:rsidR="005C50B5" w:rsidRPr="00FB229F">
              <w:rPr>
                <w:szCs w:val="20"/>
              </w:rPr>
              <w:t>4</w:t>
            </w:r>
            <w:r w:rsidRPr="00FB229F">
              <w:rPr>
                <w:szCs w:val="20"/>
              </w:rPr>
              <w:t>%)</w:t>
            </w:r>
          </w:p>
        </w:tc>
        <w:tc>
          <w:tcPr>
            <w:tcW w:w="2382" w:type="dxa"/>
          </w:tcPr>
          <w:p w14:paraId="296A1B3D" w14:textId="77777777" w:rsidR="0043289E" w:rsidRPr="00FB229F" w:rsidRDefault="0043289E" w:rsidP="00604558">
            <w:pPr>
              <w:pStyle w:val="TableText0"/>
              <w:rPr>
                <w:szCs w:val="20"/>
              </w:rPr>
            </w:pPr>
            <w:r w:rsidRPr="00FB229F">
              <w:rPr>
                <w:szCs w:val="20"/>
              </w:rPr>
              <w:t>48 (11.7%)</w:t>
            </w:r>
          </w:p>
        </w:tc>
      </w:tr>
      <w:tr w:rsidR="0043289E" w:rsidRPr="00FB229F" w14:paraId="74789FAE" w14:textId="77777777" w:rsidTr="00F90FA2">
        <w:trPr>
          <w:cantSplit/>
        </w:trPr>
        <w:tc>
          <w:tcPr>
            <w:tcW w:w="1815" w:type="dxa"/>
            <w:vMerge w:val="restart"/>
          </w:tcPr>
          <w:p w14:paraId="31AC50D3" w14:textId="77777777" w:rsidR="0043289E" w:rsidRPr="00166045" w:rsidRDefault="0043289E" w:rsidP="00604558">
            <w:pPr>
              <w:pStyle w:val="TableText0"/>
              <w:rPr>
                <w:szCs w:val="20"/>
              </w:rPr>
            </w:pPr>
            <w:r w:rsidRPr="00166045">
              <w:rPr>
                <w:szCs w:val="20"/>
              </w:rPr>
              <w:t>ECOG PS</w:t>
            </w:r>
          </w:p>
        </w:tc>
        <w:tc>
          <w:tcPr>
            <w:tcW w:w="1441" w:type="dxa"/>
          </w:tcPr>
          <w:p w14:paraId="3AA57C21" w14:textId="77777777" w:rsidR="0043289E" w:rsidRPr="00166045" w:rsidRDefault="0043289E" w:rsidP="00604558">
            <w:pPr>
              <w:pStyle w:val="TableText0"/>
              <w:rPr>
                <w:szCs w:val="20"/>
              </w:rPr>
            </w:pPr>
            <w:r w:rsidRPr="00166045">
              <w:rPr>
                <w:szCs w:val="20"/>
              </w:rPr>
              <w:t>0</w:t>
            </w:r>
          </w:p>
        </w:tc>
        <w:tc>
          <w:tcPr>
            <w:tcW w:w="1701" w:type="dxa"/>
          </w:tcPr>
          <w:p w14:paraId="7997D0C8" w14:textId="71F1BA7B" w:rsidR="0043289E" w:rsidRPr="00FB229F" w:rsidRDefault="0043289E" w:rsidP="005C50B5">
            <w:pPr>
              <w:pStyle w:val="TableText0"/>
              <w:rPr>
                <w:szCs w:val="20"/>
              </w:rPr>
            </w:pPr>
            <w:r w:rsidRPr="00FB229F">
              <w:rPr>
                <w:szCs w:val="20"/>
              </w:rPr>
              <w:t>25 (36.2%)</w:t>
            </w:r>
          </w:p>
        </w:tc>
        <w:tc>
          <w:tcPr>
            <w:tcW w:w="1701" w:type="dxa"/>
          </w:tcPr>
          <w:p w14:paraId="50317DD8" w14:textId="7D75194C" w:rsidR="0043289E" w:rsidRPr="00FB229F" w:rsidRDefault="0043289E" w:rsidP="005C50B5">
            <w:pPr>
              <w:pStyle w:val="TableText0"/>
              <w:rPr>
                <w:szCs w:val="20"/>
              </w:rPr>
            </w:pPr>
            <w:r w:rsidRPr="00FB229F">
              <w:rPr>
                <w:szCs w:val="20"/>
              </w:rPr>
              <w:t>24 (45.1%)</w:t>
            </w:r>
          </w:p>
        </w:tc>
        <w:tc>
          <w:tcPr>
            <w:tcW w:w="2382" w:type="dxa"/>
          </w:tcPr>
          <w:p w14:paraId="15B5A49C" w14:textId="77777777" w:rsidR="0043289E" w:rsidRPr="00FB229F" w:rsidRDefault="0043289E" w:rsidP="00604558">
            <w:pPr>
              <w:pStyle w:val="TableText0"/>
              <w:rPr>
                <w:szCs w:val="20"/>
              </w:rPr>
            </w:pPr>
            <w:r w:rsidRPr="00FB229F">
              <w:rPr>
                <w:szCs w:val="20"/>
              </w:rPr>
              <w:t>185 (45.1%)</w:t>
            </w:r>
          </w:p>
        </w:tc>
      </w:tr>
      <w:tr w:rsidR="0043289E" w:rsidRPr="00FB229F" w14:paraId="6A705A05" w14:textId="77777777" w:rsidTr="00F90FA2">
        <w:trPr>
          <w:cantSplit/>
        </w:trPr>
        <w:tc>
          <w:tcPr>
            <w:tcW w:w="1815" w:type="dxa"/>
            <w:vMerge/>
          </w:tcPr>
          <w:p w14:paraId="5292BA17" w14:textId="77777777" w:rsidR="0043289E" w:rsidRPr="00166045" w:rsidRDefault="0043289E" w:rsidP="00604558">
            <w:pPr>
              <w:pStyle w:val="TableText0"/>
              <w:rPr>
                <w:szCs w:val="20"/>
              </w:rPr>
            </w:pPr>
          </w:p>
        </w:tc>
        <w:tc>
          <w:tcPr>
            <w:tcW w:w="1441" w:type="dxa"/>
          </w:tcPr>
          <w:p w14:paraId="61F9E323" w14:textId="77777777" w:rsidR="0043289E" w:rsidRPr="00166045" w:rsidRDefault="0043289E" w:rsidP="00604558">
            <w:pPr>
              <w:pStyle w:val="TableText0"/>
              <w:rPr>
                <w:szCs w:val="20"/>
              </w:rPr>
            </w:pPr>
            <w:r w:rsidRPr="00166045">
              <w:rPr>
                <w:szCs w:val="20"/>
              </w:rPr>
              <w:t>1</w:t>
            </w:r>
          </w:p>
        </w:tc>
        <w:tc>
          <w:tcPr>
            <w:tcW w:w="1701" w:type="dxa"/>
          </w:tcPr>
          <w:p w14:paraId="4A8BAD4D" w14:textId="52990519" w:rsidR="0043289E" w:rsidRPr="00FB229F" w:rsidRDefault="0043289E" w:rsidP="005C50B5">
            <w:pPr>
              <w:pStyle w:val="TableText0"/>
              <w:rPr>
                <w:szCs w:val="20"/>
              </w:rPr>
            </w:pPr>
            <w:r w:rsidRPr="00FB229F">
              <w:rPr>
                <w:szCs w:val="20"/>
              </w:rPr>
              <w:t>40 (</w:t>
            </w:r>
            <w:r w:rsidR="005C50B5" w:rsidRPr="00FB229F">
              <w:rPr>
                <w:szCs w:val="20"/>
              </w:rPr>
              <w:t>58.0</w:t>
            </w:r>
            <w:r w:rsidRPr="00FB229F">
              <w:rPr>
                <w:szCs w:val="20"/>
              </w:rPr>
              <w:t>%)</w:t>
            </w:r>
          </w:p>
        </w:tc>
        <w:tc>
          <w:tcPr>
            <w:tcW w:w="1701" w:type="dxa"/>
          </w:tcPr>
          <w:p w14:paraId="6B8438EA" w14:textId="5B7DA283" w:rsidR="0043289E" w:rsidRPr="00FB229F" w:rsidRDefault="0043289E" w:rsidP="005C50B5">
            <w:pPr>
              <w:pStyle w:val="TableText0"/>
              <w:rPr>
                <w:szCs w:val="20"/>
              </w:rPr>
            </w:pPr>
            <w:r w:rsidRPr="00FB229F">
              <w:rPr>
                <w:szCs w:val="20"/>
              </w:rPr>
              <w:t>28 (52.1%)</w:t>
            </w:r>
          </w:p>
        </w:tc>
        <w:tc>
          <w:tcPr>
            <w:tcW w:w="2382" w:type="dxa"/>
          </w:tcPr>
          <w:p w14:paraId="4A884FF5" w14:textId="77777777" w:rsidR="0043289E" w:rsidRPr="00FB229F" w:rsidRDefault="0043289E" w:rsidP="00604558">
            <w:pPr>
              <w:pStyle w:val="TableText0"/>
              <w:rPr>
                <w:szCs w:val="20"/>
              </w:rPr>
            </w:pPr>
            <w:r w:rsidRPr="00FB229F">
              <w:rPr>
                <w:szCs w:val="20"/>
              </w:rPr>
              <w:t>221 (53.9%)</w:t>
            </w:r>
          </w:p>
        </w:tc>
      </w:tr>
      <w:tr w:rsidR="0043289E" w:rsidRPr="00FB229F" w14:paraId="7A6BA643" w14:textId="77777777" w:rsidTr="00F90FA2">
        <w:trPr>
          <w:cantSplit/>
        </w:trPr>
        <w:tc>
          <w:tcPr>
            <w:tcW w:w="1815" w:type="dxa"/>
            <w:vMerge/>
          </w:tcPr>
          <w:p w14:paraId="733A60DB" w14:textId="77777777" w:rsidR="0043289E" w:rsidRPr="00166045" w:rsidRDefault="0043289E" w:rsidP="00604558">
            <w:pPr>
              <w:pStyle w:val="TableText0"/>
              <w:rPr>
                <w:szCs w:val="20"/>
              </w:rPr>
            </w:pPr>
          </w:p>
        </w:tc>
        <w:tc>
          <w:tcPr>
            <w:tcW w:w="1441" w:type="dxa"/>
          </w:tcPr>
          <w:p w14:paraId="21A2B91B" w14:textId="77777777" w:rsidR="0043289E" w:rsidRPr="00166045" w:rsidRDefault="0043289E" w:rsidP="00604558">
            <w:pPr>
              <w:pStyle w:val="TableText0"/>
              <w:rPr>
                <w:szCs w:val="20"/>
              </w:rPr>
            </w:pPr>
            <w:r w:rsidRPr="00166045">
              <w:rPr>
                <w:szCs w:val="20"/>
              </w:rPr>
              <w:t>2</w:t>
            </w:r>
          </w:p>
        </w:tc>
        <w:tc>
          <w:tcPr>
            <w:tcW w:w="1701" w:type="dxa"/>
          </w:tcPr>
          <w:p w14:paraId="7AA40AE9" w14:textId="19D1356A" w:rsidR="0043289E" w:rsidRPr="00FB229F" w:rsidRDefault="0043289E" w:rsidP="005C50B5">
            <w:pPr>
              <w:pStyle w:val="TableText0"/>
              <w:rPr>
                <w:szCs w:val="20"/>
              </w:rPr>
            </w:pPr>
            <w:r w:rsidRPr="00FB229F">
              <w:rPr>
                <w:szCs w:val="20"/>
              </w:rPr>
              <w:t>4 (5.8%)</w:t>
            </w:r>
          </w:p>
        </w:tc>
        <w:tc>
          <w:tcPr>
            <w:tcW w:w="1701" w:type="dxa"/>
          </w:tcPr>
          <w:p w14:paraId="02437F24" w14:textId="190E1F4A" w:rsidR="0043289E" w:rsidRPr="00FB229F" w:rsidRDefault="0043289E" w:rsidP="005C50B5">
            <w:pPr>
              <w:pStyle w:val="TableText0"/>
              <w:rPr>
                <w:szCs w:val="20"/>
              </w:rPr>
            </w:pPr>
            <w:r w:rsidRPr="00FB229F">
              <w:rPr>
                <w:szCs w:val="20"/>
              </w:rPr>
              <w:t>1 (2.7%)</w:t>
            </w:r>
          </w:p>
        </w:tc>
        <w:tc>
          <w:tcPr>
            <w:tcW w:w="2382" w:type="dxa"/>
          </w:tcPr>
          <w:p w14:paraId="72712A2B" w14:textId="77777777" w:rsidR="0043289E" w:rsidRPr="00FB229F" w:rsidRDefault="0043289E" w:rsidP="00604558">
            <w:pPr>
              <w:pStyle w:val="TableText0"/>
              <w:rPr>
                <w:szCs w:val="20"/>
              </w:rPr>
            </w:pPr>
            <w:r w:rsidRPr="00FB229F">
              <w:rPr>
                <w:szCs w:val="20"/>
              </w:rPr>
              <w:t>1 (0.2%)</w:t>
            </w:r>
          </w:p>
        </w:tc>
      </w:tr>
      <w:tr w:rsidR="0043289E" w:rsidRPr="00FB229F" w14:paraId="4F0F8272" w14:textId="77777777" w:rsidTr="00F90FA2">
        <w:trPr>
          <w:cantSplit/>
        </w:trPr>
        <w:tc>
          <w:tcPr>
            <w:tcW w:w="1815" w:type="dxa"/>
          </w:tcPr>
          <w:p w14:paraId="0ED645D0" w14:textId="77777777" w:rsidR="0043289E" w:rsidRPr="00166045" w:rsidRDefault="0043289E" w:rsidP="00604558">
            <w:pPr>
              <w:pStyle w:val="TableText0"/>
              <w:rPr>
                <w:szCs w:val="20"/>
              </w:rPr>
            </w:pPr>
            <w:r w:rsidRPr="00166045">
              <w:rPr>
                <w:szCs w:val="20"/>
              </w:rPr>
              <w:t>Brain metastases</w:t>
            </w:r>
          </w:p>
        </w:tc>
        <w:tc>
          <w:tcPr>
            <w:tcW w:w="1441" w:type="dxa"/>
          </w:tcPr>
          <w:p w14:paraId="4D40FE93" w14:textId="77777777" w:rsidR="0043289E" w:rsidRPr="00166045" w:rsidRDefault="0043289E" w:rsidP="00604558">
            <w:pPr>
              <w:pStyle w:val="TableText0"/>
              <w:rPr>
                <w:szCs w:val="20"/>
              </w:rPr>
            </w:pPr>
            <w:r w:rsidRPr="00166045">
              <w:rPr>
                <w:szCs w:val="20"/>
              </w:rPr>
              <w:t>at baseline</w:t>
            </w:r>
          </w:p>
        </w:tc>
        <w:tc>
          <w:tcPr>
            <w:tcW w:w="1701" w:type="dxa"/>
          </w:tcPr>
          <w:p w14:paraId="51732837" w14:textId="73EA6A91" w:rsidR="0043289E" w:rsidRPr="00FB229F" w:rsidRDefault="0043289E" w:rsidP="005C50B5">
            <w:pPr>
              <w:pStyle w:val="TableText0"/>
              <w:rPr>
                <w:szCs w:val="20"/>
              </w:rPr>
            </w:pPr>
            <w:r w:rsidRPr="00FB229F">
              <w:rPr>
                <w:szCs w:val="20"/>
              </w:rPr>
              <w:t>16 (23.</w:t>
            </w:r>
            <w:r w:rsidR="005C50B5" w:rsidRPr="00FB229F">
              <w:rPr>
                <w:szCs w:val="20"/>
              </w:rPr>
              <w:t>2</w:t>
            </w:r>
            <w:r w:rsidRPr="00FB229F">
              <w:rPr>
                <w:szCs w:val="20"/>
              </w:rPr>
              <w:t>%)</w:t>
            </w:r>
          </w:p>
        </w:tc>
        <w:tc>
          <w:tcPr>
            <w:tcW w:w="1701" w:type="dxa"/>
          </w:tcPr>
          <w:p w14:paraId="49DAA584" w14:textId="73B50821" w:rsidR="0043289E" w:rsidRPr="00FB229F" w:rsidRDefault="0043289E" w:rsidP="005C50B5">
            <w:pPr>
              <w:pStyle w:val="TableText0"/>
              <w:rPr>
                <w:szCs w:val="20"/>
              </w:rPr>
            </w:pPr>
            <w:r w:rsidRPr="00FB229F">
              <w:rPr>
                <w:szCs w:val="20"/>
              </w:rPr>
              <w:t>10 (17.8%)</w:t>
            </w:r>
          </w:p>
        </w:tc>
        <w:tc>
          <w:tcPr>
            <w:tcW w:w="2382" w:type="dxa"/>
          </w:tcPr>
          <w:p w14:paraId="640C8321" w14:textId="77777777" w:rsidR="0043289E" w:rsidRPr="00FB229F" w:rsidRDefault="0043289E" w:rsidP="00604558">
            <w:pPr>
              <w:pStyle w:val="TableText0"/>
              <w:rPr>
                <w:szCs w:val="20"/>
              </w:rPr>
            </w:pPr>
            <w:r w:rsidRPr="00FB229F">
              <w:rPr>
                <w:szCs w:val="20"/>
              </w:rPr>
              <w:t>73 (17.8%)</w:t>
            </w:r>
          </w:p>
        </w:tc>
      </w:tr>
    </w:tbl>
    <w:p w14:paraId="210C3A1D" w14:textId="77777777" w:rsidR="0043289E" w:rsidRPr="00FB229F" w:rsidRDefault="0043289E" w:rsidP="0043289E">
      <w:pPr>
        <w:pStyle w:val="TableFooter"/>
      </w:pPr>
      <w:r w:rsidRPr="00FB229F">
        <w:t>Source: Table 2-117, p281 of the submission.</w:t>
      </w:r>
    </w:p>
    <w:p w14:paraId="6D1E372F" w14:textId="7655B94F" w:rsidR="0043289E" w:rsidRPr="00FB229F" w:rsidRDefault="0043289E" w:rsidP="0043289E">
      <w:pPr>
        <w:pStyle w:val="TableFooter"/>
      </w:pPr>
      <w:r w:rsidRPr="00FB229F">
        <w:t>ECOG= Eastern Cooperative Oncology Group; ESS=effective sample size; PS</w:t>
      </w:r>
      <w:r w:rsidR="005C50B5" w:rsidRPr="00FB229F">
        <w:t>=</w:t>
      </w:r>
      <w:r w:rsidRPr="00FB229F">
        <w:t xml:space="preserve">performance status; </w:t>
      </w:r>
      <w:r w:rsidR="005C50B5" w:rsidRPr="00FB229F">
        <w:t xml:space="preserve">RET=Rearranged during Transfection; </w:t>
      </w:r>
      <w:r w:rsidRPr="00FB229F">
        <w:t>SD</w:t>
      </w:r>
      <w:r w:rsidR="005C50B5" w:rsidRPr="00FB229F">
        <w:t>=</w:t>
      </w:r>
      <w:r w:rsidRPr="00FB229F">
        <w:t xml:space="preserve">standard deviation </w:t>
      </w:r>
    </w:p>
    <w:p w14:paraId="3B37FF4F" w14:textId="16FA5189" w:rsidR="0043289E" w:rsidRPr="00FB229F" w:rsidRDefault="0043289E" w:rsidP="0043289E">
      <w:pPr>
        <w:pStyle w:val="TableFooter"/>
      </w:pPr>
      <w:r w:rsidRPr="00FB229F">
        <w:rPr>
          <w:vertAlign w:val="superscript"/>
        </w:rPr>
        <w:t>a</w:t>
      </w:r>
      <w:r w:rsidR="00866B13" w:rsidRPr="00FB229F">
        <w:rPr>
          <w:vertAlign w:val="superscript"/>
        </w:rPr>
        <w:t xml:space="preserve"> </w:t>
      </w:r>
      <w:r w:rsidRPr="00FB229F">
        <w:t>Mean age for KN-189 was assumed to be equal to median age. SD was calculated as range divided by 6</w:t>
      </w:r>
      <w:r w:rsidR="005C50B5" w:rsidRPr="00FB229F">
        <w:t>.</w:t>
      </w:r>
    </w:p>
    <w:p w14:paraId="511738B9" w14:textId="371E0D8B" w:rsidR="009743C6" w:rsidRPr="00FB229F" w:rsidRDefault="009743C6" w:rsidP="0043289E">
      <w:pPr>
        <w:pStyle w:val="TableFooter"/>
        <w:rPr>
          <w:iCs/>
        </w:rPr>
      </w:pPr>
      <w:r w:rsidRPr="00FB229F">
        <w:rPr>
          <w:iCs/>
          <w:vertAlign w:val="superscript"/>
        </w:rPr>
        <w:t>b</w:t>
      </w:r>
      <w:r w:rsidR="00866B13" w:rsidRPr="00FB229F">
        <w:rPr>
          <w:iCs/>
          <w:vertAlign w:val="superscript"/>
        </w:rPr>
        <w:t xml:space="preserve"> </w:t>
      </w:r>
      <w:r w:rsidRPr="00FB229F">
        <w:rPr>
          <w:iCs/>
        </w:rPr>
        <w:t>Percentages for patient characteristics after adjustment were not based on the ESS or the original sample size of 69. The denominator</w:t>
      </w:r>
      <w:r w:rsidR="00584326" w:rsidRPr="00FB229F">
        <w:rPr>
          <w:iCs/>
        </w:rPr>
        <w:t>s</w:t>
      </w:r>
      <w:r w:rsidRPr="00FB229F">
        <w:rPr>
          <w:iCs/>
        </w:rPr>
        <w:t xml:space="preserve"> used could not be identified from the submission or </w:t>
      </w:r>
      <w:r w:rsidR="00584326" w:rsidRPr="00FB229F">
        <w:rPr>
          <w:iCs/>
        </w:rPr>
        <w:t>the technical report (</w:t>
      </w:r>
      <w:r w:rsidRPr="00FB229F">
        <w:rPr>
          <w:iCs/>
        </w:rPr>
        <w:t>Attachment A3.4</w:t>
      </w:r>
      <w:r w:rsidR="00584326" w:rsidRPr="00FB229F">
        <w:rPr>
          <w:iCs/>
        </w:rPr>
        <w:t>)</w:t>
      </w:r>
      <w:r w:rsidRPr="00FB229F">
        <w:rPr>
          <w:iCs/>
        </w:rPr>
        <w:t xml:space="preserve"> accompanying the submission.</w:t>
      </w:r>
    </w:p>
    <w:p w14:paraId="0B9E61F9" w14:textId="74F23653" w:rsidR="005C50B5" w:rsidRPr="00FB229F" w:rsidRDefault="005C50B5" w:rsidP="00816BFB">
      <w:pPr>
        <w:pStyle w:val="TableFooter"/>
        <w:spacing w:after="120"/>
        <w:rPr>
          <w:iCs/>
        </w:rPr>
      </w:pPr>
      <w:r w:rsidRPr="00FB229F">
        <w:rPr>
          <w:iCs/>
        </w:rPr>
        <w:t>Percentages rounded to one decimal place.</w:t>
      </w:r>
    </w:p>
    <w:p w14:paraId="33DE2D88" w14:textId="19812FCC" w:rsidR="0043289E" w:rsidRPr="00FB229F" w:rsidRDefault="0043289E" w:rsidP="0043289E">
      <w:pPr>
        <w:pStyle w:val="Caption"/>
      </w:pPr>
      <w:r w:rsidRPr="00FB229F">
        <w:t xml:space="preserve">Table </w:t>
      </w:r>
      <w:r w:rsidR="00BF0AEB">
        <w:fldChar w:fldCharType="begin" w:fldLock="1"/>
      </w:r>
      <w:r w:rsidR="00BF0AEB">
        <w:instrText xml:space="preserve"> SEQ Table \* ARABIC </w:instrText>
      </w:r>
      <w:r w:rsidR="00BF0AEB">
        <w:fldChar w:fldCharType="separate"/>
      </w:r>
      <w:r w:rsidR="00CA7201" w:rsidRPr="00166045">
        <w:t>14</w:t>
      </w:r>
      <w:r w:rsidR="00BF0AEB">
        <w:fldChar w:fldCharType="end"/>
      </w:r>
      <w:r w:rsidRPr="00FB229F">
        <w:t xml:space="preserve">: Baseline characteristics in LIBRETTO-001 </w:t>
      </w:r>
      <w:r w:rsidR="00992CE0" w:rsidRPr="00FB229F">
        <w:t xml:space="preserve">(treatment-naïve) </w:t>
      </w:r>
      <w:r w:rsidRPr="00FB229F">
        <w:t>and KN-189 before and after weighting - Model 2 (adjusted for smoking status)</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1810"/>
        <w:gridCol w:w="1805"/>
        <w:gridCol w:w="1624"/>
        <w:gridCol w:w="1986"/>
      </w:tblGrid>
      <w:tr w:rsidR="0043289E" w:rsidRPr="00FB229F" w14:paraId="52CC3FC6" w14:textId="77777777" w:rsidTr="00816BFB">
        <w:trPr>
          <w:cantSplit/>
        </w:trPr>
        <w:tc>
          <w:tcPr>
            <w:tcW w:w="1815" w:type="dxa"/>
            <w:vMerge w:val="restart"/>
          </w:tcPr>
          <w:p w14:paraId="6D85840F" w14:textId="77777777" w:rsidR="0043289E" w:rsidRPr="00166045" w:rsidRDefault="0043289E" w:rsidP="00584326">
            <w:pPr>
              <w:pStyle w:val="TableText0"/>
              <w:rPr>
                <w:b/>
                <w:szCs w:val="20"/>
              </w:rPr>
            </w:pPr>
            <w:r w:rsidRPr="00FB229F">
              <w:rPr>
                <w:b/>
                <w:szCs w:val="20"/>
              </w:rPr>
              <w:t>Characteristics</w:t>
            </w:r>
          </w:p>
        </w:tc>
        <w:tc>
          <w:tcPr>
            <w:tcW w:w="1810" w:type="dxa"/>
            <w:vMerge w:val="restart"/>
          </w:tcPr>
          <w:p w14:paraId="3628227E" w14:textId="77777777" w:rsidR="0043289E" w:rsidRPr="00166045" w:rsidRDefault="0043289E" w:rsidP="00584326">
            <w:pPr>
              <w:pStyle w:val="TableText0"/>
              <w:rPr>
                <w:b/>
                <w:szCs w:val="20"/>
              </w:rPr>
            </w:pPr>
            <w:r w:rsidRPr="00FB229F">
              <w:rPr>
                <w:b/>
                <w:szCs w:val="20"/>
              </w:rPr>
              <w:t>Category</w:t>
            </w:r>
          </w:p>
        </w:tc>
        <w:tc>
          <w:tcPr>
            <w:tcW w:w="3429" w:type="dxa"/>
            <w:gridSpan w:val="2"/>
          </w:tcPr>
          <w:p w14:paraId="3CC01D1B" w14:textId="77777777" w:rsidR="0043289E" w:rsidRPr="00166045" w:rsidRDefault="0043289E" w:rsidP="00584326">
            <w:pPr>
              <w:pStyle w:val="TableText0"/>
              <w:rPr>
                <w:b/>
                <w:szCs w:val="20"/>
              </w:rPr>
            </w:pPr>
            <w:r w:rsidRPr="00FB229F">
              <w:rPr>
                <w:b/>
                <w:szCs w:val="20"/>
              </w:rPr>
              <w:t xml:space="preserve">LIBRETTO-001 </w:t>
            </w:r>
            <w:r w:rsidRPr="00FB229F">
              <w:rPr>
                <w:b/>
                <w:i/>
                <w:iCs/>
                <w:szCs w:val="20"/>
              </w:rPr>
              <w:t>RET</w:t>
            </w:r>
            <w:r w:rsidRPr="00FB229F">
              <w:rPr>
                <w:b/>
                <w:szCs w:val="20"/>
              </w:rPr>
              <w:t xml:space="preserve"> fusion-positive</w:t>
            </w:r>
          </w:p>
        </w:tc>
        <w:tc>
          <w:tcPr>
            <w:tcW w:w="1986" w:type="dxa"/>
            <w:vMerge w:val="restart"/>
          </w:tcPr>
          <w:p w14:paraId="31296CC7" w14:textId="77777777" w:rsidR="0043289E" w:rsidRPr="00166045" w:rsidRDefault="0043289E" w:rsidP="00584326">
            <w:pPr>
              <w:pStyle w:val="TableText0"/>
              <w:rPr>
                <w:b/>
                <w:szCs w:val="20"/>
              </w:rPr>
            </w:pPr>
            <w:r w:rsidRPr="00FB229F">
              <w:rPr>
                <w:b/>
                <w:szCs w:val="20"/>
              </w:rPr>
              <w:t xml:space="preserve">Keynote - 189 </w:t>
            </w:r>
          </w:p>
          <w:p w14:paraId="1D3ECB36" w14:textId="77777777" w:rsidR="0043289E" w:rsidRPr="00166045" w:rsidRDefault="0043289E" w:rsidP="00584326">
            <w:pPr>
              <w:pStyle w:val="TableText0"/>
              <w:rPr>
                <w:b/>
                <w:szCs w:val="20"/>
              </w:rPr>
            </w:pPr>
            <w:r w:rsidRPr="00FB229F">
              <w:rPr>
                <w:b/>
                <w:szCs w:val="20"/>
              </w:rPr>
              <w:t xml:space="preserve">Pembrolizumab + Platinum chemotherapy </w:t>
            </w:r>
            <w:r w:rsidRPr="00166045">
              <w:rPr>
                <w:b/>
                <w:szCs w:val="20"/>
              </w:rPr>
              <w:t>N=410</w:t>
            </w:r>
          </w:p>
          <w:p w14:paraId="0D06A3F2" w14:textId="77777777" w:rsidR="0043289E" w:rsidRPr="00166045" w:rsidRDefault="0043289E" w:rsidP="00584326">
            <w:pPr>
              <w:pStyle w:val="TableText0"/>
              <w:rPr>
                <w:b/>
                <w:szCs w:val="20"/>
              </w:rPr>
            </w:pPr>
            <w:r w:rsidRPr="00166045">
              <w:rPr>
                <w:b/>
                <w:szCs w:val="20"/>
              </w:rPr>
              <w:t xml:space="preserve">Regardless of </w:t>
            </w:r>
            <w:r w:rsidRPr="00166045">
              <w:rPr>
                <w:b/>
                <w:i/>
                <w:iCs/>
                <w:szCs w:val="20"/>
              </w:rPr>
              <w:t>RET</w:t>
            </w:r>
            <w:r w:rsidRPr="00166045">
              <w:rPr>
                <w:b/>
                <w:szCs w:val="20"/>
              </w:rPr>
              <w:t xml:space="preserve"> fusion status</w:t>
            </w:r>
          </w:p>
        </w:tc>
      </w:tr>
      <w:tr w:rsidR="0043289E" w:rsidRPr="00FB229F" w14:paraId="1B70E200" w14:textId="77777777" w:rsidTr="00816BFB">
        <w:trPr>
          <w:cantSplit/>
        </w:trPr>
        <w:tc>
          <w:tcPr>
            <w:tcW w:w="1815" w:type="dxa"/>
            <w:vMerge/>
          </w:tcPr>
          <w:p w14:paraId="00B76600" w14:textId="77777777" w:rsidR="0043289E" w:rsidRPr="00166045" w:rsidRDefault="0043289E" w:rsidP="00584326">
            <w:pPr>
              <w:pStyle w:val="TableText0"/>
              <w:rPr>
                <w:szCs w:val="20"/>
              </w:rPr>
            </w:pPr>
          </w:p>
        </w:tc>
        <w:tc>
          <w:tcPr>
            <w:tcW w:w="1810" w:type="dxa"/>
            <w:vMerge/>
          </w:tcPr>
          <w:p w14:paraId="16D0C407" w14:textId="77777777" w:rsidR="0043289E" w:rsidRPr="00166045" w:rsidRDefault="0043289E" w:rsidP="00584326">
            <w:pPr>
              <w:pStyle w:val="TableText0"/>
              <w:rPr>
                <w:szCs w:val="20"/>
              </w:rPr>
            </w:pPr>
          </w:p>
        </w:tc>
        <w:tc>
          <w:tcPr>
            <w:tcW w:w="1805" w:type="dxa"/>
          </w:tcPr>
          <w:p w14:paraId="61FCF298" w14:textId="77777777" w:rsidR="0043289E" w:rsidRPr="00166045" w:rsidRDefault="0043289E" w:rsidP="00584326">
            <w:pPr>
              <w:pStyle w:val="TableText0"/>
              <w:rPr>
                <w:b/>
                <w:szCs w:val="20"/>
              </w:rPr>
            </w:pPr>
            <w:r w:rsidRPr="00FB229F">
              <w:rPr>
                <w:b/>
                <w:szCs w:val="20"/>
              </w:rPr>
              <w:t>Before adjustment N=69</w:t>
            </w:r>
          </w:p>
        </w:tc>
        <w:tc>
          <w:tcPr>
            <w:tcW w:w="1624" w:type="dxa"/>
          </w:tcPr>
          <w:p w14:paraId="3FF3A372" w14:textId="769C02D1" w:rsidR="0043289E" w:rsidRPr="00166045" w:rsidRDefault="0043289E" w:rsidP="00584326">
            <w:pPr>
              <w:pStyle w:val="TableText0"/>
              <w:rPr>
                <w:b/>
                <w:szCs w:val="20"/>
                <w:vertAlign w:val="superscript"/>
              </w:rPr>
            </w:pPr>
            <w:r w:rsidRPr="00FB229F">
              <w:rPr>
                <w:b/>
                <w:szCs w:val="20"/>
              </w:rPr>
              <w:t>After adjustment ESS=21.83</w:t>
            </w:r>
            <w:r w:rsidR="00584326" w:rsidRPr="00FB229F">
              <w:rPr>
                <w:b/>
                <w:szCs w:val="20"/>
                <w:vertAlign w:val="superscript"/>
              </w:rPr>
              <w:t>b</w:t>
            </w:r>
          </w:p>
        </w:tc>
        <w:tc>
          <w:tcPr>
            <w:tcW w:w="1986" w:type="dxa"/>
            <w:vMerge/>
          </w:tcPr>
          <w:p w14:paraId="00D23611" w14:textId="77777777" w:rsidR="0043289E" w:rsidRPr="00166045" w:rsidRDefault="0043289E" w:rsidP="00584326">
            <w:pPr>
              <w:pStyle w:val="TableText0"/>
              <w:rPr>
                <w:szCs w:val="20"/>
              </w:rPr>
            </w:pPr>
          </w:p>
        </w:tc>
      </w:tr>
      <w:tr w:rsidR="00F9534F" w:rsidRPr="00FB229F" w14:paraId="677E31C1" w14:textId="77777777" w:rsidTr="00816BFB">
        <w:trPr>
          <w:cantSplit/>
        </w:trPr>
        <w:tc>
          <w:tcPr>
            <w:tcW w:w="1815" w:type="dxa"/>
          </w:tcPr>
          <w:p w14:paraId="549AD9D7" w14:textId="77777777" w:rsidR="00F9534F" w:rsidRPr="00166045" w:rsidRDefault="00F9534F" w:rsidP="00584326">
            <w:pPr>
              <w:pStyle w:val="TableText0"/>
              <w:rPr>
                <w:szCs w:val="20"/>
              </w:rPr>
            </w:pPr>
            <w:r w:rsidRPr="00166045">
              <w:rPr>
                <w:szCs w:val="20"/>
              </w:rPr>
              <w:t>Mean age, years</w:t>
            </w:r>
          </w:p>
        </w:tc>
        <w:tc>
          <w:tcPr>
            <w:tcW w:w="1810" w:type="dxa"/>
          </w:tcPr>
          <w:p w14:paraId="53A3E927" w14:textId="77777777" w:rsidR="00F9534F" w:rsidRPr="00166045" w:rsidRDefault="00F9534F" w:rsidP="00584326">
            <w:pPr>
              <w:pStyle w:val="TableText0"/>
              <w:rPr>
                <w:szCs w:val="20"/>
              </w:rPr>
            </w:pPr>
            <w:r w:rsidRPr="00166045">
              <w:rPr>
                <w:szCs w:val="20"/>
              </w:rPr>
              <w:t>Mean (SD)</w:t>
            </w:r>
          </w:p>
        </w:tc>
        <w:tc>
          <w:tcPr>
            <w:tcW w:w="1805" w:type="dxa"/>
          </w:tcPr>
          <w:p w14:paraId="52346FCF" w14:textId="73FC3A50" w:rsidR="00F9534F" w:rsidRPr="00FB229F" w:rsidRDefault="00F9534F" w:rsidP="00584326">
            <w:pPr>
              <w:pStyle w:val="TableText0"/>
              <w:rPr>
                <w:szCs w:val="20"/>
              </w:rPr>
            </w:pPr>
            <w:r w:rsidRPr="00FB229F">
              <w:rPr>
                <w:szCs w:val="20"/>
              </w:rPr>
              <w:t>61.5 (13.0)</w:t>
            </w:r>
          </w:p>
        </w:tc>
        <w:tc>
          <w:tcPr>
            <w:tcW w:w="1624" w:type="dxa"/>
          </w:tcPr>
          <w:p w14:paraId="40B22E98" w14:textId="3F24DB44" w:rsidR="00F9534F" w:rsidRPr="00FB229F" w:rsidRDefault="00F9534F" w:rsidP="00584326">
            <w:pPr>
              <w:pStyle w:val="TableText0"/>
              <w:rPr>
                <w:szCs w:val="20"/>
              </w:rPr>
            </w:pPr>
            <w:r w:rsidRPr="00FB229F">
              <w:rPr>
                <w:szCs w:val="20"/>
              </w:rPr>
              <w:t>65.0 (5.4)</w:t>
            </w:r>
          </w:p>
        </w:tc>
        <w:tc>
          <w:tcPr>
            <w:tcW w:w="1986" w:type="dxa"/>
          </w:tcPr>
          <w:p w14:paraId="0EB24142" w14:textId="78B84CBD" w:rsidR="00F9534F" w:rsidRPr="00FB229F" w:rsidRDefault="00F9534F" w:rsidP="00584326">
            <w:pPr>
              <w:pStyle w:val="TableText0"/>
              <w:rPr>
                <w:szCs w:val="20"/>
              </w:rPr>
            </w:pPr>
            <w:r w:rsidRPr="00FB229F">
              <w:rPr>
                <w:szCs w:val="20"/>
              </w:rPr>
              <w:t>65.0 (8.3)</w:t>
            </w:r>
            <w:r w:rsidRPr="00FB229F">
              <w:rPr>
                <w:szCs w:val="20"/>
                <w:vertAlign w:val="superscript"/>
              </w:rPr>
              <w:t>a</w:t>
            </w:r>
          </w:p>
        </w:tc>
      </w:tr>
      <w:tr w:rsidR="00F9534F" w:rsidRPr="00FB229F" w14:paraId="3669B238" w14:textId="77777777" w:rsidTr="00816BFB">
        <w:trPr>
          <w:cantSplit/>
        </w:trPr>
        <w:tc>
          <w:tcPr>
            <w:tcW w:w="1815" w:type="dxa"/>
          </w:tcPr>
          <w:p w14:paraId="6F479C77" w14:textId="77777777" w:rsidR="00F9534F" w:rsidRPr="00166045" w:rsidRDefault="00F9534F" w:rsidP="00584326">
            <w:pPr>
              <w:pStyle w:val="TableText0"/>
              <w:rPr>
                <w:szCs w:val="20"/>
              </w:rPr>
            </w:pPr>
            <w:r w:rsidRPr="00166045">
              <w:rPr>
                <w:szCs w:val="20"/>
              </w:rPr>
              <w:t>Sex</w:t>
            </w:r>
          </w:p>
        </w:tc>
        <w:tc>
          <w:tcPr>
            <w:tcW w:w="1810" w:type="dxa"/>
          </w:tcPr>
          <w:p w14:paraId="294A7BE4" w14:textId="77777777" w:rsidR="00F9534F" w:rsidRPr="00166045" w:rsidRDefault="00F9534F" w:rsidP="00584326">
            <w:pPr>
              <w:pStyle w:val="TableText0"/>
              <w:rPr>
                <w:szCs w:val="20"/>
              </w:rPr>
            </w:pPr>
            <w:r w:rsidRPr="00166045">
              <w:rPr>
                <w:szCs w:val="20"/>
              </w:rPr>
              <w:t>Female</w:t>
            </w:r>
          </w:p>
        </w:tc>
        <w:tc>
          <w:tcPr>
            <w:tcW w:w="1805" w:type="dxa"/>
          </w:tcPr>
          <w:p w14:paraId="297F9AA5" w14:textId="34AEAB62" w:rsidR="00F9534F" w:rsidRPr="00FB229F" w:rsidRDefault="00F9534F" w:rsidP="00584326">
            <w:pPr>
              <w:pStyle w:val="TableText0"/>
              <w:rPr>
                <w:szCs w:val="20"/>
              </w:rPr>
            </w:pPr>
            <w:r w:rsidRPr="00FB229F">
              <w:rPr>
                <w:szCs w:val="20"/>
              </w:rPr>
              <w:t>43 (62.3%)</w:t>
            </w:r>
          </w:p>
        </w:tc>
        <w:tc>
          <w:tcPr>
            <w:tcW w:w="1624" w:type="dxa"/>
          </w:tcPr>
          <w:p w14:paraId="1F5C63FD" w14:textId="12D31988" w:rsidR="00F9534F" w:rsidRPr="00FB229F" w:rsidRDefault="00F9534F" w:rsidP="00584326">
            <w:pPr>
              <w:pStyle w:val="TableText0"/>
              <w:rPr>
                <w:szCs w:val="20"/>
              </w:rPr>
            </w:pPr>
            <w:r w:rsidRPr="00FB229F">
              <w:rPr>
                <w:szCs w:val="20"/>
              </w:rPr>
              <w:t>11 (38.1%)</w:t>
            </w:r>
          </w:p>
        </w:tc>
        <w:tc>
          <w:tcPr>
            <w:tcW w:w="1986" w:type="dxa"/>
          </w:tcPr>
          <w:p w14:paraId="3674B5A8" w14:textId="77777777" w:rsidR="00F9534F" w:rsidRPr="00FB229F" w:rsidRDefault="00F9534F" w:rsidP="00584326">
            <w:pPr>
              <w:pStyle w:val="TableText0"/>
              <w:rPr>
                <w:szCs w:val="20"/>
              </w:rPr>
            </w:pPr>
            <w:r w:rsidRPr="00FB229F">
              <w:rPr>
                <w:szCs w:val="20"/>
              </w:rPr>
              <w:t>156 (38.0%)</w:t>
            </w:r>
          </w:p>
        </w:tc>
      </w:tr>
      <w:tr w:rsidR="00F9534F" w:rsidRPr="00FB229F" w14:paraId="06FAE764" w14:textId="77777777" w:rsidTr="00816BFB">
        <w:trPr>
          <w:cantSplit/>
        </w:trPr>
        <w:tc>
          <w:tcPr>
            <w:tcW w:w="1815" w:type="dxa"/>
          </w:tcPr>
          <w:p w14:paraId="0FE6CD10" w14:textId="77777777" w:rsidR="00F9534F" w:rsidRPr="00166045" w:rsidRDefault="00F9534F" w:rsidP="00584326">
            <w:pPr>
              <w:pStyle w:val="TableText0"/>
              <w:rPr>
                <w:szCs w:val="20"/>
              </w:rPr>
            </w:pPr>
            <w:r w:rsidRPr="00166045">
              <w:rPr>
                <w:szCs w:val="20"/>
              </w:rPr>
              <w:t>Smoking history</w:t>
            </w:r>
          </w:p>
        </w:tc>
        <w:tc>
          <w:tcPr>
            <w:tcW w:w="1810" w:type="dxa"/>
          </w:tcPr>
          <w:p w14:paraId="24559390" w14:textId="77777777" w:rsidR="00F9534F" w:rsidRPr="00166045" w:rsidRDefault="00F9534F" w:rsidP="00584326">
            <w:pPr>
              <w:pStyle w:val="TableText0"/>
              <w:rPr>
                <w:szCs w:val="20"/>
              </w:rPr>
            </w:pPr>
            <w:r w:rsidRPr="00166045">
              <w:rPr>
                <w:szCs w:val="20"/>
              </w:rPr>
              <w:t>Never smoked</w:t>
            </w:r>
          </w:p>
        </w:tc>
        <w:tc>
          <w:tcPr>
            <w:tcW w:w="1805" w:type="dxa"/>
          </w:tcPr>
          <w:p w14:paraId="020AD05C" w14:textId="6E008971" w:rsidR="00F9534F" w:rsidRPr="00FB229F" w:rsidRDefault="00F9534F" w:rsidP="00584326">
            <w:pPr>
              <w:pStyle w:val="TableText0"/>
              <w:rPr>
                <w:szCs w:val="20"/>
              </w:rPr>
            </w:pPr>
            <w:r w:rsidRPr="00FB229F">
              <w:rPr>
                <w:szCs w:val="20"/>
              </w:rPr>
              <w:t>48 (69.6%)</w:t>
            </w:r>
          </w:p>
        </w:tc>
        <w:tc>
          <w:tcPr>
            <w:tcW w:w="1624" w:type="dxa"/>
          </w:tcPr>
          <w:p w14:paraId="73E8131D" w14:textId="3876EB6E" w:rsidR="00F9534F" w:rsidRPr="00FB229F" w:rsidRDefault="00F9534F" w:rsidP="00584326">
            <w:pPr>
              <w:pStyle w:val="TableText0"/>
              <w:rPr>
                <w:szCs w:val="20"/>
              </w:rPr>
            </w:pPr>
            <w:r w:rsidRPr="00FB229F">
              <w:rPr>
                <w:szCs w:val="20"/>
              </w:rPr>
              <w:t>3 (11.7%)</w:t>
            </w:r>
          </w:p>
        </w:tc>
        <w:tc>
          <w:tcPr>
            <w:tcW w:w="1986" w:type="dxa"/>
          </w:tcPr>
          <w:p w14:paraId="29323A7F" w14:textId="77777777" w:rsidR="00F9534F" w:rsidRPr="00FB229F" w:rsidRDefault="00F9534F" w:rsidP="00584326">
            <w:pPr>
              <w:pStyle w:val="TableText0"/>
              <w:rPr>
                <w:szCs w:val="20"/>
              </w:rPr>
            </w:pPr>
            <w:r w:rsidRPr="00FB229F">
              <w:rPr>
                <w:szCs w:val="20"/>
              </w:rPr>
              <w:t>48 (11.7%)</w:t>
            </w:r>
          </w:p>
        </w:tc>
      </w:tr>
      <w:tr w:rsidR="00F9534F" w:rsidRPr="00FB229F" w14:paraId="73D3E1B5" w14:textId="77777777" w:rsidTr="00816BFB">
        <w:trPr>
          <w:cantSplit/>
        </w:trPr>
        <w:tc>
          <w:tcPr>
            <w:tcW w:w="1815" w:type="dxa"/>
            <w:vMerge w:val="restart"/>
          </w:tcPr>
          <w:p w14:paraId="628BA538" w14:textId="77777777" w:rsidR="00F9534F" w:rsidRPr="00166045" w:rsidRDefault="00F9534F" w:rsidP="00584326">
            <w:pPr>
              <w:pStyle w:val="TableText0"/>
              <w:rPr>
                <w:szCs w:val="20"/>
              </w:rPr>
            </w:pPr>
            <w:r w:rsidRPr="00166045">
              <w:rPr>
                <w:szCs w:val="20"/>
              </w:rPr>
              <w:t>ECOG PS</w:t>
            </w:r>
          </w:p>
        </w:tc>
        <w:tc>
          <w:tcPr>
            <w:tcW w:w="1810" w:type="dxa"/>
          </w:tcPr>
          <w:p w14:paraId="224E3089" w14:textId="77777777" w:rsidR="00F9534F" w:rsidRPr="00166045" w:rsidRDefault="00F9534F" w:rsidP="00584326">
            <w:pPr>
              <w:pStyle w:val="TableText0"/>
              <w:rPr>
                <w:szCs w:val="20"/>
              </w:rPr>
            </w:pPr>
            <w:r w:rsidRPr="00166045">
              <w:rPr>
                <w:szCs w:val="20"/>
              </w:rPr>
              <w:t>0</w:t>
            </w:r>
          </w:p>
        </w:tc>
        <w:tc>
          <w:tcPr>
            <w:tcW w:w="1805" w:type="dxa"/>
          </w:tcPr>
          <w:p w14:paraId="2CA8AD6B" w14:textId="5C358A82" w:rsidR="00F9534F" w:rsidRPr="00FB229F" w:rsidRDefault="00F9534F" w:rsidP="00584326">
            <w:pPr>
              <w:pStyle w:val="TableText0"/>
              <w:rPr>
                <w:szCs w:val="20"/>
              </w:rPr>
            </w:pPr>
            <w:r w:rsidRPr="00FB229F">
              <w:rPr>
                <w:szCs w:val="20"/>
              </w:rPr>
              <w:t>25 (36.2%)</w:t>
            </w:r>
          </w:p>
        </w:tc>
        <w:tc>
          <w:tcPr>
            <w:tcW w:w="1624" w:type="dxa"/>
          </w:tcPr>
          <w:p w14:paraId="5E11BDCE" w14:textId="6BF09BFE" w:rsidR="00F9534F" w:rsidRPr="00FB229F" w:rsidRDefault="00F9534F" w:rsidP="00584326">
            <w:pPr>
              <w:pStyle w:val="TableText0"/>
              <w:rPr>
                <w:szCs w:val="20"/>
              </w:rPr>
            </w:pPr>
            <w:r w:rsidRPr="00FB229F">
              <w:rPr>
                <w:szCs w:val="20"/>
              </w:rPr>
              <w:t>13 (45.1%)</w:t>
            </w:r>
          </w:p>
        </w:tc>
        <w:tc>
          <w:tcPr>
            <w:tcW w:w="1986" w:type="dxa"/>
          </w:tcPr>
          <w:p w14:paraId="69AB832A" w14:textId="77777777" w:rsidR="00F9534F" w:rsidRPr="00FB229F" w:rsidRDefault="00F9534F" w:rsidP="00584326">
            <w:pPr>
              <w:pStyle w:val="TableText0"/>
              <w:rPr>
                <w:szCs w:val="20"/>
              </w:rPr>
            </w:pPr>
            <w:r w:rsidRPr="00FB229F">
              <w:rPr>
                <w:szCs w:val="20"/>
              </w:rPr>
              <w:t>185 (45.1%)</w:t>
            </w:r>
          </w:p>
        </w:tc>
      </w:tr>
      <w:tr w:rsidR="00F9534F" w:rsidRPr="00FB229F" w14:paraId="0402843A" w14:textId="77777777" w:rsidTr="00816BFB">
        <w:trPr>
          <w:cantSplit/>
        </w:trPr>
        <w:tc>
          <w:tcPr>
            <w:tcW w:w="1815" w:type="dxa"/>
            <w:vMerge/>
          </w:tcPr>
          <w:p w14:paraId="2286DBD6" w14:textId="77777777" w:rsidR="00F9534F" w:rsidRPr="00166045" w:rsidRDefault="00F9534F" w:rsidP="00584326">
            <w:pPr>
              <w:pStyle w:val="TableText0"/>
              <w:rPr>
                <w:szCs w:val="20"/>
              </w:rPr>
            </w:pPr>
          </w:p>
        </w:tc>
        <w:tc>
          <w:tcPr>
            <w:tcW w:w="1810" w:type="dxa"/>
          </w:tcPr>
          <w:p w14:paraId="2AAC569E" w14:textId="77777777" w:rsidR="00F9534F" w:rsidRPr="00166045" w:rsidRDefault="00F9534F" w:rsidP="00584326">
            <w:pPr>
              <w:pStyle w:val="TableText0"/>
              <w:rPr>
                <w:szCs w:val="20"/>
              </w:rPr>
            </w:pPr>
            <w:r w:rsidRPr="00166045">
              <w:rPr>
                <w:szCs w:val="20"/>
              </w:rPr>
              <w:t>1</w:t>
            </w:r>
          </w:p>
        </w:tc>
        <w:tc>
          <w:tcPr>
            <w:tcW w:w="1805" w:type="dxa"/>
          </w:tcPr>
          <w:p w14:paraId="3083B5E1" w14:textId="2485C24A" w:rsidR="00F9534F" w:rsidRPr="00FB229F" w:rsidRDefault="00F9534F" w:rsidP="00584326">
            <w:pPr>
              <w:pStyle w:val="TableText0"/>
              <w:rPr>
                <w:szCs w:val="20"/>
              </w:rPr>
            </w:pPr>
            <w:r w:rsidRPr="00FB229F">
              <w:rPr>
                <w:szCs w:val="20"/>
              </w:rPr>
              <w:t>40 (58.0%)</w:t>
            </w:r>
          </w:p>
        </w:tc>
        <w:tc>
          <w:tcPr>
            <w:tcW w:w="1624" w:type="dxa"/>
          </w:tcPr>
          <w:p w14:paraId="47E54158" w14:textId="75449077" w:rsidR="00F9534F" w:rsidRPr="00FB229F" w:rsidRDefault="00F9534F" w:rsidP="00584326">
            <w:pPr>
              <w:pStyle w:val="TableText0"/>
              <w:rPr>
                <w:szCs w:val="20"/>
              </w:rPr>
            </w:pPr>
            <w:r w:rsidRPr="00FB229F">
              <w:rPr>
                <w:szCs w:val="20"/>
              </w:rPr>
              <w:t>15 (51.4%)</w:t>
            </w:r>
          </w:p>
        </w:tc>
        <w:tc>
          <w:tcPr>
            <w:tcW w:w="1986" w:type="dxa"/>
          </w:tcPr>
          <w:p w14:paraId="4108A72F" w14:textId="77777777" w:rsidR="00F9534F" w:rsidRPr="00FB229F" w:rsidRDefault="00F9534F" w:rsidP="00584326">
            <w:pPr>
              <w:pStyle w:val="TableText0"/>
              <w:rPr>
                <w:szCs w:val="20"/>
              </w:rPr>
            </w:pPr>
            <w:r w:rsidRPr="00FB229F">
              <w:rPr>
                <w:szCs w:val="20"/>
              </w:rPr>
              <w:t>221 (53.9%)</w:t>
            </w:r>
          </w:p>
        </w:tc>
      </w:tr>
      <w:tr w:rsidR="00F9534F" w:rsidRPr="00FB229F" w14:paraId="643A6E34" w14:textId="77777777" w:rsidTr="00816BFB">
        <w:trPr>
          <w:cantSplit/>
        </w:trPr>
        <w:tc>
          <w:tcPr>
            <w:tcW w:w="1815" w:type="dxa"/>
            <w:vMerge/>
          </w:tcPr>
          <w:p w14:paraId="6F9769DA" w14:textId="77777777" w:rsidR="00F9534F" w:rsidRPr="00166045" w:rsidRDefault="00F9534F" w:rsidP="00584326">
            <w:pPr>
              <w:pStyle w:val="TableText0"/>
              <w:rPr>
                <w:szCs w:val="20"/>
              </w:rPr>
            </w:pPr>
          </w:p>
        </w:tc>
        <w:tc>
          <w:tcPr>
            <w:tcW w:w="1810" w:type="dxa"/>
          </w:tcPr>
          <w:p w14:paraId="1EC4C6A9" w14:textId="77777777" w:rsidR="00F9534F" w:rsidRPr="00166045" w:rsidRDefault="00F9534F" w:rsidP="00584326">
            <w:pPr>
              <w:pStyle w:val="TableText0"/>
              <w:rPr>
                <w:szCs w:val="20"/>
              </w:rPr>
            </w:pPr>
            <w:r w:rsidRPr="00166045">
              <w:rPr>
                <w:szCs w:val="20"/>
              </w:rPr>
              <w:t>2</w:t>
            </w:r>
          </w:p>
        </w:tc>
        <w:tc>
          <w:tcPr>
            <w:tcW w:w="1805" w:type="dxa"/>
          </w:tcPr>
          <w:p w14:paraId="7E05FB9C" w14:textId="2ABFF822" w:rsidR="00F9534F" w:rsidRPr="00FB229F" w:rsidRDefault="00F9534F" w:rsidP="00584326">
            <w:pPr>
              <w:pStyle w:val="TableText0"/>
              <w:rPr>
                <w:szCs w:val="20"/>
              </w:rPr>
            </w:pPr>
            <w:r w:rsidRPr="00FB229F">
              <w:rPr>
                <w:szCs w:val="20"/>
              </w:rPr>
              <w:t>4 (5.8%)</w:t>
            </w:r>
          </w:p>
        </w:tc>
        <w:tc>
          <w:tcPr>
            <w:tcW w:w="1624" w:type="dxa"/>
          </w:tcPr>
          <w:p w14:paraId="4692950B" w14:textId="296179D7" w:rsidR="00F9534F" w:rsidRPr="00FB229F" w:rsidRDefault="00F9534F" w:rsidP="00584326">
            <w:pPr>
              <w:pStyle w:val="TableText0"/>
              <w:rPr>
                <w:szCs w:val="20"/>
              </w:rPr>
            </w:pPr>
            <w:r w:rsidRPr="00FB229F">
              <w:rPr>
                <w:szCs w:val="20"/>
              </w:rPr>
              <w:t>1 (3.5%)</w:t>
            </w:r>
          </w:p>
        </w:tc>
        <w:tc>
          <w:tcPr>
            <w:tcW w:w="1986" w:type="dxa"/>
          </w:tcPr>
          <w:p w14:paraId="006CAD21" w14:textId="77777777" w:rsidR="00F9534F" w:rsidRPr="00FB229F" w:rsidRDefault="00F9534F" w:rsidP="00584326">
            <w:pPr>
              <w:pStyle w:val="TableText0"/>
              <w:rPr>
                <w:szCs w:val="20"/>
              </w:rPr>
            </w:pPr>
            <w:r w:rsidRPr="00FB229F">
              <w:rPr>
                <w:szCs w:val="20"/>
              </w:rPr>
              <w:t>1 (0.2%)</w:t>
            </w:r>
          </w:p>
        </w:tc>
      </w:tr>
      <w:tr w:rsidR="00F9534F" w:rsidRPr="00FB229F" w14:paraId="25A6E7F5" w14:textId="77777777" w:rsidTr="00816BFB">
        <w:trPr>
          <w:cantSplit/>
        </w:trPr>
        <w:tc>
          <w:tcPr>
            <w:tcW w:w="1815" w:type="dxa"/>
          </w:tcPr>
          <w:p w14:paraId="30A2A8F8" w14:textId="77777777" w:rsidR="00F9534F" w:rsidRPr="00166045" w:rsidRDefault="00F9534F" w:rsidP="00584326">
            <w:pPr>
              <w:pStyle w:val="TableText0"/>
              <w:rPr>
                <w:szCs w:val="20"/>
              </w:rPr>
            </w:pPr>
            <w:r w:rsidRPr="00166045">
              <w:rPr>
                <w:szCs w:val="20"/>
              </w:rPr>
              <w:t>Brain metastases</w:t>
            </w:r>
          </w:p>
        </w:tc>
        <w:tc>
          <w:tcPr>
            <w:tcW w:w="1810" w:type="dxa"/>
          </w:tcPr>
          <w:p w14:paraId="6B38FC7F" w14:textId="77777777" w:rsidR="00F9534F" w:rsidRPr="00166045" w:rsidRDefault="00F9534F" w:rsidP="00584326">
            <w:pPr>
              <w:pStyle w:val="TableText0"/>
              <w:rPr>
                <w:szCs w:val="20"/>
              </w:rPr>
            </w:pPr>
            <w:r w:rsidRPr="00166045">
              <w:rPr>
                <w:szCs w:val="20"/>
              </w:rPr>
              <w:t>at baseline</w:t>
            </w:r>
          </w:p>
        </w:tc>
        <w:tc>
          <w:tcPr>
            <w:tcW w:w="1805" w:type="dxa"/>
          </w:tcPr>
          <w:p w14:paraId="043B7C24" w14:textId="69829792" w:rsidR="00F9534F" w:rsidRPr="00FB229F" w:rsidRDefault="00F9534F" w:rsidP="00584326">
            <w:pPr>
              <w:pStyle w:val="TableText0"/>
              <w:rPr>
                <w:szCs w:val="20"/>
              </w:rPr>
            </w:pPr>
            <w:r w:rsidRPr="00FB229F">
              <w:rPr>
                <w:szCs w:val="20"/>
              </w:rPr>
              <w:t>16 (23.2%)</w:t>
            </w:r>
          </w:p>
        </w:tc>
        <w:tc>
          <w:tcPr>
            <w:tcW w:w="1624" w:type="dxa"/>
          </w:tcPr>
          <w:p w14:paraId="7916290C" w14:textId="74298E11" w:rsidR="00F9534F" w:rsidRPr="00FB229F" w:rsidRDefault="00F9534F" w:rsidP="00584326">
            <w:pPr>
              <w:pStyle w:val="TableText0"/>
              <w:rPr>
                <w:szCs w:val="20"/>
              </w:rPr>
            </w:pPr>
            <w:r w:rsidRPr="00FB229F">
              <w:rPr>
                <w:szCs w:val="20"/>
              </w:rPr>
              <w:t>5 (17.8%)</w:t>
            </w:r>
          </w:p>
        </w:tc>
        <w:tc>
          <w:tcPr>
            <w:tcW w:w="1986" w:type="dxa"/>
          </w:tcPr>
          <w:p w14:paraId="6231A57F" w14:textId="77777777" w:rsidR="00F9534F" w:rsidRPr="00FB229F" w:rsidRDefault="00F9534F" w:rsidP="00584326">
            <w:pPr>
              <w:pStyle w:val="TableText0"/>
              <w:rPr>
                <w:szCs w:val="20"/>
              </w:rPr>
            </w:pPr>
            <w:r w:rsidRPr="00FB229F">
              <w:rPr>
                <w:szCs w:val="20"/>
              </w:rPr>
              <w:t>73 (17.8%)</w:t>
            </w:r>
          </w:p>
        </w:tc>
      </w:tr>
    </w:tbl>
    <w:p w14:paraId="0F1D6E49" w14:textId="77777777" w:rsidR="0043289E" w:rsidRPr="00FB229F" w:rsidRDefault="0043289E" w:rsidP="0043289E">
      <w:pPr>
        <w:pStyle w:val="TableFooter"/>
      </w:pPr>
      <w:r w:rsidRPr="00FB229F">
        <w:t>Source: Table 2-118, p282 of the submission.</w:t>
      </w:r>
    </w:p>
    <w:p w14:paraId="771C968C" w14:textId="35529838" w:rsidR="0043289E" w:rsidRPr="00FB229F" w:rsidRDefault="0043289E" w:rsidP="0043289E">
      <w:pPr>
        <w:pStyle w:val="TableFooter"/>
      </w:pPr>
      <w:r w:rsidRPr="00FB229F">
        <w:t>ECOG= Eastern Cooperative Oncology Group; ESS=effective sample size; PS</w:t>
      </w:r>
      <w:r w:rsidR="005C50B5" w:rsidRPr="00FB229F">
        <w:t>=</w:t>
      </w:r>
      <w:r w:rsidRPr="00FB229F">
        <w:t xml:space="preserve">performance status; </w:t>
      </w:r>
      <w:r w:rsidR="005C50B5" w:rsidRPr="00FB229F">
        <w:t xml:space="preserve">RET=Rearranged during Transfection </w:t>
      </w:r>
      <w:r w:rsidRPr="00FB229F">
        <w:t>SD</w:t>
      </w:r>
      <w:r w:rsidR="005C50B5" w:rsidRPr="00FB229F">
        <w:t>=</w:t>
      </w:r>
      <w:r w:rsidRPr="00FB229F">
        <w:t xml:space="preserve">standard deviation </w:t>
      </w:r>
    </w:p>
    <w:p w14:paraId="1EC86343" w14:textId="1C16A58D" w:rsidR="00DA3167" w:rsidRPr="00FB229F" w:rsidRDefault="0043289E" w:rsidP="0043289E">
      <w:pPr>
        <w:pStyle w:val="TableFooter"/>
        <w:rPr>
          <w:szCs w:val="16"/>
        </w:rPr>
      </w:pPr>
      <w:r w:rsidRPr="00FB229F">
        <w:rPr>
          <w:szCs w:val="16"/>
          <w:vertAlign w:val="superscript"/>
        </w:rPr>
        <w:t>a</w:t>
      </w:r>
      <w:r w:rsidR="00866B13" w:rsidRPr="00FB229F">
        <w:rPr>
          <w:szCs w:val="16"/>
          <w:vertAlign w:val="superscript"/>
        </w:rPr>
        <w:t xml:space="preserve"> </w:t>
      </w:r>
      <w:r w:rsidRPr="00FB229F">
        <w:rPr>
          <w:szCs w:val="16"/>
        </w:rPr>
        <w:t>Mean age for KN-189 was assumed to be equal to median age. SD was calculated as range divided by 6</w:t>
      </w:r>
    </w:p>
    <w:p w14:paraId="4D456068" w14:textId="2BD9CF37" w:rsidR="00584326" w:rsidRPr="00FB229F" w:rsidRDefault="00584326" w:rsidP="00584326">
      <w:pPr>
        <w:pStyle w:val="TableFooter"/>
        <w:rPr>
          <w:iCs/>
        </w:rPr>
      </w:pPr>
      <w:r w:rsidRPr="00FB229F">
        <w:rPr>
          <w:iCs/>
          <w:vertAlign w:val="superscript"/>
        </w:rPr>
        <w:t>b</w:t>
      </w:r>
      <w:r w:rsidR="00866B13" w:rsidRPr="00FB229F">
        <w:rPr>
          <w:iCs/>
          <w:vertAlign w:val="superscript"/>
        </w:rPr>
        <w:t xml:space="preserve"> </w:t>
      </w:r>
      <w:r w:rsidRPr="00FB229F">
        <w:rPr>
          <w:iCs/>
        </w:rPr>
        <w:t>Percentages for patient characteristics after adjustment were not based on the ESS or the original sample size of 69. The denominators used could not be identified from the submission or the technical report (Attachment A3.4) accompanying the submission.</w:t>
      </w:r>
    </w:p>
    <w:p w14:paraId="0C85057F" w14:textId="2E8AC191" w:rsidR="00584326" w:rsidRPr="00166045" w:rsidRDefault="00584326" w:rsidP="00816BFB">
      <w:pPr>
        <w:pStyle w:val="TableFooter"/>
        <w:spacing w:after="120"/>
        <w:rPr>
          <w:iCs/>
        </w:rPr>
      </w:pPr>
      <w:r w:rsidRPr="00FB229F">
        <w:rPr>
          <w:iCs/>
        </w:rPr>
        <w:t>Percentages rounded to one decimal place.</w:t>
      </w:r>
    </w:p>
    <w:p w14:paraId="4B820C41" w14:textId="03E4CD56" w:rsidR="00DA23D7" w:rsidRPr="00FB229F" w:rsidRDefault="00DA23D7" w:rsidP="007B1BC5">
      <w:pPr>
        <w:pStyle w:val="3-BodyText"/>
        <w:ind w:left="709" w:hanging="709"/>
      </w:pPr>
      <w:bookmarkStart w:id="46" w:name="_Ref137120343"/>
      <w:r w:rsidRPr="00FB229F">
        <w:t xml:space="preserve">Matching resulted in a reduced sample size of the </w:t>
      </w:r>
      <w:r w:rsidR="00D266EB" w:rsidRPr="00FB229F">
        <w:t xml:space="preserve">treatment-naïve cohort </w:t>
      </w:r>
      <w:r w:rsidRPr="00FB229F">
        <w:t>LIBRETTO-001 study which originally was only comprised of 69 patients. This impacts the reliability of the results and indicates the lack of overlap between the LIBRETTO-001 and KN-189 studies</w:t>
      </w:r>
      <w:r w:rsidR="00BB3851" w:rsidRPr="00FB229F">
        <w:t>. Where there is poor overlap between the populations being compared, unanchored MAICs cannot adjust for several factors while maintaining a sufficiently large ESS</w:t>
      </w:r>
      <w:r w:rsidRPr="00FB229F">
        <w:t>:</w:t>
      </w:r>
      <w:bookmarkEnd w:id="46"/>
    </w:p>
    <w:p w14:paraId="571CEDE8" w14:textId="77777777" w:rsidR="0043289E" w:rsidRPr="00FB229F" w:rsidRDefault="0043289E" w:rsidP="00816BFB">
      <w:pPr>
        <w:pStyle w:val="Bulletpoints"/>
      </w:pPr>
      <w:r w:rsidRPr="00FB229F">
        <w:lastRenderedPageBreak/>
        <w:t xml:space="preserve">For Model 1, baseline characteristics were well balanced after matching except for ‘Never smokers’ which was not adjusted for. The sample size of the selpercatinib arm in LIBRETTO-001 (n=69) was reduced </w:t>
      </w:r>
      <w:r w:rsidR="00DA23D7" w:rsidRPr="00FB229F">
        <w:t>to</w:t>
      </w:r>
      <w:r w:rsidRPr="00FB229F">
        <w:t xml:space="preserve"> an effective sample size (ESS) of 46.5</w:t>
      </w:r>
      <w:r w:rsidR="00DA23D7" w:rsidRPr="00FB229F">
        <w:t xml:space="preserve"> due to matching. A</w:t>
      </w:r>
      <w:r w:rsidRPr="00FB229F">
        <w:t>pproximately 67% of the original sample size</w:t>
      </w:r>
      <w:r w:rsidR="00DA23D7" w:rsidRPr="00FB229F">
        <w:t xml:space="preserve"> was retained.</w:t>
      </w:r>
    </w:p>
    <w:p w14:paraId="0BDFC463" w14:textId="77777777" w:rsidR="00247925" w:rsidRPr="00FB229F" w:rsidRDefault="0043289E" w:rsidP="00816BFB">
      <w:pPr>
        <w:pStyle w:val="Bulletpoints"/>
      </w:pPr>
      <w:r w:rsidRPr="00FB229F">
        <w:t>For Model 2, baseline characteristics were well balanced after matching for all the covariates including smoking. However, the sample size of the selpercatinib arm in LIBRETTO-001 (n=69) was substantially reduced due to matching to an ESS of 21.83</w:t>
      </w:r>
      <w:r w:rsidR="00DA23D7" w:rsidRPr="00FB229F">
        <w:t xml:space="preserve">. Approximately </w:t>
      </w:r>
      <w:r w:rsidRPr="00FB229F">
        <w:t>only 32% of the original sample size</w:t>
      </w:r>
      <w:r w:rsidR="00DA23D7" w:rsidRPr="00FB229F">
        <w:t xml:space="preserve"> was retained</w:t>
      </w:r>
      <w:r w:rsidRPr="00FB229F">
        <w:t>.</w:t>
      </w:r>
    </w:p>
    <w:p w14:paraId="227DBB0C" w14:textId="1365DBE8" w:rsidR="00760C4E" w:rsidRPr="00FB229F" w:rsidRDefault="00DA23D7" w:rsidP="007F03AD">
      <w:pPr>
        <w:pStyle w:val="3-BodyText"/>
        <w:ind w:left="709" w:hanging="709"/>
      </w:pPr>
      <w:r w:rsidRPr="00FB229F">
        <w:rPr>
          <w:snapToGrid/>
        </w:rPr>
        <w:t xml:space="preserve">Results of the unanchored MAICs for PFS and OS </w:t>
      </w:r>
      <w:r w:rsidR="00A4688E" w:rsidRPr="00FB229F">
        <w:rPr>
          <w:snapToGrid/>
        </w:rPr>
        <w:t xml:space="preserve">using </w:t>
      </w:r>
      <w:r w:rsidRPr="00FB229F">
        <w:rPr>
          <w:snapToGrid/>
        </w:rPr>
        <w:t>Models 1 and 2 are summarised in</w:t>
      </w:r>
      <w:r w:rsidR="008D056D" w:rsidRPr="00FB229F">
        <w:rPr>
          <w:snapToGrid/>
        </w:rPr>
        <w:t xml:space="preserve"> </w:t>
      </w:r>
      <w:r w:rsidR="008D056D" w:rsidRPr="00FB229F">
        <w:rPr>
          <w:snapToGrid/>
        </w:rPr>
        <w:fldChar w:fldCharType="begin" w:fldLock="1"/>
      </w:r>
      <w:r w:rsidR="008D056D" w:rsidRPr="00FB229F">
        <w:rPr>
          <w:snapToGrid/>
        </w:rPr>
        <w:instrText xml:space="preserve"> REF _Ref131776231 \h </w:instrText>
      </w:r>
      <w:r w:rsidR="008D056D" w:rsidRPr="00FB229F">
        <w:rPr>
          <w:snapToGrid/>
        </w:rPr>
      </w:r>
      <w:r w:rsidR="008D056D" w:rsidRPr="00FB229F">
        <w:rPr>
          <w:snapToGrid/>
        </w:rPr>
        <w:fldChar w:fldCharType="separate"/>
      </w:r>
      <w:r w:rsidR="00CA7201" w:rsidRPr="00FB229F">
        <w:t xml:space="preserve">Table </w:t>
      </w:r>
      <w:r w:rsidR="00CA7201" w:rsidRPr="00166045">
        <w:t>15</w:t>
      </w:r>
      <w:r w:rsidR="008D056D" w:rsidRPr="00FB229F">
        <w:rPr>
          <w:snapToGrid/>
        </w:rPr>
        <w:fldChar w:fldCharType="end"/>
      </w:r>
      <w:r w:rsidR="008D056D" w:rsidRPr="00FB229F">
        <w:rPr>
          <w:snapToGrid/>
        </w:rPr>
        <w:t xml:space="preserve">. Unadjusted results are included for comparison. The </w:t>
      </w:r>
      <w:r w:rsidR="00BB3851" w:rsidRPr="00FB229F">
        <w:rPr>
          <w:snapToGrid/>
        </w:rPr>
        <w:t xml:space="preserve">PFS and OS </w:t>
      </w:r>
      <w:r w:rsidR="008D056D" w:rsidRPr="00FB229F">
        <w:rPr>
          <w:snapToGrid/>
        </w:rPr>
        <w:t xml:space="preserve">KM curves </w:t>
      </w:r>
      <w:r w:rsidR="00BB3851" w:rsidRPr="00FB229F">
        <w:rPr>
          <w:snapToGrid/>
        </w:rPr>
        <w:t xml:space="preserve">for Model 1 </w:t>
      </w:r>
      <w:r w:rsidR="008D056D" w:rsidRPr="00FB229F">
        <w:rPr>
          <w:snapToGrid/>
        </w:rPr>
        <w:t xml:space="preserve">are presented in </w:t>
      </w:r>
      <w:r w:rsidR="00BB3851" w:rsidRPr="00FB229F">
        <w:rPr>
          <w:snapToGrid/>
        </w:rPr>
        <w:fldChar w:fldCharType="begin" w:fldLock="1"/>
      </w:r>
      <w:r w:rsidR="00BB3851" w:rsidRPr="00FB229F">
        <w:rPr>
          <w:snapToGrid/>
        </w:rPr>
        <w:instrText xml:space="preserve"> REF _Ref131776887 \h </w:instrText>
      </w:r>
      <w:r w:rsidR="00BB3851" w:rsidRPr="00FB229F">
        <w:rPr>
          <w:snapToGrid/>
        </w:rPr>
      </w:r>
      <w:r w:rsidR="00BB3851" w:rsidRPr="00FB229F">
        <w:rPr>
          <w:snapToGrid/>
        </w:rPr>
        <w:fldChar w:fldCharType="separate"/>
      </w:r>
      <w:r w:rsidR="00CA7201" w:rsidRPr="00FB229F">
        <w:t xml:space="preserve">Figure </w:t>
      </w:r>
      <w:r w:rsidR="00CA7201" w:rsidRPr="00166045">
        <w:t>3</w:t>
      </w:r>
      <w:r w:rsidR="00BB3851" w:rsidRPr="00FB229F">
        <w:rPr>
          <w:snapToGrid/>
        </w:rPr>
        <w:fldChar w:fldCharType="end"/>
      </w:r>
      <w:r w:rsidR="00BB3851" w:rsidRPr="00FB229F">
        <w:rPr>
          <w:snapToGrid/>
        </w:rPr>
        <w:t xml:space="preserve"> and </w:t>
      </w:r>
      <w:r w:rsidR="00BB3851" w:rsidRPr="00FB229F">
        <w:rPr>
          <w:snapToGrid/>
        </w:rPr>
        <w:fldChar w:fldCharType="begin" w:fldLock="1"/>
      </w:r>
      <w:r w:rsidR="00BB3851" w:rsidRPr="00FB229F">
        <w:rPr>
          <w:snapToGrid/>
        </w:rPr>
        <w:instrText xml:space="preserve"> REF _Ref131776889 \h </w:instrText>
      </w:r>
      <w:r w:rsidR="00BB3851" w:rsidRPr="00FB229F">
        <w:rPr>
          <w:snapToGrid/>
        </w:rPr>
      </w:r>
      <w:r w:rsidR="00BB3851" w:rsidRPr="00FB229F">
        <w:rPr>
          <w:snapToGrid/>
        </w:rPr>
        <w:fldChar w:fldCharType="separate"/>
      </w:r>
      <w:r w:rsidR="00CA7201" w:rsidRPr="00FB229F">
        <w:t xml:space="preserve">Figure </w:t>
      </w:r>
      <w:r w:rsidR="00CA7201" w:rsidRPr="00166045">
        <w:t>4</w:t>
      </w:r>
      <w:r w:rsidR="00BB3851" w:rsidRPr="00FB229F">
        <w:rPr>
          <w:snapToGrid/>
        </w:rPr>
        <w:fldChar w:fldCharType="end"/>
      </w:r>
      <w:r w:rsidR="008D056D" w:rsidRPr="00FB229F">
        <w:rPr>
          <w:snapToGrid/>
        </w:rPr>
        <w:t xml:space="preserve">, respectively. The </w:t>
      </w:r>
      <w:r w:rsidR="00BB3851" w:rsidRPr="00FB229F">
        <w:rPr>
          <w:snapToGrid/>
        </w:rPr>
        <w:t>PFS and OS KM</w:t>
      </w:r>
      <w:r w:rsidR="008D056D" w:rsidRPr="00FB229F">
        <w:rPr>
          <w:snapToGrid/>
        </w:rPr>
        <w:t xml:space="preserve"> curves </w:t>
      </w:r>
      <w:r w:rsidR="00BB3851" w:rsidRPr="00FB229F">
        <w:rPr>
          <w:snapToGrid/>
        </w:rPr>
        <w:t xml:space="preserve">for Model 2 </w:t>
      </w:r>
      <w:r w:rsidR="008D056D" w:rsidRPr="00FB229F">
        <w:rPr>
          <w:snapToGrid/>
        </w:rPr>
        <w:t xml:space="preserve">are presented in </w:t>
      </w:r>
      <w:r w:rsidR="00BB3851" w:rsidRPr="00FB229F">
        <w:rPr>
          <w:snapToGrid/>
        </w:rPr>
        <w:fldChar w:fldCharType="begin" w:fldLock="1"/>
      </w:r>
      <w:r w:rsidR="00BB3851" w:rsidRPr="00FB229F">
        <w:rPr>
          <w:snapToGrid/>
        </w:rPr>
        <w:instrText xml:space="preserve"> REF _Ref131777018 \h </w:instrText>
      </w:r>
      <w:r w:rsidR="00BB3851" w:rsidRPr="00FB229F">
        <w:rPr>
          <w:snapToGrid/>
        </w:rPr>
      </w:r>
      <w:r w:rsidR="00BB3851" w:rsidRPr="00FB229F">
        <w:rPr>
          <w:snapToGrid/>
        </w:rPr>
        <w:fldChar w:fldCharType="separate"/>
      </w:r>
      <w:r w:rsidR="00CA7201" w:rsidRPr="00FB229F">
        <w:t xml:space="preserve">Figure </w:t>
      </w:r>
      <w:r w:rsidR="00CA7201" w:rsidRPr="00166045">
        <w:t>5</w:t>
      </w:r>
      <w:r w:rsidR="00BB3851" w:rsidRPr="00FB229F">
        <w:rPr>
          <w:snapToGrid/>
        </w:rPr>
        <w:fldChar w:fldCharType="end"/>
      </w:r>
      <w:r w:rsidR="00BB3851" w:rsidRPr="00FB229F">
        <w:rPr>
          <w:snapToGrid/>
        </w:rPr>
        <w:t xml:space="preserve"> and </w:t>
      </w:r>
      <w:r w:rsidR="00BB3851" w:rsidRPr="00FB229F">
        <w:rPr>
          <w:snapToGrid/>
        </w:rPr>
        <w:fldChar w:fldCharType="begin" w:fldLock="1"/>
      </w:r>
      <w:r w:rsidR="00BB3851" w:rsidRPr="00FB229F">
        <w:rPr>
          <w:snapToGrid/>
        </w:rPr>
        <w:instrText xml:space="preserve"> REF _Ref131777020 \h </w:instrText>
      </w:r>
      <w:r w:rsidR="00BB3851" w:rsidRPr="00FB229F">
        <w:rPr>
          <w:snapToGrid/>
        </w:rPr>
      </w:r>
      <w:r w:rsidR="00BB3851" w:rsidRPr="00FB229F">
        <w:rPr>
          <w:snapToGrid/>
        </w:rPr>
        <w:fldChar w:fldCharType="separate"/>
      </w:r>
      <w:r w:rsidR="00CA7201" w:rsidRPr="00FB229F">
        <w:t xml:space="preserve">Figure </w:t>
      </w:r>
      <w:r w:rsidR="00CA7201" w:rsidRPr="00166045">
        <w:t>6</w:t>
      </w:r>
      <w:r w:rsidR="00BB3851" w:rsidRPr="00FB229F">
        <w:rPr>
          <w:snapToGrid/>
        </w:rPr>
        <w:fldChar w:fldCharType="end"/>
      </w:r>
      <w:r w:rsidR="008D056D" w:rsidRPr="00FB229F">
        <w:rPr>
          <w:snapToGrid/>
        </w:rPr>
        <w:t>, respectively.</w:t>
      </w:r>
    </w:p>
    <w:p w14:paraId="4C7D6DDC" w14:textId="6F0D69CA" w:rsidR="00DA23D7" w:rsidRPr="00FB229F" w:rsidRDefault="00DA23D7" w:rsidP="00DA23D7">
      <w:pPr>
        <w:pStyle w:val="Caption"/>
      </w:pPr>
      <w:bookmarkStart w:id="47" w:name="_Ref131776231"/>
      <w:r w:rsidRPr="00FB229F">
        <w:t xml:space="preserve">Table </w:t>
      </w:r>
      <w:r w:rsidR="00BF0AEB">
        <w:fldChar w:fldCharType="begin" w:fldLock="1"/>
      </w:r>
      <w:r w:rsidR="00BF0AEB">
        <w:instrText xml:space="preserve"> SEQ Table \* ARABIC </w:instrText>
      </w:r>
      <w:r w:rsidR="00BF0AEB">
        <w:fldChar w:fldCharType="separate"/>
      </w:r>
      <w:r w:rsidR="00CA7201" w:rsidRPr="00166045">
        <w:t>15</w:t>
      </w:r>
      <w:r w:rsidR="00BF0AEB">
        <w:fldChar w:fldCharType="end"/>
      </w:r>
      <w:bookmarkEnd w:id="47"/>
      <w:r w:rsidRPr="00FB229F">
        <w:t xml:space="preserve">: Indirect comparison of PFS and OS </w:t>
      </w:r>
      <w:r w:rsidR="008D056D" w:rsidRPr="00FB229F">
        <w:t xml:space="preserve">- </w:t>
      </w:r>
      <w:r w:rsidRPr="00FB229F">
        <w:t>unadjusted analysis and MAIC Models 1 and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1985"/>
        <w:gridCol w:w="2500"/>
      </w:tblGrid>
      <w:tr w:rsidR="00DA23D7" w:rsidRPr="00FB229F" w14:paraId="6A91DDA1" w14:textId="77777777" w:rsidTr="00F90FA2">
        <w:trPr>
          <w:cantSplit/>
        </w:trPr>
        <w:tc>
          <w:tcPr>
            <w:tcW w:w="2263" w:type="dxa"/>
          </w:tcPr>
          <w:p w14:paraId="02EC7B19" w14:textId="77777777" w:rsidR="00DA23D7" w:rsidRPr="00FB229F" w:rsidRDefault="00DA23D7" w:rsidP="00701B5D">
            <w:pPr>
              <w:pStyle w:val="Tabletext"/>
              <w:rPr>
                <w:b/>
                <w:bCs/>
                <w:szCs w:val="20"/>
              </w:rPr>
            </w:pPr>
            <w:r w:rsidRPr="00FB229F">
              <w:rPr>
                <w:b/>
              </w:rPr>
              <w:t>Model</w:t>
            </w:r>
          </w:p>
        </w:tc>
        <w:tc>
          <w:tcPr>
            <w:tcW w:w="2268" w:type="dxa"/>
          </w:tcPr>
          <w:p w14:paraId="453B3052" w14:textId="77777777" w:rsidR="00DA23D7" w:rsidRPr="00FB229F" w:rsidRDefault="00DA23D7" w:rsidP="00701B5D">
            <w:pPr>
              <w:pStyle w:val="Tabletext"/>
              <w:rPr>
                <w:b/>
              </w:rPr>
            </w:pPr>
            <w:r w:rsidRPr="00FB229F">
              <w:rPr>
                <w:b/>
              </w:rPr>
              <w:t>KN-189</w:t>
            </w:r>
          </w:p>
          <w:p w14:paraId="0AB98326" w14:textId="77777777" w:rsidR="00DA23D7" w:rsidRPr="00FB229F" w:rsidRDefault="00DA23D7" w:rsidP="00701B5D">
            <w:pPr>
              <w:pStyle w:val="Tabletext"/>
              <w:rPr>
                <w:b/>
              </w:rPr>
            </w:pPr>
            <w:r w:rsidRPr="00FB229F">
              <w:rPr>
                <w:b/>
              </w:rPr>
              <w:t>Pembrolizumab + PC</w:t>
            </w:r>
          </w:p>
          <w:p w14:paraId="09E90C9E" w14:textId="77777777" w:rsidR="00DA23D7" w:rsidRPr="00FB229F" w:rsidRDefault="00DA23D7" w:rsidP="00701B5D">
            <w:pPr>
              <w:pStyle w:val="Tabletext"/>
              <w:rPr>
                <w:b/>
              </w:rPr>
            </w:pPr>
            <w:r w:rsidRPr="00FB229F">
              <w:rPr>
                <w:b/>
              </w:rPr>
              <w:t xml:space="preserve">Regardless of </w:t>
            </w:r>
            <w:r w:rsidRPr="00FB229F">
              <w:rPr>
                <w:b/>
                <w:i/>
                <w:iCs/>
              </w:rPr>
              <w:t>RET</w:t>
            </w:r>
            <w:r w:rsidRPr="00FB229F">
              <w:rPr>
                <w:b/>
              </w:rPr>
              <w:t xml:space="preserve"> fusion status</w:t>
            </w:r>
          </w:p>
          <w:p w14:paraId="4C95CBA2" w14:textId="77777777" w:rsidR="00DA23D7" w:rsidRPr="00FB229F" w:rsidRDefault="00DA23D7" w:rsidP="00701B5D">
            <w:pPr>
              <w:pStyle w:val="Tabletext"/>
              <w:rPr>
                <w:b/>
                <w:bCs/>
                <w:szCs w:val="20"/>
              </w:rPr>
            </w:pPr>
            <w:r w:rsidRPr="00FB229F">
              <w:rPr>
                <w:b/>
              </w:rPr>
              <w:t>Median (95% CI)</w:t>
            </w:r>
          </w:p>
        </w:tc>
        <w:tc>
          <w:tcPr>
            <w:tcW w:w="1985" w:type="dxa"/>
          </w:tcPr>
          <w:p w14:paraId="29B1F592" w14:textId="77777777" w:rsidR="00DA23D7" w:rsidRPr="00FB229F" w:rsidRDefault="00DA23D7" w:rsidP="00701B5D">
            <w:pPr>
              <w:pStyle w:val="Tabletext"/>
              <w:rPr>
                <w:b/>
                <w:bCs/>
                <w:szCs w:val="20"/>
              </w:rPr>
            </w:pPr>
            <w:r w:rsidRPr="00FB229F">
              <w:rPr>
                <w:b/>
              </w:rPr>
              <w:t>LIBRETTO-001</w:t>
            </w:r>
          </w:p>
          <w:p w14:paraId="2B26B536" w14:textId="77777777" w:rsidR="00DA23D7" w:rsidRPr="00FB229F" w:rsidRDefault="00DA23D7" w:rsidP="00701B5D">
            <w:pPr>
              <w:pStyle w:val="Tabletext"/>
              <w:rPr>
                <w:b/>
              </w:rPr>
            </w:pPr>
            <w:r w:rsidRPr="00FB229F">
              <w:rPr>
                <w:b/>
              </w:rPr>
              <w:t>Selpercatinib</w:t>
            </w:r>
          </w:p>
          <w:p w14:paraId="0702A3ED" w14:textId="77777777" w:rsidR="00DA23D7" w:rsidRPr="00FB229F" w:rsidRDefault="00DA23D7" w:rsidP="00701B5D">
            <w:pPr>
              <w:pStyle w:val="Tabletext"/>
              <w:rPr>
                <w:b/>
                <w:bCs/>
                <w:szCs w:val="20"/>
              </w:rPr>
            </w:pPr>
            <w:r w:rsidRPr="00FB229F">
              <w:rPr>
                <w:b/>
                <w:i/>
                <w:iCs/>
              </w:rPr>
              <w:t>RET</w:t>
            </w:r>
            <w:r w:rsidRPr="00FB229F">
              <w:rPr>
                <w:b/>
              </w:rPr>
              <w:t xml:space="preserve"> fusion-positive</w:t>
            </w:r>
          </w:p>
          <w:p w14:paraId="0B575D45" w14:textId="77777777" w:rsidR="00DA23D7" w:rsidRPr="00FB229F" w:rsidRDefault="00DA23D7" w:rsidP="00701B5D">
            <w:pPr>
              <w:pStyle w:val="Tabletext"/>
              <w:rPr>
                <w:b/>
                <w:bCs/>
                <w:szCs w:val="20"/>
              </w:rPr>
            </w:pPr>
            <w:r w:rsidRPr="00FB229F">
              <w:rPr>
                <w:b/>
              </w:rPr>
              <w:t>Median (95% CI)</w:t>
            </w:r>
          </w:p>
        </w:tc>
        <w:tc>
          <w:tcPr>
            <w:tcW w:w="2500" w:type="dxa"/>
          </w:tcPr>
          <w:p w14:paraId="31A1CCF3" w14:textId="77777777" w:rsidR="00DA23D7" w:rsidRPr="00FB229F" w:rsidRDefault="00DA23D7" w:rsidP="00701B5D">
            <w:pPr>
              <w:pStyle w:val="Tabletext"/>
              <w:rPr>
                <w:b/>
                <w:bCs/>
                <w:szCs w:val="20"/>
              </w:rPr>
            </w:pPr>
            <w:r w:rsidRPr="00FB229F">
              <w:rPr>
                <w:b/>
              </w:rPr>
              <w:t>Selpercatinib vs Pembrolizumab + PC</w:t>
            </w:r>
          </w:p>
          <w:p w14:paraId="2740588D" w14:textId="77777777" w:rsidR="00DA23D7" w:rsidRPr="00FB229F" w:rsidRDefault="00DA23D7" w:rsidP="00701B5D">
            <w:pPr>
              <w:pStyle w:val="Tabletext"/>
              <w:rPr>
                <w:b/>
                <w:bCs/>
                <w:szCs w:val="20"/>
              </w:rPr>
            </w:pPr>
            <w:r w:rsidRPr="00FB229F">
              <w:rPr>
                <w:b/>
              </w:rPr>
              <w:t>HR (95% CI) [p-value]</w:t>
            </w:r>
          </w:p>
        </w:tc>
      </w:tr>
      <w:tr w:rsidR="00DA23D7" w:rsidRPr="00FB229F" w14:paraId="3924E7B5" w14:textId="77777777" w:rsidTr="00F90FA2">
        <w:trPr>
          <w:cantSplit/>
        </w:trPr>
        <w:tc>
          <w:tcPr>
            <w:tcW w:w="9016" w:type="dxa"/>
            <w:gridSpan w:val="4"/>
          </w:tcPr>
          <w:p w14:paraId="78F06378" w14:textId="77777777" w:rsidR="00DA23D7" w:rsidRPr="00FB229F" w:rsidRDefault="00DA23D7" w:rsidP="00701B5D">
            <w:pPr>
              <w:pStyle w:val="Tabletext"/>
              <w:rPr>
                <w:b/>
              </w:rPr>
            </w:pPr>
            <w:r w:rsidRPr="00FB229F">
              <w:rPr>
                <w:b/>
              </w:rPr>
              <w:t>PFS</w:t>
            </w:r>
          </w:p>
        </w:tc>
      </w:tr>
      <w:tr w:rsidR="00DA23D7" w:rsidRPr="00FB229F" w14:paraId="6508B514" w14:textId="77777777" w:rsidTr="00F90FA2">
        <w:trPr>
          <w:cantSplit/>
        </w:trPr>
        <w:tc>
          <w:tcPr>
            <w:tcW w:w="2263" w:type="dxa"/>
          </w:tcPr>
          <w:p w14:paraId="57D9E0FF" w14:textId="77777777" w:rsidR="00DA23D7" w:rsidRPr="00FB229F" w:rsidRDefault="00DA23D7" w:rsidP="00701B5D">
            <w:pPr>
              <w:pStyle w:val="Tabletext"/>
            </w:pPr>
            <w:r w:rsidRPr="00FB229F">
              <w:t>Unadjusted (non-matching)</w:t>
            </w:r>
          </w:p>
        </w:tc>
        <w:tc>
          <w:tcPr>
            <w:tcW w:w="2268" w:type="dxa"/>
          </w:tcPr>
          <w:p w14:paraId="5C997319" w14:textId="77777777" w:rsidR="00DA23D7" w:rsidRPr="00FB229F" w:rsidRDefault="00DA23D7" w:rsidP="00701B5D">
            <w:pPr>
              <w:pStyle w:val="Tabletext"/>
            </w:pPr>
            <w:r w:rsidRPr="00FB229F">
              <w:t>9.0 months (8.2, 10.5)</w:t>
            </w:r>
          </w:p>
        </w:tc>
        <w:tc>
          <w:tcPr>
            <w:tcW w:w="1985" w:type="dxa"/>
          </w:tcPr>
          <w:p w14:paraId="05E16578" w14:textId="77777777" w:rsidR="00DA23D7" w:rsidRPr="00FB229F" w:rsidRDefault="00DA23D7" w:rsidP="00701B5D">
            <w:pPr>
              <w:pStyle w:val="Tabletext"/>
            </w:pPr>
            <w:r w:rsidRPr="00FB229F">
              <w:t>21.9 months (13.8, NR)</w:t>
            </w:r>
          </w:p>
        </w:tc>
        <w:tc>
          <w:tcPr>
            <w:tcW w:w="2500" w:type="dxa"/>
          </w:tcPr>
          <w:p w14:paraId="32FE68D6" w14:textId="77777777" w:rsidR="00DA23D7" w:rsidRPr="00FB229F" w:rsidRDefault="00DA23D7" w:rsidP="00701B5D">
            <w:pPr>
              <w:pStyle w:val="Tabletext"/>
            </w:pPr>
            <w:r w:rsidRPr="00FB229F">
              <w:t>0.46 (0.32, 0.66) [p&lt;0.001]</w:t>
            </w:r>
          </w:p>
        </w:tc>
      </w:tr>
      <w:tr w:rsidR="00DA23D7" w:rsidRPr="00FB229F" w14:paraId="568EDC13" w14:textId="77777777" w:rsidTr="00F90FA2">
        <w:trPr>
          <w:cantSplit/>
        </w:trPr>
        <w:tc>
          <w:tcPr>
            <w:tcW w:w="2263" w:type="dxa"/>
          </w:tcPr>
          <w:p w14:paraId="1A17AA38" w14:textId="77777777" w:rsidR="00DA23D7" w:rsidRPr="00FB229F" w:rsidRDefault="00DA23D7" w:rsidP="00701B5D">
            <w:pPr>
              <w:pStyle w:val="Tabletext"/>
            </w:pPr>
            <w:r w:rsidRPr="00FB229F">
              <w:t>Adjusted Model 1</w:t>
            </w:r>
          </w:p>
        </w:tc>
        <w:tc>
          <w:tcPr>
            <w:tcW w:w="2268" w:type="dxa"/>
          </w:tcPr>
          <w:p w14:paraId="18E9D3AE" w14:textId="77777777" w:rsidR="00DA23D7" w:rsidRPr="00FB229F" w:rsidRDefault="00DA23D7" w:rsidP="00701B5D">
            <w:pPr>
              <w:pStyle w:val="Tabletext"/>
            </w:pPr>
            <w:r w:rsidRPr="00FB229F">
              <w:t>9.0 months (8.2, 10.5)</w:t>
            </w:r>
          </w:p>
        </w:tc>
        <w:tc>
          <w:tcPr>
            <w:tcW w:w="1985" w:type="dxa"/>
          </w:tcPr>
          <w:p w14:paraId="5D6A6990" w14:textId="77777777" w:rsidR="00DA23D7" w:rsidRPr="00FB229F" w:rsidRDefault="00DA23D7" w:rsidP="00701B5D">
            <w:pPr>
              <w:pStyle w:val="Tabletext"/>
            </w:pPr>
            <w:r w:rsidRPr="00FB229F">
              <w:t>21.9 months (11.5, NR)</w:t>
            </w:r>
          </w:p>
        </w:tc>
        <w:tc>
          <w:tcPr>
            <w:tcW w:w="2500" w:type="dxa"/>
          </w:tcPr>
          <w:p w14:paraId="5660B1B9" w14:textId="77777777" w:rsidR="00DA23D7" w:rsidRPr="00FB229F" w:rsidRDefault="00DA23D7" w:rsidP="00701B5D">
            <w:pPr>
              <w:pStyle w:val="Tabletext"/>
            </w:pPr>
            <w:r w:rsidRPr="00FB229F">
              <w:t>0.44 (0.29, 0.67) [p&lt;0.001]</w:t>
            </w:r>
          </w:p>
        </w:tc>
      </w:tr>
      <w:tr w:rsidR="00DA23D7" w:rsidRPr="00FB229F" w14:paraId="43265613" w14:textId="77777777" w:rsidTr="00F90FA2">
        <w:trPr>
          <w:cantSplit/>
        </w:trPr>
        <w:tc>
          <w:tcPr>
            <w:tcW w:w="2263" w:type="dxa"/>
          </w:tcPr>
          <w:p w14:paraId="419DA4E3" w14:textId="77777777" w:rsidR="00DA23D7" w:rsidRPr="00FB229F" w:rsidRDefault="00DA23D7" w:rsidP="00701B5D">
            <w:pPr>
              <w:pStyle w:val="Tabletext"/>
            </w:pPr>
            <w:r w:rsidRPr="00FB229F">
              <w:t>Adjusted Model 2</w:t>
            </w:r>
          </w:p>
        </w:tc>
        <w:tc>
          <w:tcPr>
            <w:tcW w:w="2268" w:type="dxa"/>
          </w:tcPr>
          <w:p w14:paraId="57CB6617" w14:textId="77777777" w:rsidR="00DA23D7" w:rsidRPr="00FB229F" w:rsidRDefault="00DA23D7" w:rsidP="00701B5D">
            <w:pPr>
              <w:pStyle w:val="Tabletext"/>
            </w:pPr>
            <w:r w:rsidRPr="00FB229F">
              <w:t>9.0 months (8.2, 10.5)</w:t>
            </w:r>
          </w:p>
        </w:tc>
        <w:tc>
          <w:tcPr>
            <w:tcW w:w="1985" w:type="dxa"/>
          </w:tcPr>
          <w:p w14:paraId="31186117" w14:textId="77777777" w:rsidR="00DA23D7" w:rsidRPr="00FB229F" w:rsidRDefault="00DA23D7" w:rsidP="00701B5D">
            <w:pPr>
              <w:pStyle w:val="Tabletext"/>
            </w:pPr>
            <w:r w:rsidRPr="00FB229F">
              <w:t>21.9 months (NR, NR)</w:t>
            </w:r>
          </w:p>
        </w:tc>
        <w:tc>
          <w:tcPr>
            <w:tcW w:w="2500" w:type="dxa"/>
          </w:tcPr>
          <w:p w14:paraId="0F5175F1" w14:textId="77777777" w:rsidR="00DA23D7" w:rsidRPr="00FB229F" w:rsidRDefault="00DA23D7" w:rsidP="00701B5D">
            <w:pPr>
              <w:pStyle w:val="Tabletext"/>
            </w:pPr>
            <w:r w:rsidRPr="00FB229F">
              <w:t>0.48 (0.27, 0.84) [p=0.01]</w:t>
            </w:r>
          </w:p>
        </w:tc>
      </w:tr>
      <w:tr w:rsidR="00DA23D7" w:rsidRPr="00FB229F" w14:paraId="728D7577" w14:textId="77777777" w:rsidTr="00F90FA2">
        <w:trPr>
          <w:cantSplit/>
        </w:trPr>
        <w:tc>
          <w:tcPr>
            <w:tcW w:w="9016" w:type="dxa"/>
            <w:gridSpan w:val="4"/>
          </w:tcPr>
          <w:p w14:paraId="30C0E13C" w14:textId="77777777" w:rsidR="00DA23D7" w:rsidRPr="00FB229F" w:rsidRDefault="00DA23D7" w:rsidP="00701B5D">
            <w:pPr>
              <w:pStyle w:val="Tabletext"/>
              <w:rPr>
                <w:b/>
              </w:rPr>
            </w:pPr>
            <w:r w:rsidRPr="00FB229F">
              <w:rPr>
                <w:b/>
              </w:rPr>
              <w:t>OS</w:t>
            </w:r>
          </w:p>
        </w:tc>
      </w:tr>
      <w:tr w:rsidR="00DA23D7" w:rsidRPr="00FB229F" w14:paraId="2DCC2B4F" w14:textId="77777777" w:rsidTr="00F90FA2">
        <w:trPr>
          <w:cantSplit/>
        </w:trPr>
        <w:tc>
          <w:tcPr>
            <w:tcW w:w="2263" w:type="dxa"/>
          </w:tcPr>
          <w:p w14:paraId="37E038B0" w14:textId="77777777" w:rsidR="00DA23D7" w:rsidRPr="00FB229F" w:rsidRDefault="00DA23D7" w:rsidP="00701B5D">
            <w:pPr>
              <w:pStyle w:val="Tabletext"/>
            </w:pPr>
            <w:r w:rsidRPr="00FB229F">
              <w:t>Unadjusted (non-matching)</w:t>
            </w:r>
          </w:p>
        </w:tc>
        <w:tc>
          <w:tcPr>
            <w:tcW w:w="2268" w:type="dxa"/>
          </w:tcPr>
          <w:p w14:paraId="2FEB857D" w14:textId="77777777" w:rsidR="00DA23D7" w:rsidRPr="00FB229F" w:rsidRDefault="00DA23D7" w:rsidP="00701B5D">
            <w:pPr>
              <w:pStyle w:val="Tabletext"/>
            </w:pPr>
            <w:r w:rsidRPr="00FB229F">
              <w:t>22.2 months (19.7, 24.7)</w:t>
            </w:r>
          </w:p>
        </w:tc>
        <w:tc>
          <w:tcPr>
            <w:tcW w:w="1985" w:type="dxa"/>
          </w:tcPr>
          <w:p w14:paraId="796CE62C" w14:textId="77777777" w:rsidR="00DA23D7" w:rsidRPr="00FB229F" w:rsidRDefault="00DA23D7" w:rsidP="00701B5D">
            <w:pPr>
              <w:pStyle w:val="Tabletext"/>
            </w:pPr>
            <w:r w:rsidRPr="00FB229F">
              <w:t>NR (27.9, NR)</w:t>
            </w:r>
          </w:p>
        </w:tc>
        <w:tc>
          <w:tcPr>
            <w:tcW w:w="2500" w:type="dxa"/>
          </w:tcPr>
          <w:p w14:paraId="61C7170D" w14:textId="77777777" w:rsidR="00DA23D7" w:rsidRPr="00FB229F" w:rsidRDefault="00DA23D7" w:rsidP="00701B5D">
            <w:pPr>
              <w:pStyle w:val="Tabletext"/>
            </w:pPr>
            <w:r w:rsidRPr="00FB229F">
              <w:t>0.43 (0.27, 0.67) [p&lt;0.001]</w:t>
            </w:r>
          </w:p>
        </w:tc>
      </w:tr>
      <w:tr w:rsidR="00DA23D7" w:rsidRPr="00FB229F" w14:paraId="484366A4" w14:textId="77777777" w:rsidTr="00F90FA2">
        <w:trPr>
          <w:cantSplit/>
        </w:trPr>
        <w:tc>
          <w:tcPr>
            <w:tcW w:w="2263" w:type="dxa"/>
          </w:tcPr>
          <w:p w14:paraId="0CA64A86" w14:textId="77777777" w:rsidR="00DA23D7" w:rsidRPr="00FB229F" w:rsidRDefault="00DA23D7" w:rsidP="00701B5D">
            <w:pPr>
              <w:pStyle w:val="Tabletext"/>
            </w:pPr>
            <w:r w:rsidRPr="00FB229F">
              <w:t>Adjusted Model 1</w:t>
            </w:r>
          </w:p>
        </w:tc>
        <w:tc>
          <w:tcPr>
            <w:tcW w:w="2268" w:type="dxa"/>
          </w:tcPr>
          <w:p w14:paraId="62859B78" w14:textId="77777777" w:rsidR="00DA23D7" w:rsidRPr="00FB229F" w:rsidRDefault="00DA23D7" w:rsidP="00701B5D">
            <w:pPr>
              <w:pStyle w:val="Tabletext"/>
            </w:pPr>
            <w:r w:rsidRPr="00FB229F">
              <w:t>22.2 months (19.7, 24.7)</w:t>
            </w:r>
          </w:p>
        </w:tc>
        <w:tc>
          <w:tcPr>
            <w:tcW w:w="1985" w:type="dxa"/>
          </w:tcPr>
          <w:p w14:paraId="3AAA2B8D" w14:textId="77777777" w:rsidR="00DA23D7" w:rsidRPr="00FB229F" w:rsidRDefault="00DA23D7" w:rsidP="00701B5D">
            <w:pPr>
              <w:pStyle w:val="Tabletext"/>
            </w:pPr>
            <w:r w:rsidRPr="00FB229F">
              <w:t>NR (27.9, NR)</w:t>
            </w:r>
          </w:p>
        </w:tc>
        <w:tc>
          <w:tcPr>
            <w:tcW w:w="2500" w:type="dxa"/>
          </w:tcPr>
          <w:p w14:paraId="2D559BB6" w14:textId="77777777" w:rsidR="00DA23D7" w:rsidRPr="00FB229F" w:rsidRDefault="00DA23D7" w:rsidP="00701B5D">
            <w:pPr>
              <w:pStyle w:val="Tabletext"/>
            </w:pPr>
            <w:r w:rsidRPr="00FB229F">
              <w:t>0.38 (0.23, 0.65) [p&lt;0.001]</w:t>
            </w:r>
          </w:p>
        </w:tc>
      </w:tr>
      <w:tr w:rsidR="00DA23D7" w:rsidRPr="00FB229F" w14:paraId="04749736" w14:textId="77777777" w:rsidTr="00F90FA2">
        <w:trPr>
          <w:cantSplit/>
        </w:trPr>
        <w:tc>
          <w:tcPr>
            <w:tcW w:w="2263" w:type="dxa"/>
          </w:tcPr>
          <w:p w14:paraId="5CC56D08" w14:textId="77777777" w:rsidR="00DA23D7" w:rsidRPr="00FB229F" w:rsidRDefault="00DA23D7" w:rsidP="00701B5D">
            <w:pPr>
              <w:pStyle w:val="Tabletext"/>
            </w:pPr>
            <w:r w:rsidRPr="00FB229F">
              <w:t>Adjusted Model 2</w:t>
            </w:r>
          </w:p>
        </w:tc>
        <w:tc>
          <w:tcPr>
            <w:tcW w:w="2268" w:type="dxa"/>
          </w:tcPr>
          <w:p w14:paraId="1CF4A260" w14:textId="77777777" w:rsidR="00DA23D7" w:rsidRPr="00FB229F" w:rsidRDefault="00DA23D7" w:rsidP="00701B5D">
            <w:pPr>
              <w:pStyle w:val="Tabletext"/>
            </w:pPr>
            <w:r w:rsidRPr="00FB229F">
              <w:t>22.2 months (19.7, 24.7)</w:t>
            </w:r>
          </w:p>
        </w:tc>
        <w:tc>
          <w:tcPr>
            <w:tcW w:w="1985" w:type="dxa"/>
          </w:tcPr>
          <w:p w14:paraId="700607E0" w14:textId="77777777" w:rsidR="00DA23D7" w:rsidRPr="00FB229F" w:rsidRDefault="00DA23D7" w:rsidP="00701B5D">
            <w:pPr>
              <w:pStyle w:val="Tabletext"/>
            </w:pPr>
            <w:r w:rsidRPr="00FB229F">
              <w:t>NR (16.6, NR)</w:t>
            </w:r>
          </w:p>
        </w:tc>
        <w:tc>
          <w:tcPr>
            <w:tcW w:w="2500" w:type="dxa"/>
          </w:tcPr>
          <w:p w14:paraId="326915C3" w14:textId="77777777" w:rsidR="00DA23D7" w:rsidRPr="00FB229F" w:rsidRDefault="00DA23D7" w:rsidP="00701B5D">
            <w:pPr>
              <w:pStyle w:val="Tabletext"/>
            </w:pPr>
            <w:r w:rsidRPr="00FB229F">
              <w:t>0.43 (0.21, 0.89) [p=0.023]</w:t>
            </w:r>
          </w:p>
        </w:tc>
      </w:tr>
    </w:tbl>
    <w:p w14:paraId="07D99D08" w14:textId="77777777" w:rsidR="00DA23D7" w:rsidRPr="00FB229F" w:rsidRDefault="00DA23D7" w:rsidP="00DA23D7">
      <w:pPr>
        <w:pStyle w:val="TableFooter"/>
      </w:pPr>
      <w:r w:rsidRPr="00FB229F">
        <w:t xml:space="preserve">Source: Table 2-120, p283 of the submission </w:t>
      </w:r>
    </w:p>
    <w:p w14:paraId="4269E80A" w14:textId="19C4B1DC" w:rsidR="00DA23D7" w:rsidRPr="00FB229F" w:rsidRDefault="00DA23D7" w:rsidP="00DA23D7">
      <w:pPr>
        <w:pStyle w:val="TableFooter"/>
        <w:rPr>
          <w:szCs w:val="12"/>
        </w:rPr>
      </w:pPr>
      <w:r w:rsidRPr="00FB229F">
        <w:t>CI=confidence interval; ESS=effective sample size; HR=hazard ratio; MAIC= Matching adjusted indirect comparison; N=original sample size; NR=not reached; OS=overall survival; PFS=progression</w:t>
      </w:r>
      <w:r w:rsidR="00603261" w:rsidRPr="00FB229F">
        <w:t>-</w:t>
      </w:r>
      <w:r w:rsidRPr="00FB229F">
        <w:t>free survival; RET=rearrange</w:t>
      </w:r>
      <w:r w:rsidRPr="00FB229F">
        <w:rPr>
          <w:szCs w:val="12"/>
        </w:rPr>
        <w:t>d during transfection</w:t>
      </w:r>
    </w:p>
    <w:p w14:paraId="73F7A0F2" w14:textId="77777777" w:rsidR="00DA23D7" w:rsidRPr="00FB229F" w:rsidRDefault="00DA23D7" w:rsidP="00816BFB">
      <w:pPr>
        <w:pStyle w:val="TableFooter"/>
        <w:spacing w:after="120"/>
      </w:pPr>
      <w:r w:rsidRPr="00FB229F">
        <w:t>Model 1=no adjustment for smoking status; Model 2=Adjustment for smoking status.</w:t>
      </w:r>
    </w:p>
    <w:p w14:paraId="07D2C4B9" w14:textId="3828BE57" w:rsidR="008D056D" w:rsidRPr="00FB229F" w:rsidRDefault="008D056D" w:rsidP="008D056D">
      <w:pPr>
        <w:pStyle w:val="Caption"/>
      </w:pPr>
      <w:bookmarkStart w:id="48" w:name="_Ref131776887"/>
      <w:r w:rsidRPr="00FB229F">
        <w:lastRenderedPageBreak/>
        <w:t xml:space="preserve">Figure </w:t>
      </w:r>
      <w:r w:rsidR="00BF0AEB">
        <w:fldChar w:fldCharType="begin" w:fldLock="1"/>
      </w:r>
      <w:r w:rsidR="00BF0AEB">
        <w:instrText xml:space="preserve"> SEQ Figure \* ARABIC </w:instrText>
      </w:r>
      <w:r w:rsidR="00BF0AEB">
        <w:fldChar w:fldCharType="separate"/>
      </w:r>
      <w:r w:rsidR="00CA7201" w:rsidRPr="00166045">
        <w:t>3</w:t>
      </w:r>
      <w:r w:rsidR="00BF0AEB">
        <w:fldChar w:fldCharType="end"/>
      </w:r>
      <w:bookmarkEnd w:id="48"/>
      <w:r w:rsidRPr="00FB229F">
        <w:t>: Kaplan-Meier plot of PFS from unadjusted analysis and MAIC Model 1</w:t>
      </w:r>
    </w:p>
    <w:p w14:paraId="3BD1997E" w14:textId="77777777" w:rsidR="008D056D" w:rsidRPr="00FB229F" w:rsidRDefault="008D056D" w:rsidP="008D056D">
      <w:pPr>
        <w:rPr>
          <w:rFonts w:ascii="Tahoma" w:hAnsi="Tahoma" w:cs="Tahoma"/>
        </w:rPr>
      </w:pPr>
      <w:r w:rsidRPr="00E40104">
        <w:rPr>
          <w:rFonts w:ascii="Tahoma" w:hAnsi="Tahoma" w:cs="Tahoma"/>
          <w:noProof/>
        </w:rPr>
        <w:drawing>
          <wp:inline distT="0" distB="0" distL="0" distR="0" wp14:anchorId="2661A104" wp14:editId="23115294">
            <wp:extent cx="5695950" cy="2714017"/>
            <wp:effectExtent l="0" t="0" r="0" b="0"/>
            <wp:docPr id="2" name="Picture 2" descr="Figure 3: Kaplan-Meier plot of PFS from unadjusted analysis and MAIC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3: Kaplan-Meier plot of PFS from unadjusted analysis and MAIC Model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6254" cy="2714162"/>
                    </a:xfrm>
                    <a:prstGeom prst="rect">
                      <a:avLst/>
                    </a:prstGeom>
                    <a:noFill/>
                    <a:ln>
                      <a:noFill/>
                    </a:ln>
                  </pic:spPr>
                </pic:pic>
              </a:graphicData>
            </a:graphic>
          </wp:inline>
        </w:drawing>
      </w:r>
    </w:p>
    <w:p w14:paraId="72FA37A9" w14:textId="77777777" w:rsidR="008D056D" w:rsidRPr="00FB229F" w:rsidRDefault="008D056D" w:rsidP="008D056D">
      <w:pPr>
        <w:pStyle w:val="TableFooter"/>
      </w:pPr>
      <w:r w:rsidRPr="00FB229F">
        <w:t>Source: Figure 2-57, p 284 of the submission</w:t>
      </w:r>
    </w:p>
    <w:p w14:paraId="043633C7" w14:textId="5E19E860" w:rsidR="008D056D" w:rsidRPr="00FB229F" w:rsidRDefault="008D056D" w:rsidP="008D056D">
      <w:pPr>
        <w:pStyle w:val="TableFooter"/>
      </w:pPr>
      <w:r w:rsidRPr="00FB229F">
        <w:t>MAIC= Matching adjusted indirect comparison; PFS=progression</w:t>
      </w:r>
      <w:r w:rsidR="00603261" w:rsidRPr="00FB229F">
        <w:t>-</w:t>
      </w:r>
      <w:r w:rsidRPr="00FB229F">
        <w:t>free survival</w:t>
      </w:r>
    </w:p>
    <w:p w14:paraId="060F5B87" w14:textId="77777777" w:rsidR="0068278C" w:rsidRPr="00FB229F" w:rsidRDefault="0068278C" w:rsidP="008D056D">
      <w:pPr>
        <w:pStyle w:val="TableFooter"/>
      </w:pPr>
    </w:p>
    <w:p w14:paraId="2E6D03A1" w14:textId="4CBAE920" w:rsidR="008D056D" w:rsidRPr="00FB229F" w:rsidRDefault="008D056D" w:rsidP="008D056D">
      <w:pPr>
        <w:pStyle w:val="Caption"/>
      </w:pPr>
      <w:bookmarkStart w:id="49" w:name="_Ref131776889"/>
      <w:r w:rsidRPr="00FB229F">
        <w:t xml:space="preserve">Figure </w:t>
      </w:r>
      <w:r w:rsidR="00BF0AEB">
        <w:fldChar w:fldCharType="begin" w:fldLock="1"/>
      </w:r>
      <w:r w:rsidR="00BF0AEB">
        <w:instrText xml:space="preserve"> SEQ Figure \* ARABIC </w:instrText>
      </w:r>
      <w:r w:rsidR="00BF0AEB">
        <w:fldChar w:fldCharType="separate"/>
      </w:r>
      <w:r w:rsidR="00CA7201" w:rsidRPr="00166045">
        <w:t>4</w:t>
      </w:r>
      <w:r w:rsidR="00BF0AEB">
        <w:fldChar w:fldCharType="end"/>
      </w:r>
      <w:bookmarkEnd w:id="49"/>
      <w:r w:rsidRPr="00FB229F">
        <w:t>: Kaplan-Meier plot of OS from unadjusted analysis and MAIC Model 1</w:t>
      </w:r>
    </w:p>
    <w:p w14:paraId="27310305" w14:textId="77777777" w:rsidR="008D056D" w:rsidRPr="00FB229F" w:rsidRDefault="008D056D" w:rsidP="008D056D">
      <w:pPr>
        <w:rPr>
          <w:rFonts w:ascii="Tahoma" w:hAnsi="Tahoma" w:cs="Tahoma"/>
        </w:rPr>
      </w:pPr>
      <w:r w:rsidRPr="00E40104">
        <w:rPr>
          <w:rFonts w:ascii="Tahoma" w:hAnsi="Tahoma" w:cs="Tahoma"/>
          <w:noProof/>
        </w:rPr>
        <w:drawing>
          <wp:inline distT="0" distB="0" distL="0" distR="0" wp14:anchorId="42F04629" wp14:editId="7DFBC855">
            <wp:extent cx="5731510" cy="3486150"/>
            <wp:effectExtent l="0" t="0" r="2540" b="0"/>
            <wp:docPr id="3" name="Picture 3" descr="Figure 4: Kaplan-Meier plot of OS from unadjusted analysis and MAIC Mode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4: Kaplan-Meier plot of OS from unadjusted analysis and MAIC Model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1E4D8DE4" w14:textId="77777777" w:rsidR="008D056D" w:rsidRPr="00FB229F" w:rsidRDefault="008D056D" w:rsidP="008D056D">
      <w:pPr>
        <w:pStyle w:val="TableFooter"/>
      </w:pPr>
      <w:r w:rsidRPr="00FB229F">
        <w:t>Source: Figure 2-58, p 285 of the submission</w:t>
      </w:r>
    </w:p>
    <w:p w14:paraId="20492AB6" w14:textId="77777777" w:rsidR="008D056D" w:rsidRPr="00FB229F" w:rsidRDefault="008D056D" w:rsidP="008D056D">
      <w:pPr>
        <w:pStyle w:val="TableFooter"/>
      </w:pPr>
      <w:r w:rsidRPr="00FB229F">
        <w:t>MAIC= Matching adjusted indirect comparison; OS=overall survival</w:t>
      </w:r>
    </w:p>
    <w:p w14:paraId="31F85B83" w14:textId="77777777" w:rsidR="008D056D" w:rsidRPr="00FB229F" w:rsidRDefault="008D056D" w:rsidP="00DA23D7"/>
    <w:p w14:paraId="1FDB90CD" w14:textId="0855FEC6" w:rsidR="008D056D" w:rsidRPr="00FB229F" w:rsidRDefault="008D056D" w:rsidP="004A2F35">
      <w:pPr>
        <w:pStyle w:val="Caption"/>
        <w:jc w:val="left"/>
      </w:pPr>
      <w:bookmarkStart w:id="50" w:name="_Ref131777018"/>
      <w:r w:rsidRPr="00FB229F">
        <w:lastRenderedPageBreak/>
        <w:t xml:space="preserve">Figure </w:t>
      </w:r>
      <w:r w:rsidR="00BF0AEB">
        <w:fldChar w:fldCharType="begin" w:fldLock="1"/>
      </w:r>
      <w:r w:rsidR="00BF0AEB">
        <w:instrText xml:space="preserve"> SEQ Figure \* ARABIC </w:instrText>
      </w:r>
      <w:r w:rsidR="00BF0AEB">
        <w:fldChar w:fldCharType="separate"/>
      </w:r>
      <w:r w:rsidR="00CA7201" w:rsidRPr="00FB229F">
        <w:t>5</w:t>
      </w:r>
      <w:r w:rsidR="00BF0AEB">
        <w:fldChar w:fldCharType="end"/>
      </w:r>
      <w:bookmarkEnd w:id="50"/>
      <w:r w:rsidRPr="00FB229F">
        <w:t>: Kaplan-Meier plot of PFS in unadjusted analysis and MAIC Model 2</w:t>
      </w:r>
      <w:r w:rsidRPr="00E40104">
        <w:rPr>
          <w:rFonts w:ascii="Tahoma" w:hAnsi="Tahoma" w:cs="Tahoma"/>
          <w:noProof/>
          <w:sz w:val="24"/>
        </w:rPr>
        <w:drawing>
          <wp:inline distT="0" distB="0" distL="0" distR="0" wp14:anchorId="6F1DF9B5" wp14:editId="4FCEEB3B">
            <wp:extent cx="5732145" cy="3124200"/>
            <wp:effectExtent l="0" t="0" r="1905" b="0"/>
            <wp:docPr id="5" name="Picture 5" descr="Figure 5: Kaplan-Meier plot of PFS in unadjusted analysis and MAIC Mod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5: Kaplan-Meier plot of PFS in unadjusted analysis and MAIC Model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2145" cy="3124200"/>
                    </a:xfrm>
                    <a:prstGeom prst="rect">
                      <a:avLst/>
                    </a:prstGeom>
                    <a:noFill/>
                    <a:ln>
                      <a:noFill/>
                    </a:ln>
                  </pic:spPr>
                </pic:pic>
              </a:graphicData>
            </a:graphic>
          </wp:inline>
        </w:drawing>
      </w:r>
    </w:p>
    <w:p w14:paraId="454EC4A4" w14:textId="77777777" w:rsidR="008D056D" w:rsidRPr="00FB229F" w:rsidRDefault="008D056D" w:rsidP="008D056D">
      <w:pPr>
        <w:pStyle w:val="TableFooter"/>
      </w:pPr>
      <w:r w:rsidRPr="00FB229F">
        <w:t>Source: Figure 2-58, p 285 of the submission</w:t>
      </w:r>
    </w:p>
    <w:p w14:paraId="79DA9BF2" w14:textId="7BD37AA6" w:rsidR="008D056D" w:rsidRPr="00FB229F" w:rsidRDefault="008D056D" w:rsidP="008D056D">
      <w:pPr>
        <w:pStyle w:val="TableFooter"/>
      </w:pPr>
      <w:r w:rsidRPr="00FB229F">
        <w:t>MAIC= Matching adjusted indirect comparison; PFS=progression</w:t>
      </w:r>
      <w:r w:rsidR="00603261" w:rsidRPr="00FB229F">
        <w:t>-</w:t>
      </w:r>
      <w:r w:rsidRPr="00FB229F">
        <w:t>free survival</w:t>
      </w:r>
    </w:p>
    <w:p w14:paraId="529D80FC" w14:textId="77777777" w:rsidR="008D056D" w:rsidRPr="00FB229F" w:rsidRDefault="008D056D" w:rsidP="008D056D">
      <w:pPr>
        <w:jc w:val="left"/>
        <w:rPr>
          <w:rFonts w:ascii="Arial Narrow" w:hAnsi="Arial Narrow"/>
          <w:sz w:val="18"/>
        </w:rPr>
      </w:pPr>
    </w:p>
    <w:p w14:paraId="7F6A16F0" w14:textId="6DDB488C" w:rsidR="008D056D" w:rsidRPr="00FB229F" w:rsidRDefault="008D056D" w:rsidP="008D056D">
      <w:pPr>
        <w:pStyle w:val="Caption"/>
      </w:pPr>
      <w:bookmarkStart w:id="51" w:name="_Ref131777020"/>
      <w:r w:rsidRPr="00FB229F">
        <w:t xml:space="preserve">Figure </w:t>
      </w:r>
      <w:r w:rsidR="00BF0AEB">
        <w:fldChar w:fldCharType="begin" w:fldLock="1"/>
      </w:r>
      <w:r w:rsidR="00BF0AEB">
        <w:instrText xml:space="preserve"> SEQ Figure \* ARABIC </w:instrText>
      </w:r>
      <w:r w:rsidR="00BF0AEB">
        <w:fldChar w:fldCharType="separate"/>
      </w:r>
      <w:r w:rsidR="00CA7201" w:rsidRPr="00166045">
        <w:t>6</w:t>
      </w:r>
      <w:r w:rsidR="00BF0AEB">
        <w:fldChar w:fldCharType="end"/>
      </w:r>
      <w:bookmarkEnd w:id="51"/>
      <w:r w:rsidRPr="00FB229F">
        <w:t>: Kaplan-Meier plot of OS from unadjusted analysis and MAIC Model 2</w:t>
      </w:r>
    </w:p>
    <w:p w14:paraId="23FEFBC3" w14:textId="77777777" w:rsidR="008D056D" w:rsidRPr="00FB229F" w:rsidRDefault="008D056D" w:rsidP="008D056D">
      <w:r w:rsidRPr="00E40104">
        <w:rPr>
          <w:noProof/>
        </w:rPr>
        <w:drawing>
          <wp:inline distT="0" distB="0" distL="0" distR="0" wp14:anchorId="126EDBC1" wp14:editId="1FF5CE35">
            <wp:extent cx="5730875" cy="3511685"/>
            <wp:effectExtent l="0" t="0" r="3175" b="0"/>
            <wp:docPr id="4" name="Picture 4" descr="Figure 6: Kaplan-Meier plot of OS from unadjusted analysis and MAIC Mod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6: Kaplan-Meier plot of OS from unadjusted analysis and MAIC Model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9065" cy="3522831"/>
                    </a:xfrm>
                    <a:prstGeom prst="rect">
                      <a:avLst/>
                    </a:prstGeom>
                    <a:noFill/>
                  </pic:spPr>
                </pic:pic>
              </a:graphicData>
            </a:graphic>
          </wp:inline>
        </w:drawing>
      </w:r>
    </w:p>
    <w:p w14:paraId="080D2403" w14:textId="77777777" w:rsidR="008D056D" w:rsidRPr="00FB229F" w:rsidRDefault="008D056D" w:rsidP="008D056D">
      <w:pPr>
        <w:pStyle w:val="TableFooter"/>
      </w:pPr>
      <w:r w:rsidRPr="00FB229F">
        <w:t>Source: Figure 2-58, p 285 of the submission</w:t>
      </w:r>
    </w:p>
    <w:p w14:paraId="7B2B3518" w14:textId="77777777" w:rsidR="008D056D" w:rsidRPr="00FB229F" w:rsidRDefault="008D056D" w:rsidP="008D056D">
      <w:pPr>
        <w:pStyle w:val="TableFooter"/>
      </w:pPr>
      <w:r w:rsidRPr="00FB229F">
        <w:t>MAIC= Matching adjusted indirect comparison; OS=overall survival</w:t>
      </w:r>
    </w:p>
    <w:p w14:paraId="43A0C7CA" w14:textId="77777777" w:rsidR="008D056D" w:rsidRPr="00FB229F" w:rsidRDefault="008D056D" w:rsidP="00DA23D7"/>
    <w:p w14:paraId="0A1D63C8" w14:textId="43570168" w:rsidR="00B34FE2" w:rsidRPr="00FB229F" w:rsidRDefault="00A23345" w:rsidP="007F03AD">
      <w:pPr>
        <w:pStyle w:val="3-BodyText"/>
        <w:ind w:left="709" w:hanging="709"/>
        <w:rPr>
          <w:color w:val="0066FF"/>
        </w:rPr>
      </w:pPr>
      <w:r w:rsidRPr="00FB229F">
        <w:rPr>
          <w:snapToGrid/>
        </w:rPr>
        <w:lastRenderedPageBreak/>
        <w:t>There was no clear trend in the magnitude of the HRs across the unadjusted and adjusted models with largely overlapping 95% CIs. Across the unadjusted and adjusted models, the HRs for PFS and OS were statistically significant favouring selpercatinib over pembrolizumab + PC</w:t>
      </w:r>
      <w:r w:rsidR="00BB3851" w:rsidRPr="00166045">
        <w:rPr>
          <w:snapToGrid/>
        </w:rPr>
        <w:t>.</w:t>
      </w:r>
      <w:r w:rsidR="00A4688E" w:rsidRPr="00FB229F">
        <w:rPr>
          <w:snapToGrid/>
        </w:rPr>
        <w:t xml:space="preserve"> Furthermore, due to the interdependence of variables, and different weights applied to each patient, matching of specific characteristics is likely to affect the distribution of other characteristics. Conducting an unanchored MAIC across all confounders does not appear possible in this circumstance given the extent of data available for matching and the small sample size of the selpercatinib cohort. As for the other indirect comparisons, t</w:t>
      </w:r>
      <w:r w:rsidRPr="00FB229F">
        <w:rPr>
          <w:snapToGrid/>
        </w:rPr>
        <w:t>he residual bias due to covariates</w:t>
      </w:r>
      <w:r w:rsidR="00674730" w:rsidRPr="00FB229F">
        <w:rPr>
          <w:snapToGrid/>
        </w:rPr>
        <w:t xml:space="preserve"> that were unadjusted for</w:t>
      </w:r>
      <w:r w:rsidRPr="00FB229F">
        <w:rPr>
          <w:snapToGrid/>
        </w:rPr>
        <w:t xml:space="preserve">, and the extent of this bias, remains unknown. </w:t>
      </w:r>
    </w:p>
    <w:p w14:paraId="2C329027" w14:textId="40DC7EDD" w:rsidR="00BD7046" w:rsidRPr="00FB229F" w:rsidRDefault="00BD7046" w:rsidP="007F03AD">
      <w:pPr>
        <w:pStyle w:val="3-BodyText"/>
        <w:ind w:left="709" w:hanging="709"/>
        <w:rPr>
          <w:rFonts w:cstheme="minorHAnsi"/>
          <w:iCs/>
          <w:color w:val="0066FF"/>
        </w:rPr>
      </w:pPr>
      <w:bookmarkStart w:id="52" w:name="_Ref137125958"/>
      <w:r w:rsidRPr="00FB229F">
        <w:rPr>
          <w:rFonts w:cstheme="minorHAnsi"/>
          <w:iCs/>
        </w:rPr>
        <w:t>The PSCR highlighted that the submission had provided a NMA, an anchored indirect comparison and an unanchored MAIC and argued that the estimates of comparative effectiveness in terms of PFS, OS and ORR were consistent across all these methods of analysis. The ESC acknowledged the submission</w:t>
      </w:r>
      <w:r w:rsidR="00AD60B7" w:rsidRPr="00FB229F">
        <w:rPr>
          <w:rFonts w:cstheme="minorHAnsi"/>
          <w:iCs/>
        </w:rPr>
        <w:t xml:space="preserve"> provided sufficient information regarding the methodological approach to each of the analyses undertaken. The ESC </w:t>
      </w:r>
      <w:r w:rsidR="00C761D9" w:rsidRPr="00FB229F">
        <w:rPr>
          <w:rFonts w:cstheme="minorHAnsi"/>
          <w:iCs/>
        </w:rPr>
        <w:t>considered</w:t>
      </w:r>
      <w:r w:rsidR="00AD60B7" w:rsidRPr="00FB229F">
        <w:rPr>
          <w:rFonts w:cstheme="minorHAnsi"/>
          <w:iCs/>
        </w:rPr>
        <w:t xml:space="preserve"> that </w:t>
      </w:r>
      <w:r w:rsidR="00C761D9" w:rsidRPr="00FB229F">
        <w:rPr>
          <w:iCs/>
        </w:rPr>
        <w:t xml:space="preserve">the NMA and anchored ITCs share similar limitations as they are dependent on the synthetic pseudo-control PC arm with residual imbalances evident post propensity score matching (see paragraph </w:t>
      </w:r>
      <w:r w:rsidR="00C761D9" w:rsidRPr="00FB229F">
        <w:rPr>
          <w:iCs/>
        </w:rPr>
        <w:fldChar w:fldCharType="begin" w:fldLock="1"/>
      </w:r>
      <w:r w:rsidR="00C761D9" w:rsidRPr="00FB229F">
        <w:rPr>
          <w:iCs/>
        </w:rPr>
        <w:instrText xml:space="preserve"> REF _Ref137120141 \r \h </w:instrText>
      </w:r>
      <w:r w:rsidR="00C761D9" w:rsidRPr="00FB229F">
        <w:rPr>
          <w:iCs/>
        </w:rPr>
      </w:r>
      <w:r w:rsidR="00C761D9" w:rsidRPr="00FB229F">
        <w:rPr>
          <w:iCs/>
        </w:rPr>
        <w:fldChar w:fldCharType="separate"/>
      </w:r>
      <w:r w:rsidR="00CE0B36">
        <w:rPr>
          <w:iCs/>
        </w:rPr>
        <w:t>6.28</w:t>
      </w:r>
      <w:r w:rsidR="00C761D9" w:rsidRPr="00FB229F">
        <w:rPr>
          <w:iCs/>
        </w:rPr>
        <w:fldChar w:fldCharType="end"/>
      </w:r>
      <w:r w:rsidR="00C761D9" w:rsidRPr="00FB229F">
        <w:rPr>
          <w:iCs/>
        </w:rPr>
        <w:t>). In addition, the ESC noted that matching also substantially decreased the original sample size of the PC arm from KN-189 (N=206) by approximately two-thirds (n=64) (see paragraph</w:t>
      </w:r>
      <w:r w:rsidR="0026499F" w:rsidRPr="00FB229F">
        <w:rPr>
          <w:iCs/>
        </w:rPr>
        <w:t xml:space="preserve"> </w:t>
      </w:r>
      <w:r w:rsidR="0026499F" w:rsidRPr="00FB229F">
        <w:rPr>
          <w:iCs/>
        </w:rPr>
        <w:fldChar w:fldCharType="begin" w:fldLock="1"/>
      </w:r>
      <w:r w:rsidR="0026499F" w:rsidRPr="00FB229F">
        <w:rPr>
          <w:iCs/>
        </w:rPr>
        <w:instrText xml:space="preserve"> REF _Ref137196630 \r \h </w:instrText>
      </w:r>
      <w:r w:rsidR="0026499F" w:rsidRPr="00FB229F">
        <w:rPr>
          <w:iCs/>
        </w:rPr>
      </w:r>
      <w:r w:rsidR="0026499F" w:rsidRPr="00FB229F">
        <w:rPr>
          <w:iCs/>
        </w:rPr>
        <w:fldChar w:fldCharType="separate"/>
      </w:r>
      <w:r w:rsidR="00CE0B36">
        <w:rPr>
          <w:iCs/>
        </w:rPr>
        <w:t>6.29</w:t>
      </w:r>
      <w:r w:rsidR="0026499F" w:rsidRPr="00FB229F">
        <w:rPr>
          <w:iCs/>
        </w:rPr>
        <w:fldChar w:fldCharType="end"/>
      </w:r>
      <w:r w:rsidR="00C761D9" w:rsidRPr="00FB229F">
        <w:rPr>
          <w:iCs/>
        </w:rPr>
        <w:t>) and agreed with the evaluation that this indicated a lack of overlap in characteristics between the populations. The ESC noted the small EES for the unanchored MAIC and considered this limited the reliability and applicability of the indirect comparison results.</w:t>
      </w:r>
      <w:bookmarkEnd w:id="52"/>
      <w:r w:rsidR="00C761D9" w:rsidRPr="00FB229F">
        <w:rPr>
          <w:iCs/>
        </w:rPr>
        <w:t xml:space="preserve"> </w:t>
      </w:r>
    </w:p>
    <w:p w14:paraId="50387608" w14:textId="3C242FA8" w:rsidR="00B60939" w:rsidRPr="00FB229F" w:rsidRDefault="00B60939" w:rsidP="00D86231">
      <w:pPr>
        <w:pStyle w:val="4-SubsectionHeading"/>
        <w:rPr>
          <w:i w:val="0"/>
        </w:rPr>
      </w:pPr>
      <w:bookmarkStart w:id="53" w:name="_Toc22897642"/>
      <w:bookmarkStart w:id="54" w:name="_Toc135215237"/>
      <w:r w:rsidRPr="00FB229F">
        <w:rPr>
          <w:i w:val="0"/>
        </w:rPr>
        <w:t>Comparative harms</w:t>
      </w:r>
      <w:bookmarkEnd w:id="53"/>
      <w:bookmarkEnd w:id="54"/>
    </w:p>
    <w:p w14:paraId="2114E547" w14:textId="77777777" w:rsidR="008B1622" w:rsidRPr="00FB229F" w:rsidRDefault="008B1622" w:rsidP="003D270C">
      <w:pPr>
        <w:pStyle w:val="3-BodyText"/>
        <w:numPr>
          <w:ilvl w:val="0"/>
          <w:numId w:val="0"/>
        </w:numPr>
        <w:rPr>
          <w:b/>
          <w:bCs/>
          <w:iCs/>
        </w:rPr>
      </w:pPr>
      <w:bookmarkStart w:id="55" w:name="_Toc135215238"/>
      <w:r w:rsidRPr="00FB229F">
        <w:rPr>
          <w:b/>
          <w:bCs/>
          <w:iCs/>
        </w:rPr>
        <w:t>LIBRETTO-001</w:t>
      </w:r>
      <w:bookmarkEnd w:id="55"/>
    </w:p>
    <w:p w14:paraId="39AC9C80" w14:textId="493875A7" w:rsidR="00674730" w:rsidRPr="00FB229F" w:rsidRDefault="00674730" w:rsidP="007F03AD">
      <w:pPr>
        <w:pStyle w:val="3-BodyText"/>
        <w:ind w:left="709" w:hanging="709"/>
      </w:pPr>
      <w:r w:rsidRPr="00FB229F">
        <w:t>Given LIBRETTO-001</w:t>
      </w:r>
      <w:r w:rsidR="00FC1674" w:rsidRPr="00FB229F">
        <w:t xml:space="preserve"> is a single arm study</w:t>
      </w:r>
      <w:r w:rsidRPr="00FB229F">
        <w:t>, comparative safety data were not available. Safety data were presented for the NSCLC safety population which included both treatment</w:t>
      </w:r>
      <w:r w:rsidR="00603261" w:rsidRPr="00FB229F">
        <w:t>-</w:t>
      </w:r>
      <w:r w:rsidRPr="00FB229F">
        <w:t>naïve and pre-treated patients.</w:t>
      </w:r>
    </w:p>
    <w:p w14:paraId="2DFCADD2" w14:textId="1004BAE6" w:rsidR="00674730" w:rsidRPr="00FB229F" w:rsidRDefault="00674730" w:rsidP="007F03AD">
      <w:pPr>
        <w:pStyle w:val="3-BodyText"/>
        <w:ind w:left="709" w:hanging="709"/>
      </w:pPr>
      <w:r w:rsidRPr="00FB229F">
        <w:fldChar w:fldCharType="begin" w:fldLock="1"/>
      </w:r>
      <w:r w:rsidRPr="00FB229F">
        <w:instrText xml:space="preserve"> REF _Ref131779827 \h </w:instrText>
      </w:r>
      <w:r w:rsidRPr="00FB229F">
        <w:fldChar w:fldCharType="separate"/>
      </w:r>
      <w:r w:rsidR="00CA7201" w:rsidRPr="00FB229F">
        <w:t xml:space="preserve">Table </w:t>
      </w:r>
      <w:r w:rsidR="00CA7201" w:rsidRPr="00166045">
        <w:t>16</w:t>
      </w:r>
      <w:r w:rsidRPr="00FB229F">
        <w:fldChar w:fldCharType="end"/>
      </w:r>
      <w:r w:rsidRPr="00FB229F">
        <w:t xml:space="preserve"> summarises treatment emergent adverse events (TEAEs) in LIBRETTO-001. </w:t>
      </w:r>
      <w:r w:rsidRPr="00FB229F">
        <w:fldChar w:fldCharType="begin" w:fldLock="1"/>
      </w:r>
      <w:r w:rsidRPr="00FB229F">
        <w:instrText xml:space="preserve"> REF _Ref131779963 \h </w:instrText>
      </w:r>
      <w:r w:rsidRPr="00FB229F">
        <w:fldChar w:fldCharType="separate"/>
      </w:r>
      <w:r w:rsidR="00CA7201" w:rsidRPr="00FB229F">
        <w:t xml:space="preserve">Table </w:t>
      </w:r>
      <w:r w:rsidR="00CA7201" w:rsidRPr="00166045">
        <w:t>17</w:t>
      </w:r>
      <w:r w:rsidRPr="00FB229F">
        <w:fldChar w:fldCharType="end"/>
      </w:r>
      <w:r w:rsidRPr="00FB229F">
        <w:t xml:space="preserve"> summarises TEAEs related to selpercatinib by preferred term in LIBRETTO-001.</w:t>
      </w:r>
    </w:p>
    <w:p w14:paraId="51A52A87" w14:textId="649F76B9" w:rsidR="00674730" w:rsidRPr="00FB229F" w:rsidRDefault="00674730" w:rsidP="00630880">
      <w:pPr>
        <w:pStyle w:val="Caption"/>
      </w:pPr>
      <w:bookmarkStart w:id="56" w:name="_Ref131779827"/>
      <w:r w:rsidRPr="00FB229F">
        <w:lastRenderedPageBreak/>
        <w:t xml:space="preserve">Table </w:t>
      </w:r>
      <w:r w:rsidR="00BF0AEB">
        <w:fldChar w:fldCharType="begin" w:fldLock="1"/>
      </w:r>
      <w:r w:rsidR="00BF0AEB">
        <w:instrText xml:space="preserve"> SEQ Table \* ARABIC </w:instrText>
      </w:r>
      <w:r w:rsidR="00BF0AEB">
        <w:fldChar w:fldCharType="separate"/>
      </w:r>
      <w:r w:rsidR="00CA7201" w:rsidRPr="00166045">
        <w:t>16</w:t>
      </w:r>
      <w:r w:rsidR="00BF0AEB">
        <w:fldChar w:fldCharType="end"/>
      </w:r>
      <w:bookmarkEnd w:id="56"/>
      <w:r w:rsidRPr="00FB229F">
        <w:t>: Summary of TEAEs in the NSCLC Safety Population in LIBRETTO-001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7"/>
        <w:gridCol w:w="2700"/>
      </w:tblGrid>
      <w:tr w:rsidR="00674730" w:rsidRPr="00FB229F" w14:paraId="75E9599F" w14:textId="77777777" w:rsidTr="00816BFB">
        <w:trPr>
          <w:cantSplit/>
          <w:trHeight w:val="454"/>
        </w:trPr>
        <w:tc>
          <w:tcPr>
            <w:tcW w:w="3503" w:type="pct"/>
          </w:tcPr>
          <w:p w14:paraId="485D63B2" w14:textId="77777777" w:rsidR="00674730" w:rsidRPr="00166045" w:rsidRDefault="00674730" w:rsidP="00630880">
            <w:pPr>
              <w:pStyle w:val="Tabletext"/>
              <w:keepNext/>
              <w:keepLines/>
              <w:widowControl w:val="0"/>
              <w:rPr>
                <w:b/>
              </w:rPr>
            </w:pPr>
          </w:p>
        </w:tc>
        <w:tc>
          <w:tcPr>
            <w:tcW w:w="1497" w:type="pct"/>
            <w:hideMark/>
          </w:tcPr>
          <w:p w14:paraId="41C677A9" w14:textId="77777777" w:rsidR="00674730" w:rsidRPr="00166045" w:rsidRDefault="00674730" w:rsidP="00630880">
            <w:pPr>
              <w:pStyle w:val="Tabletext"/>
              <w:keepNext/>
              <w:keepLines/>
              <w:widowControl w:val="0"/>
              <w:rPr>
                <w:b/>
              </w:rPr>
            </w:pPr>
            <w:r w:rsidRPr="00FB229F">
              <w:rPr>
                <w:b/>
              </w:rPr>
              <w:t>NSCLC Safety Pop</w:t>
            </w:r>
            <w:r w:rsidRPr="00166045">
              <w:rPr>
                <w:b/>
              </w:rPr>
              <w:t>ulation (N=356)</w:t>
            </w:r>
          </w:p>
        </w:tc>
      </w:tr>
      <w:tr w:rsidR="00674730" w:rsidRPr="00FB229F" w14:paraId="2D2D0761" w14:textId="77777777" w:rsidTr="00F90FA2">
        <w:trPr>
          <w:cantSplit/>
          <w:trHeight w:val="256"/>
        </w:trPr>
        <w:tc>
          <w:tcPr>
            <w:tcW w:w="5000" w:type="pct"/>
            <w:gridSpan w:val="2"/>
            <w:hideMark/>
          </w:tcPr>
          <w:p w14:paraId="142010B1" w14:textId="77777777" w:rsidR="00674730" w:rsidRPr="00FB229F" w:rsidRDefault="00674730" w:rsidP="00630880">
            <w:pPr>
              <w:pStyle w:val="Tabletext"/>
              <w:keepNext/>
              <w:keepLines/>
              <w:widowControl w:val="0"/>
            </w:pPr>
            <w:r w:rsidRPr="00FB229F">
              <w:t>Any TEAE, n (%)</w:t>
            </w:r>
          </w:p>
        </w:tc>
      </w:tr>
      <w:tr w:rsidR="00674730" w:rsidRPr="00FB229F" w14:paraId="612CDDFF" w14:textId="77777777" w:rsidTr="00F90FA2">
        <w:trPr>
          <w:cantSplit/>
          <w:trHeight w:val="259"/>
        </w:trPr>
        <w:tc>
          <w:tcPr>
            <w:tcW w:w="3503" w:type="pct"/>
          </w:tcPr>
          <w:p w14:paraId="3380ED1B" w14:textId="77777777" w:rsidR="00674730" w:rsidRPr="00FB229F" w:rsidRDefault="00674730" w:rsidP="00630880">
            <w:pPr>
              <w:pStyle w:val="Tabletext"/>
              <w:keepNext/>
              <w:keepLines/>
              <w:widowControl w:val="0"/>
            </w:pPr>
            <w:r w:rsidRPr="00FB229F">
              <w:t>Regardless of cause</w:t>
            </w:r>
          </w:p>
        </w:tc>
        <w:tc>
          <w:tcPr>
            <w:tcW w:w="1497" w:type="pct"/>
          </w:tcPr>
          <w:p w14:paraId="7414E89E" w14:textId="77777777" w:rsidR="00674730" w:rsidRPr="00FB229F" w:rsidRDefault="00674730" w:rsidP="00630880">
            <w:pPr>
              <w:pStyle w:val="Tabletext"/>
              <w:keepNext/>
              <w:keepLines/>
              <w:widowControl w:val="0"/>
            </w:pPr>
            <w:r w:rsidRPr="00FB229F">
              <w:t>356 (100.0)</w:t>
            </w:r>
          </w:p>
        </w:tc>
      </w:tr>
      <w:tr w:rsidR="00674730" w:rsidRPr="00FB229F" w14:paraId="72F5A7BC" w14:textId="77777777" w:rsidTr="00F90FA2">
        <w:trPr>
          <w:cantSplit/>
          <w:trHeight w:val="259"/>
        </w:trPr>
        <w:tc>
          <w:tcPr>
            <w:tcW w:w="3503" w:type="pct"/>
            <w:hideMark/>
          </w:tcPr>
          <w:p w14:paraId="114D6F5C" w14:textId="77777777" w:rsidR="00674730" w:rsidRPr="00FB229F" w:rsidRDefault="00674730" w:rsidP="00630880">
            <w:pPr>
              <w:pStyle w:val="Tabletext"/>
              <w:keepNext/>
              <w:keepLines/>
              <w:widowControl w:val="0"/>
            </w:pPr>
            <w:r w:rsidRPr="00FB229F">
              <w:t>Related to selpercatinib</w:t>
            </w:r>
          </w:p>
        </w:tc>
        <w:tc>
          <w:tcPr>
            <w:tcW w:w="1497" w:type="pct"/>
            <w:hideMark/>
          </w:tcPr>
          <w:p w14:paraId="62B5C93A" w14:textId="77777777" w:rsidR="00674730" w:rsidRPr="00FB229F" w:rsidRDefault="00674730" w:rsidP="00630880">
            <w:pPr>
              <w:pStyle w:val="Tabletext"/>
              <w:keepNext/>
              <w:keepLines/>
              <w:widowControl w:val="0"/>
            </w:pPr>
            <w:r w:rsidRPr="00FB229F">
              <w:t>341 (95.8)</w:t>
            </w:r>
          </w:p>
        </w:tc>
      </w:tr>
      <w:tr w:rsidR="00674730" w:rsidRPr="00FB229F" w14:paraId="4B30190C" w14:textId="77777777" w:rsidTr="00F90FA2">
        <w:trPr>
          <w:cantSplit/>
          <w:trHeight w:val="259"/>
        </w:trPr>
        <w:tc>
          <w:tcPr>
            <w:tcW w:w="5000" w:type="pct"/>
            <w:gridSpan w:val="2"/>
            <w:hideMark/>
          </w:tcPr>
          <w:p w14:paraId="5530C631" w14:textId="77777777" w:rsidR="00674730" w:rsidRPr="00FB229F" w:rsidRDefault="00674730" w:rsidP="00630880">
            <w:pPr>
              <w:pStyle w:val="Tabletext"/>
              <w:keepNext/>
              <w:keepLines/>
              <w:widowControl w:val="0"/>
            </w:pPr>
            <w:r w:rsidRPr="00FB229F">
              <w:t>Grade ≥3 TEAE, n (%)</w:t>
            </w:r>
          </w:p>
        </w:tc>
      </w:tr>
      <w:tr w:rsidR="00674730" w:rsidRPr="00FB229F" w14:paraId="08C667F7" w14:textId="77777777" w:rsidTr="00F90FA2">
        <w:trPr>
          <w:cantSplit/>
          <w:trHeight w:val="259"/>
        </w:trPr>
        <w:tc>
          <w:tcPr>
            <w:tcW w:w="3503" w:type="pct"/>
          </w:tcPr>
          <w:p w14:paraId="0F3DB3A2" w14:textId="77777777" w:rsidR="00674730" w:rsidRPr="00FB229F" w:rsidRDefault="00674730" w:rsidP="00630880">
            <w:pPr>
              <w:pStyle w:val="Tabletext"/>
              <w:keepNext/>
              <w:keepLines/>
              <w:widowControl w:val="0"/>
            </w:pPr>
            <w:r w:rsidRPr="00FB229F">
              <w:t>Regardless of cause</w:t>
            </w:r>
          </w:p>
        </w:tc>
        <w:tc>
          <w:tcPr>
            <w:tcW w:w="1497" w:type="pct"/>
          </w:tcPr>
          <w:p w14:paraId="4D211243" w14:textId="77777777" w:rsidR="00674730" w:rsidRPr="00FB229F" w:rsidRDefault="00674730" w:rsidP="00630880">
            <w:pPr>
              <w:pStyle w:val="Tabletext"/>
              <w:keepNext/>
              <w:keepLines/>
              <w:widowControl w:val="0"/>
            </w:pPr>
            <w:r w:rsidRPr="00FB229F">
              <w:t>263 (73.9)</w:t>
            </w:r>
          </w:p>
        </w:tc>
      </w:tr>
      <w:tr w:rsidR="00674730" w:rsidRPr="00FB229F" w14:paraId="6E4D51AB" w14:textId="77777777" w:rsidTr="00F90FA2">
        <w:trPr>
          <w:cantSplit/>
          <w:trHeight w:val="259"/>
        </w:trPr>
        <w:tc>
          <w:tcPr>
            <w:tcW w:w="3503" w:type="pct"/>
            <w:hideMark/>
          </w:tcPr>
          <w:p w14:paraId="3E8F171E" w14:textId="77777777" w:rsidR="00674730" w:rsidRPr="00FB229F" w:rsidRDefault="00674730" w:rsidP="00630880">
            <w:pPr>
              <w:pStyle w:val="Tabletext"/>
              <w:keepNext/>
              <w:keepLines/>
              <w:widowControl w:val="0"/>
            </w:pPr>
            <w:r w:rsidRPr="00FB229F">
              <w:t>Related to selpercatinib</w:t>
            </w:r>
          </w:p>
        </w:tc>
        <w:tc>
          <w:tcPr>
            <w:tcW w:w="1497" w:type="pct"/>
            <w:hideMark/>
          </w:tcPr>
          <w:p w14:paraId="1276B012" w14:textId="77777777" w:rsidR="00674730" w:rsidRPr="00FB229F" w:rsidRDefault="00674730" w:rsidP="00630880">
            <w:pPr>
              <w:pStyle w:val="Tabletext"/>
              <w:keepNext/>
              <w:keepLines/>
              <w:widowControl w:val="0"/>
            </w:pPr>
            <w:r w:rsidRPr="00FB229F">
              <w:t>143 (40.2)</w:t>
            </w:r>
          </w:p>
        </w:tc>
      </w:tr>
      <w:tr w:rsidR="00674730" w:rsidRPr="00FB229F" w14:paraId="4E160C5B" w14:textId="77777777" w:rsidTr="00F90FA2">
        <w:trPr>
          <w:cantSplit/>
          <w:trHeight w:val="259"/>
        </w:trPr>
        <w:tc>
          <w:tcPr>
            <w:tcW w:w="5000" w:type="pct"/>
            <w:gridSpan w:val="2"/>
            <w:hideMark/>
          </w:tcPr>
          <w:p w14:paraId="2742F0A1" w14:textId="77777777" w:rsidR="00674730" w:rsidRPr="00FB229F" w:rsidRDefault="00674730" w:rsidP="00630880">
            <w:pPr>
              <w:pStyle w:val="Tabletext"/>
              <w:keepNext/>
              <w:keepLines/>
              <w:widowControl w:val="0"/>
            </w:pPr>
            <w:r w:rsidRPr="00FB229F">
              <w:t>TEAE leading to permanent treatment discontinuation, n (%)</w:t>
            </w:r>
          </w:p>
        </w:tc>
      </w:tr>
      <w:tr w:rsidR="00674730" w:rsidRPr="00FB229F" w14:paraId="59AC5E22" w14:textId="77777777" w:rsidTr="00F90FA2">
        <w:trPr>
          <w:cantSplit/>
          <w:trHeight w:val="259"/>
        </w:trPr>
        <w:tc>
          <w:tcPr>
            <w:tcW w:w="3503" w:type="pct"/>
          </w:tcPr>
          <w:p w14:paraId="3EE4DDEB" w14:textId="77777777" w:rsidR="00674730" w:rsidRPr="00FB229F" w:rsidRDefault="00674730" w:rsidP="00630880">
            <w:pPr>
              <w:pStyle w:val="Tabletext"/>
              <w:keepNext/>
              <w:keepLines/>
              <w:widowControl w:val="0"/>
            </w:pPr>
            <w:r w:rsidRPr="00FB229F">
              <w:t>Regardless of cause</w:t>
            </w:r>
          </w:p>
        </w:tc>
        <w:tc>
          <w:tcPr>
            <w:tcW w:w="1497" w:type="pct"/>
          </w:tcPr>
          <w:p w14:paraId="6D22588F" w14:textId="77777777" w:rsidR="00674730" w:rsidRPr="00FB229F" w:rsidRDefault="00674730" w:rsidP="00630880">
            <w:pPr>
              <w:pStyle w:val="Tabletext"/>
              <w:keepNext/>
              <w:keepLines/>
              <w:widowControl w:val="0"/>
            </w:pPr>
            <w:r w:rsidRPr="00FB229F">
              <w:t>34 (9.6)</w:t>
            </w:r>
          </w:p>
        </w:tc>
      </w:tr>
      <w:tr w:rsidR="00674730" w:rsidRPr="00FB229F" w14:paraId="6B992CAA" w14:textId="77777777" w:rsidTr="00F90FA2">
        <w:trPr>
          <w:cantSplit/>
          <w:trHeight w:val="259"/>
        </w:trPr>
        <w:tc>
          <w:tcPr>
            <w:tcW w:w="3503" w:type="pct"/>
            <w:hideMark/>
          </w:tcPr>
          <w:p w14:paraId="44A425AD" w14:textId="77777777" w:rsidR="00674730" w:rsidRPr="00FB229F" w:rsidRDefault="00674730" w:rsidP="00630880">
            <w:pPr>
              <w:pStyle w:val="Tabletext"/>
              <w:keepNext/>
              <w:keepLines/>
              <w:widowControl w:val="0"/>
            </w:pPr>
            <w:r w:rsidRPr="00FB229F">
              <w:t>Related to selpercatinib</w:t>
            </w:r>
          </w:p>
        </w:tc>
        <w:tc>
          <w:tcPr>
            <w:tcW w:w="1497" w:type="pct"/>
            <w:hideMark/>
          </w:tcPr>
          <w:p w14:paraId="68464A31" w14:textId="77777777" w:rsidR="00674730" w:rsidRPr="00FB229F" w:rsidRDefault="00674730" w:rsidP="00630880">
            <w:pPr>
              <w:pStyle w:val="Tabletext"/>
              <w:keepNext/>
              <w:keepLines/>
              <w:widowControl w:val="0"/>
            </w:pPr>
            <w:r w:rsidRPr="00FB229F">
              <w:t>11 (3.1)</w:t>
            </w:r>
          </w:p>
        </w:tc>
      </w:tr>
      <w:tr w:rsidR="00674730" w:rsidRPr="00FB229F" w14:paraId="0FBF3420" w14:textId="77777777" w:rsidTr="00F90FA2">
        <w:trPr>
          <w:cantSplit/>
          <w:trHeight w:val="259"/>
        </w:trPr>
        <w:tc>
          <w:tcPr>
            <w:tcW w:w="5000" w:type="pct"/>
            <w:gridSpan w:val="2"/>
            <w:hideMark/>
          </w:tcPr>
          <w:p w14:paraId="6E53610D" w14:textId="77777777" w:rsidR="00674730" w:rsidRPr="00FB229F" w:rsidRDefault="00674730" w:rsidP="00630880">
            <w:pPr>
              <w:pStyle w:val="Tabletext"/>
              <w:keepNext/>
              <w:keepLines/>
              <w:widowControl w:val="0"/>
            </w:pPr>
            <w:r w:rsidRPr="00FB229F">
              <w:t>TE-SAE, n (%)</w:t>
            </w:r>
          </w:p>
        </w:tc>
      </w:tr>
      <w:tr w:rsidR="00674730" w:rsidRPr="00FB229F" w14:paraId="45A94879" w14:textId="77777777" w:rsidTr="00F90FA2">
        <w:trPr>
          <w:cantSplit/>
          <w:trHeight w:val="259"/>
        </w:trPr>
        <w:tc>
          <w:tcPr>
            <w:tcW w:w="3503" w:type="pct"/>
          </w:tcPr>
          <w:p w14:paraId="353F619A" w14:textId="77777777" w:rsidR="00674730" w:rsidRPr="00FB229F" w:rsidRDefault="00674730" w:rsidP="00630880">
            <w:pPr>
              <w:pStyle w:val="Tabletext"/>
              <w:keepNext/>
              <w:keepLines/>
              <w:widowControl w:val="0"/>
            </w:pPr>
            <w:r w:rsidRPr="00FB229F">
              <w:t>Regardless of cause</w:t>
            </w:r>
          </w:p>
        </w:tc>
        <w:tc>
          <w:tcPr>
            <w:tcW w:w="1497" w:type="pct"/>
          </w:tcPr>
          <w:p w14:paraId="5B9030B4" w14:textId="77777777" w:rsidR="00674730" w:rsidRPr="00FB229F" w:rsidRDefault="00674730" w:rsidP="00630880">
            <w:pPr>
              <w:pStyle w:val="Tabletext"/>
              <w:keepNext/>
              <w:keepLines/>
              <w:widowControl w:val="0"/>
            </w:pPr>
            <w:r w:rsidRPr="00FB229F">
              <w:t>173 (48.6)</w:t>
            </w:r>
          </w:p>
        </w:tc>
      </w:tr>
      <w:tr w:rsidR="00674730" w:rsidRPr="00FB229F" w14:paraId="038091F3" w14:textId="77777777" w:rsidTr="00F90FA2">
        <w:trPr>
          <w:cantSplit/>
          <w:trHeight w:val="259"/>
        </w:trPr>
        <w:tc>
          <w:tcPr>
            <w:tcW w:w="3503" w:type="pct"/>
            <w:hideMark/>
          </w:tcPr>
          <w:p w14:paraId="0A4E370E" w14:textId="77777777" w:rsidR="00674730" w:rsidRPr="00FB229F" w:rsidRDefault="00674730" w:rsidP="00630880">
            <w:pPr>
              <w:pStyle w:val="Tabletext"/>
              <w:keepNext/>
              <w:keepLines/>
              <w:widowControl w:val="0"/>
            </w:pPr>
            <w:r w:rsidRPr="00FB229F">
              <w:t>Related to selpercatinib</w:t>
            </w:r>
          </w:p>
        </w:tc>
        <w:tc>
          <w:tcPr>
            <w:tcW w:w="1497" w:type="pct"/>
            <w:hideMark/>
          </w:tcPr>
          <w:p w14:paraId="75A2D98B" w14:textId="77777777" w:rsidR="00674730" w:rsidRPr="00FB229F" w:rsidRDefault="00674730" w:rsidP="00630880">
            <w:pPr>
              <w:pStyle w:val="Tabletext"/>
              <w:keepNext/>
              <w:keepLines/>
              <w:widowControl w:val="0"/>
            </w:pPr>
            <w:r w:rsidRPr="00FB229F">
              <w:t>52 (14.6)</w:t>
            </w:r>
          </w:p>
        </w:tc>
      </w:tr>
      <w:tr w:rsidR="00674730" w:rsidRPr="00FB229F" w14:paraId="218491D2" w14:textId="77777777" w:rsidTr="00F90FA2">
        <w:trPr>
          <w:cantSplit/>
          <w:trHeight w:val="259"/>
        </w:trPr>
        <w:tc>
          <w:tcPr>
            <w:tcW w:w="5000" w:type="pct"/>
            <w:gridSpan w:val="2"/>
            <w:hideMark/>
          </w:tcPr>
          <w:p w14:paraId="766BD2D8" w14:textId="77777777" w:rsidR="00674730" w:rsidRPr="00FB229F" w:rsidRDefault="00674730" w:rsidP="00630880">
            <w:pPr>
              <w:pStyle w:val="Tabletext"/>
              <w:keepNext/>
              <w:keepLines/>
              <w:widowControl w:val="0"/>
            </w:pPr>
            <w:r w:rsidRPr="00FB229F">
              <w:t>Fatal TEAE, n (%)</w:t>
            </w:r>
          </w:p>
        </w:tc>
      </w:tr>
      <w:tr w:rsidR="00674730" w:rsidRPr="00FB229F" w14:paraId="25F02D0D" w14:textId="77777777" w:rsidTr="00F90FA2">
        <w:trPr>
          <w:cantSplit/>
          <w:trHeight w:val="259"/>
        </w:trPr>
        <w:tc>
          <w:tcPr>
            <w:tcW w:w="3503" w:type="pct"/>
          </w:tcPr>
          <w:p w14:paraId="75DAE7BF" w14:textId="77777777" w:rsidR="00674730" w:rsidRPr="00FB229F" w:rsidRDefault="00674730" w:rsidP="00630880">
            <w:pPr>
              <w:pStyle w:val="Tabletext"/>
              <w:keepNext/>
              <w:keepLines/>
              <w:widowControl w:val="0"/>
            </w:pPr>
            <w:r w:rsidRPr="00FB229F">
              <w:t>Regardless of cause</w:t>
            </w:r>
          </w:p>
        </w:tc>
        <w:tc>
          <w:tcPr>
            <w:tcW w:w="1497" w:type="pct"/>
          </w:tcPr>
          <w:p w14:paraId="69F98F02" w14:textId="77777777" w:rsidR="00674730" w:rsidRPr="00FB229F" w:rsidRDefault="00674730" w:rsidP="00630880">
            <w:pPr>
              <w:pStyle w:val="Tabletext"/>
              <w:keepNext/>
              <w:keepLines/>
              <w:widowControl w:val="0"/>
            </w:pPr>
            <w:r w:rsidRPr="00FB229F">
              <w:t>24 (6.7)</w:t>
            </w:r>
          </w:p>
        </w:tc>
      </w:tr>
      <w:tr w:rsidR="00674730" w:rsidRPr="00FB229F" w14:paraId="5FDB7826" w14:textId="77777777" w:rsidTr="00F90FA2">
        <w:trPr>
          <w:cantSplit/>
          <w:trHeight w:val="259"/>
        </w:trPr>
        <w:tc>
          <w:tcPr>
            <w:tcW w:w="3503" w:type="pct"/>
            <w:hideMark/>
          </w:tcPr>
          <w:p w14:paraId="09FCFFBA" w14:textId="77777777" w:rsidR="00674730" w:rsidRPr="00FB229F" w:rsidRDefault="00674730" w:rsidP="00630880">
            <w:pPr>
              <w:pStyle w:val="Tabletext"/>
              <w:keepNext/>
              <w:keepLines/>
              <w:widowControl w:val="0"/>
            </w:pPr>
            <w:r w:rsidRPr="00FB229F">
              <w:t>Related to selpercatinib</w:t>
            </w:r>
          </w:p>
        </w:tc>
        <w:tc>
          <w:tcPr>
            <w:tcW w:w="1497" w:type="pct"/>
            <w:hideMark/>
          </w:tcPr>
          <w:p w14:paraId="49EB384B" w14:textId="77777777" w:rsidR="00674730" w:rsidRPr="00FB229F" w:rsidRDefault="00674730" w:rsidP="00630880">
            <w:pPr>
              <w:pStyle w:val="Tabletext"/>
              <w:keepNext/>
              <w:keepLines/>
              <w:widowControl w:val="0"/>
            </w:pPr>
            <w:r w:rsidRPr="00FB229F">
              <w:t>0</w:t>
            </w:r>
          </w:p>
        </w:tc>
      </w:tr>
    </w:tbl>
    <w:p w14:paraId="019D4105" w14:textId="77777777" w:rsidR="00674730" w:rsidRPr="00166045" w:rsidRDefault="00674730" w:rsidP="00630880">
      <w:pPr>
        <w:pStyle w:val="TableFooter"/>
        <w:keepNext/>
        <w:keepLines/>
      </w:pPr>
      <w:r w:rsidRPr="00FB229F">
        <w:t>Source: Table 2-91, p248 of the submission</w:t>
      </w:r>
      <w:r w:rsidRPr="00166045">
        <w:t>:</w:t>
      </w:r>
    </w:p>
    <w:p w14:paraId="08D40FEC" w14:textId="77777777" w:rsidR="00674730" w:rsidRPr="00166045" w:rsidRDefault="00674730" w:rsidP="00630880">
      <w:pPr>
        <w:pStyle w:val="TableFooter"/>
        <w:keepNext/>
        <w:keepLines/>
      </w:pPr>
      <w:r w:rsidRPr="00166045">
        <w:t>Data cutoff 15 June 2021</w:t>
      </w:r>
    </w:p>
    <w:p w14:paraId="4A737F91" w14:textId="77777777" w:rsidR="00674730" w:rsidRPr="00166045" w:rsidRDefault="00674730" w:rsidP="00630880">
      <w:pPr>
        <w:pStyle w:val="TableFooter"/>
        <w:keepNext/>
        <w:keepLines/>
      </w:pPr>
      <w:r w:rsidRPr="00166045">
        <w:t>Severity grade assignment based on CTCAE (v4.03).</w:t>
      </w:r>
    </w:p>
    <w:p w14:paraId="4BF1B0CF" w14:textId="758DBA3B" w:rsidR="00B60939" w:rsidRPr="00166045" w:rsidRDefault="00674730" w:rsidP="00816BFB">
      <w:pPr>
        <w:pStyle w:val="TableFooter"/>
        <w:keepNext/>
        <w:keepLines/>
        <w:spacing w:after="120"/>
      </w:pPr>
      <w:r w:rsidRPr="00166045">
        <w:t>CTCAE=common terminology criteria for adverse events; N=number of patients; n= number of patients in specific category; NSCLC=non-small cell lung cancer; TEAE=treatment-emergent adverse event; TE-SAE=treatment-emergent serious adverse event</w:t>
      </w:r>
      <w:r w:rsidR="00D266EB" w:rsidRPr="00166045">
        <w:t>.</w:t>
      </w:r>
    </w:p>
    <w:p w14:paraId="5CF6A25D" w14:textId="09207767" w:rsidR="00674730" w:rsidRPr="00FB229F" w:rsidRDefault="00674730" w:rsidP="00674730">
      <w:pPr>
        <w:pStyle w:val="Caption"/>
      </w:pPr>
      <w:bookmarkStart w:id="57" w:name="_Ref131779963"/>
      <w:r w:rsidRPr="00FB229F">
        <w:t xml:space="preserve">Table </w:t>
      </w:r>
      <w:r w:rsidR="00BF0AEB">
        <w:fldChar w:fldCharType="begin" w:fldLock="1"/>
      </w:r>
      <w:r w:rsidR="00BF0AEB">
        <w:instrText xml:space="preserve"> SEQ Table \* ARABIC </w:instrText>
      </w:r>
      <w:r w:rsidR="00BF0AEB">
        <w:fldChar w:fldCharType="separate"/>
      </w:r>
      <w:r w:rsidR="00CA7201" w:rsidRPr="00166045">
        <w:t>17</w:t>
      </w:r>
      <w:r w:rsidR="00BF0AEB">
        <w:fldChar w:fldCharType="end"/>
      </w:r>
      <w:bookmarkEnd w:id="57"/>
      <w:r w:rsidRPr="00FB229F">
        <w:t>: TEAEs Related to Selpercatinib as Assessed by the Investigator (Occurring ≥15% of Patients) in LIBRETTO-001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69"/>
        <w:gridCol w:w="1821"/>
        <w:gridCol w:w="1827"/>
      </w:tblGrid>
      <w:tr w:rsidR="00674730" w:rsidRPr="00FB229F" w14:paraId="1B8EFA79" w14:textId="77777777" w:rsidTr="00816BFB">
        <w:trPr>
          <w:trHeight w:val="227"/>
        </w:trPr>
        <w:tc>
          <w:tcPr>
            <w:tcW w:w="2977" w:type="pct"/>
            <w:vMerge w:val="restart"/>
            <w:vAlign w:val="bottom"/>
          </w:tcPr>
          <w:p w14:paraId="7CBFB215" w14:textId="77777777" w:rsidR="00674730" w:rsidRPr="00166045" w:rsidRDefault="00674730" w:rsidP="00701B5D">
            <w:pPr>
              <w:pStyle w:val="Tabletext"/>
              <w:rPr>
                <w:b/>
              </w:rPr>
            </w:pPr>
            <w:r w:rsidRPr="00FB229F">
              <w:rPr>
                <w:b/>
              </w:rPr>
              <w:t xml:space="preserve">Preferred or </w:t>
            </w:r>
            <w:r w:rsidRPr="00166045">
              <w:rPr>
                <w:b/>
              </w:rPr>
              <w:t>Composite Term</w:t>
            </w:r>
          </w:p>
        </w:tc>
        <w:tc>
          <w:tcPr>
            <w:tcW w:w="2023" w:type="pct"/>
            <w:gridSpan w:val="2"/>
            <w:hideMark/>
          </w:tcPr>
          <w:p w14:paraId="611FC9D6" w14:textId="77777777" w:rsidR="00674730" w:rsidRPr="00166045" w:rsidRDefault="00674730" w:rsidP="00701B5D">
            <w:pPr>
              <w:pStyle w:val="Tabletext"/>
              <w:rPr>
                <w:b/>
              </w:rPr>
            </w:pPr>
            <w:r w:rsidRPr="00FB229F">
              <w:rPr>
                <w:b/>
              </w:rPr>
              <w:t>NSCLC Safety Population (N=356)</w:t>
            </w:r>
          </w:p>
        </w:tc>
      </w:tr>
      <w:tr w:rsidR="00674730" w:rsidRPr="00FB229F" w14:paraId="305DAB30" w14:textId="77777777" w:rsidTr="00701B5D">
        <w:trPr>
          <w:trHeight w:val="20"/>
        </w:trPr>
        <w:tc>
          <w:tcPr>
            <w:tcW w:w="2977" w:type="pct"/>
            <w:vMerge/>
            <w:vAlign w:val="center"/>
            <w:hideMark/>
          </w:tcPr>
          <w:p w14:paraId="572BC4BB" w14:textId="77777777" w:rsidR="00674730" w:rsidRPr="00166045" w:rsidRDefault="00674730" w:rsidP="00701B5D">
            <w:pPr>
              <w:pStyle w:val="Tabletext"/>
            </w:pPr>
          </w:p>
        </w:tc>
        <w:tc>
          <w:tcPr>
            <w:tcW w:w="1010" w:type="pct"/>
            <w:hideMark/>
          </w:tcPr>
          <w:p w14:paraId="45270C6E" w14:textId="77777777" w:rsidR="00674730" w:rsidRPr="00166045" w:rsidRDefault="00674730" w:rsidP="00701B5D">
            <w:pPr>
              <w:pStyle w:val="Tabletext"/>
              <w:rPr>
                <w:b/>
              </w:rPr>
            </w:pPr>
            <w:r w:rsidRPr="00FB229F">
              <w:rPr>
                <w:b/>
              </w:rPr>
              <w:t>Any Grade</w:t>
            </w:r>
          </w:p>
          <w:p w14:paraId="0614B148" w14:textId="77777777" w:rsidR="00674730" w:rsidRPr="00166045" w:rsidRDefault="00674730" w:rsidP="00701B5D">
            <w:pPr>
              <w:pStyle w:val="Tabletext"/>
              <w:rPr>
                <w:b/>
              </w:rPr>
            </w:pPr>
            <w:r w:rsidRPr="00FB229F">
              <w:rPr>
                <w:b/>
              </w:rPr>
              <w:t>Related n (%)</w:t>
            </w:r>
          </w:p>
        </w:tc>
        <w:tc>
          <w:tcPr>
            <w:tcW w:w="1013" w:type="pct"/>
            <w:hideMark/>
          </w:tcPr>
          <w:p w14:paraId="62E1B80C" w14:textId="77777777" w:rsidR="00674730" w:rsidRPr="00166045" w:rsidRDefault="00674730" w:rsidP="00701B5D">
            <w:pPr>
              <w:pStyle w:val="Tabletext"/>
              <w:rPr>
                <w:b/>
              </w:rPr>
            </w:pPr>
            <w:r w:rsidRPr="00FB229F">
              <w:rPr>
                <w:b/>
              </w:rPr>
              <w:t>Grade ≥3</w:t>
            </w:r>
          </w:p>
          <w:p w14:paraId="085E9A9A" w14:textId="77777777" w:rsidR="00674730" w:rsidRPr="00166045" w:rsidRDefault="00674730" w:rsidP="00701B5D">
            <w:pPr>
              <w:pStyle w:val="Tabletext"/>
              <w:rPr>
                <w:b/>
              </w:rPr>
            </w:pPr>
            <w:r w:rsidRPr="00FB229F">
              <w:rPr>
                <w:b/>
              </w:rPr>
              <w:t>Related n (%)</w:t>
            </w:r>
          </w:p>
        </w:tc>
      </w:tr>
      <w:tr w:rsidR="00674730" w:rsidRPr="00FB229F" w14:paraId="6A934BC2" w14:textId="77777777" w:rsidTr="00701B5D">
        <w:trPr>
          <w:trHeight w:val="20"/>
        </w:trPr>
        <w:tc>
          <w:tcPr>
            <w:tcW w:w="2977" w:type="pct"/>
            <w:hideMark/>
          </w:tcPr>
          <w:p w14:paraId="147D0E7B" w14:textId="77777777" w:rsidR="00674730" w:rsidRPr="00166045" w:rsidRDefault="00674730" w:rsidP="00701B5D">
            <w:pPr>
              <w:pStyle w:val="Tabletext"/>
            </w:pPr>
            <w:r w:rsidRPr="00166045">
              <w:t>Patients with TEAEs related to Selpercatinib</w:t>
            </w:r>
          </w:p>
        </w:tc>
        <w:tc>
          <w:tcPr>
            <w:tcW w:w="1010" w:type="pct"/>
            <w:vAlign w:val="center"/>
            <w:hideMark/>
          </w:tcPr>
          <w:p w14:paraId="1CA14772" w14:textId="77777777" w:rsidR="00674730" w:rsidRPr="00FB229F" w:rsidRDefault="00674730" w:rsidP="00701B5D">
            <w:pPr>
              <w:pStyle w:val="Tabletext"/>
            </w:pPr>
            <w:r w:rsidRPr="00FB229F">
              <w:t>341 (95.8)</w:t>
            </w:r>
          </w:p>
        </w:tc>
        <w:tc>
          <w:tcPr>
            <w:tcW w:w="1013" w:type="pct"/>
            <w:vAlign w:val="center"/>
            <w:hideMark/>
          </w:tcPr>
          <w:p w14:paraId="723EB42E" w14:textId="77777777" w:rsidR="00674730" w:rsidRPr="00FB229F" w:rsidRDefault="00674730" w:rsidP="00701B5D">
            <w:pPr>
              <w:pStyle w:val="Tabletext"/>
            </w:pPr>
            <w:r w:rsidRPr="00FB229F">
              <w:t>143 (40.2)</w:t>
            </w:r>
          </w:p>
        </w:tc>
      </w:tr>
      <w:tr w:rsidR="00674730" w:rsidRPr="00FB229F" w14:paraId="665543F6" w14:textId="77777777" w:rsidTr="00701B5D">
        <w:trPr>
          <w:trHeight w:val="20"/>
        </w:trPr>
        <w:tc>
          <w:tcPr>
            <w:tcW w:w="2977" w:type="pct"/>
            <w:hideMark/>
          </w:tcPr>
          <w:p w14:paraId="2FCE45D7" w14:textId="77777777" w:rsidR="00674730" w:rsidRPr="00166045" w:rsidRDefault="00674730" w:rsidP="00701B5D">
            <w:pPr>
              <w:pStyle w:val="Tabletext"/>
            </w:pPr>
            <w:r w:rsidRPr="00166045">
              <w:t>Dry mouth</w:t>
            </w:r>
          </w:p>
        </w:tc>
        <w:tc>
          <w:tcPr>
            <w:tcW w:w="1010" w:type="pct"/>
            <w:hideMark/>
          </w:tcPr>
          <w:p w14:paraId="175A2652" w14:textId="77777777" w:rsidR="00674730" w:rsidRPr="00FB229F" w:rsidRDefault="00674730" w:rsidP="00701B5D">
            <w:pPr>
              <w:pStyle w:val="Tabletext"/>
            </w:pPr>
            <w:r w:rsidRPr="00FB229F">
              <w:t>151 (42.4)</w:t>
            </w:r>
          </w:p>
        </w:tc>
        <w:tc>
          <w:tcPr>
            <w:tcW w:w="1013" w:type="pct"/>
            <w:hideMark/>
          </w:tcPr>
          <w:p w14:paraId="787CC9C3" w14:textId="77777777" w:rsidR="00674730" w:rsidRPr="00FB229F" w:rsidRDefault="00674730" w:rsidP="00701B5D">
            <w:pPr>
              <w:pStyle w:val="Tabletext"/>
            </w:pPr>
            <w:r w:rsidRPr="00FB229F">
              <w:t>0 (0.0)</w:t>
            </w:r>
          </w:p>
        </w:tc>
      </w:tr>
      <w:tr w:rsidR="00674730" w:rsidRPr="00FB229F" w14:paraId="590338FA" w14:textId="77777777" w:rsidTr="00701B5D">
        <w:trPr>
          <w:trHeight w:val="20"/>
        </w:trPr>
        <w:tc>
          <w:tcPr>
            <w:tcW w:w="2977" w:type="pct"/>
            <w:hideMark/>
          </w:tcPr>
          <w:p w14:paraId="701D1399" w14:textId="77777777" w:rsidR="00674730" w:rsidRPr="00166045" w:rsidRDefault="00674730" w:rsidP="00701B5D">
            <w:pPr>
              <w:pStyle w:val="Tabletext"/>
            </w:pPr>
            <w:r w:rsidRPr="00166045">
              <w:t>Oedema</w:t>
            </w:r>
          </w:p>
        </w:tc>
        <w:tc>
          <w:tcPr>
            <w:tcW w:w="1010" w:type="pct"/>
            <w:hideMark/>
          </w:tcPr>
          <w:p w14:paraId="2685CF9E" w14:textId="77777777" w:rsidR="00674730" w:rsidRPr="00FB229F" w:rsidRDefault="00674730" w:rsidP="00701B5D">
            <w:pPr>
              <w:pStyle w:val="Tabletext"/>
            </w:pPr>
            <w:r w:rsidRPr="00FB229F">
              <w:t>124 (34.8)</w:t>
            </w:r>
          </w:p>
        </w:tc>
        <w:tc>
          <w:tcPr>
            <w:tcW w:w="1013" w:type="pct"/>
            <w:hideMark/>
          </w:tcPr>
          <w:p w14:paraId="767A9DC3" w14:textId="77777777" w:rsidR="00674730" w:rsidRPr="00FB229F" w:rsidRDefault="00674730" w:rsidP="00701B5D">
            <w:pPr>
              <w:pStyle w:val="Tabletext"/>
            </w:pPr>
            <w:r w:rsidRPr="00FB229F">
              <w:t>2 (0.6)</w:t>
            </w:r>
          </w:p>
        </w:tc>
      </w:tr>
      <w:tr w:rsidR="00674730" w:rsidRPr="00FB229F" w14:paraId="4F083B40" w14:textId="77777777" w:rsidTr="00701B5D">
        <w:trPr>
          <w:trHeight w:val="20"/>
        </w:trPr>
        <w:tc>
          <w:tcPr>
            <w:tcW w:w="2977" w:type="pct"/>
            <w:hideMark/>
          </w:tcPr>
          <w:p w14:paraId="6BADA177" w14:textId="77777777" w:rsidR="00674730" w:rsidRPr="00166045" w:rsidRDefault="00674730" w:rsidP="00701B5D">
            <w:pPr>
              <w:pStyle w:val="Tabletext"/>
            </w:pPr>
            <w:r w:rsidRPr="00166045">
              <w:t>AST increased</w:t>
            </w:r>
          </w:p>
        </w:tc>
        <w:tc>
          <w:tcPr>
            <w:tcW w:w="1010" w:type="pct"/>
            <w:hideMark/>
          </w:tcPr>
          <w:p w14:paraId="7F18397A" w14:textId="77777777" w:rsidR="00674730" w:rsidRPr="00FB229F" w:rsidRDefault="00674730" w:rsidP="00701B5D">
            <w:pPr>
              <w:pStyle w:val="Tabletext"/>
            </w:pPr>
            <w:r w:rsidRPr="00FB229F">
              <w:t>122 (34.3)</w:t>
            </w:r>
          </w:p>
        </w:tc>
        <w:tc>
          <w:tcPr>
            <w:tcW w:w="1013" w:type="pct"/>
            <w:hideMark/>
          </w:tcPr>
          <w:p w14:paraId="5F620936" w14:textId="77777777" w:rsidR="00674730" w:rsidRPr="00FB229F" w:rsidRDefault="00674730" w:rsidP="00701B5D">
            <w:pPr>
              <w:pStyle w:val="Tabletext"/>
            </w:pPr>
            <w:r w:rsidRPr="00FB229F">
              <w:t>24 (6.7)</w:t>
            </w:r>
          </w:p>
        </w:tc>
      </w:tr>
      <w:tr w:rsidR="00674730" w:rsidRPr="00FB229F" w14:paraId="1D47AED6" w14:textId="77777777" w:rsidTr="00701B5D">
        <w:trPr>
          <w:trHeight w:val="20"/>
        </w:trPr>
        <w:tc>
          <w:tcPr>
            <w:tcW w:w="2977" w:type="pct"/>
            <w:hideMark/>
          </w:tcPr>
          <w:p w14:paraId="09D5EFE7" w14:textId="77777777" w:rsidR="00674730" w:rsidRPr="00166045" w:rsidRDefault="00674730" w:rsidP="00701B5D">
            <w:pPr>
              <w:pStyle w:val="Tabletext"/>
            </w:pPr>
            <w:r w:rsidRPr="00166045">
              <w:t>ALT increased</w:t>
            </w:r>
          </w:p>
        </w:tc>
        <w:tc>
          <w:tcPr>
            <w:tcW w:w="1010" w:type="pct"/>
            <w:hideMark/>
          </w:tcPr>
          <w:p w14:paraId="6F6128BD" w14:textId="77777777" w:rsidR="00674730" w:rsidRPr="00FB229F" w:rsidRDefault="00674730" w:rsidP="00701B5D">
            <w:pPr>
              <w:pStyle w:val="Tabletext"/>
            </w:pPr>
            <w:r w:rsidRPr="00FB229F">
              <w:t>120 (33.7)</w:t>
            </w:r>
          </w:p>
        </w:tc>
        <w:tc>
          <w:tcPr>
            <w:tcW w:w="1013" w:type="pct"/>
            <w:hideMark/>
          </w:tcPr>
          <w:p w14:paraId="7D64C0DC" w14:textId="77777777" w:rsidR="00674730" w:rsidRPr="00FB229F" w:rsidRDefault="00674730" w:rsidP="00701B5D">
            <w:pPr>
              <w:pStyle w:val="Tabletext"/>
            </w:pPr>
            <w:r w:rsidRPr="00FB229F">
              <w:t>41 (11.5)</w:t>
            </w:r>
          </w:p>
        </w:tc>
      </w:tr>
      <w:tr w:rsidR="00674730" w:rsidRPr="00FB229F" w14:paraId="445A7F45" w14:textId="77777777" w:rsidTr="00701B5D">
        <w:trPr>
          <w:trHeight w:val="20"/>
        </w:trPr>
        <w:tc>
          <w:tcPr>
            <w:tcW w:w="2977" w:type="pct"/>
            <w:hideMark/>
          </w:tcPr>
          <w:p w14:paraId="620B0568" w14:textId="77777777" w:rsidR="00674730" w:rsidRPr="00166045" w:rsidRDefault="00674730" w:rsidP="00701B5D">
            <w:pPr>
              <w:pStyle w:val="Tabletext"/>
            </w:pPr>
            <w:r w:rsidRPr="00166045">
              <w:t>Hypertension</w:t>
            </w:r>
          </w:p>
        </w:tc>
        <w:tc>
          <w:tcPr>
            <w:tcW w:w="1010" w:type="pct"/>
            <w:hideMark/>
          </w:tcPr>
          <w:p w14:paraId="5BDB536D" w14:textId="77777777" w:rsidR="00674730" w:rsidRPr="00FB229F" w:rsidRDefault="00674730" w:rsidP="00701B5D">
            <w:pPr>
              <w:pStyle w:val="Tabletext"/>
            </w:pPr>
            <w:r w:rsidRPr="00FB229F">
              <w:t>95 (26.7)</w:t>
            </w:r>
          </w:p>
        </w:tc>
        <w:tc>
          <w:tcPr>
            <w:tcW w:w="1013" w:type="pct"/>
            <w:hideMark/>
          </w:tcPr>
          <w:p w14:paraId="081C64FA" w14:textId="77777777" w:rsidR="00674730" w:rsidRPr="00FB229F" w:rsidRDefault="00674730" w:rsidP="00701B5D">
            <w:pPr>
              <w:pStyle w:val="Tabletext"/>
            </w:pPr>
            <w:r w:rsidRPr="00FB229F">
              <w:t>49 (13.8)</w:t>
            </w:r>
          </w:p>
        </w:tc>
      </w:tr>
      <w:tr w:rsidR="00674730" w:rsidRPr="00FB229F" w14:paraId="3CB0EE8B" w14:textId="77777777" w:rsidTr="00701B5D">
        <w:trPr>
          <w:trHeight w:val="20"/>
        </w:trPr>
        <w:tc>
          <w:tcPr>
            <w:tcW w:w="2977" w:type="pct"/>
            <w:hideMark/>
          </w:tcPr>
          <w:p w14:paraId="5ED15999" w14:textId="77777777" w:rsidR="00674730" w:rsidRPr="00166045" w:rsidRDefault="00674730" w:rsidP="00701B5D">
            <w:pPr>
              <w:pStyle w:val="Tabletext"/>
            </w:pPr>
            <w:r w:rsidRPr="00166045">
              <w:t>Fatigue</w:t>
            </w:r>
          </w:p>
        </w:tc>
        <w:tc>
          <w:tcPr>
            <w:tcW w:w="1010" w:type="pct"/>
            <w:hideMark/>
          </w:tcPr>
          <w:p w14:paraId="20673320" w14:textId="77777777" w:rsidR="00674730" w:rsidRPr="00FB229F" w:rsidRDefault="00674730" w:rsidP="00701B5D">
            <w:pPr>
              <w:pStyle w:val="Tabletext"/>
            </w:pPr>
            <w:r w:rsidRPr="00FB229F">
              <w:t>78 (21.9)</w:t>
            </w:r>
          </w:p>
        </w:tc>
        <w:tc>
          <w:tcPr>
            <w:tcW w:w="1013" w:type="pct"/>
            <w:hideMark/>
          </w:tcPr>
          <w:p w14:paraId="322125B9" w14:textId="77777777" w:rsidR="00674730" w:rsidRPr="00FB229F" w:rsidRDefault="00674730" w:rsidP="00701B5D">
            <w:pPr>
              <w:pStyle w:val="Tabletext"/>
            </w:pPr>
            <w:r w:rsidRPr="00FB229F">
              <w:t>3 (0.8)</w:t>
            </w:r>
          </w:p>
        </w:tc>
      </w:tr>
      <w:tr w:rsidR="00674730" w:rsidRPr="00FB229F" w14:paraId="1EA7FD98" w14:textId="77777777" w:rsidTr="00701B5D">
        <w:trPr>
          <w:trHeight w:val="20"/>
        </w:trPr>
        <w:tc>
          <w:tcPr>
            <w:tcW w:w="2977" w:type="pct"/>
            <w:hideMark/>
          </w:tcPr>
          <w:p w14:paraId="6ABC1725" w14:textId="77777777" w:rsidR="00674730" w:rsidRPr="00166045" w:rsidRDefault="00674730" w:rsidP="00701B5D">
            <w:pPr>
              <w:pStyle w:val="Tabletext"/>
            </w:pPr>
            <w:r w:rsidRPr="00166045">
              <w:t>Diarrhea</w:t>
            </w:r>
          </w:p>
        </w:tc>
        <w:tc>
          <w:tcPr>
            <w:tcW w:w="1010" w:type="pct"/>
            <w:hideMark/>
          </w:tcPr>
          <w:p w14:paraId="4CD0DFAD" w14:textId="77777777" w:rsidR="00674730" w:rsidRPr="00FB229F" w:rsidRDefault="00674730" w:rsidP="00701B5D">
            <w:pPr>
              <w:pStyle w:val="Tabletext"/>
            </w:pPr>
            <w:r w:rsidRPr="00FB229F">
              <w:t>114 (32.0)</w:t>
            </w:r>
          </w:p>
        </w:tc>
        <w:tc>
          <w:tcPr>
            <w:tcW w:w="1013" w:type="pct"/>
            <w:hideMark/>
          </w:tcPr>
          <w:p w14:paraId="0421C5A5" w14:textId="77777777" w:rsidR="00674730" w:rsidRPr="00FB229F" w:rsidRDefault="00674730" w:rsidP="00701B5D">
            <w:pPr>
              <w:pStyle w:val="Tabletext"/>
            </w:pPr>
            <w:r w:rsidRPr="00FB229F">
              <w:t>8 (2.2)</w:t>
            </w:r>
          </w:p>
        </w:tc>
      </w:tr>
      <w:tr w:rsidR="00674730" w:rsidRPr="00FB229F" w14:paraId="00CED000" w14:textId="77777777" w:rsidTr="00701B5D">
        <w:trPr>
          <w:trHeight w:val="20"/>
        </w:trPr>
        <w:tc>
          <w:tcPr>
            <w:tcW w:w="2977" w:type="pct"/>
            <w:hideMark/>
          </w:tcPr>
          <w:p w14:paraId="2DB881F8" w14:textId="77777777" w:rsidR="00674730" w:rsidRPr="00166045" w:rsidRDefault="00674730" w:rsidP="00701B5D">
            <w:pPr>
              <w:pStyle w:val="Tabletext"/>
            </w:pPr>
            <w:r w:rsidRPr="00166045">
              <w:t>Rash</w:t>
            </w:r>
          </w:p>
        </w:tc>
        <w:tc>
          <w:tcPr>
            <w:tcW w:w="1010" w:type="pct"/>
            <w:hideMark/>
          </w:tcPr>
          <w:p w14:paraId="1A5EC117" w14:textId="77777777" w:rsidR="00674730" w:rsidRPr="00FB229F" w:rsidRDefault="00674730" w:rsidP="00701B5D">
            <w:pPr>
              <w:pStyle w:val="Tabletext"/>
            </w:pPr>
            <w:r w:rsidRPr="00FB229F">
              <w:t>83 (23.3)</w:t>
            </w:r>
          </w:p>
        </w:tc>
        <w:tc>
          <w:tcPr>
            <w:tcW w:w="1013" w:type="pct"/>
            <w:hideMark/>
          </w:tcPr>
          <w:p w14:paraId="40225976" w14:textId="77777777" w:rsidR="00674730" w:rsidRPr="00FB229F" w:rsidRDefault="00674730" w:rsidP="00701B5D">
            <w:pPr>
              <w:pStyle w:val="Tabletext"/>
            </w:pPr>
            <w:r w:rsidRPr="00FB229F">
              <w:t>4 (1.1)</w:t>
            </w:r>
          </w:p>
        </w:tc>
      </w:tr>
      <w:tr w:rsidR="00674730" w:rsidRPr="00FB229F" w14:paraId="524A6A20" w14:textId="77777777" w:rsidTr="00701B5D">
        <w:trPr>
          <w:trHeight w:val="20"/>
        </w:trPr>
        <w:tc>
          <w:tcPr>
            <w:tcW w:w="2977" w:type="pct"/>
            <w:hideMark/>
          </w:tcPr>
          <w:p w14:paraId="190E3218" w14:textId="77777777" w:rsidR="00674730" w:rsidRPr="00166045" w:rsidRDefault="00674730" w:rsidP="00701B5D">
            <w:pPr>
              <w:pStyle w:val="Tabletext"/>
            </w:pPr>
            <w:r w:rsidRPr="00166045">
              <w:t>Electrocardiogram QT prolonged</w:t>
            </w:r>
          </w:p>
        </w:tc>
        <w:tc>
          <w:tcPr>
            <w:tcW w:w="1010" w:type="pct"/>
            <w:hideMark/>
          </w:tcPr>
          <w:p w14:paraId="50A48EFF" w14:textId="77777777" w:rsidR="00674730" w:rsidRPr="00FB229F" w:rsidRDefault="00674730" w:rsidP="00701B5D">
            <w:pPr>
              <w:pStyle w:val="Tabletext"/>
            </w:pPr>
            <w:r w:rsidRPr="00FB229F">
              <w:t>57 (16.0)</w:t>
            </w:r>
          </w:p>
        </w:tc>
        <w:tc>
          <w:tcPr>
            <w:tcW w:w="1013" w:type="pct"/>
            <w:hideMark/>
          </w:tcPr>
          <w:p w14:paraId="540EAE88" w14:textId="77777777" w:rsidR="00674730" w:rsidRPr="00FB229F" w:rsidRDefault="00674730" w:rsidP="00701B5D">
            <w:pPr>
              <w:pStyle w:val="Tabletext"/>
            </w:pPr>
            <w:r w:rsidRPr="00FB229F">
              <w:t>14 (3.9)</w:t>
            </w:r>
          </w:p>
        </w:tc>
      </w:tr>
    </w:tbl>
    <w:p w14:paraId="0BD63BD9" w14:textId="77777777" w:rsidR="00674730" w:rsidRPr="00FB229F" w:rsidRDefault="00674730" w:rsidP="00674730">
      <w:pPr>
        <w:pStyle w:val="TableFooter"/>
      </w:pPr>
      <w:r w:rsidRPr="00FB229F">
        <w:t>Source: Table 2-94, p251 of the submission</w:t>
      </w:r>
    </w:p>
    <w:p w14:paraId="34C2AEBA" w14:textId="77777777" w:rsidR="00674730" w:rsidRPr="00FB229F" w:rsidRDefault="00674730" w:rsidP="00816BFB">
      <w:pPr>
        <w:pStyle w:val="TableFooter"/>
        <w:spacing w:after="120"/>
      </w:pPr>
      <w:r w:rsidRPr="00FB229F">
        <w:t>AESI=adverse event of special interest; ALT= Alanine aminotransferase; AST= Aspartate aminotransferase; ECG=echocardiogram; NSCLC=non-small cell lung cancer; TEAEs=Treatment-Emergent Adverse Events</w:t>
      </w:r>
    </w:p>
    <w:p w14:paraId="7C5B3013" w14:textId="3E1D6831" w:rsidR="00674730" w:rsidRPr="00FB229F" w:rsidRDefault="00674730" w:rsidP="007F03AD">
      <w:pPr>
        <w:pStyle w:val="3-BodyText"/>
        <w:tabs>
          <w:tab w:val="num" w:pos="717"/>
        </w:tabs>
        <w:ind w:left="709" w:hanging="709"/>
      </w:pPr>
      <w:r w:rsidRPr="00FB229F">
        <w:t>The percentage of patients in the NSCLC Safety Population with at least one selpercatinib-related TEAE was 95.8%.</w:t>
      </w:r>
      <w:r w:rsidR="00A84734" w:rsidRPr="00FB229F">
        <w:t xml:space="preserve"> </w:t>
      </w:r>
      <w:r w:rsidRPr="00FB229F">
        <w:t xml:space="preserve">The percentage of patients with TEAEs of </w:t>
      </w:r>
      <w:r w:rsidRPr="00FB229F">
        <w:rPr>
          <w:rFonts w:cs="Calibri"/>
        </w:rPr>
        <w:t>≥</w:t>
      </w:r>
      <w:r w:rsidR="00070537">
        <w:rPr>
          <w:rFonts w:cs="Calibri"/>
        </w:rPr>
        <w:t> </w:t>
      </w:r>
      <w:r w:rsidRPr="00FB229F">
        <w:t xml:space="preserve">Grade 3 related to selpercatinib </w:t>
      </w:r>
      <w:r w:rsidR="00A84734" w:rsidRPr="00FB229F">
        <w:t>(40.2%) appeared high</w:t>
      </w:r>
      <w:r w:rsidRPr="00FB229F">
        <w:t>.</w:t>
      </w:r>
      <w:r w:rsidR="00A84734" w:rsidRPr="00FB229F">
        <w:t xml:space="preserve"> The incidence of selpercatinib-related TEAEs leading to permanent treatment discontinuation was 3.1%. These included alanine aminotransferase (ALT) increased, aspartate aminotransferase (AST) increased, fatigue and drug sensitivity (occurring in 2 patients each (0.6%).</w:t>
      </w:r>
      <w:r w:rsidR="00552189" w:rsidRPr="00FB229F">
        <w:t xml:space="preserve"> </w:t>
      </w:r>
    </w:p>
    <w:p w14:paraId="51503C37" w14:textId="3A739C9A" w:rsidR="00A84734" w:rsidRPr="00FB229F" w:rsidRDefault="008B1622" w:rsidP="007F03AD">
      <w:pPr>
        <w:pStyle w:val="3-BodyText"/>
        <w:tabs>
          <w:tab w:val="num" w:pos="717"/>
        </w:tabs>
        <w:ind w:left="709" w:hanging="709"/>
      </w:pPr>
      <w:r w:rsidRPr="00FB229F">
        <w:lastRenderedPageBreak/>
        <w:t>C</w:t>
      </w:r>
      <w:r w:rsidR="00674730" w:rsidRPr="00FB229F">
        <w:t xml:space="preserve">ommonly reported selpercatinib-related </w:t>
      </w:r>
      <w:r w:rsidRPr="00FB229F">
        <w:t>serious adverse events (</w:t>
      </w:r>
      <w:r w:rsidR="00674730" w:rsidRPr="00FB229F">
        <w:t>SAEs</w:t>
      </w:r>
      <w:r w:rsidRPr="00FB229F">
        <w:t>)</w:t>
      </w:r>
      <w:r w:rsidR="00674730" w:rsidRPr="00FB229F">
        <w:t xml:space="preserve"> were hypersensitivity (3.9%</w:t>
      </w:r>
      <w:r w:rsidRPr="00FB229F">
        <w:t>)</w:t>
      </w:r>
      <w:r w:rsidR="00674730" w:rsidRPr="00FB229F">
        <w:t>, ALT increased (1.7%</w:t>
      </w:r>
      <w:r w:rsidRPr="00FB229F">
        <w:t>)</w:t>
      </w:r>
      <w:r w:rsidR="00A84734" w:rsidRPr="00FB229F">
        <w:t>,</w:t>
      </w:r>
      <w:r w:rsidR="00674730" w:rsidRPr="00FB229F">
        <w:t xml:space="preserve"> and AST increased (1.7%</w:t>
      </w:r>
      <w:r w:rsidRPr="00FB229F">
        <w:t>)</w:t>
      </w:r>
      <w:r w:rsidR="00674730" w:rsidRPr="00FB229F">
        <w:t>.</w:t>
      </w:r>
      <w:r w:rsidR="00A84734" w:rsidRPr="00FB229F">
        <w:t xml:space="preserve"> </w:t>
      </w:r>
      <w:r w:rsidR="00674730" w:rsidRPr="00FB229F">
        <w:t xml:space="preserve">The most frequently reported </w:t>
      </w:r>
      <w:r w:rsidR="00A84734" w:rsidRPr="00FB229F">
        <w:t xml:space="preserve">selpercatinib-related </w:t>
      </w:r>
      <w:r w:rsidR="00674730" w:rsidRPr="00FB229F">
        <w:t>TEAEs</w:t>
      </w:r>
      <w:r w:rsidR="00A84734" w:rsidRPr="00FB229F">
        <w:t xml:space="preserve"> </w:t>
      </w:r>
      <w:r w:rsidR="00674730" w:rsidRPr="00FB229F">
        <w:t>were dry mouth (42.4%), oedema (34.8%), AST increased (34.3%), and ALT increased (33.7%). By severity grade, the incidence of selpercatinib-related TEAE of Grade ≥</w:t>
      </w:r>
      <w:r w:rsidR="00070537">
        <w:t> </w:t>
      </w:r>
      <w:r w:rsidR="00674730" w:rsidRPr="00FB229F">
        <w:t>3 severity was 40.2% with the most commonly being hypertension (13.8%), ALT increased (11.5%), and AST increased (6.7%).</w:t>
      </w:r>
      <w:r w:rsidR="0038592E" w:rsidRPr="00FB229F">
        <w:t xml:space="preserve"> </w:t>
      </w:r>
      <w:r w:rsidR="0038592E" w:rsidRPr="00FB229F">
        <w:rPr>
          <w:iCs/>
        </w:rPr>
        <w:t xml:space="preserve">The ESC noted the percentage of patients with Grade </w:t>
      </w:r>
      <w:r w:rsidR="0038592E" w:rsidRPr="00FB229F">
        <w:rPr>
          <w:rFonts w:cstheme="minorHAnsi"/>
          <w:iCs/>
        </w:rPr>
        <w:t>≥</w:t>
      </w:r>
      <w:r w:rsidR="00070537">
        <w:rPr>
          <w:iCs/>
        </w:rPr>
        <w:t> </w:t>
      </w:r>
      <w:r w:rsidR="0038592E" w:rsidRPr="00FB229F">
        <w:rPr>
          <w:iCs/>
        </w:rPr>
        <w:t xml:space="preserve">3 AEs appeared largely driven by abnormal LFT results and hypertension and considered that such AEs do not necessarily </w:t>
      </w:r>
      <w:r w:rsidR="00531E37" w:rsidRPr="00FB229F">
        <w:rPr>
          <w:iCs/>
        </w:rPr>
        <w:t xml:space="preserve">require </w:t>
      </w:r>
      <w:r w:rsidR="0038592E" w:rsidRPr="00FB229F">
        <w:rPr>
          <w:iCs/>
        </w:rPr>
        <w:t>hospitalisation and may be asymptomatic.</w:t>
      </w:r>
    </w:p>
    <w:p w14:paraId="0E22F8CE" w14:textId="77777777" w:rsidR="008B1622" w:rsidRPr="00FB229F" w:rsidRDefault="00674730" w:rsidP="007F03AD">
      <w:pPr>
        <w:pStyle w:val="3-BodyText"/>
        <w:tabs>
          <w:tab w:val="num" w:pos="717"/>
        </w:tabs>
        <w:ind w:left="709" w:hanging="709"/>
      </w:pPr>
      <w:r w:rsidRPr="00FB229F">
        <w:t>The incidence of TEAEs of QT prolongation related to selpercatinib was 16.0%. The majority of these events were of Grades 1 or 2 in severity.</w:t>
      </w:r>
      <w:r w:rsidR="00A84734" w:rsidRPr="00FB229F">
        <w:t xml:space="preserve"> There were no </w:t>
      </w:r>
      <w:r w:rsidRPr="00FB229F">
        <w:t xml:space="preserve">deaths due to </w:t>
      </w:r>
      <w:r w:rsidR="00A84734" w:rsidRPr="00FB229F">
        <w:t xml:space="preserve">a selpercatinib-related </w:t>
      </w:r>
      <w:r w:rsidRPr="00FB229F">
        <w:t>TEAE</w:t>
      </w:r>
      <w:r w:rsidR="00A84734" w:rsidRPr="00FB229F">
        <w:t xml:space="preserve">. </w:t>
      </w:r>
      <w:r w:rsidR="008B1622" w:rsidRPr="00FB229F">
        <w:t>T</w:t>
      </w:r>
      <w:r w:rsidRPr="00FB229F">
        <w:t xml:space="preserve">here were 78 deaths (21.9%) occurring more than 28 days </w:t>
      </w:r>
      <w:r w:rsidR="008B1622" w:rsidRPr="00FB229F">
        <w:t>from</w:t>
      </w:r>
      <w:r w:rsidRPr="00FB229F">
        <w:t xml:space="preserve"> the last dose of selpercatinib. The most common cause of these deaths was disease progression (16.3%; 58/356). </w:t>
      </w:r>
    </w:p>
    <w:p w14:paraId="6EAF9CBF" w14:textId="004B84A9" w:rsidR="00674730" w:rsidRPr="00FB229F" w:rsidRDefault="008B1622" w:rsidP="007F03AD">
      <w:pPr>
        <w:pStyle w:val="3-BodyText"/>
        <w:tabs>
          <w:tab w:val="num" w:pos="717"/>
        </w:tabs>
        <w:ind w:left="709" w:hanging="709"/>
      </w:pPr>
      <w:r w:rsidRPr="00FB229F">
        <w:t>T</w:t>
      </w:r>
      <w:r w:rsidR="00674730" w:rsidRPr="00FB229F">
        <w:t xml:space="preserve">he TGA Clinical Evaluation Report noted that although the incidence </w:t>
      </w:r>
      <w:r w:rsidRPr="00FB229F">
        <w:t>of i</w:t>
      </w:r>
      <w:r w:rsidR="00674730" w:rsidRPr="00FB229F">
        <w:t>nterstitial lung disease (ILD) or pneumonitis</w:t>
      </w:r>
      <w:r w:rsidRPr="00FB229F">
        <w:t xml:space="preserve"> </w:t>
      </w:r>
      <w:r w:rsidR="00674730" w:rsidRPr="00FB229F">
        <w:t xml:space="preserve">was low in the </w:t>
      </w:r>
      <w:r w:rsidRPr="00FB229F">
        <w:t>o</w:t>
      </w:r>
      <w:r w:rsidR="00674730" w:rsidRPr="00FB229F">
        <w:t xml:space="preserve">verall (1.5%) and NSCLC (0.8%) </w:t>
      </w:r>
      <w:r w:rsidRPr="00FB229F">
        <w:t>s</w:t>
      </w:r>
      <w:r w:rsidR="00674730" w:rsidRPr="00FB229F">
        <w:t xml:space="preserve">afety </w:t>
      </w:r>
      <w:r w:rsidRPr="00FB229F">
        <w:t>p</w:t>
      </w:r>
      <w:r w:rsidR="00674730" w:rsidRPr="00FB229F">
        <w:t xml:space="preserve">opulations, ILD/pneumonitis has been reported with </w:t>
      </w:r>
      <w:proofErr w:type="spellStart"/>
      <w:r w:rsidR="00674730" w:rsidRPr="00FB229F">
        <w:t>pralsetinib</w:t>
      </w:r>
      <w:proofErr w:type="spellEnd"/>
      <w:r w:rsidR="00674730" w:rsidRPr="00FB229F">
        <w:t xml:space="preserve"> (another selective </w:t>
      </w:r>
      <w:r w:rsidR="003D270C" w:rsidRPr="00FB229F">
        <w:rPr>
          <w:i/>
          <w:iCs/>
        </w:rPr>
        <w:t>RET</w:t>
      </w:r>
      <w:r w:rsidR="00674730" w:rsidRPr="00FB229F">
        <w:t xml:space="preserve"> inhibitor) and other </w:t>
      </w:r>
      <w:proofErr w:type="spellStart"/>
      <w:r w:rsidR="00674730" w:rsidRPr="00FB229F">
        <w:t>multikinase</w:t>
      </w:r>
      <w:proofErr w:type="spellEnd"/>
      <w:r w:rsidR="00674730" w:rsidRPr="00FB229F">
        <w:t xml:space="preserve"> inhibitors, and that a potential class effect is possible, but more data are required to support this conclusion</w:t>
      </w:r>
      <w:r w:rsidRPr="00FB229F">
        <w:t>.</w:t>
      </w:r>
    </w:p>
    <w:p w14:paraId="6051D830" w14:textId="6C2CEA29" w:rsidR="003D270C" w:rsidRPr="00FB229F" w:rsidRDefault="008B1622" w:rsidP="00C66C16">
      <w:pPr>
        <w:pStyle w:val="3-BodyText"/>
        <w:ind w:left="709" w:hanging="709"/>
      </w:pPr>
      <w:r w:rsidRPr="00FB229F">
        <w:t xml:space="preserve">Overall, selpercatinib appears to be associated with substantial toxicity as indicated by the incidence of Grade </w:t>
      </w:r>
      <w:r w:rsidRPr="00FB229F">
        <w:rPr>
          <w:rFonts w:cs="Calibri"/>
        </w:rPr>
        <w:t>≥</w:t>
      </w:r>
      <w:r w:rsidRPr="00FB229F">
        <w:t xml:space="preserve">3 TEAEs (40.2%) and treatment emergent SAEs (14.6%) related to the drug. </w:t>
      </w:r>
      <w:r w:rsidR="0068278C" w:rsidRPr="00FB229F">
        <w:t>The TGA clinical evaluation report and European assessment report (p115, Assessment report EMA/9037/2021) for selpercatinib noted that t</w:t>
      </w:r>
      <w:r w:rsidRPr="00FB229F">
        <w:t xml:space="preserve">he safety profile </w:t>
      </w:r>
      <w:r w:rsidR="0068278C" w:rsidRPr="00FB229F">
        <w:t xml:space="preserve">of selpercatinib </w:t>
      </w:r>
      <w:r w:rsidRPr="00FB229F">
        <w:t>is nevertheless consistent with that seen for other TKIs, and has been considered generally manageable in both</w:t>
      </w:r>
      <w:r w:rsidR="000A326E" w:rsidRPr="00FB229F">
        <w:t xml:space="preserve"> reports</w:t>
      </w:r>
      <w:r w:rsidRPr="00FB229F">
        <w:t>.</w:t>
      </w:r>
      <w:bookmarkStart w:id="58" w:name="_Toc135215239"/>
    </w:p>
    <w:p w14:paraId="1865778E" w14:textId="3B428FFA" w:rsidR="008B1622" w:rsidRPr="00FB229F" w:rsidRDefault="00505533" w:rsidP="003D270C">
      <w:pPr>
        <w:pStyle w:val="3-BodyText"/>
        <w:numPr>
          <w:ilvl w:val="0"/>
          <w:numId w:val="0"/>
        </w:numPr>
        <w:rPr>
          <w:b/>
          <w:bCs/>
          <w:iCs/>
        </w:rPr>
      </w:pPr>
      <w:r w:rsidRPr="00FB229F">
        <w:rPr>
          <w:b/>
          <w:bCs/>
          <w:iCs/>
        </w:rPr>
        <w:t>Indirect comparisons</w:t>
      </w:r>
      <w:bookmarkEnd w:id="58"/>
    </w:p>
    <w:p w14:paraId="07A83A56" w14:textId="09B50BCA" w:rsidR="00505533" w:rsidRPr="00FB229F" w:rsidRDefault="00505533" w:rsidP="007F03AD">
      <w:pPr>
        <w:pStyle w:val="3-BodyText"/>
        <w:ind w:left="709" w:hanging="709"/>
      </w:pPr>
      <w:r w:rsidRPr="00FB229F">
        <w:t xml:space="preserve">No formal indirect statistical analyses were conducted for assessing comparative safety. The submission presented comparisons of AEs between single arms using the safety populations of the LIBRETTO-001, KN-189 (pembrolizumab + PC arm), and KN-021 Cohort G (pembrolizumab + PC arm) studies. These are summarised in </w:t>
      </w:r>
      <w:r w:rsidRPr="00FB229F">
        <w:fldChar w:fldCharType="begin" w:fldLock="1"/>
      </w:r>
      <w:r w:rsidRPr="00FB229F">
        <w:instrText xml:space="preserve"> REF _Ref131781439 \h </w:instrText>
      </w:r>
      <w:r w:rsidRPr="00FB229F">
        <w:fldChar w:fldCharType="separate"/>
      </w:r>
      <w:r w:rsidR="00CA7201" w:rsidRPr="00FB229F">
        <w:t xml:space="preserve">Table </w:t>
      </w:r>
      <w:r w:rsidR="00CA7201" w:rsidRPr="00166045">
        <w:t>18</w:t>
      </w:r>
      <w:r w:rsidRPr="00FB229F">
        <w:fldChar w:fldCharType="end"/>
      </w:r>
      <w:r w:rsidRPr="00FB229F">
        <w:t>.</w:t>
      </w:r>
    </w:p>
    <w:p w14:paraId="5BD2AE1D" w14:textId="4B7FFD6F" w:rsidR="00505533" w:rsidRPr="00FB229F" w:rsidRDefault="00505533" w:rsidP="00630880">
      <w:pPr>
        <w:pStyle w:val="Caption"/>
      </w:pPr>
      <w:bookmarkStart w:id="59" w:name="_Ref131781439"/>
      <w:r w:rsidRPr="00FB229F">
        <w:lastRenderedPageBreak/>
        <w:t xml:space="preserve">Table </w:t>
      </w:r>
      <w:r w:rsidR="00BF0AEB">
        <w:fldChar w:fldCharType="begin" w:fldLock="1"/>
      </w:r>
      <w:r w:rsidR="00BF0AEB">
        <w:instrText xml:space="preserve"> SEQ Table \* ARABIC </w:instrText>
      </w:r>
      <w:r w:rsidR="00BF0AEB">
        <w:fldChar w:fldCharType="separate"/>
      </w:r>
      <w:r w:rsidR="00CA7201" w:rsidRPr="00166045">
        <w:t>18</w:t>
      </w:r>
      <w:r w:rsidR="00BF0AEB">
        <w:fldChar w:fldCharType="end"/>
      </w:r>
      <w:bookmarkEnd w:id="59"/>
      <w:r w:rsidRPr="00FB229F">
        <w:t>: Overall TEAEs across LIBRETTO-001, KN-189, and KN-021 Cohort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1850"/>
        <w:gridCol w:w="1852"/>
        <w:gridCol w:w="1955"/>
      </w:tblGrid>
      <w:tr w:rsidR="00505533" w:rsidRPr="00FB229F" w14:paraId="551C189C" w14:textId="77777777" w:rsidTr="00F90FA2">
        <w:trPr>
          <w:cantSplit/>
          <w:trHeight w:val="245"/>
        </w:trPr>
        <w:tc>
          <w:tcPr>
            <w:tcW w:w="1863" w:type="pct"/>
            <w:vMerge w:val="restart"/>
          </w:tcPr>
          <w:p w14:paraId="3C6E6334" w14:textId="77777777" w:rsidR="00505533" w:rsidRPr="00166045" w:rsidRDefault="00505533" w:rsidP="00630880">
            <w:pPr>
              <w:pStyle w:val="Tabletext"/>
              <w:keepNext/>
              <w:keepLines/>
              <w:rPr>
                <w:b/>
              </w:rPr>
            </w:pPr>
            <w:r w:rsidRPr="00FB229F">
              <w:rPr>
                <w:b/>
              </w:rPr>
              <w:t>E</w:t>
            </w:r>
            <w:r w:rsidRPr="00166045">
              <w:rPr>
                <w:b/>
              </w:rPr>
              <w:t>vent</w:t>
            </w:r>
          </w:p>
        </w:tc>
        <w:tc>
          <w:tcPr>
            <w:tcW w:w="1026" w:type="pct"/>
          </w:tcPr>
          <w:p w14:paraId="71E0A578" w14:textId="77777777" w:rsidR="00505533" w:rsidRPr="00166045" w:rsidRDefault="00505533" w:rsidP="00630880">
            <w:pPr>
              <w:pStyle w:val="Tabletext"/>
              <w:keepNext/>
              <w:keepLines/>
              <w:rPr>
                <w:b/>
              </w:rPr>
            </w:pPr>
            <w:r w:rsidRPr="00FB229F">
              <w:rPr>
                <w:b/>
              </w:rPr>
              <w:t>LIBRETTO-001</w:t>
            </w:r>
          </w:p>
        </w:tc>
        <w:tc>
          <w:tcPr>
            <w:tcW w:w="1027" w:type="pct"/>
          </w:tcPr>
          <w:p w14:paraId="5238D5CB" w14:textId="77777777" w:rsidR="00505533" w:rsidRPr="00FB229F" w:rsidRDefault="00505533" w:rsidP="00630880">
            <w:pPr>
              <w:pStyle w:val="Tabletext"/>
              <w:keepNext/>
              <w:keepLines/>
              <w:rPr>
                <w:rFonts w:cstheme="minorHAnsi"/>
                <w:b/>
              </w:rPr>
            </w:pPr>
            <w:r w:rsidRPr="00FB229F">
              <w:rPr>
                <w:rFonts w:cstheme="minorHAnsi"/>
                <w:b/>
              </w:rPr>
              <w:t>KN-189</w:t>
            </w:r>
          </w:p>
        </w:tc>
        <w:tc>
          <w:tcPr>
            <w:tcW w:w="1084" w:type="pct"/>
          </w:tcPr>
          <w:p w14:paraId="696EA77B" w14:textId="77777777" w:rsidR="00505533" w:rsidRPr="00FB229F" w:rsidRDefault="00505533" w:rsidP="00630880">
            <w:pPr>
              <w:pStyle w:val="Tabletext"/>
              <w:keepNext/>
              <w:keepLines/>
              <w:rPr>
                <w:rFonts w:cstheme="minorHAnsi"/>
                <w:b/>
              </w:rPr>
            </w:pPr>
            <w:r w:rsidRPr="00FB229F">
              <w:rPr>
                <w:rFonts w:cstheme="minorHAnsi"/>
                <w:b/>
              </w:rPr>
              <w:t>KN-021 Cohort G</w:t>
            </w:r>
          </w:p>
        </w:tc>
      </w:tr>
      <w:tr w:rsidR="00505533" w:rsidRPr="00FB229F" w14:paraId="51B3BE34" w14:textId="77777777" w:rsidTr="00F90FA2">
        <w:trPr>
          <w:cantSplit/>
          <w:trHeight w:val="245"/>
        </w:trPr>
        <w:tc>
          <w:tcPr>
            <w:tcW w:w="1863" w:type="pct"/>
            <w:vMerge/>
          </w:tcPr>
          <w:p w14:paraId="31E90D56" w14:textId="77777777" w:rsidR="00505533" w:rsidRPr="00166045" w:rsidRDefault="00505533" w:rsidP="00630880">
            <w:pPr>
              <w:pStyle w:val="Tabletext"/>
              <w:keepNext/>
              <w:keepLines/>
              <w:rPr>
                <w:b/>
                <w:szCs w:val="18"/>
              </w:rPr>
            </w:pPr>
          </w:p>
        </w:tc>
        <w:tc>
          <w:tcPr>
            <w:tcW w:w="1026" w:type="pct"/>
          </w:tcPr>
          <w:p w14:paraId="54B16EF6" w14:textId="77777777" w:rsidR="00505533" w:rsidRPr="00FB229F" w:rsidRDefault="00505533" w:rsidP="00630880">
            <w:pPr>
              <w:pStyle w:val="Tabletext"/>
              <w:keepNext/>
              <w:keepLines/>
              <w:rPr>
                <w:rFonts w:cstheme="minorHAnsi"/>
                <w:b/>
              </w:rPr>
            </w:pPr>
            <w:r w:rsidRPr="00FB229F">
              <w:rPr>
                <w:b/>
              </w:rPr>
              <w:t>NSCLC Safety Population (N=356)</w:t>
            </w:r>
          </w:p>
        </w:tc>
        <w:tc>
          <w:tcPr>
            <w:tcW w:w="1027" w:type="pct"/>
          </w:tcPr>
          <w:p w14:paraId="35FAC196" w14:textId="77777777" w:rsidR="00505533" w:rsidRPr="00FB229F" w:rsidRDefault="00505533" w:rsidP="00630880">
            <w:pPr>
              <w:pStyle w:val="Tabletext"/>
              <w:keepNext/>
              <w:keepLines/>
              <w:rPr>
                <w:rFonts w:cstheme="minorHAnsi"/>
                <w:b/>
              </w:rPr>
            </w:pPr>
            <w:r w:rsidRPr="00FB229F">
              <w:rPr>
                <w:rFonts w:cstheme="minorHAnsi"/>
                <w:b/>
              </w:rPr>
              <w:t>Pembro + PC</w:t>
            </w:r>
          </w:p>
          <w:p w14:paraId="6FE178BF" w14:textId="77777777" w:rsidR="00505533" w:rsidRPr="00FB229F" w:rsidRDefault="00505533" w:rsidP="00630880">
            <w:pPr>
              <w:pStyle w:val="Tabletext"/>
              <w:keepNext/>
              <w:keepLines/>
              <w:rPr>
                <w:b/>
              </w:rPr>
            </w:pPr>
            <w:r w:rsidRPr="00FB229F">
              <w:rPr>
                <w:b/>
              </w:rPr>
              <w:t>(</w:t>
            </w:r>
            <w:r w:rsidRPr="00166045">
              <w:rPr>
                <w:b/>
              </w:rPr>
              <w:t>N=405)</w:t>
            </w:r>
          </w:p>
        </w:tc>
        <w:tc>
          <w:tcPr>
            <w:tcW w:w="1084" w:type="pct"/>
          </w:tcPr>
          <w:p w14:paraId="37E22EC0" w14:textId="77777777" w:rsidR="00505533" w:rsidRPr="00FB229F" w:rsidRDefault="00505533" w:rsidP="00630880">
            <w:pPr>
              <w:pStyle w:val="Tabletext"/>
              <w:keepNext/>
              <w:keepLines/>
              <w:rPr>
                <w:rFonts w:cstheme="minorHAnsi"/>
                <w:b/>
              </w:rPr>
            </w:pPr>
            <w:r w:rsidRPr="00FB229F">
              <w:rPr>
                <w:rFonts w:cstheme="minorHAnsi"/>
                <w:b/>
              </w:rPr>
              <w:t xml:space="preserve">Pembro + PC </w:t>
            </w:r>
          </w:p>
          <w:p w14:paraId="7B283CDC" w14:textId="77777777" w:rsidR="00505533" w:rsidRPr="00FB229F" w:rsidRDefault="00505533" w:rsidP="00630880">
            <w:pPr>
              <w:pStyle w:val="Tabletext"/>
              <w:keepNext/>
              <w:keepLines/>
              <w:rPr>
                <w:rFonts w:cstheme="minorHAnsi"/>
                <w:b/>
              </w:rPr>
            </w:pPr>
            <w:r w:rsidRPr="00FB229F">
              <w:rPr>
                <w:rFonts w:cstheme="minorHAnsi"/>
                <w:b/>
              </w:rPr>
              <w:t>(N=59)</w:t>
            </w:r>
          </w:p>
        </w:tc>
      </w:tr>
      <w:tr w:rsidR="00505533" w:rsidRPr="00FB229F" w14:paraId="778E34CD" w14:textId="77777777" w:rsidTr="00F90FA2">
        <w:trPr>
          <w:cantSplit/>
          <w:trHeight w:val="245"/>
        </w:trPr>
        <w:tc>
          <w:tcPr>
            <w:tcW w:w="1863" w:type="pct"/>
          </w:tcPr>
          <w:p w14:paraId="7794BB83" w14:textId="77777777" w:rsidR="00505533" w:rsidRPr="00166045" w:rsidRDefault="00505533" w:rsidP="00630880">
            <w:pPr>
              <w:pStyle w:val="Tabletext"/>
              <w:keepNext/>
              <w:keepLines/>
            </w:pPr>
            <w:r w:rsidRPr="00166045">
              <w:t>TEAE, n (%)</w:t>
            </w:r>
          </w:p>
        </w:tc>
        <w:tc>
          <w:tcPr>
            <w:tcW w:w="1026" w:type="pct"/>
          </w:tcPr>
          <w:p w14:paraId="1FEA7CA4" w14:textId="77777777" w:rsidR="00505533" w:rsidRPr="00FB229F" w:rsidRDefault="00505533" w:rsidP="00630880">
            <w:pPr>
              <w:pStyle w:val="Tabletext"/>
              <w:keepNext/>
              <w:keepLines/>
            </w:pPr>
            <w:r w:rsidRPr="00FB229F">
              <w:t>356 (100.0)</w:t>
            </w:r>
          </w:p>
        </w:tc>
        <w:tc>
          <w:tcPr>
            <w:tcW w:w="1027" w:type="pct"/>
          </w:tcPr>
          <w:p w14:paraId="01BC505C" w14:textId="77777777" w:rsidR="00505533" w:rsidRPr="00FB229F" w:rsidRDefault="00505533" w:rsidP="00630880">
            <w:pPr>
              <w:pStyle w:val="Tabletext"/>
              <w:keepNext/>
              <w:keepLines/>
            </w:pPr>
            <w:r w:rsidRPr="00FB229F">
              <w:t>404 (99.8)</w:t>
            </w:r>
          </w:p>
        </w:tc>
        <w:tc>
          <w:tcPr>
            <w:tcW w:w="1084" w:type="pct"/>
          </w:tcPr>
          <w:p w14:paraId="3063966A" w14:textId="77777777" w:rsidR="00505533" w:rsidRPr="00FB229F" w:rsidRDefault="00505533" w:rsidP="00630880">
            <w:pPr>
              <w:pStyle w:val="Tabletext"/>
              <w:keepNext/>
              <w:keepLines/>
            </w:pPr>
            <w:r w:rsidRPr="00FB229F">
              <w:t>NR</w:t>
            </w:r>
          </w:p>
        </w:tc>
      </w:tr>
      <w:tr w:rsidR="00505533" w:rsidRPr="00FB229F" w14:paraId="48FE94CF" w14:textId="77777777" w:rsidTr="00F90FA2">
        <w:trPr>
          <w:cantSplit/>
          <w:trHeight w:val="245"/>
        </w:trPr>
        <w:tc>
          <w:tcPr>
            <w:tcW w:w="1863" w:type="pct"/>
          </w:tcPr>
          <w:p w14:paraId="258C9A94" w14:textId="77777777" w:rsidR="00505533" w:rsidRPr="00166045" w:rsidRDefault="00505533" w:rsidP="00630880">
            <w:pPr>
              <w:pStyle w:val="Tabletext"/>
              <w:keepNext/>
              <w:keepLines/>
              <w:ind w:left="720" w:hanging="556"/>
            </w:pPr>
            <w:r w:rsidRPr="00166045">
              <w:t>Grade 3–5</w:t>
            </w:r>
          </w:p>
        </w:tc>
        <w:tc>
          <w:tcPr>
            <w:tcW w:w="1026" w:type="pct"/>
          </w:tcPr>
          <w:p w14:paraId="1E12EE38" w14:textId="77777777" w:rsidR="00505533" w:rsidRPr="00FB229F" w:rsidRDefault="00505533" w:rsidP="00630880">
            <w:pPr>
              <w:pStyle w:val="Tabletext"/>
              <w:keepNext/>
              <w:keepLines/>
            </w:pPr>
            <w:r w:rsidRPr="00FB229F">
              <w:t>263 (73.9)</w:t>
            </w:r>
          </w:p>
        </w:tc>
        <w:tc>
          <w:tcPr>
            <w:tcW w:w="1027" w:type="pct"/>
          </w:tcPr>
          <w:p w14:paraId="574994A3" w14:textId="77777777" w:rsidR="00505533" w:rsidRPr="00FB229F" w:rsidRDefault="00505533" w:rsidP="00630880">
            <w:pPr>
              <w:pStyle w:val="Tabletext"/>
              <w:keepNext/>
              <w:keepLines/>
            </w:pPr>
            <w:r w:rsidRPr="00FB229F">
              <w:t>292 (72.1)</w:t>
            </w:r>
          </w:p>
        </w:tc>
        <w:tc>
          <w:tcPr>
            <w:tcW w:w="1084" w:type="pct"/>
          </w:tcPr>
          <w:p w14:paraId="3CD81731" w14:textId="77777777" w:rsidR="00505533" w:rsidRPr="00FB229F" w:rsidRDefault="00505533" w:rsidP="00630880">
            <w:pPr>
              <w:pStyle w:val="Tabletext"/>
              <w:keepNext/>
              <w:keepLines/>
            </w:pPr>
            <w:r w:rsidRPr="00FB229F">
              <w:t>NR</w:t>
            </w:r>
          </w:p>
        </w:tc>
      </w:tr>
      <w:tr w:rsidR="00505533" w:rsidRPr="00FB229F" w14:paraId="6F4F15A2" w14:textId="77777777" w:rsidTr="00F90FA2">
        <w:trPr>
          <w:cantSplit/>
          <w:trHeight w:val="245"/>
        </w:trPr>
        <w:tc>
          <w:tcPr>
            <w:tcW w:w="1863" w:type="pct"/>
          </w:tcPr>
          <w:p w14:paraId="699F9327" w14:textId="77777777" w:rsidR="00505533" w:rsidRPr="00166045" w:rsidRDefault="00505533" w:rsidP="00630880">
            <w:pPr>
              <w:pStyle w:val="Tabletext"/>
              <w:keepNext/>
              <w:keepLines/>
              <w:ind w:left="720" w:hanging="556"/>
            </w:pPr>
            <w:r w:rsidRPr="00166045">
              <w:t>Led to death</w:t>
            </w:r>
          </w:p>
        </w:tc>
        <w:tc>
          <w:tcPr>
            <w:tcW w:w="1026" w:type="pct"/>
          </w:tcPr>
          <w:p w14:paraId="29DD23B9" w14:textId="77777777" w:rsidR="00505533" w:rsidRPr="00FB229F" w:rsidRDefault="00505533" w:rsidP="00630880">
            <w:pPr>
              <w:pStyle w:val="Tabletext"/>
              <w:keepNext/>
              <w:keepLines/>
            </w:pPr>
            <w:r w:rsidRPr="00FB229F">
              <w:t>24 (6.7)</w:t>
            </w:r>
          </w:p>
        </w:tc>
        <w:tc>
          <w:tcPr>
            <w:tcW w:w="1027" w:type="pct"/>
          </w:tcPr>
          <w:p w14:paraId="23B040E8" w14:textId="77777777" w:rsidR="00505533" w:rsidRPr="00FB229F" w:rsidRDefault="00505533" w:rsidP="00630880">
            <w:pPr>
              <w:pStyle w:val="Tabletext"/>
              <w:keepNext/>
              <w:keepLines/>
            </w:pPr>
            <w:r w:rsidRPr="00FB229F">
              <w:t>29 (7.2)</w:t>
            </w:r>
          </w:p>
        </w:tc>
        <w:tc>
          <w:tcPr>
            <w:tcW w:w="1084" w:type="pct"/>
          </w:tcPr>
          <w:p w14:paraId="3BB6CFCF" w14:textId="77777777" w:rsidR="00505533" w:rsidRPr="00FB229F" w:rsidRDefault="00505533" w:rsidP="00630880">
            <w:pPr>
              <w:pStyle w:val="Tabletext"/>
              <w:keepNext/>
              <w:keepLines/>
            </w:pPr>
            <w:r w:rsidRPr="00FB229F">
              <w:t>NR</w:t>
            </w:r>
          </w:p>
        </w:tc>
      </w:tr>
      <w:tr w:rsidR="00505533" w:rsidRPr="00FB229F" w14:paraId="6165EBEB" w14:textId="77777777" w:rsidTr="00F90FA2">
        <w:trPr>
          <w:cantSplit/>
          <w:trHeight w:val="245"/>
        </w:trPr>
        <w:tc>
          <w:tcPr>
            <w:tcW w:w="1863" w:type="pct"/>
          </w:tcPr>
          <w:p w14:paraId="47FDD519" w14:textId="77777777" w:rsidR="00505533" w:rsidRPr="00166045" w:rsidRDefault="00505533" w:rsidP="00630880">
            <w:pPr>
              <w:pStyle w:val="Tabletext"/>
              <w:keepNext/>
              <w:keepLines/>
              <w:ind w:left="720" w:hanging="556"/>
            </w:pPr>
            <w:r w:rsidRPr="00166045">
              <w:t>Led to treatment discontinuation</w:t>
            </w:r>
          </w:p>
        </w:tc>
        <w:tc>
          <w:tcPr>
            <w:tcW w:w="1026" w:type="pct"/>
          </w:tcPr>
          <w:p w14:paraId="6FE4F3A0" w14:textId="77777777" w:rsidR="00505533" w:rsidRPr="00FB229F" w:rsidRDefault="00505533" w:rsidP="00630880">
            <w:pPr>
              <w:pStyle w:val="Tabletext"/>
              <w:keepNext/>
              <w:keepLines/>
            </w:pPr>
            <w:r w:rsidRPr="00FB229F">
              <w:t>34 (9.6)</w:t>
            </w:r>
          </w:p>
        </w:tc>
        <w:tc>
          <w:tcPr>
            <w:tcW w:w="1027" w:type="pct"/>
          </w:tcPr>
          <w:p w14:paraId="3D632F45" w14:textId="77777777" w:rsidR="00505533" w:rsidRPr="00FB229F" w:rsidRDefault="00505533" w:rsidP="00630880">
            <w:pPr>
              <w:pStyle w:val="Tabletext"/>
              <w:keepNext/>
              <w:keepLines/>
            </w:pPr>
            <w:r w:rsidRPr="00FB229F">
              <w:t>146 (36.0)</w:t>
            </w:r>
          </w:p>
        </w:tc>
        <w:tc>
          <w:tcPr>
            <w:tcW w:w="1084" w:type="pct"/>
          </w:tcPr>
          <w:p w14:paraId="21194482" w14:textId="77777777" w:rsidR="00505533" w:rsidRPr="00FB229F" w:rsidRDefault="00505533" w:rsidP="00630880">
            <w:pPr>
              <w:pStyle w:val="Tabletext"/>
              <w:keepNext/>
              <w:keepLines/>
            </w:pPr>
            <w:r w:rsidRPr="00FB229F">
              <w:t>NR</w:t>
            </w:r>
          </w:p>
        </w:tc>
      </w:tr>
      <w:tr w:rsidR="00505533" w:rsidRPr="00FB229F" w14:paraId="6EA52B23" w14:textId="77777777" w:rsidTr="00F90FA2">
        <w:trPr>
          <w:cantSplit/>
          <w:trHeight w:val="245"/>
        </w:trPr>
        <w:tc>
          <w:tcPr>
            <w:tcW w:w="1863" w:type="pct"/>
          </w:tcPr>
          <w:p w14:paraId="1E187528" w14:textId="77777777" w:rsidR="00505533" w:rsidRPr="00166045" w:rsidRDefault="00505533" w:rsidP="00630880">
            <w:pPr>
              <w:pStyle w:val="Tabletext"/>
              <w:keepNext/>
              <w:keepLines/>
            </w:pPr>
            <w:r w:rsidRPr="00166045">
              <w:t>TEAE related to treatment, n (%)</w:t>
            </w:r>
          </w:p>
        </w:tc>
        <w:tc>
          <w:tcPr>
            <w:tcW w:w="1026" w:type="pct"/>
          </w:tcPr>
          <w:p w14:paraId="2B5350C1" w14:textId="77777777" w:rsidR="00505533" w:rsidRPr="00FB229F" w:rsidRDefault="00505533" w:rsidP="00630880">
            <w:pPr>
              <w:pStyle w:val="Tabletext"/>
              <w:keepNext/>
              <w:keepLines/>
            </w:pPr>
            <w:r w:rsidRPr="00FB229F">
              <w:t>341 (95.8)</w:t>
            </w:r>
          </w:p>
        </w:tc>
        <w:tc>
          <w:tcPr>
            <w:tcW w:w="1027" w:type="pct"/>
          </w:tcPr>
          <w:p w14:paraId="364DD20F" w14:textId="77777777" w:rsidR="00505533" w:rsidRPr="00FB229F" w:rsidRDefault="00505533" w:rsidP="00630880">
            <w:pPr>
              <w:pStyle w:val="Tabletext"/>
              <w:keepNext/>
              <w:keepLines/>
            </w:pPr>
            <w:r w:rsidRPr="00FB229F">
              <w:t>376 (92.8)</w:t>
            </w:r>
          </w:p>
        </w:tc>
        <w:tc>
          <w:tcPr>
            <w:tcW w:w="1084" w:type="pct"/>
          </w:tcPr>
          <w:p w14:paraId="62804A09" w14:textId="77777777" w:rsidR="00505533" w:rsidRPr="00FB229F" w:rsidRDefault="00505533" w:rsidP="00630880">
            <w:pPr>
              <w:pStyle w:val="Tabletext"/>
              <w:keepNext/>
              <w:keepLines/>
            </w:pPr>
            <w:r w:rsidRPr="00FB229F">
              <w:t>55 (93.0)</w:t>
            </w:r>
          </w:p>
        </w:tc>
      </w:tr>
      <w:tr w:rsidR="00505533" w:rsidRPr="00FB229F" w14:paraId="2229E67F" w14:textId="77777777" w:rsidTr="00F90FA2">
        <w:trPr>
          <w:cantSplit/>
          <w:trHeight w:val="245"/>
        </w:trPr>
        <w:tc>
          <w:tcPr>
            <w:tcW w:w="1863" w:type="pct"/>
          </w:tcPr>
          <w:p w14:paraId="5174BED2" w14:textId="77777777" w:rsidR="00505533" w:rsidRPr="00166045" w:rsidRDefault="00505533" w:rsidP="00630880">
            <w:pPr>
              <w:pStyle w:val="Tabletext"/>
              <w:keepNext/>
              <w:keepLines/>
              <w:ind w:left="720" w:hanging="556"/>
            </w:pPr>
            <w:r w:rsidRPr="00166045">
              <w:t>Grade 3–5</w:t>
            </w:r>
          </w:p>
        </w:tc>
        <w:tc>
          <w:tcPr>
            <w:tcW w:w="1026" w:type="pct"/>
          </w:tcPr>
          <w:p w14:paraId="06C967B8" w14:textId="77777777" w:rsidR="00505533" w:rsidRPr="00FB229F" w:rsidRDefault="00505533" w:rsidP="00630880">
            <w:pPr>
              <w:pStyle w:val="Tabletext"/>
              <w:keepNext/>
              <w:keepLines/>
            </w:pPr>
            <w:r w:rsidRPr="00FB229F">
              <w:t>143 (40.2)</w:t>
            </w:r>
          </w:p>
        </w:tc>
        <w:tc>
          <w:tcPr>
            <w:tcW w:w="1027" w:type="pct"/>
          </w:tcPr>
          <w:p w14:paraId="779CA0C2" w14:textId="77777777" w:rsidR="00505533" w:rsidRPr="00FB229F" w:rsidRDefault="00505533" w:rsidP="00630880">
            <w:pPr>
              <w:pStyle w:val="Tabletext"/>
              <w:keepNext/>
              <w:keepLines/>
            </w:pPr>
            <w:r w:rsidRPr="00FB229F">
              <w:t>212 (52.3)</w:t>
            </w:r>
          </w:p>
        </w:tc>
        <w:tc>
          <w:tcPr>
            <w:tcW w:w="1084" w:type="pct"/>
          </w:tcPr>
          <w:p w14:paraId="4ED0250B" w14:textId="77777777" w:rsidR="00505533" w:rsidRPr="00FB229F" w:rsidRDefault="00505533" w:rsidP="00630880">
            <w:pPr>
              <w:pStyle w:val="Tabletext"/>
              <w:keepNext/>
              <w:keepLines/>
            </w:pPr>
            <w:r w:rsidRPr="00FB229F">
              <w:t>23 (39.0)</w:t>
            </w:r>
          </w:p>
        </w:tc>
      </w:tr>
      <w:tr w:rsidR="00505533" w:rsidRPr="00FB229F" w14:paraId="4B610208" w14:textId="77777777" w:rsidTr="00F90FA2">
        <w:trPr>
          <w:cantSplit/>
          <w:trHeight w:val="245"/>
        </w:trPr>
        <w:tc>
          <w:tcPr>
            <w:tcW w:w="1863" w:type="pct"/>
          </w:tcPr>
          <w:p w14:paraId="3C7C6543" w14:textId="77777777" w:rsidR="00505533" w:rsidRPr="00166045" w:rsidRDefault="00505533" w:rsidP="00630880">
            <w:pPr>
              <w:pStyle w:val="Tabletext"/>
              <w:keepNext/>
              <w:keepLines/>
              <w:ind w:left="720" w:hanging="556"/>
            </w:pPr>
            <w:r w:rsidRPr="00166045">
              <w:t>Led to death</w:t>
            </w:r>
          </w:p>
        </w:tc>
        <w:tc>
          <w:tcPr>
            <w:tcW w:w="1026" w:type="pct"/>
          </w:tcPr>
          <w:p w14:paraId="0B458DFD" w14:textId="77777777" w:rsidR="00505533" w:rsidRPr="00FB229F" w:rsidRDefault="00505533" w:rsidP="00630880">
            <w:pPr>
              <w:pStyle w:val="Tabletext"/>
              <w:keepNext/>
              <w:keepLines/>
            </w:pPr>
            <w:r w:rsidRPr="00FB229F">
              <w:t>0 (0.0)</w:t>
            </w:r>
          </w:p>
        </w:tc>
        <w:tc>
          <w:tcPr>
            <w:tcW w:w="1027" w:type="pct"/>
          </w:tcPr>
          <w:p w14:paraId="0664E3CD" w14:textId="77777777" w:rsidR="00505533" w:rsidRPr="00FB229F" w:rsidRDefault="00505533" w:rsidP="00630880">
            <w:pPr>
              <w:pStyle w:val="Tabletext"/>
              <w:keepNext/>
              <w:keepLines/>
            </w:pPr>
            <w:r w:rsidRPr="00FB229F">
              <w:t>8 (2.0)</w:t>
            </w:r>
          </w:p>
        </w:tc>
        <w:tc>
          <w:tcPr>
            <w:tcW w:w="1084" w:type="pct"/>
          </w:tcPr>
          <w:p w14:paraId="6783EE7C" w14:textId="77777777" w:rsidR="00505533" w:rsidRPr="00FB229F" w:rsidRDefault="00505533" w:rsidP="00630880">
            <w:pPr>
              <w:pStyle w:val="Tabletext"/>
              <w:keepNext/>
              <w:keepLines/>
            </w:pPr>
            <w:r w:rsidRPr="00FB229F">
              <w:t>1 (2.0)</w:t>
            </w:r>
          </w:p>
        </w:tc>
      </w:tr>
      <w:tr w:rsidR="00505533" w:rsidRPr="00FB229F" w14:paraId="06D439C4" w14:textId="77777777" w:rsidTr="00F90FA2">
        <w:trPr>
          <w:cantSplit/>
          <w:trHeight w:val="245"/>
        </w:trPr>
        <w:tc>
          <w:tcPr>
            <w:tcW w:w="1863" w:type="pct"/>
          </w:tcPr>
          <w:p w14:paraId="6397D7D4" w14:textId="77777777" w:rsidR="00505533" w:rsidRPr="00166045" w:rsidRDefault="00505533" w:rsidP="00630880">
            <w:pPr>
              <w:pStyle w:val="Tabletext"/>
              <w:keepNext/>
              <w:keepLines/>
              <w:ind w:left="720" w:hanging="556"/>
            </w:pPr>
            <w:r w:rsidRPr="00166045">
              <w:t>Led to treatment discontinuation</w:t>
            </w:r>
          </w:p>
        </w:tc>
        <w:tc>
          <w:tcPr>
            <w:tcW w:w="1026" w:type="pct"/>
          </w:tcPr>
          <w:p w14:paraId="533FC192" w14:textId="77777777" w:rsidR="00505533" w:rsidRPr="00FB229F" w:rsidRDefault="00505533" w:rsidP="00630880">
            <w:pPr>
              <w:pStyle w:val="Tabletext"/>
              <w:keepNext/>
              <w:keepLines/>
            </w:pPr>
            <w:r w:rsidRPr="00FB229F">
              <w:t>11 (3.1)</w:t>
            </w:r>
          </w:p>
        </w:tc>
        <w:tc>
          <w:tcPr>
            <w:tcW w:w="1027" w:type="pct"/>
          </w:tcPr>
          <w:p w14:paraId="4FF1EAE9" w14:textId="77777777" w:rsidR="00505533" w:rsidRPr="00FB229F" w:rsidRDefault="00505533" w:rsidP="00630880">
            <w:pPr>
              <w:pStyle w:val="Tabletext"/>
              <w:keepNext/>
              <w:keepLines/>
            </w:pPr>
            <w:r w:rsidRPr="00FB229F">
              <w:t>110 (27.2)</w:t>
            </w:r>
          </w:p>
        </w:tc>
        <w:tc>
          <w:tcPr>
            <w:tcW w:w="1084" w:type="pct"/>
          </w:tcPr>
          <w:p w14:paraId="0ECDC391" w14:textId="77777777" w:rsidR="00505533" w:rsidRPr="00FB229F" w:rsidRDefault="00505533" w:rsidP="00630880">
            <w:pPr>
              <w:pStyle w:val="Tabletext"/>
              <w:keepNext/>
              <w:keepLines/>
            </w:pPr>
            <w:r w:rsidRPr="00FB229F">
              <w:t>10 (17.0)</w:t>
            </w:r>
          </w:p>
        </w:tc>
      </w:tr>
    </w:tbl>
    <w:p w14:paraId="16B8CE80" w14:textId="77777777" w:rsidR="00505533" w:rsidRPr="00FB229F" w:rsidRDefault="00505533" w:rsidP="00630880">
      <w:pPr>
        <w:pStyle w:val="TableFooter"/>
        <w:keepNext/>
        <w:keepLines/>
      </w:pPr>
      <w:r w:rsidRPr="00FB229F">
        <w:t>Source: Table 2-125, p295 of the submission.</w:t>
      </w:r>
    </w:p>
    <w:p w14:paraId="4AD6C41D" w14:textId="77777777" w:rsidR="00505533" w:rsidRPr="00FB229F" w:rsidRDefault="00505533" w:rsidP="00816BFB">
      <w:pPr>
        <w:pStyle w:val="TableFooter"/>
        <w:keepLines/>
        <w:spacing w:after="120"/>
      </w:pPr>
      <w:r w:rsidRPr="00FB229F">
        <w:t>NR=not reported; PC=pemetrexed + platinum chemotherapy; Pembro=pembrolizumab; TEAE=treatment-emergent adverse event</w:t>
      </w:r>
    </w:p>
    <w:p w14:paraId="0C539474" w14:textId="65A95604" w:rsidR="00505533" w:rsidRPr="00FB229F" w:rsidRDefault="00505533" w:rsidP="007F03AD">
      <w:pPr>
        <w:pStyle w:val="3-BodyText"/>
        <w:ind w:left="709" w:hanging="709"/>
      </w:pPr>
      <w:r w:rsidRPr="00FB229F">
        <w:rPr>
          <w:rFonts w:ascii="Calibri" w:hAnsi="Calibri"/>
        </w:rPr>
        <w:t>Comparing the safety profiles of selpercatinib and pembrolizumab + PC is difficult due to the differences in mechanism of action and the trial populations. Safety data varied even among the pembrolizumab + PC arms across the KN-189 and KN-021 trials. For example, there was a higher proportion of patients in KN-189 compared to KN-021 with treatment-related Grade 3-5 TEAEs (52.3% vs. 39.0%) and TEAEs leading to treatment discontinuation (27.2% vs. 17.0%).</w:t>
      </w:r>
    </w:p>
    <w:p w14:paraId="7D72E454" w14:textId="3C1C08F3" w:rsidR="00505533" w:rsidRPr="00FB229F" w:rsidRDefault="00505533" w:rsidP="007F03AD">
      <w:pPr>
        <w:pStyle w:val="3-BodyText"/>
        <w:ind w:left="709" w:hanging="709"/>
        <w:rPr>
          <w:iCs/>
        </w:rPr>
      </w:pPr>
      <w:r w:rsidRPr="00FB229F">
        <w:t>The majority of patients experienced a treatment–related TEAE across the LIBRETTO-001 (95.8%), KN-189 (92.8%), and KN-021 (93.0%) studies. The proportion of patients experiencing treatment-related TEAEs of Grade 3-5 appeared similar between the LIBRETTO-001 and KN-021 studies (40.2% vs. 39.0%) but higher in the KN-189 study (52.3%).</w:t>
      </w:r>
      <w:r w:rsidR="00344838" w:rsidRPr="00FB229F">
        <w:t xml:space="preserve"> </w:t>
      </w:r>
    </w:p>
    <w:p w14:paraId="3BAE6194" w14:textId="77777777" w:rsidR="00505533" w:rsidRPr="00FB229F" w:rsidRDefault="00505533" w:rsidP="007F03AD">
      <w:pPr>
        <w:pStyle w:val="3-BodyText"/>
        <w:ind w:left="709" w:hanging="709"/>
      </w:pPr>
      <w:r w:rsidRPr="00FB229F">
        <w:t>A lower proportion of patients experienced a TEAE that led to a permanent treatment discontinuation in LIBRETTO-001 (3.1%) compared to KN-189 (27.2%) and KN-021 (17.0%). The submission stated that this lower rate of treatment discontinuation with selpercatinib due to TEAEs demonstrate a safety advantage over pembrolizumab + PC.</w:t>
      </w:r>
    </w:p>
    <w:p w14:paraId="2BE2365F" w14:textId="4FA8AF4A" w:rsidR="00505533" w:rsidRPr="00FB229F" w:rsidRDefault="00505533" w:rsidP="007F03AD">
      <w:pPr>
        <w:pStyle w:val="3-BodyText"/>
        <w:ind w:left="709" w:hanging="709"/>
      </w:pPr>
      <w:r w:rsidRPr="00FB229F">
        <w:t xml:space="preserve">The submission presented a comparison of specific treatment-related TEAEs across LIBRETTO-001 and KN-189 (pembrolizumab + PC arm) which included adverse events of special interest (AESIs) related to selpercatinib and chemotherapy. The submission concluded that there was a lower proportion of patients experiencing any grade and severe haematologic toxicities including neutropenia and anaemia </w:t>
      </w:r>
      <w:r w:rsidR="00D44F0D" w:rsidRPr="00FB229F">
        <w:t xml:space="preserve">with selpercatinib </w:t>
      </w:r>
      <w:r w:rsidRPr="00FB229F">
        <w:t>compared to pembrolizumab + PC.</w:t>
      </w:r>
    </w:p>
    <w:p w14:paraId="5A7B216E" w14:textId="2E85C60C" w:rsidR="0068278C" w:rsidRPr="00FB229F" w:rsidRDefault="00505533" w:rsidP="00651CD3">
      <w:pPr>
        <w:pStyle w:val="3-BodyText"/>
        <w:ind w:left="709" w:hanging="709"/>
      </w:pPr>
      <w:r w:rsidRPr="00FB229F">
        <w:t>AESIs differ between selpercatinib (such as ALT/AST increased, echocardiogram (ECG) QT prolongation and hypertension), pembrolizumab (immune-mediated AEs), and chemotherapy (haematologic AEs). A meaningful interpretation of the safety data, in terms of comparative safety, is therefore problematic. Overall, a more reasonable interpretation of the safety data is that selpercatinib, pembrolizumab, and PC have different safety profiles</w:t>
      </w:r>
      <w:r w:rsidR="00C74777" w:rsidRPr="00FB229F">
        <w:t>.</w:t>
      </w:r>
    </w:p>
    <w:p w14:paraId="35854259" w14:textId="7DE49BF2" w:rsidR="007F1017" w:rsidRPr="00FB229F" w:rsidRDefault="007F1017" w:rsidP="00D86231">
      <w:pPr>
        <w:pStyle w:val="4-SubsectionHeading"/>
        <w:rPr>
          <w:i w:val="0"/>
        </w:rPr>
      </w:pPr>
      <w:bookmarkStart w:id="60" w:name="_Toc22897643"/>
      <w:bookmarkStart w:id="61" w:name="_Toc135215240"/>
      <w:r w:rsidRPr="00FB229F">
        <w:rPr>
          <w:i w:val="0"/>
        </w:rPr>
        <w:lastRenderedPageBreak/>
        <w:t>Benefits/harms</w:t>
      </w:r>
      <w:bookmarkEnd w:id="60"/>
      <w:bookmarkEnd w:id="61"/>
    </w:p>
    <w:p w14:paraId="544F241A" w14:textId="7112E39B" w:rsidR="00C74777" w:rsidRPr="00FB229F" w:rsidRDefault="00AD2A29" w:rsidP="007F03AD">
      <w:pPr>
        <w:pStyle w:val="3-BodyText"/>
        <w:ind w:left="709" w:hanging="709"/>
      </w:pPr>
      <w:r w:rsidRPr="00166045">
        <w:rPr>
          <w:snapToGrid/>
        </w:rPr>
        <w:t>Given the uncertainty associated with the indirect comparisons between selpercatinib and pembrolizumab</w:t>
      </w:r>
      <w:r w:rsidR="00851DEF" w:rsidRPr="00166045">
        <w:rPr>
          <w:snapToGrid/>
        </w:rPr>
        <w:t xml:space="preserve"> </w:t>
      </w:r>
      <w:r w:rsidRPr="00166045">
        <w:rPr>
          <w:snapToGrid/>
        </w:rPr>
        <w:t>+</w:t>
      </w:r>
      <w:r w:rsidR="00851DEF" w:rsidRPr="00166045">
        <w:rPr>
          <w:snapToGrid/>
        </w:rPr>
        <w:t xml:space="preserve"> </w:t>
      </w:r>
      <w:r w:rsidRPr="00166045">
        <w:rPr>
          <w:snapToGrid/>
        </w:rPr>
        <w:t>PC, and the naïve nature of the comparisons for safety data, a benefits/harms table has not been presented</w:t>
      </w:r>
      <w:r w:rsidR="00C74777" w:rsidRPr="00166045">
        <w:rPr>
          <w:snapToGrid/>
        </w:rPr>
        <w:t>.</w:t>
      </w:r>
      <w:r w:rsidRPr="00166045">
        <w:rPr>
          <w:snapToGrid/>
        </w:rPr>
        <w:t xml:space="preserve"> </w:t>
      </w:r>
    </w:p>
    <w:p w14:paraId="7B28D621" w14:textId="7B460016" w:rsidR="00B60939" w:rsidRPr="00FB229F" w:rsidRDefault="00B60939" w:rsidP="00E9094A">
      <w:pPr>
        <w:pStyle w:val="4-SubsectionHeading"/>
        <w:rPr>
          <w:i w:val="0"/>
        </w:rPr>
      </w:pPr>
      <w:bookmarkStart w:id="62" w:name="_Toc22897644"/>
      <w:bookmarkStart w:id="63" w:name="_Toc135215241"/>
      <w:r w:rsidRPr="00FB229F">
        <w:rPr>
          <w:i w:val="0"/>
        </w:rPr>
        <w:t>Clinical claim</w:t>
      </w:r>
      <w:bookmarkEnd w:id="62"/>
      <w:bookmarkEnd w:id="63"/>
    </w:p>
    <w:p w14:paraId="68ABA446" w14:textId="77777777" w:rsidR="00C74777" w:rsidRPr="00FB229F" w:rsidRDefault="00C74777" w:rsidP="007F03AD">
      <w:pPr>
        <w:pStyle w:val="3-BodyText"/>
        <w:ind w:left="709" w:hanging="709"/>
      </w:pPr>
      <w:r w:rsidRPr="00FB229F">
        <w:t>For the first-line setting, the submission described selpercatinib as superior to pembrolizumab + PC in terms of effectiveness. The submission described selpercatinib as having a different, but manageable, safety profile compared to pembrolizumab + PC.</w:t>
      </w:r>
      <w:r w:rsidR="00126995" w:rsidRPr="00FB229F">
        <w:t xml:space="preserve"> </w:t>
      </w:r>
    </w:p>
    <w:p w14:paraId="1BCA0E0A" w14:textId="029A87C6" w:rsidR="00D21449" w:rsidRPr="00FB229F" w:rsidRDefault="00A261FE" w:rsidP="007F03AD">
      <w:pPr>
        <w:pStyle w:val="3-BodyText"/>
        <w:ind w:left="709" w:hanging="709"/>
      </w:pPr>
      <w:r w:rsidRPr="00FB229F">
        <w:t xml:space="preserve">Although </w:t>
      </w:r>
      <w:r w:rsidR="00D21449" w:rsidRPr="00FB229F">
        <w:t>the data from the individual studies indicated selpercatinib may be superior to pembrolizumab + PC in terms of ORR, PFS, and OS</w:t>
      </w:r>
      <w:r w:rsidRPr="00FB229F">
        <w:t>, the indirect comparisons were associated with several uncertainties. Transitivity was questionable given the differences in patient and disease characteristics across the studies. T</w:t>
      </w:r>
      <w:r w:rsidR="00D21449" w:rsidRPr="00FB229F">
        <w:t xml:space="preserve">he </w:t>
      </w:r>
      <w:r w:rsidR="00132C61" w:rsidRPr="00FB229F">
        <w:t xml:space="preserve">evaluation considered the </w:t>
      </w:r>
      <w:r w:rsidR="00D21449" w:rsidRPr="00FB229F">
        <w:t xml:space="preserve">evidence was inadequate to support a </w:t>
      </w:r>
      <w:r w:rsidRPr="00FB229F">
        <w:t xml:space="preserve">conclusive claim on comparative effectiveness. </w:t>
      </w:r>
    </w:p>
    <w:p w14:paraId="1FF220E5" w14:textId="12200B87" w:rsidR="00184BCC" w:rsidRPr="00FB229F" w:rsidRDefault="00D21449" w:rsidP="007323E7">
      <w:pPr>
        <w:pStyle w:val="3-BodyText"/>
        <w:ind w:left="709" w:hanging="709"/>
        <w:rPr>
          <w:iCs/>
        </w:rPr>
      </w:pPr>
      <w:r w:rsidRPr="00FB229F">
        <w:t xml:space="preserve">The results of the indirect comparisons based on the NMA, anchored approach, and unanchored MAICs, were associated with a high risk of bias </w:t>
      </w:r>
      <w:r w:rsidR="00D5699F" w:rsidRPr="00FB229F">
        <w:t>whereby the true effect of this bias is unknown</w:t>
      </w:r>
      <w:r w:rsidRPr="00FB229F">
        <w:t>. Aside from residual confounding after matching</w:t>
      </w:r>
      <w:r w:rsidR="00C64FFF" w:rsidRPr="00FB229F">
        <w:t>,</w:t>
      </w:r>
      <w:r w:rsidRPr="00FB229F">
        <w:t xml:space="preserve"> which was likely to favour selpercatinib, matching or </w:t>
      </w:r>
      <w:r w:rsidR="003071FB" w:rsidRPr="00FB229F">
        <w:t>weighting for numerous covariates (at the expense of precision) and for unknown confounders is not feasible</w:t>
      </w:r>
      <w:r w:rsidR="00BA5882" w:rsidRPr="00FB229F">
        <w:t>.</w:t>
      </w:r>
      <w:r w:rsidR="00DC5B38" w:rsidRPr="00FB229F">
        <w:t xml:space="preserve"> </w:t>
      </w:r>
      <w:r w:rsidR="00DC5B38" w:rsidRPr="00FB229F">
        <w:rPr>
          <w:iCs/>
        </w:rPr>
        <w:t xml:space="preserve">The PSCR </w:t>
      </w:r>
      <w:r w:rsidR="00132C61" w:rsidRPr="00FB229F">
        <w:rPr>
          <w:iCs/>
        </w:rPr>
        <w:t xml:space="preserve">argued </w:t>
      </w:r>
      <w:r w:rsidR="00DC5B38" w:rsidRPr="00FB229F">
        <w:rPr>
          <w:iCs/>
        </w:rPr>
        <w:t>that</w:t>
      </w:r>
      <w:r w:rsidR="00132C61" w:rsidRPr="00FB229F">
        <w:rPr>
          <w:iCs/>
        </w:rPr>
        <w:t xml:space="preserve"> </w:t>
      </w:r>
      <w:r w:rsidR="00DC5B38" w:rsidRPr="00FB229F">
        <w:rPr>
          <w:iCs/>
        </w:rPr>
        <w:t>PFS, OS and ORR outcomes</w:t>
      </w:r>
      <w:r w:rsidR="00132C61" w:rsidRPr="00FB229F">
        <w:rPr>
          <w:iCs/>
        </w:rPr>
        <w:t xml:space="preserve"> were consistent</w:t>
      </w:r>
      <w:r w:rsidR="00DC5B38" w:rsidRPr="00FB229F">
        <w:rPr>
          <w:iCs/>
        </w:rPr>
        <w:t xml:space="preserve"> across the</w:t>
      </w:r>
      <w:r w:rsidR="00132C61" w:rsidRPr="00FB229F">
        <w:rPr>
          <w:iCs/>
        </w:rPr>
        <w:t xml:space="preserve"> different </w:t>
      </w:r>
      <w:r w:rsidR="00DC5B38" w:rsidRPr="00FB229F">
        <w:rPr>
          <w:iCs/>
        </w:rPr>
        <w:t xml:space="preserve"> methods</w:t>
      </w:r>
      <w:r w:rsidR="00132C61" w:rsidRPr="00FB229F">
        <w:rPr>
          <w:iCs/>
        </w:rPr>
        <w:t xml:space="preserve"> of analyses employed</w:t>
      </w:r>
      <w:r w:rsidR="00DC5B38" w:rsidRPr="00FB229F">
        <w:rPr>
          <w:iCs/>
        </w:rPr>
        <w:t xml:space="preserve"> and therefore a claim of superior </w:t>
      </w:r>
      <w:r w:rsidR="00132C61" w:rsidRPr="00FB229F">
        <w:rPr>
          <w:iCs/>
        </w:rPr>
        <w:t xml:space="preserve">comparative </w:t>
      </w:r>
      <w:r w:rsidR="00DC5B38" w:rsidRPr="00FB229F">
        <w:rPr>
          <w:iCs/>
        </w:rPr>
        <w:t xml:space="preserve">effectiveness of selpercatinib to pembrolizumab + PC was supported. </w:t>
      </w:r>
      <w:r w:rsidR="00394596" w:rsidRPr="00FB229F">
        <w:rPr>
          <w:rFonts w:cstheme="minorHAnsi"/>
          <w:iCs/>
        </w:rPr>
        <w:t xml:space="preserve">The ESC agreed with the evaluation that the indirect comparisons were associated with a high </w:t>
      </w:r>
      <w:r w:rsidR="001A44B9" w:rsidRPr="00FB229F">
        <w:rPr>
          <w:rFonts w:cstheme="minorHAnsi"/>
          <w:iCs/>
        </w:rPr>
        <w:t xml:space="preserve">degree of uncertainty </w:t>
      </w:r>
      <w:r w:rsidR="00394596" w:rsidRPr="00FB229F">
        <w:rPr>
          <w:rFonts w:cstheme="minorHAnsi"/>
          <w:iCs/>
        </w:rPr>
        <w:t xml:space="preserve">with several transitivity, applicability and reliability issues. </w:t>
      </w:r>
      <w:r w:rsidR="0076436C" w:rsidRPr="00FB229F">
        <w:rPr>
          <w:rFonts w:cstheme="minorHAnsi"/>
          <w:iCs/>
        </w:rPr>
        <w:t xml:space="preserve">In particular, the ESC was concerned regarding the </w:t>
      </w:r>
      <w:r w:rsidR="0076436C" w:rsidRPr="00FB229F">
        <w:rPr>
          <w:iCs/>
        </w:rPr>
        <w:t xml:space="preserve">differences in </w:t>
      </w:r>
      <w:r w:rsidR="0076436C" w:rsidRPr="00FB229F">
        <w:rPr>
          <w:i/>
        </w:rPr>
        <w:t>RET</w:t>
      </w:r>
      <w:r w:rsidR="0076436C" w:rsidRPr="00FB229F">
        <w:rPr>
          <w:iCs/>
        </w:rPr>
        <w:t xml:space="preserve"> status between the LIBRETTO-001 and KN-189 and KN-021 studies (see paragraphs </w:t>
      </w:r>
      <w:r w:rsidR="0076436C" w:rsidRPr="00FB229F">
        <w:rPr>
          <w:iCs/>
        </w:rPr>
        <w:fldChar w:fldCharType="begin" w:fldLock="1"/>
      </w:r>
      <w:r w:rsidR="0076436C" w:rsidRPr="00FB229F">
        <w:rPr>
          <w:iCs/>
        </w:rPr>
        <w:instrText xml:space="preserve"> REF _Ref137125681 \r \h </w:instrText>
      </w:r>
      <w:r w:rsidR="00951455" w:rsidRPr="00FB229F">
        <w:rPr>
          <w:iCs/>
        </w:rPr>
        <w:instrText xml:space="preserve"> \* MERGEFORMAT </w:instrText>
      </w:r>
      <w:r w:rsidR="0076436C" w:rsidRPr="00FB229F">
        <w:rPr>
          <w:iCs/>
        </w:rPr>
      </w:r>
      <w:r w:rsidR="0076436C" w:rsidRPr="00FB229F">
        <w:rPr>
          <w:iCs/>
        </w:rPr>
        <w:fldChar w:fldCharType="separate"/>
      </w:r>
      <w:r w:rsidR="00CE0B36">
        <w:rPr>
          <w:iCs/>
        </w:rPr>
        <w:t>6.24</w:t>
      </w:r>
      <w:r w:rsidR="0076436C" w:rsidRPr="00FB229F">
        <w:rPr>
          <w:iCs/>
        </w:rPr>
        <w:fldChar w:fldCharType="end"/>
      </w:r>
      <w:r w:rsidR="0076436C" w:rsidRPr="00FB229F">
        <w:rPr>
          <w:iCs/>
        </w:rPr>
        <w:t xml:space="preserve"> and </w:t>
      </w:r>
      <w:r w:rsidR="0076436C" w:rsidRPr="00FB229F">
        <w:rPr>
          <w:iCs/>
        </w:rPr>
        <w:fldChar w:fldCharType="begin" w:fldLock="1"/>
      </w:r>
      <w:r w:rsidR="0076436C" w:rsidRPr="00FB229F">
        <w:rPr>
          <w:iCs/>
        </w:rPr>
        <w:instrText xml:space="preserve"> REF _Ref137125690 \r \h </w:instrText>
      </w:r>
      <w:r w:rsidR="00951455" w:rsidRPr="00FB229F">
        <w:rPr>
          <w:iCs/>
        </w:rPr>
        <w:instrText xml:space="preserve"> \* MERGEFORMAT </w:instrText>
      </w:r>
      <w:r w:rsidR="0076436C" w:rsidRPr="00FB229F">
        <w:rPr>
          <w:iCs/>
        </w:rPr>
      </w:r>
      <w:r w:rsidR="0076436C" w:rsidRPr="00FB229F">
        <w:rPr>
          <w:iCs/>
        </w:rPr>
        <w:fldChar w:fldCharType="separate"/>
      </w:r>
      <w:r w:rsidR="00CE0B36">
        <w:rPr>
          <w:iCs/>
        </w:rPr>
        <w:t>6.25</w:t>
      </w:r>
      <w:r w:rsidR="0076436C" w:rsidRPr="00FB229F">
        <w:rPr>
          <w:iCs/>
        </w:rPr>
        <w:fldChar w:fldCharType="end"/>
      </w:r>
      <w:r w:rsidR="0076436C" w:rsidRPr="00FB229F">
        <w:rPr>
          <w:iCs/>
        </w:rPr>
        <w:t xml:space="preserve">) and the residual imbalances evident post propensity score matching (see paragraph </w:t>
      </w:r>
      <w:r w:rsidR="0076436C" w:rsidRPr="00FB229F">
        <w:rPr>
          <w:iCs/>
        </w:rPr>
        <w:fldChar w:fldCharType="begin" w:fldLock="1"/>
      </w:r>
      <w:r w:rsidR="0076436C" w:rsidRPr="00FB229F">
        <w:rPr>
          <w:iCs/>
        </w:rPr>
        <w:instrText xml:space="preserve"> REF _Ref137120141 \r \h </w:instrText>
      </w:r>
      <w:r w:rsidR="00951455" w:rsidRPr="00FB229F">
        <w:rPr>
          <w:iCs/>
        </w:rPr>
        <w:instrText xml:space="preserve"> \* MERGEFORMAT </w:instrText>
      </w:r>
      <w:r w:rsidR="0076436C" w:rsidRPr="00FB229F">
        <w:rPr>
          <w:iCs/>
        </w:rPr>
      </w:r>
      <w:r w:rsidR="0076436C" w:rsidRPr="00FB229F">
        <w:rPr>
          <w:iCs/>
        </w:rPr>
        <w:fldChar w:fldCharType="separate"/>
      </w:r>
      <w:r w:rsidR="00CE0B36">
        <w:rPr>
          <w:iCs/>
        </w:rPr>
        <w:t>6.28</w:t>
      </w:r>
      <w:r w:rsidR="0076436C" w:rsidRPr="00FB229F">
        <w:rPr>
          <w:iCs/>
        </w:rPr>
        <w:fldChar w:fldCharType="end"/>
      </w:r>
      <w:r w:rsidR="0076436C" w:rsidRPr="00FB229F">
        <w:rPr>
          <w:iCs/>
        </w:rPr>
        <w:t xml:space="preserve">) along with the significant reduction in the sample size after matching (see paragraph </w:t>
      </w:r>
      <w:r w:rsidR="0076436C" w:rsidRPr="00FB229F">
        <w:rPr>
          <w:iCs/>
        </w:rPr>
        <w:fldChar w:fldCharType="begin" w:fldLock="1"/>
      </w:r>
      <w:r w:rsidR="0076436C" w:rsidRPr="00FB229F">
        <w:rPr>
          <w:iCs/>
        </w:rPr>
        <w:instrText xml:space="preserve"> REF _Ref137125958 \r \h </w:instrText>
      </w:r>
      <w:r w:rsidR="00951455" w:rsidRPr="00FB229F">
        <w:rPr>
          <w:iCs/>
        </w:rPr>
        <w:instrText xml:space="preserve"> \* MERGEFORMAT </w:instrText>
      </w:r>
      <w:r w:rsidR="0076436C" w:rsidRPr="00FB229F">
        <w:rPr>
          <w:iCs/>
        </w:rPr>
      </w:r>
      <w:r w:rsidR="0076436C" w:rsidRPr="00FB229F">
        <w:rPr>
          <w:iCs/>
        </w:rPr>
        <w:fldChar w:fldCharType="separate"/>
      </w:r>
      <w:r w:rsidR="00CE0B36">
        <w:rPr>
          <w:iCs/>
        </w:rPr>
        <w:t>6.46</w:t>
      </w:r>
      <w:r w:rsidR="0076436C" w:rsidRPr="00FB229F">
        <w:rPr>
          <w:iCs/>
        </w:rPr>
        <w:fldChar w:fldCharType="end"/>
      </w:r>
      <w:r w:rsidR="0076436C" w:rsidRPr="00FB229F">
        <w:rPr>
          <w:iCs/>
        </w:rPr>
        <w:t xml:space="preserve">). Overall, the ESC considered that the true extent of confounding and the magnitude of the comparative treatment effect of selpercatinib compared with pembrolizumab + PC remains unknown. As such, the ESC agreed with the evaluation that the evidence was inadequate to support a conclusive claim on </w:t>
      </w:r>
      <w:r w:rsidR="000365C6" w:rsidRPr="00FB229F">
        <w:rPr>
          <w:iCs/>
        </w:rPr>
        <w:t>comparative</w:t>
      </w:r>
      <w:r w:rsidR="0076436C" w:rsidRPr="00FB229F">
        <w:rPr>
          <w:iCs/>
        </w:rPr>
        <w:t xml:space="preserve"> effectiveness. </w:t>
      </w:r>
    </w:p>
    <w:p w14:paraId="14E77504" w14:textId="38FDD633" w:rsidR="00210707" w:rsidRPr="00FB229F" w:rsidRDefault="00951455" w:rsidP="007323E7">
      <w:pPr>
        <w:pStyle w:val="3-BodyText"/>
        <w:ind w:left="709" w:hanging="709"/>
      </w:pPr>
      <w:r w:rsidRPr="00FB229F">
        <w:rPr>
          <w:rFonts w:cstheme="minorHAnsi"/>
        </w:rPr>
        <w:t>R</w:t>
      </w:r>
      <w:r w:rsidR="00210707" w:rsidRPr="00FB229F">
        <w:t xml:space="preserve">ecognising that the submission provided a descriptive unanchored comparison of AEs between single arms, </w:t>
      </w:r>
      <w:r w:rsidRPr="00FB229F">
        <w:rPr>
          <w:iCs/>
        </w:rPr>
        <w:t xml:space="preserve">the ESC agreed with the evaluation that </w:t>
      </w:r>
      <w:r w:rsidR="00210707" w:rsidRPr="00FB229F">
        <w:t>the claim that selpercatinib has a different, but manageable, safety profile compared to pembrolizumab + PC better describes the data and appear</w:t>
      </w:r>
      <w:r w:rsidR="00596168" w:rsidRPr="00FB229F">
        <w:t>ed</w:t>
      </w:r>
      <w:r w:rsidR="00210707" w:rsidRPr="00FB229F">
        <w:t xml:space="preserve"> reasonable</w:t>
      </w:r>
      <w:r w:rsidR="00F8432E" w:rsidRPr="00FB229F">
        <w:t>.</w:t>
      </w:r>
      <w:r w:rsidR="00B35B94" w:rsidRPr="00FB229F">
        <w:t xml:space="preserve"> </w:t>
      </w:r>
    </w:p>
    <w:p w14:paraId="7441034F" w14:textId="7266F9CE" w:rsidR="0068278C" w:rsidRPr="00FB229F" w:rsidRDefault="00951455" w:rsidP="00CD252D">
      <w:pPr>
        <w:pStyle w:val="3-BodyText"/>
        <w:ind w:left="709" w:hanging="709"/>
      </w:pPr>
      <w:r w:rsidRPr="00FB229F">
        <w:rPr>
          <w:rFonts w:cstheme="minorHAnsi"/>
          <w:iCs/>
          <w:snapToGrid/>
        </w:rPr>
        <w:t xml:space="preserve">The </w:t>
      </w:r>
      <w:r w:rsidRPr="00FB229F">
        <w:rPr>
          <w:bCs/>
          <w:iCs/>
        </w:rPr>
        <w:t>ESC</w:t>
      </w:r>
      <w:r w:rsidR="00F165A8" w:rsidRPr="00FB229F">
        <w:rPr>
          <w:bCs/>
          <w:iCs/>
        </w:rPr>
        <w:t xml:space="preserve"> noted that the anticipated primary completion date of the </w:t>
      </w:r>
      <w:r w:rsidR="00F165A8" w:rsidRPr="00FB229F">
        <w:rPr>
          <w:iCs/>
        </w:rPr>
        <w:t xml:space="preserve">Phase III randomised controlled trial (LIBRETTO-431) comparing selpercatinib to platinum-based and pemetrexed therapy with or without pembrolizumab as initial treatment of </w:t>
      </w:r>
      <w:r w:rsidR="00F165A8" w:rsidRPr="00FB229F">
        <w:rPr>
          <w:iCs/>
        </w:rPr>
        <w:lastRenderedPageBreak/>
        <w:t xml:space="preserve">advanced </w:t>
      </w:r>
      <w:r w:rsidR="00F165A8" w:rsidRPr="00FB229F">
        <w:rPr>
          <w:i/>
        </w:rPr>
        <w:t>RET</w:t>
      </w:r>
      <w:r w:rsidR="00F165A8" w:rsidRPr="00FB229F">
        <w:rPr>
          <w:iCs/>
        </w:rPr>
        <w:t xml:space="preserve"> fusion-positive non-squamous NSCLC</w:t>
      </w:r>
      <w:r w:rsidRPr="00FB229F">
        <w:rPr>
          <w:bCs/>
          <w:iCs/>
        </w:rPr>
        <w:t xml:space="preserve"> </w:t>
      </w:r>
      <w:r w:rsidR="00F165A8" w:rsidRPr="00FB229F">
        <w:rPr>
          <w:bCs/>
          <w:iCs/>
        </w:rPr>
        <w:t xml:space="preserve">is December 2023. The ESC </w:t>
      </w:r>
      <w:r w:rsidRPr="00FB229F">
        <w:rPr>
          <w:bCs/>
          <w:iCs/>
        </w:rPr>
        <w:t>considered</w:t>
      </w:r>
      <w:r w:rsidR="00F165A8" w:rsidRPr="00FB229F">
        <w:rPr>
          <w:bCs/>
          <w:iCs/>
        </w:rPr>
        <w:t xml:space="preserve"> that given the current clinical (and subsequent economic) uncertainties</w:t>
      </w:r>
      <w:r w:rsidRPr="00FB229F">
        <w:rPr>
          <w:bCs/>
          <w:iCs/>
        </w:rPr>
        <w:t xml:space="preserve"> </w:t>
      </w:r>
      <w:r w:rsidR="00F165A8" w:rsidRPr="00FB229F">
        <w:rPr>
          <w:bCs/>
          <w:iCs/>
        </w:rPr>
        <w:t xml:space="preserve">associated with the use of the LIBRETTO-001 study, </w:t>
      </w:r>
      <w:bookmarkStart w:id="64" w:name="_Hlk134624431"/>
      <w:r w:rsidRPr="00FB229F">
        <w:rPr>
          <w:iCs/>
        </w:rPr>
        <w:t>it</w:t>
      </w:r>
      <w:r w:rsidR="00F91B2D" w:rsidRPr="00FB229F">
        <w:rPr>
          <w:bCs/>
          <w:iCs/>
        </w:rPr>
        <w:t xml:space="preserve"> may be appropriate </w:t>
      </w:r>
      <w:r w:rsidR="00F165A8" w:rsidRPr="00FB229F">
        <w:rPr>
          <w:bCs/>
          <w:iCs/>
        </w:rPr>
        <w:t xml:space="preserve">to wait for the results of the LIBRETTO-431 study prior to making a decision </w:t>
      </w:r>
      <w:r w:rsidR="002349F7" w:rsidRPr="00FB229F">
        <w:rPr>
          <w:bCs/>
          <w:iCs/>
        </w:rPr>
        <w:t xml:space="preserve">on selpercatinib for </w:t>
      </w:r>
      <w:r w:rsidR="002349F7" w:rsidRPr="00FB229F">
        <w:rPr>
          <w:bCs/>
          <w:i/>
        </w:rPr>
        <w:t>RET</w:t>
      </w:r>
      <w:r w:rsidR="002349F7" w:rsidRPr="00FB229F">
        <w:rPr>
          <w:bCs/>
          <w:iCs/>
        </w:rPr>
        <w:t xml:space="preserve"> </w:t>
      </w:r>
      <w:r w:rsidR="002349F7" w:rsidRPr="00FB229F">
        <w:rPr>
          <w:iCs/>
        </w:rPr>
        <w:t>fusion-positive NSCLC</w:t>
      </w:r>
      <w:r w:rsidR="00F165A8" w:rsidRPr="00FB229F">
        <w:rPr>
          <w:bCs/>
          <w:iCs/>
        </w:rPr>
        <w:t>.</w:t>
      </w:r>
      <w:r w:rsidR="00F165A8" w:rsidRPr="00FB229F">
        <w:rPr>
          <w:bCs/>
        </w:rPr>
        <w:t xml:space="preserve"> </w:t>
      </w:r>
      <w:bookmarkEnd w:id="64"/>
      <w:r w:rsidR="00596168" w:rsidRPr="00FB229F">
        <w:rPr>
          <w:bCs/>
        </w:rPr>
        <w:t>The pre-PBAC response continued to argue that the evidence presented within the submission and supplemented through the PSCR and pre-PBAC responses adequately substantiated the claim of superior effectiveness of selpercatinib versus pembrolizumab + PC</w:t>
      </w:r>
      <w:r w:rsidR="00FB229F">
        <w:rPr>
          <w:bCs/>
        </w:rPr>
        <w:t xml:space="preserve">. </w:t>
      </w:r>
    </w:p>
    <w:p w14:paraId="2898F985" w14:textId="77777777" w:rsidR="00D67FD3" w:rsidRPr="00FB229F" w:rsidRDefault="00E62A05" w:rsidP="00D67FD3">
      <w:pPr>
        <w:widowControl w:val="0"/>
        <w:numPr>
          <w:ilvl w:val="1"/>
          <w:numId w:val="1"/>
        </w:numPr>
        <w:spacing w:after="120"/>
        <w:ind w:left="720" w:hanging="720"/>
        <w:rPr>
          <w:rFonts w:asciiTheme="minorHAnsi" w:hAnsiTheme="minorHAnsi"/>
          <w:snapToGrid w:val="0"/>
          <w:szCs w:val="20"/>
        </w:rPr>
      </w:pPr>
      <w:bookmarkStart w:id="65" w:name="_Hlk76376200"/>
      <w:r w:rsidRPr="00FB229F">
        <w:rPr>
          <w:rFonts w:asciiTheme="minorHAnsi" w:hAnsiTheme="minorHAnsi"/>
          <w:iCs/>
          <w:snapToGrid w:val="0"/>
        </w:rPr>
        <w:t>The</w:t>
      </w:r>
      <w:r w:rsidRPr="00FB229F">
        <w:rPr>
          <w:rFonts w:asciiTheme="minorHAnsi" w:hAnsiTheme="minorHAnsi"/>
          <w:snapToGrid w:val="0"/>
          <w:szCs w:val="20"/>
        </w:rPr>
        <w:t xml:space="preserve"> PBAC considered that the claim of superior comparative effectiveness was not adequately supported by the data</w:t>
      </w:r>
      <w:r w:rsidR="00D67FD3" w:rsidRPr="00FB229F">
        <w:rPr>
          <w:rFonts w:asciiTheme="minorHAnsi" w:hAnsiTheme="minorHAnsi"/>
          <w:snapToGrid w:val="0"/>
          <w:szCs w:val="20"/>
        </w:rPr>
        <w:t>.</w:t>
      </w:r>
    </w:p>
    <w:p w14:paraId="62054415" w14:textId="32F11F06" w:rsidR="00E62A05" w:rsidRPr="00FB229F" w:rsidRDefault="00E62A05" w:rsidP="00D67FD3">
      <w:pPr>
        <w:widowControl w:val="0"/>
        <w:numPr>
          <w:ilvl w:val="1"/>
          <w:numId w:val="1"/>
        </w:numPr>
        <w:spacing w:after="120"/>
        <w:ind w:left="720" w:hanging="720"/>
        <w:rPr>
          <w:rFonts w:asciiTheme="minorHAnsi" w:hAnsiTheme="minorHAnsi"/>
          <w:snapToGrid w:val="0"/>
          <w:szCs w:val="20"/>
        </w:rPr>
      </w:pPr>
      <w:r w:rsidRPr="00FB229F">
        <w:rPr>
          <w:rFonts w:asciiTheme="minorHAnsi" w:hAnsiTheme="minorHAnsi"/>
          <w:snapToGrid w:val="0"/>
          <w:szCs w:val="20"/>
        </w:rPr>
        <w:t>The PBAC considered the</w:t>
      </w:r>
      <w:r w:rsidR="00DC0F25" w:rsidRPr="00FB229F">
        <w:t xml:space="preserve"> claim that selpercatinib has a different, but manageable, safety profile compared to pembrolizumab + PC was reasonable</w:t>
      </w:r>
      <w:bookmarkEnd w:id="65"/>
      <w:r w:rsidR="00D67FD3" w:rsidRPr="00FB229F">
        <w:rPr>
          <w:rFonts w:asciiTheme="minorHAnsi" w:hAnsiTheme="minorHAnsi"/>
          <w:snapToGrid w:val="0"/>
          <w:szCs w:val="20"/>
        </w:rPr>
        <w:t>.</w:t>
      </w:r>
    </w:p>
    <w:p w14:paraId="0E80C9F6" w14:textId="77777777" w:rsidR="00B60939" w:rsidRPr="00FB229F" w:rsidRDefault="00B60939" w:rsidP="00AD0B84">
      <w:pPr>
        <w:pStyle w:val="4-SubsectionHeading"/>
        <w:rPr>
          <w:i w:val="0"/>
        </w:rPr>
      </w:pPr>
      <w:bookmarkStart w:id="66" w:name="_Toc22897645"/>
      <w:bookmarkStart w:id="67" w:name="_Toc135215242"/>
      <w:r w:rsidRPr="00FB229F">
        <w:rPr>
          <w:i w:val="0"/>
        </w:rPr>
        <w:t>Economic analysis</w:t>
      </w:r>
      <w:bookmarkEnd w:id="66"/>
      <w:bookmarkEnd w:id="67"/>
      <w:r w:rsidR="00491B3A" w:rsidRPr="00FB229F">
        <w:rPr>
          <w:i w:val="0"/>
        </w:rPr>
        <w:t xml:space="preserve"> </w:t>
      </w:r>
    </w:p>
    <w:p w14:paraId="7DD09BFC" w14:textId="77777777" w:rsidR="00DD24A9" w:rsidRPr="00FB229F" w:rsidRDefault="00DD24A9" w:rsidP="007F03AD">
      <w:pPr>
        <w:pStyle w:val="3-BodyText"/>
        <w:ind w:left="709" w:hanging="709"/>
      </w:pPr>
      <w:bookmarkStart w:id="68" w:name="_Toc22897646"/>
      <w:r w:rsidRPr="00FB229F">
        <w:t xml:space="preserve">The submission presented a stepped economic evaluation of selpercatinib compared with pembrolizumab + PC as first-line therapy for treatment of </w:t>
      </w:r>
      <w:r w:rsidRPr="00FB229F">
        <w:rPr>
          <w:i/>
          <w:iCs/>
        </w:rPr>
        <w:t>RET</w:t>
      </w:r>
      <w:r w:rsidRPr="00FB229F">
        <w:t xml:space="preserve"> fusion-positive, locally advanced or metastatic NSCLC, on the basis of the ITC of the treatment-naïve cohort of the LIBRETTO-001 study and the pembrolizumab trials KN-189 and KN-021. </w:t>
      </w:r>
    </w:p>
    <w:p w14:paraId="46FD0689" w14:textId="42E61128" w:rsidR="00DD24A9" w:rsidRPr="00166045" w:rsidRDefault="00DD24A9" w:rsidP="007F03AD">
      <w:pPr>
        <w:pStyle w:val="3-BodyText"/>
        <w:ind w:left="709" w:hanging="709"/>
        <w:rPr>
          <w:b/>
          <w:bCs/>
          <w:color w:val="000000" w:themeColor="text1"/>
        </w:rPr>
      </w:pPr>
      <w:r w:rsidRPr="00FB229F">
        <w:rPr>
          <w:color w:val="000000" w:themeColor="text1"/>
        </w:rPr>
        <w:t xml:space="preserve">The key components of the economic evaluation are summarised in </w:t>
      </w:r>
      <w:r w:rsidRPr="00FB229F">
        <w:rPr>
          <w:color w:val="000000" w:themeColor="text1"/>
        </w:rPr>
        <w:fldChar w:fldCharType="begin" w:fldLock="1"/>
      </w:r>
      <w:r w:rsidRPr="00FB229F">
        <w:rPr>
          <w:color w:val="000000" w:themeColor="text1"/>
        </w:rPr>
        <w:instrText xml:space="preserve"> REF _Ref131755452 \h  \* MERGEFORMAT </w:instrText>
      </w:r>
      <w:r w:rsidRPr="00FB229F">
        <w:rPr>
          <w:color w:val="000000" w:themeColor="text1"/>
        </w:rPr>
      </w:r>
      <w:r w:rsidRPr="00FB229F">
        <w:rPr>
          <w:color w:val="000000" w:themeColor="text1"/>
        </w:rPr>
        <w:fldChar w:fldCharType="separate"/>
      </w:r>
      <w:r w:rsidR="00CA7201" w:rsidRPr="00FB229F">
        <w:t xml:space="preserve">Table </w:t>
      </w:r>
      <w:r w:rsidR="00CA7201" w:rsidRPr="00166045">
        <w:t>19</w:t>
      </w:r>
      <w:r w:rsidRPr="00FB229F">
        <w:rPr>
          <w:color w:val="000000" w:themeColor="text1"/>
        </w:rPr>
        <w:fldChar w:fldCharType="end"/>
      </w:r>
      <w:r w:rsidRPr="00FB229F">
        <w:rPr>
          <w:color w:val="000000" w:themeColor="text1"/>
        </w:rPr>
        <w:t xml:space="preserve">, with major economic issues discussed in the following paragraphs. </w:t>
      </w:r>
    </w:p>
    <w:p w14:paraId="73F09680" w14:textId="3A0B0215" w:rsidR="00DD24A9" w:rsidRPr="00FB229F" w:rsidRDefault="00DD24A9" w:rsidP="00DD24A9">
      <w:pPr>
        <w:pStyle w:val="Caption"/>
        <w:rPr>
          <w:rStyle w:val="CommentReference"/>
          <w:b/>
          <w:szCs w:val="24"/>
        </w:rPr>
      </w:pPr>
      <w:bookmarkStart w:id="69" w:name="_Ref131755452"/>
      <w:r w:rsidRPr="00FB229F">
        <w:lastRenderedPageBreak/>
        <w:t xml:space="preserve">Table </w:t>
      </w:r>
      <w:r w:rsidR="00BF0AEB">
        <w:fldChar w:fldCharType="begin" w:fldLock="1"/>
      </w:r>
      <w:r w:rsidR="00BF0AEB">
        <w:instrText xml:space="preserve"> SEQ Table \* ARABIC </w:instrText>
      </w:r>
      <w:r w:rsidR="00BF0AEB">
        <w:fldChar w:fldCharType="separate"/>
      </w:r>
      <w:r w:rsidR="00CA7201" w:rsidRPr="00166045">
        <w:t>19</w:t>
      </w:r>
      <w:r w:rsidR="00BF0AEB">
        <w:fldChar w:fldCharType="end"/>
      </w:r>
      <w:bookmarkEnd w:id="69"/>
      <w:r w:rsidRPr="00FB229F">
        <w:t>:</w:t>
      </w:r>
      <w:r w:rsidRPr="00FB229F">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0"/>
        <w:gridCol w:w="7037"/>
      </w:tblGrid>
      <w:tr w:rsidR="00DD24A9" w:rsidRPr="00FB229F" w14:paraId="67187C1E" w14:textId="77777777" w:rsidTr="00604558">
        <w:trPr>
          <w:tblHeader/>
        </w:trPr>
        <w:tc>
          <w:tcPr>
            <w:tcW w:w="1098" w:type="pct"/>
            <w:shd w:val="clear" w:color="auto" w:fill="auto"/>
            <w:vAlign w:val="center"/>
          </w:tcPr>
          <w:p w14:paraId="6FCA9971" w14:textId="77777777" w:rsidR="00DD24A9" w:rsidRPr="00166045" w:rsidRDefault="00DD24A9" w:rsidP="00604558">
            <w:pPr>
              <w:pStyle w:val="In-tableHeading"/>
              <w:rPr>
                <w:lang w:val="en-AU"/>
              </w:rPr>
            </w:pPr>
            <w:r w:rsidRPr="00166045">
              <w:rPr>
                <w:lang w:val="en-AU"/>
              </w:rPr>
              <w:t>Component</w:t>
            </w:r>
          </w:p>
        </w:tc>
        <w:tc>
          <w:tcPr>
            <w:tcW w:w="3902" w:type="pct"/>
            <w:shd w:val="clear" w:color="auto" w:fill="auto"/>
            <w:vAlign w:val="center"/>
          </w:tcPr>
          <w:p w14:paraId="4A6D8873" w14:textId="77777777" w:rsidR="00DD24A9" w:rsidRPr="00166045" w:rsidRDefault="00DD24A9" w:rsidP="00604558">
            <w:pPr>
              <w:pStyle w:val="In-tableHeading"/>
              <w:rPr>
                <w:lang w:val="en-AU"/>
              </w:rPr>
            </w:pPr>
            <w:r w:rsidRPr="00166045">
              <w:rPr>
                <w:lang w:val="en-AU"/>
              </w:rPr>
              <w:t>Summary</w:t>
            </w:r>
          </w:p>
        </w:tc>
      </w:tr>
      <w:tr w:rsidR="00DD24A9" w:rsidRPr="00FB229F" w14:paraId="2B0EDBA2" w14:textId="77777777" w:rsidTr="00604558">
        <w:tc>
          <w:tcPr>
            <w:tcW w:w="1098" w:type="pct"/>
            <w:shd w:val="clear" w:color="auto" w:fill="auto"/>
            <w:vAlign w:val="center"/>
          </w:tcPr>
          <w:p w14:paraId="315E6AA8" w14:textId="77777777" w:rsidR="00DD24A9" w:rsidRPr="00FB229F" w:rsidRDefault="00DD24A9" w:rsidP="00604558">
            <w:pPr>
              <w:pStyle w:val="TableText0"/>
            </w:pPr>
            <w:r w:rsidRPr="00FB229F">
              <w:t>Treatments</w:t>
            </w:r>
          </w:p>
        </w:tc>
        <w:tc>
          <w:tcPr>
            <w:tcW w:w="3902" w:type="pct"/>
            <w:shd w:val="clear" w:color="auto" w:fill="auto"/>
            <w:vAlign w:val="center"/>
          </w:tcPr>
          <w:p w14:paraId="0E2E8E1E" w14:textId="77777777" w:rsidR="00DD24A9" w:rsidRPr="00FB229F" w:rsidRDefault="00DD24A9" w:rsidP="00604558">
            <w:pPr>
              <w:pStyle w:val="TableText0"/>
            </w:pPr>
            <w:r w:rsidRPr="00FB229F">
              <w:t xml:space="preserve">Selpercatinib vs. pembrolizumab + PC in patients with </w:t>
            </w:r>
            <w:r w:rsidRPr="00FB229F">
              <w:rPr>
                <w:i/>
                <w:iCs/>
              </w:rPr>
              <w:t xml:space="preserve">RET </w:t>
            </w:r>
            <w:r w:rsidRPr="00FB229F">
              <w:t>fusion-positive NSCLC (treatment-naïve setting)</w:t>
            </w:r>
          </w:p>
        </w:tc>
      </w:tr>
      <w:tr w:rsidR="00DD24A9" w:rsidRPr="00FB229F" w14:paraId="30BEA9BD" w14:textId="77777777" w:rsidTr="00604558">
        <w:tc>
          <w:tcPr>
            <w:tcW w:w="1098" w:type="pct"/>
            <w:shd w:val="clear" w:color="auto" w:fill="auto"/>
            <w:vAlign w:val="center"/>
          </w:tcPr>
          <w:p w14:paraId="740C9B4F" w14:textId="77777777" w:rsidR="00DD24A9" w:rsidRPr="00FB229F" w:rsidRDefault="00DD24A9" w:rsidP="00604558">
            <w:pPr>
              <w:pStyle w:val="TableText0"/>
            </w:pPr>
            <w:r w:rsidRPr="00FB229F">
              <w:t>Time horizon</w:t>
            </w:r>
          </w:p>
        </w:tc>
        <w:tc>
          <w:tcPr>
            <w:tcW w:w="3902" w:type="pct"/>
            <w:shd w:val="clear" w:color="auto" w:fill="auto"/>
            <w:vAlign w:val="center"/>
          </w:tcPr>
          <w:p w14:paraId="22AF0E27" w14:textId="77777777" w:rsidR="00DD24A9" w:rsidRPr="00FB229F" w:rsidRDefault="00DD24A9" w:rsidP="00604558">
            <w:pPr>
              <w:pStyle w:val="TableText0"/>
            </w:pPr>
            <w:r w:rsidRPr="00FB229F">
              <w:t>20 years compared with a median follow-up of 25.2 months for OS in the treatment-naïve cohort of LIBRETTO-001.</w:t>
            </w:r>
          </w:p>
        </w:tc>
      </w:tr>
      <w:tr w:rsidR="00DD24A9" w:rsidRPr="00FB229F" w14:paraId="136021BA" w14:textId="77777777" w:rsidTr="00604558">
        <w:tc>
          <w:tcPr>
            <w:tcW w:w="1098" w:type="pct"/>
            <w:shd w:val="clear" w:color="auto" w:fill="auto"/>
            <w:vAlign w:val="center"/>
          </w:tcPr>
          <w:p w14:paraId="1D827AA6" w14:textId="77777777" w:rsidR="00DD24A9" w:rsidRPr="00FB229F" w:rsidRDefault="00DD24A9" w:rsidP="00604558">
            <w:pPr>
              <w:pStyle w:val="TableText0"/>
            </w:pPr>
            <w:r w:rsidRPr="00FB229F">
              <w:t>Outcomes</w:t>
            </w:r>
          </w:p>
        </w:tc>
        <w:tc>
          <w:tcPr>
            <w:tcW w:w="3902" w:type="pct"/>
            <w:shd w:val="clear" w:color="auto" w:fill="auto"/>
          </w:tcPr>
          <w:p w14:paraId="31A7F49E" w14:textId="77777777" w:rsidR="00DD24A9" w:rsidRPr="00FB229F" w:rsidRDefault="00DD24A9" w:rsidP="00604558">
            <w:pPr>
              <w:pStyle w:val="TableText0"/>
            </w:pPr>
            <w:r w:rsidRPr="00FB229F">
              <w:t>LYs gained and QALYs gained</w:t>
            </w:r>
          </w:p>
        </w:tc>
      </w:tr>
      <w:tr w:rsidR="00DD24A9" w:rsidRPr="00FB229F" w14:paraId="3540F20B" w14:textId="77777777" w:rsidTr="00604558">
        <w:tc>
          <w:tcPr>
            <w:tcW w:w="1098" w:type="pct"/>
            <w:shd w:val="clear" w:color="auto" w:fill="auto"/>
            <w:vAlign w:val="center"/>
          </w:tcPr>
          <w:p w14:paraId="69FA8541" w14:textId="77777777" w:rsidR="00DD24A9" w:rsidRPr="00FB229F" w:rsidRDefault="00DD24A9" w:rsidP="00604558">
            <w:pPr>
              <w:pStyle w:val="TableText0"/>
            </w:pPr>
            <w:r w:rsidRPr="00FB229F">
              <w:t>Methods used to generate results</w:t>
            </w:r>
          </w:p>
        </w:tc>
        <w:tc>
          <w:tcPr>
            <w:tcW w:w="3902" w:type="pct"/>
            <w:shd w:val="clear" w:color="auto" w:fill="auto"/>
            <w:vAlign w:val="center"/>
          </w:tcPr>
          <w:p w14:paraId="4AD700A7" w14:textId="77777777" w:rsidR="00DD24A9" w:rsidRPr="00FB229F" w:rsidRDefault="00DD24A9" w:rsidP="00604558">
            <w:pPr>
              <w:pStyle w:val="TableText0"/>
            </w:pPr>
            <w:r w:rsidRPr="00FB229F">
              <w:t>Partitioned survival model (i.e. area under the curve)</w:t>
            </w:r>
          </w:p>
        </w:tc>
      </w:tr>
      <w:tr w:rsidR="00DD24A9" w:rsidRPr="00FB229F" w14:paraId="36BE7D96" w14:textId="77777777" w:rsidTr="00604558">
        <w:tc>
          <w:tcPr>
            <w:tcW w:w="1098" w:type="pct"/>
            <w:shd w:val="clear" w:color="auto" w:fill="auto"/>
            <w:vAlign w:val="center"/>
          </w:tcPr>
          <w:p w14:paraId="17924EA4" w14:textId="77777777" w:rsidR="00DD24A9" w:rsidRPr="00FB229F" w:rsidRDefault="00DD24A9" w:rsidP="00604558">
            <w:pPr>
              <w:pStyle w:val="TableText0"/>
            </w:pPr>
            <w:r w:rsidRPr="00FB229F">
              <w:t>Health states</w:t>
            </w:r>
          </w:p>
        </w:tc>
        <w:tc>
          <w:tcPr>
            <w:tcW w:w="3902" w:type="pct"/>
            <w:shd w:val="clear" w:color="auto" w:fill="auto"/>
            <w:vAlign w:val="center"/>
          </w:tcPr>
          <w:p w14:paraId="62DF975C" w14:textId="77777777" w:rsidR="00DD24A9" w:rsidRPr="00FB229F" w:rsidRDefault="00DD24A9" w:rsidP="00604558">
            <w:pPr>
              <w:pStyle w:val="TableText0"/>
            </w:pPr>
            <w:r w:rsidRPr="00FB229F">
              <w:t>Three health states: PFS, PD and death</w:t>
            </w:r>
          </w:p>
        </w:tc>
      </w:tr>
      <w:tr w:rsidR="00DD24A9" w:rsidRPr="00FB229F" w14:paraId="52143915" w14:textId="77777777" w:rsidTr="00604558">
        <w:tc>
          <w:tcPr>
            <w:tcW w:w="1098" w:type="pct"/>
            <w:shd w:val="clear" w:color="auto" w:fill="auto"/>
            <w:vAlign w:val="center"/>
          </w:tcPr>
          <w:p w14:paraId="44E4C32D" w14:textId="77777777" w:rsidR="00DD24A9" w:rsidRPr="00FB229F" w:rsidRDefault="00DD24A9" w:rsidP="00604558">
            <w:pPr>
              <w:pStyle w:val="TableText0"/>
            </w:pPr>
            <w:r w:rsidRPr="00FB229F">
              <w:t>Cycle length</w:t>
            </w:r>
          </w:p>
        </w:tc>
        <w:tc>
          <w:tcPr>
            <w:tcW w:w="3902" w:type="pct"/>
            <w:shd w:val="clear" w:color="auto" w:fill="auto"/>
          </w:tcPr>
          <w:p w14:paraId="17206D77" w14:textId="77777777" w:rsidR="00DD24A9" w:rsidRPr="00FB229F" w:rsidRDefault="00DD24A9" w:rsidP="00604558">
            <w:pPr>
              <w:pStyle w:val="TableText0"/>
            </w:pPr>
            <w:r w:rsidRPr="00FB229F">
              <w:t>1 week</w:t>
            </w:r>
          </w:p>
        </w:tc>
      </w:tr>
      <w:tr w:rsidR="00DD24A9" w:rsidRPr="00FB229F" w14:paraId="2BAE0A46" w14:textId="77777777" w:rsidTr="00EE066E">
        <w:trPr>
          <w:trHeight w:val="3485"/>
        </w:trPr>
        <w:tc>
          <w:tcPr>
            <w:tcW w:w="1098" w:type="pct"/>
            <w:shd w:val="clear" w:color="auto" w:fill="auto"/>
            <w:vAlign w:val="center"/>
          </w:tcPr>
          <w:p w14:paraId="6CDEC613" w14:textId="77777777" w:rsidR="00DD24A9" w:rsidRPr="00FB229F" w:rsidRDefault="00DD24A9" w:rsidP="00604558">
            <w:pPr>
              <w:pStyle w:val="TableText0"/>
            </w:pPr>
            <w:r w:rsidRPr="00FB229F">
              <w:t>Allocation to health states and extrapolation method</w:t>
            </w:r>
          </w:p>
        </w:tc>
        <w:tc>
          <w:tcPr>
            <w:tcW w:w="3902" w:type="pct"/>
            <w:shd w:val="clear" w:color="auto" w:fill="auto"/>
            <w:vAlign w:val="center"/>
          </w:tcPr>
          <w:p w14:paraId="4DC4F440" w14:textId="77777777" w:rsidR="003278BC" w:rsidRPr="00166045" w:rsidRDefault="00DD24A9" w:rsidP="00604558">
            <w:pPr>
              <w:pStyle w:val="TableText0"/>
            </w:pPr>
            <w:r w:rsidRPr="00166045">
              <w:t>Health state allocation over time in the selpercatinib arm was determined by the PFS and OS data from the treatment-na</w:t>
            </w:r>
            <w:r w:rsidRPr="00FB229F">
              <w:t>ï</w:t>
            </w:r>
            <w:r w:rsidRPr="00166045">
              <w:t xml:space="preserve">ve cohort of the selpercatinib trial LIBRETTO-001 up to median follow-up (21.9 months for PFS and 25.2 months for OS). </w:t>
            </w:r>
          </w:p>
          <w:p w14:paraId="4DF5404C" w14:textId="77777777" w:rsidR="003278BC" w:rsidRPr="00FB229F" w:rsidRDefault="003278BC" w:rsidP="00604558">
            <w:pPr>
              <w:pStyle w:val="TableText0"/>
            </w:pPr>
          </w:p>
          <w:p w14:paraId="148C96A3" w14:textId="4F2700D4" w:rsidR="003278BC" w:rsidRPr="00FB229F" w:rsidRDefault="00DD24A9" w:rsidP="00604558">
            <w:pPr>
              <w:pStyle w:val="TableText0"/>
              <w:rPr>
                <w:lang w:eastAsia="en-GB"/>
              </w:rPr>
            </w:pPr>
            <w:r w:rsidRPr="00FB229F">
              <w:t xml:space="preserve">To estimate the survival in patients receiving pembrolizumab + PC, </w:t>
            </w:r>
            <w:r w:rsidRPr="00FB229F">
              <w:rPr>
                <w:lang w:eastAsia="en-GB"/>
              </w:rPr>
              <w:t xml:space="preserve">a pseudo-control arm </w:t>
            </w:r>
            <w:r w:rsidRPr="00166045">
              <w:t xml:space="preserve">(i.e. PC alone) </w:t>
            </w:r>
            <w:r w:rsidR="007A3ADA" w:rsidRPr="00FB229F">
              <w:rPr>
                <w:lang w:eastAsia="en-GB"/>
              </w:rPr>
              <w:t xml:space="preserve">was first constructed </w:t>
            </w:r>
            <w:bookmarkStart w:id="70" w:name="_Hlk132624361"/>
            <w:r w:rsidR="007A3ADA" w:rsidRPr="00FB229F">
              <w:rPr>
                <w:lang w:eastAsia="en-GB"/>
              </w:rPr>
              <w:t>by matching the PC arm of KN-189 to the IPD of the selpercatinib arm in LIBRETTO-001</w:t>
            </w:r>
            <w:bookmarkEnd w:id="70"/>
            <w:r w:rsidR="007A3ADA" w:rsidRPr="00FB229F">
              <w:rPr>
                <w:lang w:eastAsia="en-GB"/>
              </w:rPr>
              <w:t xml:space="preserve">, using PSM. </w:t>
            </w:r>
          </w:p>
          <w:p w14:paraId="54BF98BA" w14:textId="77777777" w:rsidR="003278BC" w:rsidRPr="00166045" w:rsidRDefault="003278BC" w:rsidP="00604558">
            <w:pPr>
              <w:pStyle w:val="TableText0"/>
            </w:pPr>
          </w:p>
          <w:p w14:paraId="3961B2E0" w14:textId="6DFBE097" w:rsidR="00DD24A9" w:rsidRPr="00FB229F" w:rsidRDefault="00DD24A9" w:rsidP="00604558">
            <w:pPr>
              <w:pStyle w:val="TableText0"/>
            </w:pPr>
            <w:r w:rsidRPr="00166045">
              <w:t xml:space="preserve">The PFS and OS estimates for selpercatinib after the trial data truncation time point and the PFS and OS for the pseudo-control arm were generated through the application of parametric survival functions, which were determined based on goodness of fit statistics, visual inspection, clinician opinion and external data. The PFS and OS functions for pembrolizumab + PC were constructed by applying </w:t>
            </w:r>
            <w:r w:rsidR="003278BC" w:rsidRPr="00166045">
              <w:t xml:space="preserve">the </w:t>
            </w:r>
            <w:r w:rsidRPr="00166045">
              <w:t>hazard ratio generated through the NMA to the pseudo-control arm.</w:t>
            </w:r>
            <w:r w:rsidRPr="00FB229F">
              <w:t xml:space="preserve"> </w:t>
            </w:r>
          </w:p>
          <w:p w14:paraId="74180B78" w14:textId="77777777" w:rsidR="00DD24A9" w:rsidRPr="00FB229F" w:rsidRDefault="00DD24A9" w:rsidP="00604558">
            <w:pPr>
              <w:pStyle w:val="TableText0"/>
            </w:pPr>
          </w:p>
          <w:p w14:paraId="597D0177" w14:textId="77777777" w:rsidR="00DD24A9" w:rsidRPr="00FB229F" w:rsidRDefault="00DD24A9" w:rsidP="00604558">
            <w:pPr>
              <w:pStyle w:val="TableText0"/>
              <w:rPr>
                <w:iCs/>
              </w:rPr>
            </w:pPr>
            <w:bookmarkStart w:id="71" w:name="_Hlk132131130"/>
            <w:r w:rsidRPr="00FB229F">
              <w:rPr>
                <w:iCs/>
              </w:rPr>
              <w:t>Approximately 86% of undiscounted incremental LYs and 84% of undiscounted incremental costs were accrued over the extrapolated period (between 25.2 months and 20 years).</w:t>
            </w:r>
            <w:bookmarkEnd w:id="71"/>
          </w:p>
        </w:tc>
      </w:tr>
      <w:tr w:rsidR="00DD24A9" w:rsidRPr="00FB229F" w14:paraId="6D08D272" w14:textId="77777777" w:rsidTr="00604558">
        <w:tc>
          <w:tcPr>
            <w:tcW w:w="1098" w:type="pct"/>
            <w:shd w:val="clear" w:color="auto" w:fill="auto"/>
            <w:vAlign w:val="center"/>
          </w:tcPr>
          <w:p w14:paraId="4ECCE350" w14:textId="77777777" w:rsidR="00DD24A9" w:rsidRPr="00FB229F" w:rsidRDefault="00DD24A9" w:rsidP="00604558">
            <w:pPr>
              <w:pStyle w:val="TableText0"/>
            </w:pPr>
            <w:r w:rsidRPr="00FB229F">
              <w:t>Health related quality of life</w:t>
            </w:r>
          </w:p>
        </w:tc>
        <w:tc>
          <w:tcPr>
            <w:tcW w:w="3902" w:type="pct"/>
            <w:shd w:val="clear" w:color="auto" w:fill="auto"/>
            <w:vAlign w:val="center"/>
          </w:tcPr>
          <w:p w14:paraId="253963A2" w14:textId="77777777" w:rsidR="00DD24A9" w:rsidRPr="00FB229F" w:rsidRDefault="00DD24A9" w:rsidP="00604558">
            <w:pPr>
              <w:pStyle w:val="TableText0"/>
            </w:pPr>
            <w:r w:rsidRPr="00FB229F">
              <w:t xml:space="preserve">Health state utility values were derived from the EQ-5D results from the KN-189 trial using Australian-based valuations, which were used for the pembrolizumab + PC arm in the previous pembrolizumab economic model (considered at the July 2019 PBAC meeting). Utility decrements associated with adverse events were applied as a one-off in the first cycle. </w:t>
            </w:r>
          </w:p>
          <w:p w14:paraId="25B00316" w14:textId="77777777" w:rsidR="00DD24A9" w:rsidRPr="00FB229F" w:rsidRDefault="00DD24A9" w:rsidP="00604558">
            <w:pPr>
              <w:pStyle w:val="TableText0"/>
            </w:pPr>
          </w:p>
          <w:p w14:paraId="6C733689" w14:textId="77777777" w:rsidR="00DD24A9" w:rsidRPr="00FB229F" w:rsidRDefault="00DD24A9" w:rsidP="00604558">
            <w:pPr>
              <w:pStyle w:val="TableText0"/>
            </w:pPr>
            <w:r w:rsidRPr="00FB229F">
              <w:t>Health state utilities:</w:t>
            </w:r>
          </w:p>
          <w:p w14:paraId="1B0013EB" w14:textId="77777777" w:rsidR="00DD24A9" w:rsidRPr="00FB229F" w:rsidRDefault="00DD24A9" w:rsidP="00604558">
            <w:pPr>
              <w:pStyle w:val="TableText0"/>
            </w:pPr>
            <w:r w:rsidRPr="00FB229F">
              <w:t>PFS: 0.776 in both treatment arms; PD: 0.714 in both treatment arms</w:t>
            </w:r>
          </w:p>
        </w:tc>
      </w:tr>
    </w:tbl>
    <w:p w14:paraId="067E4279" w14:textId="77777777" w:rsidR="00DD24A9" w:rsidRPr="00FB229F" w:rsidRDefault="00DD24A9" w:rsidP="00DD24A9">
      <w:pPr>
        <w:pStyle w:val="FooterTableFigure"/>
      </w:pPr>
      <w:r w:rsidRPr="00FB229F">
        <w:t xml:space="preserve">Source: Table 3-1, p320 of the submission. </w:t>
      </w:r>
    </w:p>
    <w:p w14:paraId="178E1E34" w14:textId="738A43C7" w:rsidR="00DD24A9" w:rsidRPr="00FB229F" w:rsidRDefault="00DD24A9" w:rsidP="00DD24A9">
      <w:pPr>
        <w:pStyle w:val="FooterTableFigure"/>
      </w:pPr>
      <w:r w:rsidRPr="00FB229F">
        <w:t>EQ-5D = EuroQol-5 Dimensions; IPD = individual patient data; LYs = life years; NMA = network meta-analysis; NSCLC = non-small cell lung cancer; OS = overall survival; PC = pemetrexed + platinum chemotherapy; PD = progressed disease; PFS = progression-free survival; PSM = propensity score matching; QALYs = quality-adjusted life years; RET = rearrange</w:t>
      </w:r>
      <w:r w:rsidR="00D0595E" w:rsidRPr="00FB229F">
        <w:t>d</w:t>
      </w:r>
      <w:r w:rsidRPr="00FB229F">
        <w:t xml:space="preserve"> during transfection</w:t>
      </w:r>
    </w:p>
    <w:p w14:paraId="39F0F4CD" w14:textId="1B5DC101" w:rsidR="00696AA6" w:rsidRPr="00FB229F" w:rsidRDefault="00DD24A9" w:rsidP="007F03AD">
      <w:pPr>
        <w:pStyle w:val="3-BodyText"/>
        <w:ind w:left="709" w:hanging="709"/>
        <w:rPr>
          <w:iCs/>
        </w:rPr>
      </w:pPr>
      <w:bookmarkStart w:id="72" w:name="_Ref134109635"/>
      <w:bookmarkStart w:id="73" w:name="_Ref137197690"/>
      <w:r w:rsidRPr="00FB229F">
        <w:t xml:space="preserve">The economic model used a 20-year time horizon. The submission argued that this extended time horizon was chosen given the relatively younger age of NSCLC patients with </w:t>
      </w:r>
      <w:r w:rsidRPr="00FB229F">
        <w:rPr>
          <w:i/>
          <w:iCs/>
        </w:rPr>
        <w:t>RET</w:t>
      </w:r>
      <w:r w:rsidRPr="00FB229F">
        <w:t xml:space="preserve"> fusions. </w:t>
      </w:r>
      <w:r w:rsidR="007A3ADA" w:rsidRPr="00FB229F">
        <w:t>The median age of the treatment-naïve cohort in LIBRETTO-001 (n=69) was 63.0 years, which was similar to the median patient age in the overall NSCLC population in Trials KN-189 (63.5-65.0 years) and KN-021 (62.5-63.2 years)</w:t>
      </w:r>
      <w:r w:rsidR="007A3ADA" w:rsidRPr="00FB229F">
        <w:rPr>
          <w:rStyle w:val="FootnoteReference"/>
          <w:rFonts w:eastAsiaTheme="minorHAnsi"/>
        </w:rPr>
        <w:footnoteReference w:id="20"/>
      </w:r>
      <w:r w:rsidR="007A3ADA" w:rsidRPr="00FB229F">
        <w:t xml:space="preserve">. There is no conclusive evidence that the presence of </w:t>
      </w:r>
      <w:r w:rsidR="003D270C" w:rsidRPr="00FB229F">
        <w:rPr>
          <w:i/>
          <w:iCs/>
        </w:rPr>
        <w:t>RET</w:t>
      </w:r>
      <w:r w:rsidR="007A3ADA" w:rsidRPr="00FB229F">
        <w:t xml:space="preserve"> fusion is a good or poor independent prognostic factor for NSCLC patients. More importantly, the short follow-up period of the LIBRETTO-001 trial and the concern surrounding the </w:t>
      </w:r>
      <w:r w:rsidR="009A0B63" w:rsidRPr="00FB229F">
        <w:t>ITC approaches</w:t>
      </w:r>
      <w:r w:rsidR="007A3ADA" w:rsidRPr="00FB229F">
        <w:t xml:space="preserve"> </w:t>
      </w:r>
      <w:r w:rsidR="007A3ADA" w:rsidRPr="00FB229F">
        <w:lastRenderedPageBreak/>
        <w:t xml:space="preserve">did not provide a reliable basis for </w:t>
      </w:r>
      <w:r w:rsidR="00F82670" w:rsidRPr="00FB229F">
        <w:t>the</w:t>
      </w:r>
      <w:r w:rsidR="007A3ADA" w:rsidRPr="00FB229F">
        <w:t xml:space="preserve"> long-term extrapolation</w:t>
      </w:r>
      <w:r w:rsidR="00F82670" w:rsidRPr="00FB229F">
        <w:t xml:space="preserve"> which appeared overly optimistic (discussed in Paragraph </w:t>
      </w:r>
      <w:r w:rsidR="00F82670" w:rsidRPr="00FB229F">
        <w:fldChar w:fldCharType="begin" w:fldLock="1"/>
      </w:r>
      <w:r w:rsidR="00F82670" w:rsidRPr="00FB229F">
        <w:instrText xml:space="preserve"> REF _Ref132630600 \r \h </w:instrText>
      </w:r>
      <w:r w:rsidR="00F82670" w:rsidRPr="00FB229F">
        <w:fldChar w:fldCharType="separate"/>
      </w:r>
      <w:r w:rsidR="00CE0B36">
        <w:t>6.81</w:t>
      </w:r>
      <w:r w:rsidR="00F82670" w:rsidRPr="00FB229F">
        <w:fldChar w:fldCharType="end"/>
      </w:r>
      <w:r w:rsidR="00F82670" w:rsidRPr="00FB229F">
        <w:t>)</w:t>
      </w:r>
      <w:r w:rsidR="007A3ADA" w:rsidRPr="00FB229F">
        <w:t xml:space="preserve">. </w:t>
      </w:r>
      <w:r w:rsidRPr="00FB229F">
        <w:t xml:space="preserve">The PBAC has previously accepted a 7.5-year time horizon </w:t>
      </w:r>
      <w:r w:rsidR="00810DFD" w:rsidRPr="00FB229F">
        <w:t xml:space="preserve">for </w:t>
      </w:r>
      <w:r w:rsidRPr="00FB229F">
        <w:t xml:space="preserve">first-line </w:t>
      </w:r>
      <w:r w:rsidR="00810DFD" w:rsidRPr="00FB229F">
        <w:t xml:space="preserve">advanced </w:t>
      </w:r>
      <w:r w:rsidRPr="00FB229F">
        <w:t>NSCLC when particular specifications around costing and extrapolations were applied (Pembrolizumab PSD, November 2017 PBAC meeting). This time horizon was adopted by the first-line pembrolizumab + PC economic models previously reviewed by the PBAC at the November 2018 and July 2019 PBAC meetings.</w:t>
      </w:r>
      <w:bookmarkEnd w:id="72"/>
      <w:r w:rsidRPr="00FB229F">
        <w:t xml:space="preserve"> </w:t>
      </w:r>
      <w:r w:rsidR="00696AA6" w:rsidRPr="00FB229F">
        <w:rPr>
          <w:iCs/>
        </w:rPr>
        <w:t xml:space="preserve">The PSCR </w:t>
      </w:r>
      <w:r w:rsidR="0045393E" w:rsidRPr="00FB229F">
        <w:rPr>
          <w:iCs/>
        </w:rPr>
        <w:t>noted</w:t>
      </w:r>
      <w:r w:rsidR="00696AA6" w:rsidRPr="00FB229F">
        <w:rPr>
          <w:iCs/>
        </w:rPr>
        <w:t xml:space="preserve"> that approximately 16% of patients treated with selpercatinib in the treatment-naïve </w:t>
      </w:r>
      <w:r w:rsidR="00696AA6" w:rsidRPr="008731AF">
        <w:rPr>
          <w:iCs/>
        </w:rPr>
        <w:t>cohort were estimated to still be alive at 10</w:t>
      </w:r>
      <w:r w:rsidR="00BC67E6" w:rsidRPr="008731AF">
        <w:rPr>
          <w:iCs/>
        </w:rPr>
        <w:t> </w:t>
      </w:r>
      <w:r w:rsidR="00696AA6" w:rsidRPr="008731AF">
        <w:rPr>
          <w:iCs/>
        </w:rPr>
        <w:t xml:space="preserve">years within the economic model and </w:t>
      </w:r>
      <w:r w:rsidR="00543276" w:rsidRPr="00BF0AEB">
        <w:rPr>
          <w:iCs/>
          <w:w w:val="15"/>
          <w:highlight w:val="black"/>
          <w:fitText w:val="-20" w:id="-1163696630"/>
        </w:rPr>
        <w:t xml:space="preserve">|  </w:t>
      </w:r>
      <w:r w:rsidR="00543276" w:rsidRPr="00BF0AEB">
        <w:rPr>
          <w:iCs/>
          <w:spacing w:val="-69"/>
          <w:w w:val="15"/>
          <w:highlight w:val="black"/>
          <w:fitText w:val="-20" w:id="-1163696630"/>
        </w:rPr>
        <w:t>|</w:t>
      </w:r>
      <w:r w:rsidR="006B4F7A" w:rsidRPr="008731AF">
        <w:rPr>
          <w:iCs/>
        </w:rPr>
        <w:t>%</w:t>
      </w:r>
      <w:r w:rsidR="009418E2">
        <w:rPr>
          <w:rStyle w:val="FootnoteReference"/>
          <w:iCs/>
        </w:rPr>
        <w:footnoteReference w:id="21"/>
      </w:r>
      <w:r w:rsidR="006B4F7A" w:rsidRPr="008731AF">
        <w:rPr>
          <w:iCs/>
        </w:rPr>
        <w:t xml:space="preserve"> of patients </w:t>
      </w:r>
      <w:r w:rsidR="0045393E" w:rsidRPr="008731AF">
        <w:rPr>
          <w:iCs/>
        </w:rPr>
        <w:t xml:space="preserve">in the treatment-naïve cohort of LIBRETTO-001 </w:t>
      </w:r>
      <w:r w:rsidR="006B4F7A" w:rsidRPr="008731AF">
        <w:rPr>
          <w:iCs/>
        </w:rPr>
        <w:t xml:space="preserve">remained alive at median follow-up of </w:t>
      </w:r>
      <w:r w:rsidR="00630880" w:rsidRPr="008731AF">
        <w:rPr>
          <w:iCs/>
        </w:rPr>
        <w:t xml:space="preserve">approximately </w:t>
      </w:r>
      <w:r w:rsidR="00543276" w:rsidRPr="00BF0AEB">
        <w:rPr>
          <w:iCs/>
          <w:w w:val="15"/>
          <w:highlight w:val="black"/>
          <w:fitText w:val="-20" w:id="-1163696629"/>
        </w:rPr>
        <w:t xml:space="preserve">|  </w:t>
      </w:r>
      <w:r w:rsidR="00543276" w:rsidRPr="00BF0AEB">
        <w:rPr>
          <w:iCs/>
          <w:spacing w:val="-69"/>
          <w:w w:val="15"/>
          <w:highlight w:val="black"/>
          <w:fitText w:val="-20" w:id="-1163696629"/>
        </w:rPr>
        <w:t>|</w:t>
      </w:r>
      <w:r w:rsidR="009418E2">
        <w:rPr>
          <w:iCs/>
          <w:vertAlign w:val="superscript"/>
        </w:rPr>
        <w:t xml:space="preserve">21 </w:t>
      </w:r>
      <w:r w:rsidR="006B4F7A" w:rsidRPr="008731AF">
        <w:rPr>
          <w:iCs/>
        </w:rPr>
        <w:t xml:space="preserve">years at the January 2023 </w:t>
      </w:r>
      <w:proofErr w:type="spellStart"/>
      <w:r w:rsidR="006B4F7A" w:rsidRPr="008731AF">
        <w:rPr>
          <w:iCs/>
        </w:rPr>
        <w:t>datacut</w:t>
      </w:r>
      <w:proofErr w:type="spellEnd"/>
      <w:r w:rsidR="0045393E" w:rsidRPr="008731AF">
        <w:rPr>
          <w:iCs/>
        </w:rPr>
        <w:t xml:space="preserve">. As such, the PSCR argued that a </w:t>
      </w:r>
      <w:r w:rsidR="006B4F7A" w:rsidRPr="008731AF">
        <w:rPr>
          <w:iCs/>
        </w:rPr>
        <w:t>time horizon of 20 years was appropriate.</w:t>
      </w:r>
      <w:r w:rsidR="007237CC" w:rsidRPr="008731AF">
        <w:rPr>
          <w:iCs/>
        </w:rPr>
        <w:t xml:space="preserve"> </w:t>
      </w:r>
      <w:r w:rsidR="00BB78FA" w:rsidRPr="008731AF">
        <w:rPr>
          <w:iCs/>
        </w:rPr>
        <w:t>The ES</w:t>
      </w:r>
      <w:r w:rsidR="007237CC" w:rsidRPr="008731AF">
        <w:rPr>
          <w:iCs/>
        </w:rPr>
        <w:t xml:space="preserve">C </w:t>
      </w:r>
      <w:r w:rsidR="006C6064" w:rsidRPr="008731AF">
        <w:rPr>
          <w:iCs/>
        </w:rPr>
        <w:t xml:space="preserve">considered a </w:t>
      </w:r>
      <w:r w:rsidR="0038316B" w:rsidRPr="008731AF">
        <w:rPr>
          <w:iCs/>
        </w:rPr>
        <w:t>20-year</w:t>
      </w:r>
      <w:r w:rsidR="006C6064" w:rsidRPr="008731AF">
        <w:rPr>
          <w:iCs/>
        </w:rPr>
        <w:t xml:space="preserve"> time horizon</w:t>
      </w:r>
      <w:r w:rsidR="006C6064" w:rsidRPr="00FB229F">
        <w:rPr>
          <w:iCs/>
        </w:rPr>
        <w:t xml:space="preserve"> remained highly uncertain given the immature data available and advised that a shorter time horizon would be appropriate with the duration likely best informed by the results of the LIBRETTO-431 trial.</w:t>
      </w:r>
      <w:bookmarkEnd w:id="73"/>
      <w:r w:rsidR="006C6064" w:rsidRPr="00FB229F">
        <w:rPr>
          <w:iCs/>
        </w:rPr>
        <w:t xml:space="preserve"> </w:t>
      </w:r>
    </w:p>
    <w:p w14:paraId="4CEA4E8E" w14:textId="7F6372A1" w:rsidR="00DD24A9" w:rsidRPr="00FB229F" w:rsidRDefault="00DD24A9" w:rsidP="007F03AD">
      <w:pPr>
        <w:pStyle w:val="3-BodyText"/>
        <w:ind w:left="709" w:hanging="709"/>
        <w:rPr>
          <w:iCs/>
        </w:rPr>
      </w:pPr>
      <w:bookmarkStart w:id="74" w:name="_Ref137197703"/>
      <w:r w:rsidRPr="00FB229F">
        <w:t>In the base case, the PFS and OS curves for pembrolizumab + PC w</w:t>
      </w:r>
      <w:r w:rsidR="007A3ADA" w:rsidRPr="00FB229F">
        <w:t>ere</w:t>
      </w:r>
      <w:r w:rsidRPr="00FB229F">
        <w:t xml:space="preserve"> estimated by two steps. A pseudo-control arm was simulated </w:t>
      </w:r>
      <w:r w:rsidR="007A3ADA" w:rsidRPr="00FB229F">
        <w:t>by matching the PC arm of KN-189 to the IPD of the selpercatinib arm in LIBRETTO-001, using PSM</w:t>
      </w:r>
      <w:r w:rsidRPr="00FB229F">
        <w:t xml:space="preserve">. Then the PFS and OS HRs comparing pembrolizumab + PC versus PC, as generated through the NMA, were applied to the hazards predicted by the parametric functions for PFS and OS relating to the pseudo-control arm. </w:t>
      </w:r>
      <w:r w:rsidR="009A2D83" w:rsidRPr="00FB229F">
        <w:t xml:space="preserve">Alternative ITC methods (Bucher ITC, MAIC 1 and MAIC 2) were considered as sensitivity analyses. </w:t>
      </w:r>
      <w:r w:rsidR="009A2D83" w:rsidRPr="00FB229F">
        <w:rPr>
          <w:lang w:eastAsia="en-GB"/>
        </w:rPr>
        <w:t xml:space="preserve">The </w:t>
      </w:r>
      <w:r w:rsidR="009A0B63" w:rsidRPr="00FB229F">
        <w:rPr>
          <w:lang w:eastAsia="en-GB"/>
        </w:rPr>
        <w:t xml:space="preserve">limitations of the </w:t>
      </w:r>
      <w:r w:rsidR="009A2D83" w:rsidRPr="00FB229F">
        <w:rPr>
          <w:lang w:eastAsia="en-GB"/>
        </w:rPr>
        <w:t xml:space="preserve">PSM NMA and other ITC approaches are summarised in the “Comparative effectiveness” section. Overall, the indirect estimates of the comparative treatment effect of selpercatinib versus pembrolizumab + PC were multi-stepped and associated with a high degree of uncertainty, the adjustments made cannot adequately address the transitivity issues that may occur due to differences in oncogenes (i.e. </w:t>
      </w:r>
      <w:r w:rsidR="003D270C" w:rsidRPr="00FB229F">
        <w:rPr>
          <w:i/>
          <w:iCs/>
          <w:lang w:eastAsia="en-GB"/>
        </w:rPr>
        <w:t>RET</w:t>
      </w:r>
      <w:r w:rsidR="009A2D83" w:rsidRPr="00FB229F">
        <w:rPr>
          <w:lang w:eastAsia="en-GB"/>
        </w:rPr>
        <w:t xml:space="preserve"> fusions) or other characteristics with effects on prognosis</w:t>
      </w:r>
      <w:r w:rsidRPr="00FB229F">
        <w:t xml:space="preserve">. </w:t>
      </w:r>
      <w:r w:rsidRPr="00FB229F">
        <w:rPr>
          <w:lang w:eastAsia="en-GB"/>
        </w:rPr>
        <w:t xml:space="preserve">The </w:t>
      </w:r>
      <w:r w:rsidR="0045393E" w:rsidRPr="00FB229F">
        <w:rPr>
          <w:iCs/>
          <w:lang w:eastAsia="en-GB"/>
        </w:rPr>
        <w:t xml:space="preserve">ESC agreed with the evaluation that the </w:t>
      </w:r>
      <w:r w:rsidRPr="00FB229F">
        <w:rPr>
          <w:lang w:eastAsia="en-GB"/>
        </w:rPr>
        <w:t xml:space="preserve">uncertainty in the magnitude of the comparative PFS and OS benefits of selpercatinib relative to pembrolizumab + PC </w:t>
      </w:r>
      <w:r w:rsidR="009A2D83" w:rsidRPr="00FB229F">
        <w:rPr>
          <w:lang w:eastAsia="en-GB"/>
        </w:rPr>
        <w:t>i</w:t>
      </w:r>
      <w:r w:rsidRPr="00FB229F">
        <w:rPr>
          <w:lang w:eastAsia="en-GB"/>
        </w:rPr>
        <w:t>s the key economic concern</w:t>
      </w:r>
      <w:r w:rsidR="009A2D83" w:rsidRPr="00FB229F">
        <w:rPr>
          <w:lang w:eastAsia="en-GB"/>
        </w:rPr>
        <w:t xml:space="preserve"> that cannot be solved using the evidence base presented in the submission</w:t>
      </w:r>
      <w:r w:rsidRPr="00FB229F">
        <w:rPr>
          <w:lang w:eastAsia="en-GB"/>
        </w:rPr>
        <w:t>.</w:t>
      </w:r>
      <w:bookmarkEnd w:id="74"/>
      <w:r w:rsidR="00C742B1" w:rsidRPr="00FB229F">
        <w:rPr>
          <w:lang w:eastAsia="en-GB"/>
        </w:rPr>
        <w:t xml:space="preserve"> </w:t>
      </w:r>
    </w:p>
    <w:p w14:paraId="53D48669" w14:textId="25319838" w:rsidR="00DD24A9" w:rsidRPr="00FB229F" w:rsidRDefault="00DD24A9" w:rsidP="007F03AD">
      <w:pPr>
        <w:pStyle w:val="3-BodyText"/>
        <w:ind w:left="709" w:hanging="709"/>
        <w:rPr>
          <w:iCs/>
        </w:rPr>
      </w:pPr>
      <w:r w:rsidRPr="00FB229F">
        <w:t xml:space="preserve">In the model, the submission used observed KM data for PFS and OS from the treatment-naïve patients in LIBRETTO-001 until median follow-up. The parametric functions to extrapolate the trial data for selpercatinib and to model PFS and OS for the pseudo-control arm in the base case, i.e. Gompertz for PFS and spline (knot = 1) model for OS, were determined on the basis of goodness of fit statistics, visual inspection, clinicians’ landmark estimates for PFS and OS, and external data from other studies of NSCLC therapies. All parametric functions appeared to provide a similar fit to trial-based KM data. There was no information on how the clinical experts were selected; neither did the submission provide the landmark estimates from individual clinicians or the basis for their estimates. The representativeness and validity of the </w:t>
      </w:r>
      <w:r w:rsidRPr="00FB229F">
        <w:lastRenderedPageBreak/>
        <w:t xml:space="preserve">clinician estimates, against which various parametric functions were compared, cannot be assessed. The external data used to validate the PFS and OS parametric extrapolations either investigated therapies targeting different oncogenic variants for treatment patients who may have different prognosis (e.g. </w:t>
      </w:r>
      <w:proofErr w:type="spellStart"/>
      <w:r w:rsidRPr="00FB229F">
        <w:t>alectinib</w:t>
      </w:r>
      <w:proofErr w:type="spellEnd"/>
      <w:r w:rsidRPr="00FB229F">
        <w:t xml:space="preserve"> and </w:t>
      </w:r>
      <w:proofErr w:type="spellStart"/>
      <w:r w:rsidRPr="00FB229F">
        <w:t>brigatinib</w:t>
      </w:r>
      <w:proofErr w:type="spellEnd"/>
      <w:r w:rsidRPr="00FB229F">
        <w:t xml:space="preserve"> for treatment of ALK-positive NSCLC in ALTA-1L and ALEX trials) or had patient/disease characteristics incomparable with those of LIBRETTO-001, in terms of age, disease stage, and/or </w:t>
      </w:r>
      <w:r w:rsidR="003D270C" w:rsidRPr="00FB229F">
        <w:rPr>
          <w:i/>
          <w:iCs/>
        </w:rPr>
        <w:t>RET</w:t>
      </w:r>
      <w:r w:rsidRPr="00FB229F">
        <w:rPr>
          <w:i/>
          <w:iCs/>
        </w:rPr>
        <w:t xml:space="preserve"> </w:t>
      </w:r>
      <w:r w:rsidRPr="00FB229F">
        <w:t>fusion status (KN-189 and Tan et al 2020</w:t>
      </w:r>
      <w:r w:rsidRPr="00FB229F">
        <w:rPr>
          <w:rStyle w:val="FootnoteReference"/>
          <w:rFonts w:eastAsiaTheme="minorHAnsi"/>
        </w:rPr>
        <w:footnoteReference w:id="22"/>
      </w:r>
      <w:r w:rsidRPr="00FB229F">
        <w:t xml:space="preserve">). Overall, the selection of the parametric distributions used in the base case was not well justified in the submission. Sensitivity analyses showed that the model was sensitive to the change in the extrapolation function for OS. </w:t>
      </w:r>
      <w:r w:rsidR="00DC5B38" w:rsidRPr="00FB229F">
        <w:rPr>
          <w:iCs/>
        </w:rPr>
        <w:t>The PSCR (</w:t>
      </w:r>
      <w:r w:rsidR="00895699" w:rsidRPr="00FB229F">
        <w:rPr>
          <w:iCs/>
        </w:rPr>
        <w:t>p</w:t>
      </w:r>
      <w:r w:rsidR="00DC5B38" w:rsidRPr="00FB229F">
        <w:rPr>
          <w:iCs/>
        </w:rPr>
        <w:t>p3-4)</w:t>
      </w:r>
      <w:r w:rsidR="00895699" w:rsidRPr="00FB229F">
        <w:rPr>
          <w:iCs/>
        </w:rPr>
        <w:t xml:space="preserve"> maintained that all parametric extrapolation methods resulted in similar fits to the observed KM data and </w:t>
      </w:r>
      <w:r w:rsidR="008B4705" w:rsidRPr="00FB229F">
        <w:rPr>
          <w:iCs/>
        </w:rPr>
        <w:t xml:space="preserve">the </w:t>
      </w:r>
      <w:r w:rsidR="00895699" w:rsidRPr="00FB229F">
        <w:rPr>
          <w:iCs/>
        </w:rPr>
        <w:t xml:space="preserve">spline knot 1 model was selected based on expert feedback and </w:t>
      </w:r>
      <w:r w:rsidR="008B4705" w:rsidRPr="00FB229F">
        <w:rPr>
          <w:iCs/>
        </w:rPr>
        <w:t xml:space="preserve">argued the approach taken provided a </w:t>
      </w:r>
      <w:r w:rsidR="00895699" w:rsidRPr="00FB229F">
        <w:rPr>
          <w:iCs/>
        </w:rPr>
        <w:t>conservative estimate of the longer-term OS.</w:t>
      </w:r>
      <w:r w:rsidR="004B47A9" w:rsidRPr="00FB229F">
        <w:rPr>
          <w:iCs/>
        </w:rPr>
        <w:t xml:space="preserve"> The ESC considered that it was </w:t>
      </w:r>
      <w:r w:rsidR="00BB78FA" w:rsidRPr="00FB229F">
        <w:rPr>
          <w:iCs/>
        </w:rPr>
        <w:t xml:space="preserve">largely </w:t>
      </w:r>
      <w:r w:rsidR="004B47A9" w:rsidRPr="00FB229F">
        <w:rPr>
          <w:iCs/>
        </w:rPr>
        <w:t xml:space="preserve">unclear how the clinicians’ landmark estimates were </w:t>
      </w:r>
      <w:r w:rsidR="00142A1B" w:rsidRPr="00FB229F">
        <w:rPr>
          <w:iCs/>
        </w:rPr>
        <w:t>derived,</w:t>
      </w:r>
      <w:r w:rsidR="004B47A9" w:rsidRPr="00FB229F">
        <w:rPr>
          <w:iCs/>
        </w:rPr>
        <w:t xml:space="preserve"> and </w:t>
      </w:r>
      <w:r w:rsidR="008B4705" w:rsidRPr="00FB229F">
        <w:rPr>
          <w:iCs/>
        </w:rPr>
        <w:t xml:space="preserve">noted </w:t>
      </w:r>
      <w:r w:rsidR="004B47A9" w:rsidRPr="00FB229F">
        <w:rPr>
          <w:iCs/>
        </w:rPr>
        <w:t>the model was highly sensitive to types of parametric extrapolations use</w:t>
      </w:r>
      <w:r w:rsidR="00BB78FA" w:rsidRPr="00FB229F">
        <w:rPr>
          <w:iCs/>
        </w:rPr>
        <w:t>d (</w:t>
      </w:r>
      <w:r w:rsidR="004157E8" w:rsidRPr="00FB229F">
        <w:rPr>
          <w:iCs/>
        </w:rPr>
        <w:t xml:space="preserve">see </w:t>
      </w:r>
      <w:r w:rsidR="004157E8" w:rsidRPr="00FB229F">
        <w:rPr>
          <w:iCs/>
        </w:rPr>
        <w:fldChar w:fldCharType="begin" w:fldLock="1"/>
      </w:r>
      <w:r w:rsidR="004157E8" w:rsidRPr="00FB229F">
        <w:rPr>
          <w:iCs/>
        </w:rPr>
        <w:instrText xml:space="preserve"> REF _Ref104805122 \h  \* MERGEFORMAT </w:instrText>
      </w:r>
      <w:r w:rsidR="004157E8" w:rsidRPr="00FB229F">
        <w:rPr>
          <w:iCs/>
        </w:rPr>
      </w:r>
      <w:r w:rsidR="004157E8" w:rsidRPr="00FB229F">
        <w:rPr>
          <w:iCs/>
        </w:rPr>
        <w:fldChar w:fldCharType="separate"/>
      </w:r>
      <w:r w:rsidR="004157E8" w:rsidRPr="00FB229F">
        <w:rPr>
          <w:iCs/>
        </w:rPr>
        <w:t xml:space="preserve">Table </w:t>
      </w:r>
      <w:r w:rsidR="004157E8" w:rsidRPr="00166045">
        <w:rPr>
          <w:iCs/>
        </w:rPr>
        <w:t>20</w:t>
      </w:r>
      <w:r w:rsidR="004157E8" w:rsidRPr="00FB229F">
        <w:rPr>
          <w:iCs/>
        </w:rPr>
        <w:fldChar w:fldCharType="end"/>
      </w:r>
      <w:r w:rsidR="00BB78FA" w:rsidRPr="00FB229F">
        <w:rPr>
          <w:iCs/>
        </w:rPr>
        <w:t>).</w:t>
      </w:r>
    </w:p>
    <w:p w14:paraId="1B354868" w14:textId="5F66F8DD" w:rsidR="00DD24A9" w:rsidRPr="00FB229F" w:rsidRDefault="00DD24A9" w:rsidP="007F03AD">
      <w:pPr>
        <w:pStyle w:val="3-BodyText"/>
        <w:ind w:left="709" w:hanging="709"/>
      </w:pPr>
      <w:r w:rsidRPr="00FB229F">
        <w:fldChar w:fldCharType="begin" w:fldLock="1"/>
      </w:r>
      <w:r w:rsidRPr="00FB229F">
        <w:instrText xml:space="preserve"> REF _Ref132130744 \h </w:instrText>
      </w:r>
      <w:r w:rsidRPr="00FB229F">
        <w:fldChar w:fldCharType="separate"/>
      </w:r>
      <w:r w:rsidR="00CA7201" w:rsidRPr="00FB229F">
        <w:t xml:space="preserve">Figure </w:t>
      </w:r>
      <w:r w:rsidR="00CA7201" w:rsidRPr="00166045">
        <w:t>7</w:t>
      </w:r>
      <w:r w:rsidRPr="00FB229F">
        <w:fldChar w:fldCharType="end"/>
      </w:r>
      <w:r w:rsidRPr="00FB229F">
        <w:t xml:space="preserve"> and </w:t>
      </w:r>
      <w:r w:rsidRPr="00FB229F">
        <w:fldChar w:fldCharType="begin" w:fldLock="1"/>
      </w:r>
      <w:r w:rsidRPr="00FB229F">
        <w:instrText xml:space="preserve"> REF _Ref132130747 \h </w:instrText>
      </w:r>
      <w:r w:rsidRPr="00FB229F">
        <w:fldChar w:fldCharType="separate"/>
      </w:r>
      <w:r w:rsidR="00CA7201" w:rsidRPr="00FB229F">
        <w:t xml:space="preserve">Figure </w:t>
      </w:r>
      <w:r w:rsidR="00CA7201" w:rsidRPr="00166045">
        <w:t>8</w:t>
      </w:r>
      <w:r w:rsidRPr="00FB229F">
        <w:fldChar w:fldCharType="end"/>
      </w:r>
      <w:r w:rsidRPr="00FB229F">
        <w:t xml:space="preserve"> compare the trial-based KM data and the modelled survival curves for PFS and OS, respectively. </w:t>
      </w:r>
    </w:p>
    <w:p w14:paraId="66278496" w14:textId="62763FE0" w:rsidR="00DD24A9" w:rsidRPr="00FB229F" w:rsidRDefault="00DD24A9" w:rsidP="00DD24A9">
      <w:pPr>
        <w:pStyle w:val="Caption"/>
      </w:pPr>
      <w:bookmarkStart w:id="75" w:name="_Ref132130744"/>
      <w:r w:rsidRPr="00FB229F">
        <w:t xml:space="preserve">Figure </w:t>
      </w:r>
      <w:r w:rsidR="00BF0AEB">
        <w:fldChar w:fldCharType="begin" w:fldLock="1"/>
      </w:r>
      <w:r w:rsidR="00BF0AEB">
        <w:instrText xml:space="preserve"> SEQ Figure \* ARABIC </w:instrText>
      </w:r>
      <w:r w:rsidR="00BF0AEB">
        <w:fldChar w:fldCharType="separate"/>
      </w:r>
      <w:r w:rsidR="00CA7201" w:rsidRPr="00166045">
        <w:t>7</w:t>
      </w:r>
      <w:r w:rsidR="00BF0AEB">
        <w:fldChar w:fldCharType="end"/>
      </w:r>
      <w:bookmarkEnd w:id="75"/>
      <w:r w:rsidRPr="00FB229F">
        <w:t>: Trial-based versus modelled PFS</w:t>
      </w:r>
    </w:p>
    <w:p w14:paraId="15166149" w14:textId="0D529D5E" w:rsidR="00DD24A9" w:rsidRPr="00FB229F" w:rsidRDefault="000B4C65" w:rsidP="00DD24A9">
      <w:r w:rsidRPr="00E40104">
        <w:rPr>
          <w:noProof/>
        </w:rPr>
        <w:drawing>
          <wp:inline distT="0" distB="0" distL="0" distR="0" wp14:anchorId="770FA1D3" wp14:editId="2BAB549A">
            <wp:extent cx="5448300" cy="3200400"/>
            <wp:effectExtent l="0" t="0" r="0" b="0"/>
            <wp:docPr id="43" name="Picture 43" descr="Figure 7: Trial-based versus modelled 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Figure 7: Trial-based versus modelled PF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8300" cy="3200400"/>
                    </a:xfrm>
                    <a:prstGeom prst="rect">
                      <a:avLst/>
                    </a:prstGeom>
                    <a:noFill/>
                  </pic:spPr>
                </pic:pic>
              </a:graphicData>
            </a:graphic>
          </wp:inline>
        </w:drawing>
      </w:r>
    </w:p>
    <w:p w14:paraId="169EEB7D" w14:textId="5564B1DC" w:rsidR="00DD24A9" w:rsidRPr="00FB229F" w:rsidRDefault="00DD24A9" w:rsidP="00DD24A9">
      <w:pPr>
        <w:pStyle w:val="TableFooter"/>
      </w:pPr>
      <w:r w:rsidRPr="00FB229F">
        <w:t>Source: Figure constructed during the evaluation from “A5.1_Selpercatinib Section 3 Workbook”.</w:t>
      </w:r>
    </w:p>
    <w:p w14:paraId="69BCD633" w14:textId="77777777" w:rsidR="00DD24A9" w:rsidRPr="00FB229F" w:rsidRDefault="00DD24A9" w:rsidP="00DD24A9">
      <w:pPr>
        <w:pStyle w:val="TableFooter"/>
      </w:pPr>
      <w:r w:rsidRPr="00FB229F">
        <w:t>KM = Kaplan-Meier; Pembro + Pem + Plat = pembrolizumab + pemetrexed + platinum; PFS = progression-free survival</w:t>
      </w:r>
    </w:p>
    <w:p w14:paraId="2BA56909" w14:textId="3CA8B8C2" w:rsidR="004157E8" w:rsidRPr="00FB229F" w:rsidRDefault="00DD24A9" w:rsidP="00DD24A9">
      <w:pPr>
        <w:pStyle w:val="TableFooter"/>
      </w:pPr>
      <w:r w:rsidRPr="00FB229F">
        <w:t>Note: PFS KM curve for Pembro + Pem + Plat from Trial KN-189 was digitised from Rodríguez-Abreu et al 2021 (Figure 2A)</w:t>
      </w:r>
    </w:p>
    <w:p w14:paraId="1AF7B4F8" w14:textId="38E110B8" w:rsidR="00DD24A9" w:rsidRPr="00FB229F" w:rsidRDefault="00DD24A9" w:rsidP="00DD24A9">
      <w:pPr>
        <w:pStyle w:val="Caption"/>
      </w:pPr>
      <w:bookmarkStart w:id="76" w:name="_Ref132130747"/>
      <w:r w:rsidRPr="00FB229F">
        <w:lastRenderedPageBreak/>
        <w:t xml:space="preserve">Figure </w:t>
      </w:r>
      <w:r w:rsidR="00BF0AEB">
        <w:fldChar w:fldCharType="begin" w:fldLock="1"/>
      </w:r>
      <w:r w:rsidR="00BF0AEB">
        <w:instrText xml:space="preserve"> SEQ Figure \* ARABIC </w:instrText>
      </w:r>
      <w:r w:rsidR="00BF0AEB">
        <w:fldChar w:fldCharType="separate"/>
      </w:r>
      <w:r w:rsidR="00CA7201" w:rsidRPr="00166045">
        <w:t>8</w:t>
      </w:r>
      <w:r w:rsidR="00BF0AEB">
        <w:fldChar w:fldCharType="end"/>
      </w:r>
      <w:bookmarkEnd w:id="76"/>
      <w:r w:rsidRPr="00FB229F">
        <w:t>: Trial-based versus modelled OS</w:t>
      </w:r>
    </w:p>
    <w:p w14:paraId="2BE65F8B" w14:textId="77777777" w:rsidR="00DD24A9" w:rsidRPr="00FB229F" w:rsidRDefault="00DD24A9" w:rsidP="00DD24A9">
      <w:r w:rsidRPr="00E40104">
        <w:rPr>
          <w:noProof/>
        </w:rPr>
        <w:drawing>
          <wp:inline distT="0" distB="0" distL="0" distR="0" wp14:anchorId="33539E3F" wp14:editId="665C2A85">
            <wp:extent cx="5645150" cy="3432412"/>
            <wp:effectExtent l="0" t="0" r="0" b="0"/>
            <wp:docPr id="19" name="Picture 19" descr="Figure 8: Trial-based versus modelled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8: Trial-based versus modelled 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2259" cy="3436734"/>
                    </a:xfrm>
                    <a:prstGeom prst="rect">
                      <a:avLst/>
                    </a:prstGeom>
                    <a:noFill/>
                  </pic:spPr>
                </pic:pic>
              </a:graphicData>
            </a:graphic>
          </wp:inline>
        </w:drawing>
      </w:r>
    </w:p>
    <w:p w14:paraId="3FEC1BFB" w14:textId="130819D2" w:rsidR="00DD24A9" w:rsidRPr="00FB229F" w:rsidRDefault="00DD24A9" w:rsidP="00DD24A9">
      <w:pPr>
        <w:pStyle w:val="TableFooter"/>
      </w:pPr>
      <w:r w:rsidRPr="00FB229F">
        <w:t>Source: Figure constructed during the evaluation from “A5.1_Selpercatinib Section 3 Workbook”.</w:t>
      </w:r>
    </w:p>
    <w:p w14:paraId="5FFA46C5" w14:textId="77777777" w:rsidR="00DD24A9" w:rsidRPr="00FB229F" w:rsidRDefault="00DD24A9" w:rsidP="00DD24A9">
      <w:pPr>
        <w:pStyle w:val="TableFooter"/>
      </w:pPr>
      <w:r w:rsidRPr="00FB229F">
        <w:t>KM = Kaplan-Meier; OS = overall survival; Pembro + Pem + Plat = pembrolizumab + pemetrexed + platinum</w:t>
      </w:r>
    </w:p>
    <w:p w14:paraId="1F79E490" w14:textId="77777777" w:rsidR="00DD24A9" w:rsidRPr="00FB229F" w:rsidRDefault="00DD24A9" w:rsidP="00816BFB">
      <w:pPr>
        <w:pStyle w:val="TableFooter"/>
        <w:spacing w:after="120"/>
      </w:pPr>
      <w:r w:rsidRPr="00FB229F">
        <w:t>Note: OS KM curve for Pembro + Pem + Plat from Trial KN-189 was digitised from Rodríguez-Abreu et al 2021 (Figure 1A)</w:t>
      </w:r>
    </w:p>
    <w:p w14:paraId="5CB26BBE" w14:textId="2F0224E7" w:rsidR="00DD24A9" w:rsidRPr="00FB229F" w:rsidRDefault="00850034" w:rsidP="007F03AD">
      <w:pPr>
        <w:pStyle w:val="3-BodyText"/>
        <w:ind w:left="709" w:hanging="709"/>
      </w:pPr>
      <w:bookmarkStart w:id="77" w:name="_Ref132208324"/>
      <w:r w:rsidRPr="00FB229F">
        <w:t>T</w:t>
      </w:r>
      <w:r w:rsidR="00DD24A9" w:rsidRPr="00FB229F">
        <w:t xml:space="preserve">he OS estimates as observed in patients receiving pembrolizumab + PC in KN-189 were greater </w:t>
      </w:r>
      <w:r w:rsidR="00E548E8" w:rsidRPr="00FB229F">
        <w:t xml:space="preserve">than </w:t>
      </w:r>
      <w:r w:rsidR="00DD24A9" w:rsidRPr="00FB229F">
        <w:t>the modelled OS for most of the trial period</w:t>
      </w:r>
      <w:r w:rsidR="00E548E8" w:rsidRPr="00FB229F">
        <w:t xml:space="preserve"> (orange solid line vs. orange dashed line, </w:t>
      </w:r>
      <w:r w:rsidR="00E548E8" w:rsidRPr="00FB229F">
        <w:fldChar w:fldCharType="begin" w:fldLock="1"/>
      </w:r>
      <w:r w:rsidR="00E548E8" w:rsidRPr="00FB229F">
        <w:instrText xml:space="preserve"> REF _Ref132130747 \h  \* MERGEFORMAT </w:instrText>
      </w:r>
      <w:r w:rsidR="00E548E8" w:rsidRPr="00FB229F">
        <w:fldChar w:fldCharType="separate"/>
      </w:r>
      <w:r w:rsidR="00CA7201" w:rsidRPr="00FB229F">
        <w:t xml:space="preserve">Figure </w:t>
      </w:r>
      <w:r w:rsidR="00CA7201" w:rsidRPr="00166045">
        <w:t>8</w:t>
      </w:r>
      <w:r w:rsidR="00E548E8" w:rsidRPr="00FB229F">
        <w:fldChar w:fldCharType="end"/>
      </w:r>
      <w:r w:rsidR="00E548E8" w:rsidRPr="00FB229F">
        <w:t>)</w:t>
      </w:r>
      <w:r w:rsidR="00DD24A9" w:rsidRPr="00FB229F">
        <w:t>. That is, the use of PSM NMA methodology for ITC resulted in a larger treatment benefit of selpercatinib in comparison with pembrolizumab + PC, in favour of selpercatinib.</w:t>
      </w:r>
      <w:bookmarkEnd w:id="77"/>
      <w:r w:rsidR="00DD24A9" w:rsidRPr="00FB229F">
        <w:t xml:space="preserve"> Throughout the time horizon of 20 years, higher proportions of patients treated with first-line selpercatinib remained alive than those in the comparator pembrolizumab + PC arm. Approximately 86% of undiscounted incremental life years (LYs) were accrued over the extrapolated period (between 25.2 months and 20 years).</w:t>
      </w:r>
    </w:p>
    <w:p w14:paraId="43DC4D49" w14:textId="6CB965BF" w:rsidR="00DD24A9" w:rsidRPr="00FB229F" w:rsidRDefault="00DD24A9" w:rsidP="007F03AD">
      <w:pPr>
        <w:pStyle w:val="3-BodyText"/>
        <w:ind w:left="709" w:hanging="709"/>
      </w:pPr>
      <w:bookmarkStart w:id="78" w:name="_Ref134109727"/>
      <w:r w:rsidRPr="00FB229F">
        <w:t xml:space="preserve">Relative dose intensity (RDI), which was </w:t>
      </w:r>
      <w:r w:rsidRPr="00FB229F">
        <w:rPr>
          <w:lang w:eastAsia="en-GB"/>
        </w:rPr>
        <w:t xml:space="preserve">derived from the LIBRETTO-001 study in patients who had their treatment dose adjusted due to AEs, </w:t>
      </w:r>
      <w:r w:rsidRPr="00FB229F">
        <w:t xml:space="preserve">has been considered for costing selpercatinib and pembrolizumab + PC. </w:t>
      </w:r>
      <w:r w:rsidR="002453F1" w:rsidRPr="00FB229F">
        <w:t xml:space="preserve">The inclusion of dose reductions for pembrolizumab in the economic model was not reasonable, as </w:t>
      </w:r>
      <w:r w:rsidRPr="00FB229F">
        <w:t>n</w:t>
      </w:r>
      <w:r w:rsidRPr="00FB229F">
        <w:rPr>
          <w:rFonts w:eastAsiaTheme="minorEastAsia"/>
          <w:lang w:eastAsia="zh-CN"/>
        </w:rPr>
        <w:t xml:space="preserve">o dose reductions are recommended by the </w:t>
      </w:r>
      <w:r w:rsidR="002453F1" w:rsidRPr="00FB229F">
        <w:rPr>
          <w:rFonts w:eastAsiaTheme="minorEastAsia"/>
          <w:lang w:eastAsia="zh-CN"/>
        </w:rPr>
        <w:t xml:space="preserve">pembrolizumab </w:t>
      </w:r>
      <w:r w:rsidRPr="00FB229F">
        <w:rPr>
          <w:rFonts w:eastAsiaTheme="minorEastAsia"/>
          <w:lang w:eastAsia="zh-CN"/>
        </w:rPr>
        <w:t xml:space="preserve">PI. </w:t>
      </w:r>
      <w:r w:rsidR="002453F1" w:rsidRPr="00FB229F">
        <w:rPr>
          <w:rFonts w:eastAsiaTheme="minorEastAsia"/>
          <w:lang w:eastAsia="zh-CN"/>
        </w:rPr>
        <w:t xml:space="preserve">Therefore, the re-specified base case </w:t>
      </w:r>
      <w:r w:rsidR="00527696" w:rsidRPr="00FB229F">
        <w:rPr>
          <w:rFonts w:eastAsiaTheme="minorEastAsia"/>
          <w:lang w:eastAsia="zh-CN"/>
        </w:rPr>
        <w:t>include</w:t>
      </w:r>
      <w:r w:rsidR="00AF4DC2" w:rsidRPr="00FB229F">
        <w:rPr>
          <w:rFonts w:eastAsiaTheme="minorEastAsia"/>
          <w:lang w:eastAsia="zh-CN"/>
        </w:rPr>
        <w:t>d no dose reductions for</w:t>
      </w:r>
      <w:r w:rsidR="00527696" w:rsidRPr="00FB229F">
        <w:rPr>
          <w:rFonts w:eastAsiaTheme="minorEastAsia"/>
          <w:lang w:eastAsia="zh-CN"/>
        </w:rPr>
        <w:t xml:space="preserve"> pembrolizumab</w:t>
      </w:r>
      <w:r w:rsidRPr="00FB229F">
        <w:t>. It was also noted that the submission’s calculation of the drug costs for pembrolizumab and chemotherapy agents was not in line with the Efficient Funding of Chemotherapy (EFC) Program – the pharmacy mark-up (1.4%) was multiplied by other EFC fees, not by ex-manufacturer drug price, and the EFC mark-up/fees w</w:t>
      </w:r>
      <w:r w:rsidR="009A0B63" w:rsidRPr="00FB229F">
        <w:t>ere</w:t>
      </w:r>
      <w:r w:rsidRPr="00FB229F">
        <w:t xml:space="preserve"> applied per vial, not per infusion.</w:t>
      </w:r>
      <w:bookmarkEnd w:id="78"/>
    </w:p>
    <w:p w14:paraId="758DCD9F" w14:textId="54D28112" w:rsidR="00DD24A9" w:rsidRPr="00FB229F" w:rsidRDefault="00DD24A9" w:rsidP="007F03AD">
      <w:pPr>
        <w:pStyle w:val="3-BodyText"/>
        <w:ind w:left="709" w:hanging="709"/>
      </w:pPr>
      <w:r w:rsidRPr="00FB229F">
        <w:rPr>
          <w:rFonts w:cstheme="minorHAnsi"/>
          <w:lang w:eastAsia="en-GB"/>
        </w:rPr>
        <w:t xml:space="preserve">The distribution of subsequent treatments in the progressed disease (PD) health state was estimated based on the National Comprehensive Cancer Network (NCCN) </w:t>
      </w:r>
      <w:r w:rsidRPr="00FB229F">
        <w:rPr>
          <w:rFonts w:cstheme="minorHAnsi"/>
          <w:lang w:eastAsia="en-GB"/>
        </w:rPr>
        <w:lastRenderedPageBreak/>
        <w:t>guidelines for NSCLC</w:t>
      </w:r>
      <w:r w:rsidRPr="00FB229F">
        <w:rPr>
          <w:rStyle w:val="FootnoteReference"/>
          <w:rFonts w:eastAsiaTheme="minorHAnsi" w:cstheme="minorHAnsi"/>
          <w:lang w:eastAsia="en-GB"/>
        </w:rPr>
        <w:footnoteReference w:id="23"/>
      </w:r>
      <w:r w:rsidRPr="00FB229F">
        <w:rPr>
          <w:rFonts w:cstheme="minorHAnsi"/>
          <w:lang w:eastAsia="en-GB"/>
        </w:rPr>
        <w:t xml:space="preserve">. It was assumed that 90% of patients in the selpercatinib arm would subsequently receive pembrolizumab + PC upon disease progression, and </w:t>
      </w:r>
      <w:r w:rsidR="005F4F13" w:rsidRPr="00FB229F">
        <w:rPr>
          <w:rFonts w:cstheme="minorHAnsi"/>
          <w:lang w:eastAsia="en-GB"/>
        </w:rPr>
        <w:t xml:space="preserve">the </w:t>
      </w:r>
      <w:r w:rsidRPr="00FB229F">
        <w:rPr>
          <w:rFonts w:cstheme="minorHAnsi"/>
          <w:lang w:eastAsia="en-GB"/>
        </w:rPr>
        <w:t xml:space="preserve">remaining 10% </w:t>
      </w:r>
      <w:r w:rsidR="005F4F13" w:rsidRPr="00FB229F">
        <w:rPr>
          <w:rFonts w:cstheme="minorHAnsi"/>
          <w:lang w:eastAsia="en-GB"/>
        </w:rPr>
        <w:t>would receive</w:t>
      </w:r>
      <w:r w:rsidRPr="00FB229F">
        <w:rPr>
          <w:rFonts w:cstheme="minorHAnsi"/>
          <w:lang w:eastAsia="en-GB"/>
        </w:rPr>
        <w:t xml:space="preserve"> second-line platinum doublet. For patients who experienced disease progression in the comparator pembrolizumab + PC arm, 100% would receive single-agent docetaxel in the second-line treatment setting. The current PBS restriction for pembrolizumab specifies that patients are eligible for pembrolizumab if they have not previously been treated for NSCLC in the metastatic setting, except for </w:t>
      </w:r>
      <w:proofErr w:type="spellStart"/>
      <w:r w:rsidRPr="00FB229F">
        <w:rPr>
          <w:rFonts w:cstheme="minorHAnsi"/>
          <w:lang w:eastAsia="en-GB"/>
        </w:rPr>
        <w:t>tepotinib</w:t>
      </w:r>
      <w:proofErr w:type="spellEnd"/>
      <w:r w:rsidRPr="00FB229F">
        <w:rPr>
          <w:rFonts w:cstheme="minorHAnsi"/>
          <w:lang w:eastAsia="en-GB"/>
        </w:rPr>
        <w:t xml:space="preserve">. The base case economic model was built on the basis that the PBAC will accept the submission’ proposal of flow on changes to the listing of pembrolizumab to allow for its use after selpercatinib in metastatic NSCLC. </w:t>
      </w:r>
    </w:p>
    <w:p w14:paraId="6F3925DF" w14:textId="02371588" w:rsidR="000B4C65" w:rsidRPr="00FB229F" w:rsidRDefault="00DD24A9" w:rsidP="007F03AD">
      <w:pPr>
        <w:pStyle w:val="3-BodyText"/>
        <w:ind w:left="709" w:hanging="709"/>
        <w:rPr>
          <w:rFonts w:cstheme="minorHAnsi"/>
          <w:lang w:eastAsia="en-GB"/>
        </w:rPr>
      </w:pPr>
      <w:bookmarkStart w:id="79" w:name="_Ref134109762"/>
      <w:bookmarkStart w:id="80" w:name="_Hlk136354096"/>
      <w:r w:rsidRPr="00FB229F">
        <w:rPr>
          <w:lang w:eastAsia="en-GB"/>
        </w:rPr>
        <w:t xml:space="preserve">The submission did not provide the data source for the treatment duration of each subsequent therapy. The submission assumed shorter </w:t>
      </w:r>
      <w:r w:rsidR="003C039D" w:rsidRPr="00FB229F">
        <w:rPr>
          <w:lang w:eastAsia="en-GB"/>
        </w:rPr>
        <w:t xml:space="preserve">mean </w:t>
      </w:r>
      <w:r w:rsidR="00527696" w:rsidRPr="00FB229F">
        <w:rPr>
          <w:lang w:eastAsia="en-GB"/>
        </w:rPr>
        <w:t>time to treatment discontinuation (</w:t>
      </w:r>
      <w:r w:rsidRPr="00FB229F">
        <w:rPr>
          <w:lang w:eastAsia="en-GB"/>
        </w:rPr>
        <w:t>TTD</w:t>
      </w:r>
      <w:r w:rsidR="00527696" w:rsidRPr="00FB229F">
        <w:rPr>
          <w:lang w:eastAsia="en-GB"/>
        </w:rPr>
        <w:t>)</w:t>
      </w:r>
      <w:r w:rsidRPr="00FB229F">
        <w:rPr>
          <w:lang w:eastAsia="en-GB"/>
        </w:rPr>
        <w:t xml:space="preserve"> for second-line pembrolizumab compared with that of second-line docetaxel (3.9 months vs. 4.1 months). This was not appropriate, considering the longer mean time in the PD health state for patients in the selpercatinib arm (receiving second-line pembrolizumab) than in the pembrolizumab + PC arm (receiving second-line docetaxel) in the economic model (undiscounted: 2.75 years vs. 0.96 years). This favoured selpercatinib. </w:t>
      </w:r>
      <w:r w:rsidR="00FC500B" w:rsidRPr="00FB229F">
        <w:rPr>
          <w:lang w:eastAsia="en-GB"/>
        </w:rPr>
        <w:t xml:space="preserve">Given the extended duration of survival in PD that has been modelled, the </w:t>
      </w:r>
      <w:r w:rsidR="000B4C65" w:rsidRPr="00FB229F">
        <w:rPr>
          <w:lang w:eastAsia="en-GB"/>
        </w:rPr>
        <w:t>base case analysis was re-specified during the evaluation by doubling the submission’s estimate of treatment duration of second-line pembrolizumab, along with other revisions</w:t>
      </w:r>
      <w:r w:rsidR="00FC500B" w:rsidRPr="00FB229F">
        <w:rPr>
          <w:lang w:eastAsia="en-GB"/>
        </w:rPr>
        <w:t>. However</w:t>
      </w:r>
      <w:r w:rsidR="000B4C65" w:rsidRPr="00FB229F">
        <w:rPr>
          <w:rFonts w:cstheme="minorHAnsi"/>
          <w:lang w:eastAsia="en-GB"/>
        </w:rPr>
        <w:t>, the appropriate duration to model use of second-line pembrolizumab remain</w:t>
      </w:r>
      <w:r w:rsidR="00FC500B" w:rsidRPr="00FB229F">
        <w:rPr>
          <w:rFonts w:cstheme="minorHAnsi"/>
          <w:lang w:eastAsia="en-GB"/>
        </w:rPr>
        <w:t>ed</w:t>
      </w:r>
      <w:r w:rsidR="000B4C65" w:rsidRPr="00FB229F">
        <w:rPr>
          <w:rFonts w:cstheme="minorHAnsi"/>
          <w:lang w:eastAsia="en-GB"/>
        </w:rPr>
        <w:t xml:space="preserve"> an area of uncertainty.</w:t>
      </w:r>
      <w:bookmarkEnd w:id="79"/>
      <w:r w:rsidR="00696AA6" w:rsidRPr="00FB229F">
        <w:rPr>
          <w:rFonts w:cstheme="minorHAnsi"/>
          <w:lang w:eastAsia="en-GB"/>
        </w:rPr>
        <w:t xml:space="preserve"> </w:t>
      </w:r>
      <w:r w:rsidR="00696AA6" w:rsidRPr="00FB229F">
        <w:rPr>
          <w:rFonts w:cstheme="minorHAnsi"/>
          <w:iCs/>
          <w:lang w:eastAsia="en-GB"/>
        </w:rPr>
        <w:t>The PSCR</w:t>
      </w:r>
      <w:r w:rsidR="00895699" w:rsidRPr="00FB229F">
        <w:rPr>
          <w:rFonts w:cstheme="minorHAnsi"/>
          <w:iCs/>
          <w:lang w:eastAsia="en-GB"/>
        </w:rPr>
        <w:t xml:space="preserve"> </w:t>
      </w:r>
      <w:r w:rsidR="00696AA6" w:rsidRPr="00FB229F">
        <w:rPr>
          <w:rFonts w:cstheme="minorHAnsi"/>
          <w:iCs/>
          <w:lang w:eastAsia="en-GB"/>
        </w:rPr>
        <w:t xml:space="preserve">stated that </w:t>
      </w:r>
      <w:r w:rsidR="00895699" w:rsidRPr="00FB229F">
        <w:rPr>
          <w:rFonts w:cstheme="minorHAnsi"/>
          <w:iCs/>
          <w:lang w:eastAsia="en-GB"/>
        </w:rPr>
        <w:t>i</w:t>
      </w:r>
      <w:r w:rsidR="00696AA6" w:rsidRPr="00FB229F">
        <w:rPr>
          <w:rFonts w:cstheme="minorHAnsi"/>
          <w:iCs/>
          <w:lang w:eastAsia="en-GB"/>
        </w:rPr>
        <w:t>n</w:t>
      </w:r>
      <w:r w:rsidR="00895699" w:rsidRPr="00FB229F">
        <w:rPr>
          <w:rFonts w:cstheme="minorHAnsi"/>
          <w:iCs/>
          <w:lang w:eastAsia="en-GB"/>
        </w:rPr>
        <w:t xml:space="preserve"> the</w:t>
      </w:r>
      <w:r w:rsidR="00696AA6" w:rsidRPr="00FB229F">
        <w:rPr>
          <w:rFonts w:cstheme="minorHAnsi"/>
          <w:iCs/>
          <w:lang w:eastAsia="en-GB"/>
        </w:rPr>
        <w:t xml:space="preserve"> absence of alternative data sources, the economic analysis derived estimates of treatment duration of subsequent therapies from previously published National Institute for Health and Care Excellence (NICE) appraisal guidance documents for Pembrolizumab for treating PD-L1-positive NSCLC after chemotherapy, atezolizumab in combination for treating advanced non-squamous NSCLC and Pembrolizumab for untreated PD-L1-positive metastatic NSCLC (NICE TA428, NICE TA584, NICE TA531 respectively).</w:t>
      </w:r>
      <w:r w:rsidR="005331D8" w:rsidRPr="00FB229F">
        <w:rPr>
          <w:rFonts w:cstheme="minorHAnsi"/>
          <w:iCs/>
          <w:lang w:eastAsia="en-GB"/>
        </w:rPr>
        <w:t xml:space="preserve"> </w:t>
      </w:r>
      <w:r w:rsidR="005331D8" w:rsidRPr="00FB229F">
        <w:t xml:space="preserve">The ESC considered the treatment duration of subsequent therapy should </w:t>
      </w:r>
      <w:r w:rsidR="00850034" w:rsidRPr="00FB229F">
        <w:t xml:space="preserve">be consistent with </w:t>
      </w:r>
      <w:r w:rsidR="005331D8" w:rsidRPr="00FB229F">
        <w:t>the duration of the progressed disease health state, which was not the case for the selpercatinib arm of the economic model.</w:t>
      </w:r>
    </w:p>
    <w:p w14:paraId="5CB08734" w14:textId="0C23AD99" w:rsidR="00DD24A9" w:rsidRPr="00FB229F" w:rsidRDefault="00DD24A9" w:rsidP="007F03AD">
      <w:pPr>
        <w:pStyle w:val="3-BodyText"/>
        <w:ind w:left="709" w:hanging="709"/>
      </w:pPr>
      <w:bookmarkStart w:id="81" w:name="_Ref134109692"/>
      <w:bookmarkEnd w:id="80"/>
      <w:r w:rsidRPr="00FB229F">
        <w:t xml:space="preserve">The economic model included the cost of </w:t>
      </w:r>
      <w:r w:rsidRPr="00FB229F">
        <w:rPr>
          <w:i/>
          <w:iCs/>
        </w:rPr>
        <w:t>RET</w:t>
      </w:r>
      <w:r w:rsidRPr="00FB229F">
        <w:t xml:space="preserve"> fusion testing as proposed in the submission, i.e. $397.35. Assuming a prevalence of </w:t>
      </w:r>
      <w:r w:rsidR="003D270C" w:rsidRPr="00FB229F">
        <w:rPr>
          <w:i/>
          <w:iCs/>
        </w:rPr>
        <w:t>RET</w:t>
      </w:r>
      <w:r w:rsidRPr="00FB229F">
        <w:t xml:space="preserve"> fusions in Australian NSCLC patients of 1.5%, a total of 66.67 patients needs to be tested, at a cost of $26,490, to identify one patient with </w:t>
      </w:r>
      <w:r w:rsidRPr="00FB229F">
        <w:rPr>
          <w:i/>
          <w:iCs/>
        </w:rPr>
        <w:t>RET</w:t>
      </w:r>
      <w:r w:rsidRPr="00FB229F">
        <w:t xml:space="preserve"> fusions and, thus, eligible for selpercatinib. MSAC Application 1721 (small gene panel testing for NSCLC) has been recommended; and the MSAC supported </w:t>
      </w:r>
      <w:r w:rsidR="003D270C" w:rsidRPr="00FB229F">
        <w:rPr>
          <w:i/>
          <w:iCs/>
        </w:rPr>
        <w:t>RET</w:t>
      </w:r>
      <w:r w:rsidRPr="00FB229F">
        <w:t xml:space="preserve"> gene fusion testing as part of its consideration of Application 1721. Therefore, patients diagnosed with NSCLC would undergo a multi-gene panel </w:t>
      </w:r>
      <w:r w:rsidRPr="00FB229F">
        <w:lastRenderedPageBreak/>
        <w:t xml:space="preserve">test, regardless the availability of selpercatinib. The inclusion of the testing cost for </w:t>
      </w:r>
      <w:r w:rsidR="003D270C" w:rsidRPr="00FB229F">
        <w:rPr>
          <w:i/>
          <w:iCs/>
        </w:rPr>
        <w:t>RET</w:t>
      </w:r>
      <w:r w:rsidRPr="00FB229F">
        <w:t xml:space="preserve"> fusions in the economic evaluation was not reasonable.</w:t>
      </w:r>
      <w:bookmarkEnd w:id="81"/>
      <w:r w:rsidRPr="00FB229F">
        <w:t xml:space="preserve"> </w:t>
      </w:r>
    </w:p>
    <w:p w14:paraId="7B3FB80B" w14:textId="28DD293B" w:rsidR="00DD24A9" w:rsidRPr="00FB229F" w:rsidRDefault="00DD24A9" w:rsidP="007F03AD">
      <w:pPr>
        <w:pStyle w:val="3-BodyText"/>
        <w:ind w:left="709" w:hanging="709"/>
      </w:pPr>
      <w:r w:rsidRPr="00FB229F">
        <w:t xml:space="preserve">A summary of the key drivers of the model is presented in </w:t>
      </w:r>
      <w:r w:rsidRPr="00FB229F">
        <w:fldChar w:fldCharType="begin" w:fldLock="1"/>
      </w:r>
      <w:r w:rsidRPr="00FB229F">
        <w:instrText xml:space="preserve"> REF _Ref104805122 \h  \* MERGEFORMAT </w:instrText>
      </w:r>
      <w:r w:rsidRPr="00FB229F">
        <w:fldChar w:fldCharType="separate"/>
      </w:r>
      <w:r w:rsidR="00CA7201" w:rsidRPr="00FB229F">
        <w:t>Table 20</w:t>
      </w:r>
      <w:r w:rsidRPr="00FB229F">
        <w:fldChar w:fldCharType="end"/>
      </w:r>
      <w:r w:rsidRPr="00FB229F">
        <w:t xml:space="preserve">. </w:t>
      </w:r>
    </w:p>
    <w:p w14:paraId="56847C40" w14:textId="2A03A1D8" w:rsidR="00DD24A9" w:rsidRPr="00FB229F" w:rsidRDefault="00DD24A9" w:rsidP="00DD24A9">
      <w:pPr>
        <w:pStyle w:val="Caption"/>
        <w:rPr>
          <w:rStyle w:val="CommentReference"/>
          <w:b/>
          <w:szCs w:val="24"/>
        </w:rPr>
      </w:pPr>
      <w:bookmarkStart w:id="82" w:name="_Ref104805122"/>
      <w:r w:rsidRPr="00FB229F">
        <w:t xml:space="preserve">Table </w:t>
      </w:r>
      <w:r w:rsidR="00BF0AEB">
        <w:fldChar w:fldCharType="begin" w:fldLock="1"/>
      </w:r>
      <w:r w:rsidR="00BF0AEB">
        <w:instrText xml:space="preserve"> SEQ Table \* ARABIC </w:instrText>
      </w:r>
      <w:r w:rsidR="00BF0AEB">
        <w:fldChar w:fldCharType="separate"/>
      </w:r>
      <w:r w:rsidR="00CA7201" w:rsidRPr="00166045">
        <w:t>20</w:t>
      </w:r>
      <w:r w:rsidR="00BF0AEB">
        <w:fldChar w:fldCharType="end"/>
      </w:r>
      <w:bookmarkEnd w:id="82"/>
      <w:r w:rsidRPr="00FB229F">
        <w:t>:</w:t>
      </w:r>
      <w:r w:rsidRPr="00FB229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79"/>
        <w:gridCol w:w="2453"/>
        <w:gridCol w:w="4485"/>
      </w:tblGrid>
      <w:tr w:rsidR="00DD24A9" w:rsidRPr="00FB229F" w14:paraId="289A4A06" w14:textId="77777777" w:rsidTr="00604558">
        <w:trPr>
          <w:tblHeader/>
        </w:trPr>
        <w:tc>
          <w:tcPr>
            <w:tcW w:w="1153" w:type="pct"/>
            <w:shd w:val="clear" w:color="auto" w:fill="auto"/>
            <w:vAlign w:val="center"/>
          </w:tcPr>
          <w:p w14:paraId="339F7FA3" w14:textId="77777777" w:rsidR="00DD24A9" w:rsidRPr="00FB229F" w:rsidRDefault="00DD24A9" w:rsidP="00604558">
            <w:pPr>
              <w:pStyle w:val="In-tableHeading"/>
              <w:jc w:val="center"/>
              <w:rPr>
                <w:lang w:val="en-AU"/>
              </w:rPr>
            </w:pPr>
            <w:r w:rsidRPr="00FB229F">
              <w:rPr>
                <w:lang w:val="en-AU"/>
              </w:rPr>
              <w:t>Description</w:t>
            </w:r>
          </w:p>
        </w:tc>
        <w:tc>
          <w:tcPr>
            <w:tcW w:w="1360" w:type="pct"/>
            <w:shd w:val="clear" w:color="auto" w:fill="auto"/>
            <w:vAlign w:val="center"/>
          </w:tcPr>
          <w:p w14:paraId="08F068A2" w14:textId="77777777" w:rsidR="00DD24A9" w:rsidRPr="00FB229F" w:rsidRDefault="00DD24A9" w:rsidP="00604558">
            <w:pPr>
              <w:pStyle w:val="In-tableHeading"/>
              <w:jc w:val="center"/>
              <w:rPr>
                <w:lang w:val="en-AU"/>
              </w:rPr>
            </w:pPr>
            <w:r w:rsidRPr="00FB229F">
              <w:rPr>
                <w:lang w:val="en-AU"/>
              </w:rPr>
              <w:t>Method/Value</w:t>
            </w:r>
          </w:p>
        </w:tc>
        <w:tc>
          <w:tcPr>
            <w:tcW w:w="2488" w:type="pct"/>
            <w:shd w:val="clear" w:color="auto" w:fill="auto"/>
            <w:vAlign w:val="center"/>
          </w:tcPr>
          <w:p w14:paraId="09EACF38" w14:textId="77777777" w:rsidR="00DD24A9" w:rsidRPr="00FB229F" w:rsidRDefault="00DD24A9" w:rsidP="00604558">
            <w:pPr>
              <w:pStyle w:val="In-tableHeading"/>
              <w:jc w:val="center"/>
              <w:rPr>
                <w:lang w:val="en-AU"/>
              </w:rPr>
            </w:pPr>
            <w:r w:rsidRPr="00FB229F">
              <w:rPr>
                <w:lang w:val="en-AU"/>
              </w:rPr>
              <w:t>Impact</w:t>
            </w:r>
          </w:p>
          <w:p w14:paraId="101C4BF2" w14:textId="425A5301" w:rsidR="00DD24A9" w:rsidRPr="00FB229F" w:rsidRDefault="00DD24A9" w:rsidP="00604558">
            <w:pPr>
              <w:pStyle w:val="In-tableHeading"/>
              <w:jc w:val="center"/>
              <w:rPr>
                <w:lang w:val="en-AU"/>
              </w:rPr>
            </w:pPr>
            <w:r w:rsidRPr="00FB229F">
              <w:rPr>
                <w:rFonts w:cs="Arial"/>
                <w:szCs w:val="20"/>
                <w:lang w:val="en-AU"/>
              </w:rPr>
              <w:t>Base case: $</w:t>
            </w:r>
            <w:r w:rsidR="00816BFB" w:rsidRPr="00816BFB">
              <w:rPr>
                <w:rFonts w:cs="Arial"/>
                <w:szCs w:val="20"/>
                <w:highlight w:val="black"/>
                <w:lang w:val="en-AU"/>
              </w:rPr>
              <w:t>|</w:t>
            </w:r>
            <w:r w:rsidR="00825FC5">
              <w:rPr>
                <w:rFonts w:cs="Arial"/>
                <w:szCs w:val="20"/>
                <w:vertAlign w:val="superscript"/>
                <w:lang w:val="en-AU"/>
              </w:rPr>
              <w:t>1</w:t>
            </w:r>
            <w:r w:rsidRPr="00FB229F">
              <w:rPr>
                <w:rFonts w:cs="Arial"/>
                <w:szCs w:val="20"/>
                <w:lang w:val="en-AU"/>
              </w:rPr>
              <w:t>/QALY gained</w:t>
            </w:r>
          </w:p>
        </w:tc>
      </w:tr>
      <w:tr w:rsidR="00DD24A9" w:rsidRPr="00FB229F" w14:paraId="28B7F8D1" w14:textId="77777777" w:rsidTr="00604558">
        <w:tc>
          <w:tcPr>
            <w:tcW w:w="1153" w:type="pct"/>
            <w:shd w:val="clear" w:color="auto" w:fill="auto"/>
            <w:vAlign w:val="center"/>
          </w:tcPr>
          <w:p w14:paraId="42168A1E" w14:textId="77777777" w:rsidR="00DD24A9" w:rsidRPr="00FB229F" w:rsidRDefault="00DD24A9" w:rsidP="00604558">
            <w:pPr>
              <w:pStyle w:val="TableText0"/>
            </w:pPr>
            <w:r w:rsidRPr="00FB229F">
              <w:t>Comparative treatment benefits of selpercatinib vs. pembrolizumab + PC</w:t>
            </w:r>
          </w:p>
        </w:tc>
        <w:tc>
          <w:tcPr>
            <w:tcW w:w="1360" w:type="pct"/>
            <w:shd w:val="clear" w:color="auto" w:fill="auto"/>
            <w:vAlign w:val="center"/>
          </w:tcPr>
          <w:p w14:paraId="75BD74BE" w14:textId="77777777" w:rsidR="00DD24A9" w:rsidRPr="00FB229F" w:rsidRDefault="00DD24A9" w:rsidP="00604558">
            <w:pPr>
              <w:pStyle w:val="TableText0"/>
            </w:pPr>
            <w:r w:rsidRPr="00FB229F">
              <w:t>Estimated using the PSM NMA approach</w:t>
            </w:r>
          </w:p>
        </w:tc>
        <w:tc>
          <w:tcPr>
            <w:tcW w:w="2488" w:type="pct"/>
            <w:shd w:val="clear" w:color="auto" w:fill="auto"/>
            <w:vAlign w:val="center"/>
          </w:tcPr>
          <w:p w14:paraId="003480AF" w14:textId="77777777" w:rsidR="00DD24A9" w:rsidRPr="00FB229F" w:rsidRDefault="00DD24A9" w:rsidP="00604558">
            <w:pPr>
              <w:pStyle w:val="TableText0"/>
              <w:rPr>
                <w:iCs/>
                <w:vertAlign w:val="superscript"/>
              </w:rPr>
            </w:pPr>
            <w:r w:rsidRPr="00FB229F">
              <w:rPr>
                <w:iCs/>
              </w:rPr>
              <w:t>High, likely favoured selpercatinib.</w:t>
            </w:r>
          </w:p>
          <w:p w14:paraId="79395D29" w14:textId="31326239" w:rsidR="00DD24A9" w:rsidRPr="00FB229F" w:rsidRDefault="00DD24A9" w:rsidP="00604558">
            <w:pPr>
              <w:pStyle w:val="TableText0"/>
              <w:rPr>
                <w:iCs/>
              </w:rPr>
            </w:pPr>
            <w:r w:rsidRPr="00FB229F">
              <w:rPr>
                <w:iCs/>
              </w:rPr>
              <w:t>If the OS HR for pembrolizumab + PC vs. pseudo-control (i.e. PC) generated through NMA w</w:t>
            </w:r>
            <w:r w:rsidR="003C039D" w:rsidRPr="00FB229F">
              <w:rPr>
                <w:iCs/>
              </w:rPr>
              <w:t>as</w:t>
            </w:r>
            <w:r w:rsidRPr="00FB229F">
              <w:rPr>
                <w:iCs/>
              </w:rPr>
              <w:t xml:space="preserve"> reduced by </w:t>
            </w:r>
            <w:r w:rsidR="00147541" w:rsidRPr="00FB229F">
              <w:rPr>
                <w:iCs/>
              </w:rPr>
              <w:t>20</w:t>
            </w:r>
            <w:r w:rsidRPr="00FB229F">
              <w:rPr>
                <w:iCs/>
              </w:rPr>
              <w:t>%</w:t>
            </w:r>
            <w:r w:rsidR="0025098A" w:rsidRPr="00FB229F">
              <w:rPr>
                <w:iCs/>
                <w:vertAlign w:val="superscript"/>
              </w:rPr>
              <w:t>a</w:t>
            </w:r>
            <w:r w:rsidRPr="00FB229F">
              <w:rPr>
                <w:iCs/>
              </w:rPr>
              <w:t xml:space="preserve">, the ICER increased to </w:t>
            </w:r>
            <w:r w:rsidR="00147541" w:rsidRPr="00FB229F">
              <w:rPr>
                <w:iCs/>
              </w:rPr>
              <w:t>$</w:t>
            </w:r>
            <w:r w:rsidR="00816BFB" w:rsidRPr="00543276">
              <w:rPr>
                <w:iCs/>
                <w:spacing w:val="56"/>
                <w:highlight w:val="black"/>
                <w:fitText w:val="340" w:id="-1167881209"/>
              </w:rPr>
              <w:t>|||</w:t>
            </w:r>
            <w:r w:rsidR="00816BFB" w:rsidRPr="00543276">
              <w:rPr>
                <w:iCs/>
                <w:spacing w:val="2"/>
                <w:highlight w:val="black"/>
                <w:fitText w:val="340" w:id="-1167881209"/>
              </w:rPr>
              <w:t>|</w:t>
            </w:r>
            <w:r w:rsidR="00825FC5">
              <w:rPr>
                <w:iCs/>
                <w:vertAlign w:val="superscript"/>
              </w:rPr>
              <w:t>2</w:t>
            </w:r>
            <w:r w:rsidR="00147541" w:rsidRPr="00FB229F">
              <w:rPr>
                <w:iCs/>
              </w:rPr>
              <w:t>. If the PFS and OS HRs from the NMA reduced further, the ICER could increase to above $</w:t>
            </w:r>
            <w:r w:rsidR="00816BFB" w:rsidRPr="00543276">
              <w:rPr>
                <w:iCs/>
                <w:spacing w:val="56"/>
                <w:highlight w:val="black"/>
                <w:fitText w:val="339" w:id="-1167881208"/>
              </w:rPr>
              <w:t>|||</w:t>
            </w:r>
            <w:r w:rsidR="00816BFB" w:rsidRPr="00543276">
              <w:rPr>
                <w:iCs/>
                <w:spacing w:val="1"/>
                <w:highlight w:val="black"/>
                <w:fitText w:val="339" w:id="-1167881208"/>
              </w:rPr>
              <w:t>|</w:t>
            </w:r>
            <w:r w:rsidR="00825FC5">
              <w:rPr>
                <w:iCs/>
                <w:vertAlign w:val="superscript"/>
              </w:rPr>
              <w:t>3</w:t>
            </w:r>
            <w:r w:rsidR="00147541" w:rsidRPr="00FB229F">
              <w:rPr>
                <w:iCs/>
              </w:rPr>
              <w:t>/QALY gained.</w:t>
            </w:r>
          </w:p>
        </w:tc>
      </w:tr>
      <w:tr w:rsidR="00DD24A9" w:rsidRPr="00FB229F" w14:paraId="43841CD0" w14:textId="77777777" w:rsidTr="00604558">
        <w:tc>
          <w:tcPr>
            <w:tcW w:w="1153" w:type="pct"/>
            <w:shd w:val="clear" w:color="auto" w:fill="auto"/>
            <w:vAlign w:val="center"/>
          </w:tcPr>
          <w:p w14:paraId="34D122A6" w14:textId="77777777" w:rsidR="00DD24A9" w:rsidRPr="00FB229F" w:rsidRDefault="00DD24A9" w:rsidP="00604558">
            <w:pPr>
              <w:pStyle w:val="TableText0"/>
            </w:pPr>
            <w:r w:rsidRPr="00FB229F">
              <w:t>Extrapolation parametric function for OS</w:t>
            </w:r>
          </w:p>
        </w:tc>
        <w:tc>
          <w:tcPr>
            <w:tcW w:w="1360" w:type="pct"/>
            <w:shd w:val="clear" w:color="auto" w:fill="auto"/>
            <w:vAlign w:val="center"/>
          </w:tcPr>
          <w:p w14:paraId="562B0109" w14:textId="77777777" w:rsidR="00DD24A9" w:rsidRPr="00FB229F" w:rsidRDefault="00DD24A9" w:rsidP="00604558">
            <w:pPr>
              <w:pStyle w:val="TableText0"/>
            </w:pPr>
            <w:r w:rsidRPr="00FB229F">
              <w:t>Spline knot 1</w:t>
            </w:r>
          </w:p>
        </w:tc>
        <w:tc>
          <w:tcPr>
            <w:tcW w:w="2488" w:type="pct"/>
            <w:shd w:val="clear" w:color="auto" w:fill="auto"/>
            <w:vAlign w:val="center"/>
          </w:tcPr>
          <w:p w14:paraId="4AD3A217" w14:textId="77777777" w:rsidR="00DD24A9" w:rsidRPr="00FB229F" w:rsidRDefault="00DD24A9" w:rsidP="00604558">
            <w:pPr>
              <w:pStyle w:val="TableText0"/>
              <w:rPr>
                <w:iCs/>
              </w:rPr>
            </w:pPr>
            <w:r w:rsidRPr="00FB229F">
              <w:rPr>
                <w:iCs/>
              </w:rPr>
              <w:t>High, direction cannot be determined.</w:t>
            </w:r>
          </w:p>
          <w:p w14:paraId="33FE34CE" w14:textId="244CDF87" w:rsidR="00DD24A9" w:rsidRPr="00FB229F" w:rsidRDefault="00DD24A9" w:rsidP="00604558">
            <w:pPr>
              <w:pStyle w:val="TableText0"/>
              <w:rPr>
                <w:iCs/>
              </w:rPr>
            </w:pPr>
            <w:r w:rsidRPr="00FB229F">
              <w:rPr>
                <w:iCs/>
              </w:rPr>
              <w:t xml:space="preserve">Use of a </w:t>
            </w:r>
            <w:r w:rsidR="0025098A" w:rsidRPr="00FB229F">
              <w:rPr>
                <w:iCs/>
              </w:rPr>
              <w:t xml:space="preserve">stratified </w:t>
            </w:r>
            <w:r w:rsidRPr="00FB229F">
              <w:rPr>
                <w:iCs/>
              </w:rPr>
              <w:t>Gompertz distribution to extrapolate OS for both selpercatinib and the pseudo-control arm increased the ICER to $</w:t>
            </w:r>
            <w:r w:rsidR="00816BFB" w:rsidRPr="00543276">
              <w:rPr>
                <w:iCs/>
                <w:spacing w:val="50"/>
                <w:highlight w:val="black"/>
                <w:fitText w:val="323" w:id="-1167881207"/>
              </w:rPr>
              <w:t>|||</w:t>
            </w:r>
            <w:r w:rsidR="00816BFB" w:rsidRPr="00543276">
              <w:rPr>
                <w:iCs/>
                <w:spacing w:val="3"/>
                <w:highlight w:val="black"/>
                <w:fitText w:val="323" w:id="-1167881207"/>
              </w:rPr>
              <w:t>|</w:t>
            </w:r>
            <w:r w:rsidR="001B384A">
              <w:rPr>
                <w:iCs/>
                <w:vertAlign w:val="superscript"/>
              </w:rPr>
              <w:t>4</w:t>
            </w:r>
            <w:r w:rsidRPr="00FB229F">
              <w:rPr>
                <w:iCs/>
              </w:rPr>
              <w:t>/QALY gained.</w:t>
            </w:r>
          </w:p>
          <w:p w14:paraId="3A3CA49E" w14:textId="193189B8" w:rsidR="00DD24A9" w:rsidRPr="00FB229F" w:rsidRDefault="00DD24A9" w:rsidP="00604558">
            <w:pPr>
              <w:pStyle w:val="TableText0"/>
              <w:rPr>
                <w:iCs/>
              </w:rPr>
            </w:pPr>
            <w:r w:rsidRPr="00FB229F">
              <w:rPr>
                <w:iCs/>
              </w:rPr>
              <w:t>Use of a generalised gamma distribution to extrapolate OS for selpercatinib decreased the ICER to $</w:t>
            </w:r>
            <w:r w:rsidR="00816BFB" w:rsidRPr="00543276">
              <w:rPr>
                <w:iCs/>
                <w:spacing w:val="51"/>
                <w:highlight w:val="black"/>
                <w:fitText w:val="324" w:id="-1167880960"/>
              </w:rPr>
              <w:t>|||</w:t>
            </w:r>
            <w:r w:rsidR="00816BFB" w:rsidRPr="00543276">
              <w:rPr>
                <w:iCs/>
                <w:spacing w:val="1"/>
                <w:highlight w:val="black"/>
                <w:fitText w:val="324" w:id="-1167880960"/>
              </w:rPr>
              <w:t>|</w:t>
            </w:r>
            <w:r w:rsidR="00825FC5">
              <w:rPr>
                <w:rFonts w:cs="Arial"/>
                <w:szCs w:val="20"/>
                <w:vertAlign w:val="superscript"/>
              </w:rPr>
              <w:t>1</w:t>
            </w:r>
            <w:r w:rsidRPr="00FB229F">
              <w:rPr>
                <w:iCs/>
              </w:rPr>
              <w:t>/QALY gained.</w:t>
            </w:r>
          </w:p>
        </w:tc>
      </w:tr>
      <w:tr w:rsidR="00DD24A9" w:rsidRPr="00FB229F" w14:paraId="53865575" w14:textId="77777777" w:rsidTr="00604558">
        <w:tc>
          <w:tcPr>
            <w:tcW w:w="1153" w:type="pct"/>
            <w:shd w:val="clear" w:color="auto" w:fill="auto"/>
            <w:vAlign w:val="center"/>
          </w:tcPr>
          <w:p w14:paraId="3E52221E" w14:textId="77777777" w:rsidR="00DD24A9" w:rsidRPr="00FB229F" w:rsidRDefault="00DD24A9" w:rsidP="00604558">
            <w:pPr>
              <w:pStyle w:val="TableText0"/>
            </w:pPr>
            <w:r w:rsidRPr="00FB229F">
              <w:t>Time horizon</w:t>
            </w:r>
          </w:p>
        </w:tc>
        <w:tc>
          <w:tcPr>
            <w:tcW w:w="1360" w:type="pct"/>
            <w:shd w:val="clear" w:color="auto" w:fill="auto"/>
            <w:vAlign w:val="center"/>
          </w:tcPr>
          <w:p w14:paraId="6FF3A878" w14:textId="77777777" w:rsidR="00DD24A9" w:rsidRPr="00FB229F" w:rsidRDefault="00DD24A9" w:rsidP="00604558">
            <w:pPr>
              <w:pStyle w:val="TableText0"/>
            </w:pPr>
            <w:r w:rsidRPr="00FB229F">
              <w:t>20 years</w:t>
            </w:r>
          </w:p>
        </w:tc>
        <w:tc>
          <w:tcPr>
            <w:tcW w:w="2488" w:type="pct"/>
            <w:shd w:val="clear" w:color="auto" w:fill="auto"/>
            <w:vAlign w:val="center"/>
          </w:tcPr>
          <w:p w14:paraId="7193000C" w14:textId="77777777" w:rsidR="00DD24A9" w:rsidRPr="00FB229F" w:rsidRDefault="00DD24A9" w:rsidP="00604558">
            <w:pPr>
              <w:pStyle w:val="TableText0"/>
              <w:rPr>
                <w:iCs/>
              </w:rPr>
            </w:pPr>
            <w:r w:rsidRPr="00FB229F">
              <w:rPr>
                <w:iCs/>
              </w:rPr>
              <w:t>Moderate, favoured selpercatinib.</w:t>
            </w:r>
          </w:p>
          <w:p w14:paraId="2F75C153" w14:textId="28A2D5A0" w:rsidR="00DD24A9" w:rsidRPr="00FB229F" w:rsidRDefault="00DD24A9" w:rsidP="00604558">
            <w:pPr>
              <w:pStyle w:val="TableText0"/>
              <w:rPr>
                <w:iCs/>
              </w:rPr>
            </w:pPr>
            <w:r w:rsidRPr="00FB229F">
              <w:rPr>
                <w:iCs/>
              </w:rPr>
              <w:t>Use of a 7.5-year time horizon increased the ICER to $</w:t>
            </w:r>
            <w:r w:rsidR="00816BFB" w:rsidRPr="00543276">
              <w:rPr>
                <w:iCs/>
                <w:spacing w:val="56"/>
                <w:highlight w:val="black"/>
                <w:fitText w:val="339" w:id="-1167880959"/>
              </w:rPr>
              <w:t>|||</w:t>
            </w:r>
            <w:r w:rsidR="00816BFB" w:rsidRPr="00543276">
              <w:rPr>
                <w:iCs/>
                <w:spacing w:val="1"/>
                <w:highlight w:val="black"/>
                <w:fitText w:val="339" w:id="-1167880959"/>
              </w:rPr>
              <w:t>|</w:t>
            </w:r>
            <w:r w:rsidR="001B384A">
              <w:rPr>
                <w:iCs/>
                <w:vertAlign w:val="superscript"/>
              </w:rPr>
              <w:t>2</w:t>
            </w:r>
            <w:r w:rsidRPr="00FB229F">
              <w:rPr>
                <w:iCs/>
              </w:rPr>
              <w:t xml:space="preserve">/QALY gained. </w:t>
            </w:r>
          </w:p>
        </w:tc>
      </w:tr>
      <w:tr w:rsidR="00DD24A9" w:rsidRPr="00FB229F" w14:paraId="3596AE0C" w14:textId="77777777" w:rsidTr="00604558">
        <w:tc>
          <w:tcPr>
            <w:tcW w:w="1153" w:type="pct"/>
            <w:shd w:val="clear" w:color="auto" w:fill="auto"/>
            <w:vAlign w:val="center"/>
          </w:tcPr>
          <w:p w14:paraId="63894E35" w14:textId="77777777" w:rsidR="00DD24A9" w:rsidRPr="00FB229F" w:rsidRDefault="00DD24A9" w:rsidP="00604558">
            <w:pPr>
              <w:pStyle w:val="TableText0"/>
            </w:pPr>
            <w:r w:rsidRPr="00FB229F">
              <w:t>RET fusion testing cost</w:t>
            </w:r>
          </w:p>
        </w:tc>
        <w:tc>
          <w:tcPr>
            <w:tcW w:w="1360" w:type="pct"/>
            <w:shd w:val="clear" w:color="auto" w:fill="auto"/>
            <w:vAlign w:val="center"/>
          </w:tcPr>
          <w:p w14:paraId="258A25E4" w14:textId="77777777" w:rsidR="00DD24A9" w:rsidRPr="00FB229F" w:rsidRDefault="00DD24A9" w:rsidP="00604558">
            <w:pPr>
              <w:pStyle w:val="TableText0"/>
            </w:pPr>
            <w:r w:rsidRPr="00FB229F">
              <w:t>$26,490 per patient treated with selpercatinib</w:t>
            </w:r>
          </w:p>
        </w:tc>
        <w:tc>
          <w:tcPr>
            <w:tcW w:w="2488" w:type="pct"/>
            <w:shd w:val="clear" w:color="auto" w:fill="auto"/>
            <w:vAlign w:val="center"/>
          </w:tcPr>
          <w:p w14:paraId="3FDC5F1D" w14:textId="77777777" w:rsidR="00DD24A9" w:rsidRPr="00FB229F" w:rsidRDefault="00DD24A9" w:rsidP="00604558">
            <w:pPr>
              <w:pStyle w:val="TableText0"/>
              <w:rPr>
                <w:iCs/>
              </w:rPr>
            </w:pPr>
            <w:r w:rsidRPr="00FB229F">
              <w:rPr>
                <w:iCs/>
              </w:rPr>
              <w:t xml:space="preserve">Moderate, favoured pembrolizumab + PC. </w:t>
            </w:r>
          </w:p>
          <w:p w14:paraId="0439B9B9" w14:textId="6DDB355C" w:rsidR="00DD24A9" w:rsidRPr="00FB229F" w:rsidRDefault="00DD24A9" w:rsidP="00604558">
            <w:pPr>
              <w:pStyle w:val="TableText0"/>
              <w:rPr>
                <w:iCs/>
              </w:rPr>
            </w:pPr>
            <w:r w:rsidRPr="00FB229F">
              <w:rPr>
                <w:iCs/>
              </w:rPr>
              <w:t>Exclusion of the testing cost reduced the ICER to $</w:t>
            </w:r>
            <w:r w:rsidR="00816BFB" w:rsidRPr="00543276">
              <w:rPr>
                <w:iCs/>
                <w:spacing w:val="56"/>
                <w:highlight w:val="black"/>
                <w:fitText w:val="339" w:id="-1167880958"/>
              </w:rPr>
              <w:t>|||</w:t>
            </w:r>
            <w:r w:rsidR="00816BFB" w:rsidRPr="00543276">
              <w:rPr>
                <w:iCs/>
                <w:spacing w:val="1"/>
                <w:highlight w:val="black"/>
                <w:fitText w:val="339" w:id="-1167880958"/>
              </w:rPr>
              <w:t>|</w:t>
            </w:r>
            <w:r w:rsidR="00825FC5">
              <w:rPr>
                <w:rFonts w:cs="Arial"/>
                <w:szCs w:val="20"/>
                <w:vertAlign w:val="superscript"/>
              </w:rPr>
              <w:t>1</w:t>
            </w:r>
            <w:r w:rsidRPr="00FB229F">
              <w:rPr>
                <w:iCs/>
              </w:rPr>
              <w:t>/QALY gained.</w:t>
            </w:r>
            <w:r w:rsidRPr="00FB229F">
              <w:rPr>
                <w:rFonts w:cs="Arial"/>
                <w:iCs/>
                <w:color w:val="3366FF"/>
                <w:szCs w:val="20"/>
              </w:rPr>
              <w:t xml:space="preserve"> </w:t>
            </w:r>
          </w:p>
        </w:tc>
      </w:tr>
      <w:tr w:rsidR="00DD24A9" w:rsidRPr="00FB229F" w14:paraId="72F41B5C" w14:textId="77777777" w:rsidTr="00604558">
        <w:tc>
          <w:tcPr>
            <w:tcW w:w="1153" w:type="pct"/>
            <w:shd w:val="clear" w:color="auto" w:fill="auto"/>
            <w:vAlign w:val="center"/>
          </w:tcPr>
          <w:p w14:paraId="709FD2E8" w14:textId="77777777" w:rsidR="00DD24A9" w:rsidRPr="00FB229F" w:rsidRDefault="00DD24A9" w:rsidP="00604558">
            <w:pPr>
              <w:pStyle w:val="TableText0"/>
            </w:pPr>
            <w:r w:rsidRPr="00FB229F">
              <w:t>Treatment duration of pembrolizumab in the second-line setting</w:t>
            </w:r>
          </w:p>
        </w:tc>
        <w:tc>
          <w:tcPr>
            <w:tcW w:w="1360" w:type="pct"/>
            <w:shd w:val="clear" w:color="auto" w:fill="auto"/>
            <w:vAlign w:val="center"/>
          </w:tcPr>
          <w:p w14:paraId="3E6AF23C" w14:textId="77777777" w:rsidR="00DD24A9" w:rsidRPr="00FB229F" w:rsidRDefault="00DD24A9" w:rsidP="00604558">
            <w:pPr>
              <w:pStyle w:val="TableText0"/>
            </w:pPr>
            <w:r w:rsidRPr="00FB229F">
              <w:t>5.7 3-weekly cycles, i.e. 3.9 months</w:t>
            </w:r>
          </w:p>
        </w:tc>
        <w:tc>
          <w:tcPr>
            <w:tcW w:w="2488" w:type="pct"/>
            <w:shd w:val="clear" w:color="auto" w:fill="auto"/>
            <w:vAlign w:val="center"/>
          </w:tcPr>
          <w:p w14:paraId="27DBCDA0" w14:textId="77777777" w:rsidR="00DD24A9" w:rsidRPr="00FB229F" w:rsidRDefault="00DD24A9" w:rsidP="00604558">
            <w:pPr>
              <w:pStyle w:val="TableText0"/>
              <w:rPr>
                <w:iCs/>
              </w:rPr>
            </w:pPr>
            <w:r w:rsidRPr="00FB229F">
              <w:rPr>
                <w:iCs/>
              </w:rPr>
              <w:t xml:space="preserve">Moderate, favoured selpercatinib </w:t>
            </w:r>
          </w:p>
          <w:p w14:paraId="366C4732" w14:textId="02A98049" w:rsidR="00DD24A9" w:rsidRPr="00FB229F" w:rsidRDefault="00DD24A9" w:rsidP="00604558">
            <w:pPr>
              <w:pStyle w:val="TableText0"/>
              <w:rPr>
                <w:iCs/>
              </w:rPr>
            </w:pPr>
            <w:r w:rsidRPr="00FB229F">
              <w:rPr>
                <w:iCs/>
              </w:rPr>
              <w:t>Doubling the treatment duration for pembrolizumab in the second-line setting increased the ICER to $</w:t>
            </w:r>
            <w:r w:rsidR="00816BFB" w:rsidRPr="00543276">
              <w:rPr>
                <w:iCs/>
                <w:spacing w:val="50"/>
                <w:highlight w:val="black"/>
                <w:fitText w:val="323" w:id="-1167880957"/>
              </w:rPr>
              <w:t>|||</w:t>
            </w:r>
            <w:r w:rsidR="00816BFB" w:rsidRPr="00543276">
              <w:rPr>
                <w:iCs/>
                <w:spacing w:val="3"/>
                <w:highlight w:val="black"/>
                <w:fitText w:val="323" w:id="-1167880957"/>
              </w:rPr>
              <w:t>|</w:t>
            </w:r>
            <w:r w:rsidR="001B384A">
              <w:rPr>
                <w:iCs/>
                <w:vertAlign w:val="superscript"/>
              </w:rPr>
              <w:t>2</w:t>
            </w:r>
            <w:r w:rsidRPr="00FB229F">
              <w:rPr>
                <w:iCs/>
              </w:rPr>
              <w:t xml:space="preserve">/QALY </w:t>
            </w:r>
            <w:proofErr w:type="spellStart"/>
            <w:r w:rsidRPr="00FB229F">
              <w:rPr>
                <w:iCs/>
              </w:rPr>
              <w:t>gained</w:t>
            </w:r>
            <w:r w:rsidR="009E5A28" w:rsidRPr="00FB229F">
              <w:rPr>
                <w:iCs/>
                <w:vertAlign w:val="superscript"/>
              </w:rPr>
              <w:t>b</w:t>
            </w:r>
            <w:proofErr w:type="spellEnd"/>
            <w:r w:rsidRPr="00FB229F">
              <w:rPr>
                <w:iCs/>
              </w:rPr>
              <w:t>.</w:t>
            </w:r>
          </w:p>
        </w:tc>
      </w:tr>
    </w:tbl>
    <w:p w14:paraId="19CA7C3B" w14:textId="77777777" w:rsidR="00DD24A9" w:rsidRPr="00FB229F" w:rsidRDefault="00DD24A9" w:rsidP="00DD24A9">
      <w:pPr>
        <w:pStyle w:val="FooterTableFigure"/>
      </w:pPr>
      <w:r w:rsidRPr="00FB229F">
        <w:t>Source: Compiled during the evaluation, based on Section 3.9 of the submission and the sensitivity analyses performed during the evaluation.</w:t>
      </w:r>
    </w:p>
    <w:p w14:paraId="080C94D1" w14:textId="1E0B1D07" w:rsidR="00DD24A9" w:rsidRPr="00FB229F" w:rsidRDefault="00DD24A9" w:rsidP="00DD24A9">
      <w:pPr>
        <w:pStyle w:val="FooterTableFigure"/>
      </w:pPr>
      <w:r w:rsidRPr="00FB229F">
        <w:t>HR = hazard ratio; ICER = incremental cost-effectiveness ratio; NMA = network meta-analysis; OS = overall survival; PC = pemetrexed + platinum chemotherapy; PFS = progression-free survival; PSM = propensity score matching; QALY = quality- adjusted life year; RET = rearrange</w:t>
      </w:r>
      <w:r w:rsidR="00D0595E" w:rsidRPr="00FB229F">
        <w:t>d</w:t>
      </w:r>
      <w:r w:rsidRPr="00FB229F">
        <w:t xml:space="preserve"> during transfection</w:t>
      </w:r>
    </w:p>
    <w:p w14:paraId="327538DA" w14:textId="0E9D1FF1" w:rsidR="0025098A" w:rsidRPr="00FB229F" w:rsidRDefault="0025098A" w:rsidP="0025098A">
      <w:pPr>
        <w:pStyle w:val="FooterTableFigure"/>
        <w:rPr>
          <w:rFonts w:eastAsia="Calibri"/>
          <w:szCs w:val="20"/>
        </w:rPr>
      </w:pPr>
      <w:r w:rsidRPr="00FB229F">
        <w:rPr>
          <w:rFonts w:eastAsia="Calibri"/>
          <w:szCs w:val="20"/>
          <w:vertAlign w:val="superscript"/>
        </w:rPr>
        <w:t xml:space="preserve">a </w:t>
      </w:r>
      <w:r w:rsidR="00147541" w:rsidRPr="00FB229F">
        <w:rPr>
          <w:rFonts w:eastAsia="Calibri"/>
          <w:szCs w:val="20"/>
        </w:rPr>
        <w:t xml:space="preserve">From 0.609 to 0.487 </w:t>
      </w:r>
      <w:r w:rsidRPr="00FB229F">
        <w:rPr>
          <w:rFonts w:eastAsia="Calibri"/>
          <w:szCs w:val="20"/>
        </w:rPr>
        <w:t>(Cell DS20, ‘1L NSCLC S(t)’, “A5.1_Selpercatinib Section 3 Workbook”).</w:t>
      </w:r>
    </w:p>
    <w:p w14:paraId="3CDF2C74" w14:textId="635429FD" w:rsidR="009E5A28" w:rsidRPr="00FB229F" w:rsidRDefault="009E5A28" w:rsidP="00816BFB">
      <w:pPr>
        <w:pStyle w:val="FooterTableFigure"/>
        <w:spacing w:after="0"/>
        <w:rPr>
          <w:rFonts w:eastAsia="Calibri"/>
          <w:szCs w:val="20"/>
        </w:rPr>
      </w:pPr>
      <w:r w:rsidRPr="00FB229F">
        <w:rPr>
          <w:rFonts w:eastAsia="Calibri"/>
          <w:szCs w:val="20"/>
          <w:vertAlign w:val="superscript"/>
        </w:rPr>
        <w:t xml:space="preserve">b </w:t>
      </w:r>
      <w:r w:rsidRPr="00FB229F">
        <w:rPr>
          <w:rFonts w:eastAsia="Calibri"/>
          <w:szCs w:val="20"/>
        </w:rPr>
        <w:t xml:space="preserve">From 16.96 weeks to 33.92 </w:t>
      </w:r>
      <w:r w:rsidR="006D19F4" w:rsidRPr="00FB229F">
        <w:rPr>
          <w:rFonts w:eastAsia="Calibri"/>
          <w:szCs w:val="20"/>
        </w:rPr>
        <w:t xml:space="preserve">weeks </w:t>
      </w:r>
      <w:r w:rsidRPr="00FB229F">
        <w:rPr>
          <w:rFonts w:eastAsia="Calibri"/>
          <w:szCs w:val="20"/>
        </w:rPr>
        <w:t>(Cell H1403, ‘Country-Specific Data 1L NSCLC’, “A5.1_Selpercatinib Section 3 Workbook”)</w:t>
      </w:r>
    </w:p>
    <w:p w14:paraId="1D251A4E" w14:textId="77777777" w:rsidR="00825FC5" w:rsidRPr="009A6D58" w:rsidRDefault="00825FC5" w:rsidP="00825FC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36ED178" w14:textId="3A95AC3A" w:rsidR="00825FC5" w:rsidRPr="009A6D58" w:rsidRDefault="00825FC5" w:rsidP="00825FC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25FC5">
        <w:rPr>
          <w:rFonts w:ascii="Arial Narrow" w:hAnsi="Arial Narrow"/>
          <w:i/>
          <w:sz w:val="18"/>
          <w:szCs w:val="18"/>
        </w:rPr>
        <w:t xml:space="preserve">$55,000 to &lt; $75,000 </w:t>
      </w:r>
    </w:p>
    <w:p w14:paraId="3D66A5BC" w14:textId="22FD197D" w:rsidR="00825FC5" w:rsidRPr="009A6D58" w:rsidRDefault="00825FC5" w:rsidP="00825FC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1B384A" w:rsidRPr="00825FC5">
        <w:rPr>
          <w:rFonts w:ascii="Arial Narrow" w:hAnsi="Arial Narrow"/>
          <w:i/>
          <w:sz w:val="18"/>
          <w:szCs w:val="18"/>
        </w:rPr>
        <w:t>$</w:t>
      </w:r>
      <w:r w:rsidR="001B384A">
        <w:rPr>
          <w:rFonts w:ascii="Arial Narrow" w:hAnsi="Arial Narrow"/>
          <w:i/>
          <w:sz w:val="18"/>
          <w:szCs w:val="18"/>
        </w:rPr>
        <w:t>7</w:t>
      </w:r>
      <w:r w:rsidR="001B384A" w:rsidRPr="00825FC5">
        <w:rPr>
          <w:rFonts w:ascii="Arial Narrow" w:hAnsi="Arial Narrow"/>
          <w:i/>
          <w:sz w:val="18"/>
          <w:szCs w:val="18"/>
        </w:rPr>
        <w:t>5,000 to &lt; $</w:t>
      </w:r>
      <w:r w:rsidR="001B384A">
        <w:rPr>
          <w:rFonts w:ascii="Arial Narrow" w:hAnsi="Arial Narrow"/>
          <w:i/>
          <w:sz w:val="18"/>
          <w:szCs w:val="18"/>
        </w:rPr>
        <w:t>9</w:t>
      </w:r>
      <w:r w:rsidR="001B384A" w:rsidRPr="00825FC5">
        <w:rPr>
          <w:rFonts w:ascii="Arial Narrow" w:hAnsi="Arial Narrow"/>
          <w:i/>
          <w:sz w:val="18"/>
          <w:szCs w:val="18"/>
        </w:rPr>
        <w:t>5,000</w:t>
      </w:r>
    </w:p>
    <w:p w14:paraId="25F0FF88" w14:textId="1580E3F4" w:rsidR="00825FC5" w:rsidRDefault="00825FC5" w:rsidP="00825FC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1B384A" w:rsidRPr="001B384A">
        <w:rPr>
          <w:rFonts w:ascii="Arial Narrow" w:hAnsi="Arial Narrow"/>
          <w:i/>
          <w:sz w:val="18"/>
          <w:szCs w:val="18"/>
        </w:rPr>
        <w:t>$95,000 to &lt; $115,000</w:t>
      </w:r>
    </w:p>
    <w:p w14:paraId="409BC22E" w14:textId="4D57F96E" w:rsidR="0025098A" w:rsidRPr="00FB229F" w:rsidRDefault="00825FC5" w:rsidP="00816BFB">
      <w:pPr>
        <w:spacing w:after="120"/>
      </w:pPr>
      <w:r>
        <w:rPr>
          <w:rFonts w:ascii="Arial Narrow" w:hAnsi="Arial Narrow"/>
          <w:i/>
          <w:sz w:val="18"/>
          <w:szCs w:val="18"/>
          <w:vertAlign w:val="superscript"/>
        </w:rPr>
        <w:t>4</w:t>
      </w:r>
      <w:r>
        <w:rPr>
          <w:rFonts w:ascii="Arial Narrow" w:hAnsi="Arial Narrow"/>
          <w:i/>
          <w:sz w:val="18"/>
          <w:szCs w:val="18"/>
        </w:rPr>
        <w:t xml:space="preserve"> </w:t>
      </w:r>
      <w:r w:rsidR="001B384A" w:rsidRPr="001B384A">
        <w:rPr>
          <w:rFonts w:ascii="Arial Narrow" w:hAnsi="Arial Narrow"/>
          <w:i/>
          <w:sz w:val="18"/>
          <w:szCs w:val="18"/>
        </w:rPr>
        <w:t>$135,000 to &lt; $155,000</w:t>
      </w:r>
    </w:p>
    <w:p w14:paraId="65B5BDEF" w14:textId="1EEDD437" w:rsidR="00DD24A9" w:rsidRPr="00FB229F" w:rsidRDefault="00DD24A9" w:rsidP="007F03AD">
      <w:pPr>
        <w:pStyle w:val="3-BodyText"/>
        <w:ind w:left="709" w:hanging="709"/>
      </w:pPr>
      <w:bookmarkStart w:id="83" w:name="_Ref104805160"/>
      <w:r w:rsidRPr="00FB229F">
        <w:t xml:space="preserve">The results of the stepped economic evaluation presented in the submission are summarised in </w:t>
      </w:r>
      <w:r w:rsidRPr="00FB229F">
        <w:fldChar w:fldCharType="begin" w:fldLock="1"/>
      </w:r>
      <w:r w:rsidRPr="00FB229F">
        <w:instrText xml:space="preserve"> REF _Ref131776963 \h </w:instrText>
      </w:r>
      <w:r w:rsidRPr="00FB229F">
        <w:fldChar w:fldCharType="separate"/>
      </w:r>
      <w:r w:rsidR="00D62D6C" w:rsidRPr="00FB229F">
        <w:t xml:space="preserve">Table </w:t>
      </w:r>
      <w:r w:rsidR="00D62D6C" w:rsidRPr="00166045">
        <w:t>21</w:t>
      </w:r>
      <w:r w:rsidRPr="00FB229F">
        <w:fldChar w:fldCharType="end"/>
      </w:r>
      <w:r w:rsidRPr="00FB229F">
        <w:t xml:space="preserve">. </w:t>
      </w:r>
      <w:r w:rsidR="00F81222" w:rsidRPr="00FB229F">
        <w:t xml:space="preserve">The PBAC noted the economic evaluation presented was based on the published price of pembrolizumab. </w:t>
      </w:r>
    </w:p>
    <w:p w14:paraId="084479E1" w14:textId="27D61BB5" w:rsidR="00DD24A9" w:rsidRPr="00FB229F" w:rsidRDefault="00DD24A9" w:rsidP="00DD24A9">
      <w:pPr>
        <w:pStyle w:val="Caption"/>
      </w:pPr>
      <w:bookmarkStart w:id="84" w:name="_Ref131776963"/>
      <w:r w:rsidRPr="00FB229F">
        <w:lastRenderedPageBreak/>
        <w:t xml:space="preserve">Table </w:t>
      </w:r>
      <w:r w:rsidR="00BF0AEB">
        <w:fldChar w:fldCharType="begin" w:fldLock="1"/>
      </w:r>
      <w:r w:rsidR="00BF0AEB">
        <w:instrText xml:space="preserve"> SEQ Table \* ARABIC </w:instrText>
      </w:r>
      <w:r w:rsidR="00BF0AEB">
        <w:fldChar w:fldCharType="separate"/>
      </w:r>
      <w:r w:rsidR="00CA7201" w:rsidRPr="00166045">
        <w:t>21</w:t>
      </w:r>
      <w:r w:rsidR="00BF0AEB">
        <w:fldChar w:fldCharType="end"/>
      </w:r>
      <w:bookmarkEnd w:id="83"/>
      <w:bookmarkEnd w:id="84"/>
      <w:r w:rsidRPr="00FB229F">
        <w:t>:</w:t>
      </w:r>
      <w:r w:rsidRPr="00FB229F">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57"/>
        <w:gridCol w:w="2451"/>
        <w:gridCol w:w="2298"/>
        <w:gridCol w:w="1511"/>
      </w:tblGrid>
      <w:tr w:rsidR="00DD24A9" w:rsidRPr="00FB229F" w14:paraId="75538BAB" w14:textId="77777777" w:rsidTr="00604558">
        <w:trPr>
          <w:cantSplit/>
          <w:tblHeader/>
        </w:trPr>
        <w:tc>
          <w:tcPr>
            <w:tcW w:w="1529" w:type="pct"/>
            <w:vAlign w:val="center"/>
          </w:tcPr>
          <w:p w14:paraId="46047079" w14:textId="77777777" w:rsidR="00DD24A9" w:rsidRPr="00166045" w:rsidRDefault="00DD24A9" w:rsidP="00604558">
            <w:pPr>
              <w:pStyle w:val="In-tableHeading"/>
              <w:rPr>
                <w:lang w:val="en-AU"/>
              </w:rPr>
            </w:pPr>
            <w:r w:rsidRPr="00166045">
              <w:rPr>
                <w:lang w:val="en-AU"/>
              </w:rPr>
              <w:t>Step and component</w:t>
            </w:r>
          </w:p>
        </w:tc>
        <w:tc>
          <w:tcPr>
            <w:tcW w:w="1359" w:type="pct"/>
            <w:vAlign w:val="center"/>
          </w:tcPr>
          <w:p w14:paraId="335BB397" w14:textId="77777777" w:rsidR="00DD24A9" w:rsidRPr="00166045" w:rsidRDefault="00DD24A9" w:rsidP="00604558">
            <w:pPr>
              <w:pStyle w:val="In-tableHeading"/>
              <w:jc w:val="center"/>
              <w:rPr>
                <w:lang w:val="en-AU"/>
              </w:rPr>
            </w:pPr>
            <w:r w:rsidRPr="00166045">
              <w:rPr>
                <w:lang w:val="en-AU"/>
              </w:rPr>
              <w:t>Selpercatinib</w:t>
            </w:r>
          </w:p>
        </w:tc>
        <w:tc>
          <w:tcPr>
            <w:tcW w:w="1274" w:type="pct"/>
            <w:vAlign w:val="center"/>
          </w:tcPr>
          <w:p w14:paraId="60057554" w14:textId="77777777" w:rsidR="00DD24A9" w:rsidRPr="00166045" w:rsidRDefault="00DD24A9" w:rsidP="00604558">
            <w:pPr>
              <w:pStyle w:val="In-tableHeading"/>
              <w:jc w:val="center"/>
              <w:rPr>
                <w:lang w:val="en-AU"/>
              </w:rPr>
            </w:pPr>
            <w:r w:rsidRPr="00166045">
              <w:rPr>
                <w:lang w:val="en-AU"/>
              </w:rPr>
              <w:t>Pembrolizumab + PC</w:t>
            </w:r>
          </w:p>
        </w:tc>
        <w:tc>
          <w:tcPr>
            <w:tcW w:w="838" w:type="pct"/>
            <w:vAlign w:val="center"/>
          </w:tcPr>
          <w:p w14:paraId="4C7310AD" w14:textId="77777777" w:rsidR="00DD24A9" w:rsidRPr="00166045" w:rsidRDefault="00DD24A9" w:rsidP="00604558">
            <w:pPr>
              <w:pStyle w:val="In-tableHeading"/>
              <w:jc w:val="center"/>
              <w:rPr>
                <w:lang w:val="en-AU"/>
              </w:rPr>
            </w:pPr>
            <w:r w:rsidRPr="00166045">
              <w:rPr>
                <w:lang w:val="en-AU"/>
              </w:rPr>
              <w:t>Increment</w:t>
            </w:r>
          </w:p>
        </w:tc>
      </w:tr>
      <w:tr w:rsidR="00DD24A9" w:rsidRPr="00FB229F" w14:paraId="3596FF36" w14:textId="77777777" w:rsidTr="00604558">
        <w:trPr>
          <w:cantSplit/>
        </w:trPr>
        <w:tc>
          <w:tcPr>
            <w:tcW w:w="5000" w:type="pct"/>
            <w:gridSpan w:val="4"/>
            <w:vAlign w:val="center"/>
          </w:tcPr>
          <w:p w14:paraId="2122229F" w14:textId="77777777" w:rsidR="00DD24A9" w:rsidRPr="00166045" w:rsidRDefault="00DD24A9" w:rsidP="00604558">
            <w:pPr>
              <w:pStyle w:val="In-tableHeading"/>
              <w:rPr>
                <w:lang w:val="en-AU"/>
              </w:rPr>
            </w:pPr>
            <w:r w:rsidRPr="00166045">
              <w:rPr>
                <w:lang w:val="en-AU"/>
              </w:rPr>
              <w:t>Step 0: Quasi-trial-based analysis with a time horizon of 42 months</w:t>
            </w:r>
            <w:r w:rsidRPr="00166045">
              <w:rPr>
                <w:vertAlign w:val="superscript"/>
                <w:lang w:val="en-AU"/>
              </w:rPr>
              <w:t>a</w:t>
            </w:r>
            <w:r w:rsidRPr="00166045">
              <w:rPr>
                <w:lang w:val="en-AU"/>
              </w:rPr>
              <w:t>, health outcomes for pembrolizumab + PC estimated using the PSM NMA approach</w:t>
            </w:r>
          </w:p>
        </w:tc>
      </w:tr>
      <w:tr w:rsidR="00DD24A9" w:rsidRPr="00FB229F" w14:paraId="69F83AF1" w14:textId="77777777" w:rsidTr="00604558">
        <w:trPr>
          <w:cantSplit/>
        </w:trPr>
        <w:tc>
          <w:tcPr>
            <w:tcW w:w="1529" w:type="pct"/>
            <w:vAlign w:val="center"/>
          </w:tcPr>
          <w:p w14:paraId="7CC97F19" w14:textId="77777777" w:rsidR="00DD24A9" w:rsidRPr="00FB229F" w:rsidRDefault="00DD24A9" w:rsidP="00604558">
            <w:pPr>
              <w:pStyle w:val="TableText0"/>
              <w:rPr>
                <w:rFonts w:ascii="Times" w:hAnsi="Times"/>
              </w:rPr>
            </w:pPr>
            <w:r w:rsidRPr="00FB229F">
              <w:t>Costs</w:t>
            </w:r>
          </w:p>
        </w:tc>
        <w:tc>
          <w:tcPr>
            <w:tcW w:w="1359" w:type="pct"/>
            <w:vAlign w:val="center"/>
          </w:tcPr>
          <w:p w14:paraId="591DE308" w14:textId="70F5DD8C" w:rsidR="00DD24A9" w:rsidRPr="00FB229F" w:rsidRDefault="00DD24A9" w:rsidP="00604558">
            <w:pPr>
              <w:pStyle w:val="TableText0"/>
              <w:jc w:val="center"/>
              <w:rPr>
                <w:rFonts w:ascii="Times" w:hAnsi="Times"/>
              </w:rPr>
            </w:pPr>
            <w:r w:rsidRPr="00FB229F">
              <w:t>$</w:t>
            </w:r>
            <w:r w:rsidR="00816BFB" w:rsidRPr="00816BFB">
              <w:rPr>
                <w:highlight w:val="black"/>
              </w:rPr>
              <w:t>|</w:t>
            </w:r>
          </w:p>
        </w:tc>
        <w:tc>
          <w:tcPr>
            <w:tcW w:w="1274" w:type="pct"/>
            <w:vAlign w:val="center"/>
          </w:tcPr>
          <w:p w14:paraId="6A9B9AF9" w14:textId="77777777" w:rsidR="00DD24A9" w:rsidRPr="00FB229F" w:rsidRDefault="00DD24A9" w:rsidP="00604558">
            <w:pPr>
              <w:pStyle w:val="TableText0"/>
              <w:jc w:val="center"/>
              <w:rPr>
                <w:rFonts w:ascii="Times" w:hAnsi="Times"/>
              </w:rPr>
            </w:pPr>
            <w:r w:rsidRPr="00FB229F">
              <w:t>$169,828</w:t>
            </w:r>
          </w:p>
        </w:tc>
        <w:tc>
          <w:tcPr>
            <w:tcW w:w="838" w:type="pct"/>
            <w:vAlign w:val="center"/>
          </w:tcPr>
          <w:p w14:paraId="6E951FF7" w14:textId="114B504C" w:rsidR="00DD24A9" w:rsidRPr="00FB229F" w:rsidRDefault="00DD24A9" w:rsidP="00604558">
            <w:pPr>
              <w:pStyle w:val="TableText0"/>
              <w:jc w:val="center"/>
              <w:rPr>
                <w:rFonts w:ascii="Times" w:hAnsi="Times"/>
              </w:rPr>
            </w:pPr>
            <w:r w:rsidRPr="00FB229F">
              <w:t>$</w:t>
            </w:r>
            <w:r w:rsidR="00816BFB" w:rsidRPr="00816BFB">
              <w:rPr>
                <w:highlight w:val="black"/>
              </w:rPr>
              <w:t>|</w:t>
            </w:r>
          </w:p>
        </w:tc>
      </w:tr>
      <w:tr w:rsidR="00DD24A9" w:rsidRPr="00FB229F" w14:paraId="550309D9" w14:textId="77777777" w:rsidTr="00604558">
        <w:trPr>
          <w:cantSplit/>
        </w:trPr>
        <w:tc>
          <w:tcPr>
            <w:tcW w:w="1529" w:type="pct"/>
            <w:vAlign w:val="center"/>
          </w:tcPr>
          <w:p w14:paraId="72FA2543" w14:textId="77777777" w:rsidR="00DD24A9" w:rsidRPr="00FB229F" w:rsidRDefault="00DD24A9" w:rsidP="00604558">
            <w:pPr>
              <w:pStyle w:val="TableText0"/>
              <w:rPr>
                <w:rFonts w:ascii="Times" w:hAnsi="Times"/>
              </w:rPr>
            </w:pPr>
            <w:r w:rsidRPr="00FB229F">
              <w:t>LYs</w:t>
            </w:r>
          </w:p>
        </w:tc>
        <w:tc>
          <w:tcPr>
            <w:tcW w:w="1359" w:type="pct"/>
            <w:vAlign w:val="center"/>
          </w:tcPr>
          <w:p w14:paraId="017462E5" w14:textId="77777777" w:rsidR="00DD24A9" w:rsidRPr="00FB229F" w:rsidRDefault="00DD24A9" w:rsidP="00604558">
            <w:pPr>
              <w:pStyle w:val="TableText0"/>
              <w:jc w:val="center"/>
              <w:rPr>
                <w:rFonts w:ascii="Times" w:hAnsi="Times"/>
              </w:rPr>
            </w:pPr>
            <w:r w:rsidRPr="00FB229F">
              <w:t>2.718</w:t>
            </w:r>
          </w:p>
        </w:tc>
        <w:tc>
          <w:tcPr>
            <w:tcW w:w="1274" w:type="pct"/>
            <w:vAlign w:val="center"/>
          </w:tcPr>
          <w:p w14:paraId="69029FDD" w14:textId="77777777" w:rsidR="00DD24A9" w:rsidRPr="00FB229F" w:rsidRDefault="00DD24A9" w:rsidP="00604558">
            <w:pPr>
              <w:pStyle w:val="TableText0"/>
              <w:jc w:val="center"/>
              <w:rPr>
                <w:rFonts w:ascii="Times" w:hAnsi="Times"/>
              </w:rPr>
            </w:pPr>
            <w:r w:rsidRPr="00FB229F">
              <w:t>1.767</w:t>
            </w:r>
          </w:p>
        </w:tc>
        <w:tc>
          <w:tcPr>
            <w:tcW w:w="838" w:type="pct"/>
            <w:vAlign w:val="center"/>
          </w:tcPr>
          <w:p w14:paraId="24BBD5BA" w14:textId="77777777" w:rsidR="00DD24A9" w:rsidRPr="00FB229F" w:rsidRDefault="00DD24A9" w:rsidP="00604558">
            <w:pPr>
              <w:pStyle w:val="TableText0"/>
              <w:jc w:val="center"/>
            </w:pPr>
            <w:r w:rsidRPr="00FB229F">
              <w:t>0.951</w:t>
            </w:r>
          </w:p>
        </w:tc>
      </w:tr>
      <w:tr w:rsidR="00DD24A9" w:rsidRPr="00FB229F" w14:paraId="43888AD7" w14:textId="77777777" w:rsidTr="00604558">
        <w:trPr>
          <w:cantSplit/>
        </w:trPr>
        <w:tc>
          <w:tcPr>
            <w:tcW w:w="4162" w:type="pct"/>
            <w:gridSpan w:val="3"/>
            <w:vAlign w:val="center"/>
          </w:tcPr>
          <w:p w14:paraId="709DBC65" w14:textId="77777777" w:rsidR="00DD24A9" w:rsidRPr="00FB229F" w:rsidRDefault="00DD24A9" w:rsidP="00604558">
            <w:pPr>
              <w:pStyle w:val="TableText0"/>
              <w:rPr>
                <w:rFonts w:ascii="Times" w:hAnsi="Times"/>
              </w:rPr>
            </w:pPr>
            <w:r w:rsidRPr="00FB229F">
              <w:t>Incremental cost/LY gained</w:t>
            </w:r>
          </w:p>
        </w:tc>
        <w:tc>
          <w:tcPr>
            <w:tcW w:w="838" w:type="pct"/>
            <w:vAlign w:val="center"/>
          </w:tcPr>
          <w:p w14:paraId="6E51647A" w14:textId="1441EC0E" w:rsidR="00DD24A9" w:rsidRPr="00816BFB" w:rsidRDefault="00DD24A9" w:rsidP="00604558">
            <w:pPr>
              <w:pStyle w:val="TableText0"/>
              <w:jc w:val="center"/>
              <w:rPr>
                <w:rFonts w:ascii="Times" w:hAnsi="Times"/>
                <w:vertAlign w:val="superscript"/>
              </w:rPr>
            </w:pPr>
            <w:r w:rsidRPr="00FB229F">
              <w:t>$</w:t>
            </w:r>
            <w:r w:rsidR="00816BFB" w:rsidRPr="00816BFB">
              <w:rPr>
                <w:highlight w:val="black"/>
              </w:rPr>
              <w:t>|</w:t>
            </w:r>
            <w:r w:rsidR="002B1C05">
              <w:rPr>
                <w:vertAlign w:val="superscript"/>
              </w:rPr>
              <w:t>1</w:t>
            </w:r>
          </w:p>
        </w:tc>
      </w:tr>
      <w:tr w:rsidR="00DD24A9" w:rsidRPr="00FB229F" w14:paraId="74B9A1C2" w14:textId="77777777" w:rsidTr="00604558">
        <w:trPr>
          <w:cantSplit/>
        </w:trPr>
        <w:tc>
          <w:tcPr>
            <w:tcW w:w="5000" w:type="pct"/>
            <w:gridSpan w:val="4"/>
            <w:vAlign w:val="center"/>
          </w:tcPr>
          <w:p w14:paraId="684330F2" w14:textId="77777777" w:rsidR="00DD24A9" w:rsidRPr="00166045" w:rsidRDefault="00DD24A9" w:rsidP="00604558">
            <w:pPr>
              <w:pStyle w:val="In-tableHeading"/>
              <w:rPr>
                <w:lang w:val="en-AU"/>
              </w:rPr>
            </w:pPr>
            <w:r w:rsidRPr="00166045">
              <w:rPr>
                <w:lang w:val="en-AU"/>
              </w:rPr>
              <w:t>Step 1: Time horizon extrapolated to 20 years</w:t>
            </w:r>
          </w:p>
        </w:tc>
      </w:tr>
      <w:tr w:rsidR="00DD24A9" w:rsidRPr="00FB229F" w14:paraId="116004E8" w14:textId="77777777" w:rsidTr="00604558">
        <w:trPr>
          <w:cantSplit/>
        </w:trPr>
        <w:tc>
          <w:tcPr>
            <w:tcW w:w="1529" w:type="pct"/>
            <w:vAlign w:val="center"/>
          </w:tcPr>
          <w:p w14:paraId="107F7442" w14:textId="77777777" w:rsidR="00DD24A9" w:rsidRPr="00FB229F" w:rsidRDefault="00DD24A9" w:rsidP="00604558">
            <w:pPr>
              <w:pStyle w:val="TableText0"/>
              <w:rPr>
                <w:rFonts w:ascii="Times" w:hAnsi="Times"/>
              </w:rPr>
            </w:pPr>
            <w:r w:rsidRPr="00FB229F">
              <w:t>Costs</w:t>
            </w:r>
          </w:p>
        </w:tc>
        <w:tc>
          <w:tcPr>
            <w:tcW w:w="1359" w:type="pct"/>
            <w:vAlign w:val="center"/>
          </w:tcPr>
          <w:p w14:paraId="049BC74C" w14:textId="531F6B12" w:rsidR="00DD24A9" w:rsidRPr="00FB229F" w:rsidRDefault="00DD24A9" w:rsidP="00604558">
            <w:pPr>
              <w:pStyle w:val="TableText0"/>
              <w:jc w:val="center"/>
              <w:rPr>
                <w:rFonts w:ascii="Times" w:hAnsi="Times"/>
              </w:rPr>
            </w:pPr>
            <w:r w:rsidRPr="00FB229F">
              <w:t>$</w:t>
            </w:r>
            <w:r w:rsidR="00816BFB" w:rsidRPr="00816BFB">
              <w:rPr>
                <w:highlight w:val="black"/>
              </w:rPr>
              <w:t>|</w:t>
            </w:r>
          </w:p>
        </w:tc>
        <w:tc>
          <w:tcPr>
            <w:tcW w:w="1274" w:type="pct"/>
            <w:vAlign w:val="center"/>
          </w:tcPr>
          <w:p w14:paraId="67394E60" w14:textId="77777777" w:rsidR="00DD24A9" w:rsidRPr="00FB229F" w:rsidRDefault="00DD24A9" w:rsidP="00604558">
            <w:pPr>
              <w:pStyle w:val="TableText0"/>
              <w:jc w:val="center"/>
              <w:rPr>
                <w:rFonts w:ascii="Times" w:hAnsi="Times"/>
              </w:rPr>
            </w:pPr>
            <w:r w:rsidRPr="00FB229F">
              <w:t>$177,374</w:t>
            </w:r>
          </w:p>
        </w:tc>
        <w:tc>
          <w:tcPr>
            <w:tcW w:w="838" w:type="pct"/>
            <w:vAlign w:val="center"/>
          </w:tcPr>
          <w:p w14:paraId="1C80B9AE" w14:textId="37B8BE96" w:rsidR="00DD24A9" w:rsidRPr="00FB229F" w:rsidRDefault="00DD24A9" w:rsidP="00604558">
            <w:pPr>
              <w:pStyle w:val="TableText0"/>
              <w:jc w:val="center"/>
              <w:rPr>
                <w:rFonts w:ascii="Times" w:hAnsi="Times"/>
              </w:rPr>
            </w:pPr>
            <w:r w:rsidRPr="00FB229F">
              <w:t>$</w:t>
            </w:r>
            <w:r w:rsidR="00816BFB" w:rsidRPr="00816BFB">
              <w:rPr>
                <w:highlight w:val="black"/>
              </w:rPr>
              <w:t>|</w:t>
            </w:r>
          </w:p>
        </w:tc>
      </w:tr>
      <w:tr w:rsidR="00DD24A9" w:rsidRPr="00FB229F" w14:paraId="7ACF5C95" w14:textId="77777777" w:rsidTr="00604558">
        <w:trPr>
          <w:cantSplit/>
        </w:trPr>
        <w:tc>
          <w:tcPr>
            <w:tcW w:w="1529" w:type="pct"/>
            <w:vAlign w:val="center"/>
          </w:tcPr>
          <w:p w14:paraId="2BA8F0B4" w14:textId="77777777" w:rsidR="00DD24A9" w:rsidRPr="00FB229F" w:rsidRDefault="00DD24A9" w:rsidP="00604558">
            <w:pPr>
              <w:pStyle w:val="TableText0"/>
              <w:rPr>
                <w:rFonts w:ascii="Times" w:hAnsi="Times"/>
              </w:rPr>
            </w:pPr>
            <w:r w:rsidRPr="00FB229F">
              <w:t>LYs</w:t>
            </w:r>
          </w:p>
        </w:tc>
        <w:tc>
          <w:tcPr>
            <w:tcW w:w="1359" w:type="pct"/>
            <w:vAlign w:val="center"/>
          </w:tcPr>
          <w:p w14:paraId="0B26FA9E" w14:textId="77777777" w:rsidR="00DD24A9" w:rsidRPr="00FB229F" w:rsidRDefault="00DD24A9" w:rsidP="00604558">
            <w:pPr>
              <w:pStyle w:val="TableText0"/>
              <w:jc w:val="center"/>
              <w:rPr>
                <w:rFonts w:ascii="Times" w:hAnsi="Times"/>
              </w:rPr>
            </w:pPr>
            <w:r w:rsidRPr="00FB229F">
              <w:t>5.428</w:t>
            </w:r>
          </w:p>
        </w:tc>
        <w:tc>
          <w:tcPr>
            <w:tcW w:w="1274" w:type="pct"/>
            <w:vAlign w:val="center"/>
          </w:tcPr>
          <w:p w14:paraId="71692EFA" w14:textId="77777777" w:rsidR="00DD24A9" w:rsidRPr="00FB229F" w:rsidRDefault="00DD24A9" w:rsidP="00604558">
            <w:pPr>
              <w:pStyle w:val="TableText0"/>
              <w:jc w:val="center"/>
              <w:rPr>
                <w:rFonts w:ascii="Times" w:hAnsi="Times"/>
              </w:rPr>
            </w:pPr>
            <w:r w:rsidRPr="00FB229F">
              <w:t>2.101</w:t>
            </w:r>
          </w:p>
        </w:tc>
        <w:tc>
          <w:tcPr>
            <w:tcW w:w="838" w:type="pct"/>
            <w:vAlign w:val="center"/>
          </w:tcPr>
          <w:p w14:paraId="6B3C13C5" w14:textId="77777777" w:rsidR="00DD24A9" w:rsidRPr="00FB229F" w:rsidRDefault="00DD24A9" w:rsidP="00604558">
            <w:pPr>
              <w:pStyle w:val="TableText0"/>
              <w:jc w:val="center"/>
            </w:pPr>
            <w:r w:rsidRPr="00FB229F">
              <w:t>3.327</w:t>
            </w:r>
          </w:p>
        </w:tc>
      </w:tr>
      <w:tr w:rsidR="00DD24A9" w:rsidRPr="00FB229F" w14:paraId="5178E16A" w14:textId="77777777" w:rsidTr="00604558">
        <w:trPr>
          <w:cantSplit/>
        </w:trPr>
        <w:tc>
          <w:tcPr>
            <w:tcW w:w="4162" w:type="pct"/>
            <w:gridSpan w:val="3"/>
            <w:vAlign w:val="center"/>
          </w:tcPr>
          <w:p w14:paraId="001FAF40" w14:textId="77777777" w:rsidR="00DD24A9" w:rsidRPr="00FB229F" w:rsidRDefault="00DD24A9" w:rsidP="00604558">
            <w:pPr>
              <w:pStyle w:val="TableText0"/>
              <w:rPr>
                <w:rFonts w:ascii="Times" w:hAnsi="Times"/>
              </w:rPr>
            </w:pPr>
            <w:r w:rsidRPr="00FB229F">
              <w:t>Incremental cost/LY gained</w:t>
            </w:r>
          </w:p>
        </w:tc>
        <w:tc>
          <w:tcPr>
            <w:tcW w:w="838" w:type="pct"/>
            <w:vAlign w:val="center"/>
          </w:tcPr>
          <w:p w14:paraId="5A92EC1C" w14:textId="632C0CF6" w:rsidR="00DD24A9" w:rsidRPr="00816BFB" w:rsidRDefault="00DD24A9" w:rsidP="00604558">
            <w:pPr>
              <w:pStyle w:val="TableText0"/>
              <w:jc w:val="center"/>
              <w:rPr>
                <w:rFonts w:ascii="Times" w:hAnsi="Times"/>
                <w:vertAlign w:val="superscript"/>
              </w:rPr>
            </w:pPr>
            <w:r w:rsidRPr="00FB229F">
              <w:t>$</w:t>
            </w:r>
            <w:r w:rsidR="00816BFB" w:rsidRPr="00816BFB">
              <w:rPr>
                <w:highlight w:val="black"/>
              </w:rPr>
              <w:t>|</w:t>
            </w:r>
            <w:r w:rsidR="00D06A6A" w:rsidRPr="005F773C">
              <w:rPr>
                <w:vertAlign w:val="superscript"/>
              </w:rPr>
              <w:t>2</w:t>
            </w:r>
          </w:p>
        </w:tc>
      </w:tr>
      <w:tr w:rsidR="00DD24A9" w:rsidRPr="00FB229F" w14:paraId="4BF6EE55" w14:textId="77777777" w:rsidTr="00604558">
        <w:trPr>
          <w:cantSplit/>
        </w:trPr>
        <w:tc>
          <w:tcPr>
            <w:tcW w:w="5000" w:type="pct"/>
            <w:gridSpan w:val="4"/>
            <w:vAlign w:val="center"/>
          </w:tcPr>
          <w:p w14:paraId="256C6F4F" w14:textId="77777777" w:rsidR="00DD24A9" w:rsidRPr="00166045" w:rsidRDefault="00DD24A9" w:rsidP="00604558">
            <w:pPr>
              <w:pStyle w:val="In-tableHeading"/>
              <w:rPr>
                <w:lang w:val="en-AU"/>
              </w:rPr>
            </w:pPr>
            <w:r w:rsidRPr="00166045">
              <w:rPr>
                <w:lang w:val="en-AU"/>
              </w:rPr>
              <w:t>Step 2: Application of 5% per annum discounting rate</w:t>
            </w:r>
          </w:p>
        </w:tc>
      </w:tr>
      <w:tr w:rsidR="00DD24A9" w:rsidRPr="00FB229F" w14:paraId="00639D3E" w14:textId="77777777" w:rsidTr="00604558">
        <w:trPr>
          <w:cantSplit/>
        </w:trPr>
        <w:tc>
          <w:tcPr>
            <w:tcW w:w="1529" w:type="pct"/>
            <w:vAlign w:val="center"/>
          </w:tcPr>
          <w:p w14:paraId="5B221B67" w14:textId="77777777" w:rsidR="00DD24A9" w:rsidRPr="00FB229F" w:rsidRDefault="00DD24A9" w:rsidP="00604558">
            <w:pPr>
              <w:pStyle w:val="TableText0"/>
              <w:rPr>
                <w:rFonts w:ascii="Times" w:hAnsi="Times"/>
              </w:rPr>
            </w:pPr>
            <w:r w:rsidRPr="00FB229F">
              <w:t>Costs</w:t>
            </w:r>
          </w:p>
        </w:tc>
        <w:tc>
          <w:tcPr>
            <w:tcW w:w="1359" w:type="pct"/>
            <w:vAlign w:val="center"/>
          </w:tcPr>
          <w:p w14:paraId="4682272B" w14:textId="093EB6D9" w:rsidR="00DD24A9" w:rsidRPr="00FB229F" w:rsidRDefault="00DD24A9" w:rsidP="00604558">
            <w:pPr>
              <w:pStyle w:val="TableText0"/>
              <w:jc w:val="center"/>
              <w:rPr>
                <w:rFonts w:ascii="Times" w:hAnsi="Times"/>
              </w:rPr>
            </w:pPr>
            <w:r w:rsidRPr="00FB229F">
              <w:t>$</w:t>
            </w:r>
            <w:r w:rsidR="00816BFB" w:rsidRPr="00816BFB">
              <w:rPr>
                <w:highlight w:val="black"/>
              </w:rPr>
              <w:t>|</w:t>
            </w:r>
          </w:p>
        </w:tc>
        <w:tc>
          <w:tcPr>
            <w:tcW w:w="1274" w:type="pct"/>
            <w:vAlign w:val="center"/>
          </w:tcPr>
          <w:p w14:paraId="0A2573EB" w14:textId="77777777" w:rsidR="00DD24A9" w:rsidRPr="00FB229F" w:rsidRDefault="00DD24A9" w:rsidP="00604558">
            <w:pPr>
              <w:pStyle w:val="TableText0"/>
              <w:jc w:val="center"/>
              <w:rPr>
                <w:rFonts w:ascii="Times" w:hAnsi="Times"/>
              </w:rPr>
            </w:pPr>
            <w:r w:rsidRPr="00FB229F">
              <w:t>$169,401</w:t>
            </w:r>
          </w:p>
        </w:tc>
        <w:tc>
          <w:tcPr>
            <w:tcW w:w="838" w:type="pct"/>
            <w:vAlign w:val="center"/>
          </w:tcPr>
          <w:p w14:paraId="59DCA2EF" w14:textId="518F6856" w:rsidR="00DD24A9" w:rsidRPr="00FB229F" w:rsidRDefault="00DD24A9" w:rsidP="00604558">
            <w:pPr>
              <w:pStyle w:val="TableText0"/>
              <w:jc w:val="center"/>
              <w:rPr>
                <w:rFonts w:ascii="Times" w:hAnsi="Times"/>
              </w:rPr>
            </w:pPr>
            <w:r w:rsidRPr="00FB229F">
              <w:t>$</w:t>
            </w:r>
            <w:r w:rsidR="00816BFB" w:rsidRPr="00816BFB">
              <w:rPr>
                <w:highlight w:val="black"/>
              </w:rPr>
              <w:t>|</w:t>
            </w:r>
          </w:p>
        </w:tc>
      </w:tr>
      <w:tr w:rsidR="00DD24A9" w:rsidRPr="00FB229F" w14:paraId="0E835175" w14:textId="77777777" w:rsidTr="00604558">
        <w:trPr>
          <w:cantSplit/>
        </w:trPr>
        <w:tc>
          <w:tcPr>
            <w:tcW w:w="1529" w:type="pct"/>
            <w:vAlign w:val="center"/>
          </w:tcPr>
          <w:p w14:paraId="08941504" w14:textId="77777777" w:rsidR="00DD24A9" w:rsidRPr="00FB229F" w:rsidRDefault="00DD24A9" w:rsidP="00604558">
            <w:pPr>
              <w:pStyle w:val="TableText0"/>
              <w:rPr>
                <w:rFonts w:ascii="Times" w:hAnsi="Times"/>
              </w:rPr>
            </w:pPr>
            <w:r w:rsidRPr="00FB229F">
              <w:t>LYs</w:t>
            </w:r>
          </w:p>
        </w:tc>
        <w:tc>
          <w:tcPr>
            <w:tcW w:w="1359" w:type="pct"/>
            <w:vAlign w:val="center"/>
          </w:tcPr>
          <w:p w14:paraId="33F6E47E" w14:textId="77777777" w:rsidR="00DD24A9" w:rsidRPr="00FB229F" w:rsidRDefault="00DD24A9" w:rsidP="00604558">
            <w:pPr>
              <w:pStyle w:val="TableText0"/>
              <w:jc w:val="center"/>
              <w:rPr>
                <w:rFonts w:ascii="Times" w:hAnsi="Times"/>
              </w:rPr>
            </w:pPr>
            <w:r w:rsidRPr="00FB229F">
              <w:t>4.401</w:t>
            </w:r>
          </w:p>
        </w:tc>
        <w:tc>
          <w:tcPr>
            <w:tcW w:w="1274" w:type="pct"/>
            <w:vAlign w:val="center"/>
          </w:tcPr>
          <w:p w14:paraId="21A873CF" w14:textId="77777777" w:rsidR="00DD24A9" w:rsidRPr="00FB229F" w:rsidRDefault="00DD24A9" w:rsidP="00604558">
            <w:pPr>
              <w:pStyle w:val="TableText0"/>
              <w:jc w:val="center"/>
              <w:rPr>
                <w:rFonts w:ascii="Times" w:hAnsi="Times"/>
              </w:rPr>
            </w:pPr>
            <w:r w:rsidRPr="00FB229F">
              <w:t>1.923</w:t>
            </w:r>
          </w:p>
        </w:tc>
        <w:tc>
          <w:tcPr>
            <w:tcW w:w="838" w:type="pct"/>
            <w:vAlign w:val="center"/>
          </w:tcPr>
          <w:p w14:paraId="566F7FB6" w14:textId="77777777" w:rsidR="00DD24A9" w:rsidRPr="00FB229F" w:rsidRDefault="00DD24A9" w:rsidP="00604558">
            <w:pPr>
              <w:pStyle w:val="TableText0"/>
              <w:jc w:val="center"/>
            </w:pPr>
            <w:r w:rsidRPr="00FB229F">
              <w:t>2.478</w:t>
            </w:r>
          </w:p>
        </w:tc>
      </w:tr>
      <w:tr w:rsidR="00DD24A9" w:rsidRPr="00FB229F" w14:paraId="4C4DC691" w14:textId="77777777" w:rsidTr="00604558">
        <w:trPr>
          <w:cantSplit/>
        </w:trPr>
        <w:tc>
          <w:tcPr>
            <w:tcW w:w="4162" w:type="pct"/>
            <w:gridSpan w:val="3"/>
            <w:vAlign w:val="center"/>
          </w:tcPr>
          <w:p w14:paraId="5ED8B9B0" w14:textId="77777777" w:rsidR="00DD24A9" w:rsidRPr="00FB229F" w:rsidRDefault="00DD24A9" w:rsidP="00604558">
            <w:pPr>
              <w:pStyle w:val="TableText0"/>
              <w:rPr>
                <w:rFonts w:ascii="Times" w:hAnsi="Times"/>
              </w:rPr>
            </w:pPr>
            <w:r w:rsidRPr="00FB229F">
              <w:t>Incremental cost/LY gained</w:t>
            </w:r>
          </w:p>
        </w:tc>
        <w:tc>
          <w:tcPr>
            <w:tcW w:w="838" w:type="pct"/>
            <w:vAlign w:val="center"/>
          </w:tcPr>
          <w:p w14:paraId="3B587A04" w14:textId="6F6C5289" w:rsidR="00DD24A9" w:rsidRPr="00D06A6A" w:rsidRDefault="00DD24A9" w:rsidP="00604558">
            <w:pPr>
              <w:pStyle w:val="TableText0"/>
              <w:jc w:val="center"/>
              <w:rPr>
                <w:rFonts w:ascii="Times" w:hAnsi="Times"/>
              </w:rPr>
            </w:pPr>
            <w:r w:rsidRPr="00FB229F">
              <w:t>$</w:t>
            </w:r>
            <w:r w:rsidR="00816BFB" w:rsidRPr="00816BFB">
              <w:rPr>
                <w:highlight w:val="black"/>
              </w:rPr>
              <w:t>|</w:t>
            </w:r>
            <w:r w:rsidR="00D06A6A" w:rsidRPr="00816BFB">
              <w:rPr>
                <w:vertAlign w:val="superscript"/>
              </w:rPr>
              <w:t>2</w:t>
            </w:r>
          </w:p>
        </w:tc>
      </w:tr>
      <w:tr w:rsidR="00DD24A9" w:rsidRPr="00FB229F" w14:paraId="262EDBE7" w14:textId="77777777" w:rsidTr="00604558">
        <w:trPr>
          <w:cantSplit/>
        </w:trPr>
        <w:tc>
          <w:tcPr>
            <w:tcW w:w="5000" w:type="pct"/>
            <w:gridSpan w:val="4"/>
            <w:vAlign w:val="center"/>
          </w:tcPr>
          <w:p w14:paraId="5EC77DB8" w14:textId="77777777" w:rsidR="00DD24A9" w:rsidRPr="00166045" w:rsidRDefault="00DD24A9" w:rsidP="00604558">
            <w:pPr>
              <w:pStyle w:val="In-tableHeading"/>
              <w:rPr>
                <w:lang w:val="en-AU"/>
              </w:rPr>
            </w:pPr>
            <w:r w:rsidRPr="00166045">
              <w:rPr>
                <w:lang w:val="en-AU"/>
              </w:rPr>
              <w:t>Step 3: Incorporation of utility values</w:t>
            </w:r>
          </w:p>
        </w:tc>
      </w:tr>
      <w:tr w:rsidR="00DD24A9" w:rsidRPr="00FB229F" w14:paraId="40C0DD1F" w14:textId="77777777" w:rsidTr="00604558">
        <w:trPr>
          <w:cantSplit/>
        </w:trPr>
        <w:tc>
          <w:tcPr>
            <w:tcW w:w="1529" w:type="pct"/>
            <w:vAlign w:val="center"/>
          </w:tcPr>
          <w:p w14:paraId="6EB70182" w14:textId="77777777" w:rsidR="00DD24A9" w:rsidRPr="00FB229F" w:rsidRDefault="00DD24A9" w:rsidP="00604558">
            <w:pPr>
              <w:pStyle w:val="TableText0"/>
              <w:rPr>
                <w:rFonts w:ascii="Times" w:hAnsi="Times"/>
              </w:rPr>
            </w:pPr>
            <w:r w:rsidRPr="00FB229F">
              <w:t>Costs</w:t>
            </w:r>
          </w:p>
        </w:tc>
        <w:tc>
          <w:tcPr>
            <w:tcW w:w="1359" w:type="pct"/>
            <w:vAlign w:val="center"/>
          </w:tcPr>
          <w:p w14:paraId="7DC1DB33" w14:textId="4143BD12" w:rsidR="00DD24A9" w:rsidRPr="00FB229F" w:rsidRDefault="00DD24A9" w:rsidP="00604558">
            <w:pPr>
              <w:pStyle w:val="TableText0"/>
              <w:jc w:val="center"/>
              <w:rPr>
                <w:rFonts w:ascii="Times" w:hAnsi="Times"/>
              </w:rPr>
            </w:pPr>
            <w:r w:rsidRPr="00FB229F">
              <w:t>$</w:t>
            </w:r>
            <w:r w:rsidR="00816BFB" w:rsidRPr="00816BFB">
              <w:rPr>
                <w:highlight w:val="black"/>
              </w:rPr>
              <w:t>|</w:t>
            </w:r>
          </w:p>
        </w:tc>
        <w:tc>
          <w:tcPr>
            <w:tcW w:w="1274" w:type="pct"/>
            <w:vAlign w:val="center"/>
          </w:tcPr>
          <w:p w14:paraId="110320DA" w14:textId="77777777" w:rsidR="00DD24A9" w:rsidRPr="00FB229F" w:rsidRDefault="00DD24A9" w:rsidP="00604558">
            <w:pPr>
              <w:pStyle w:val="TableText0"/>
              <w:jc w:val="center"/>
              <w:rPr>
                <w:rFonts w:ascii="Times" w:hAnsi="Times"/>
              </w:rPr>
            </w:pPr>
            <w:r w:rsidRPr="00FB229F">
              <w:t>$169,401</w:t>
            </w:r>
          </w:p>
        </w:tc>
        <w:tc>
          <w:tcPr>
            <w:tcW w:w="838" w:type="pct"/>
            <w:vAlign w:val="center"/>
          </w:tcPr>
          <w:p w14:paraId="400FFF45" w14:textId="3779C262" w:rsidR="00DD24A9" w:rsidRPr="00FB229F" w:rsidRDefault="00DD24A9" w:rsidP="00604558">
            <w:pPr>
              <w:pStyle w:val="TableText0"/>
              <w:jc w:val="center"/>
              <w:rPr>
                <w:rFonts w:ascii="Times" w:hAnsi="Times"/>
              </w:rPr>
            </w:pPr>
            <w:r w:rsidRPr="00FB229F">
              <w:t>$</w:t>
            </w:r>
            <w:r w:rsidR="00816BFB" w:rsidRPr="00816BFB">
              <w:rPr>
                <w:highlight w:val="black"/>
              </w:rPr>
              <w:t>|</w:t>
            </w:r>
          </w:p>
        </w:tc>
      </w:tr>
      <w:tr w:rsidR="00DD24A9" w:rsidRPr="00FB229F" w14:paraId="2450A848" w14:textId="77777777" w:rsidTr="00604558">
        <w:trPr>
          <w:cantSplit/>
        </w:trPr>
        <w:tc>
          <w:tcPr>
            <w:tcW w:w="1529" w:type="pct"/>
            <w:vAlign w:val="center"/>
          </w:tcPr>
          <w:p w14:paraId="41EFCD0C" w14:textId="77777777" w:rsidR="00DD24A9" w:rsidRPr="00FB229F" w:rsidRDefault="00DD24A9" w:rsidP="00604558">
            <w:pPr>
              <w:pStyle w:val="TableText0"/>
              <w:rPr>
                <w:rFonts w:ascii="Times" w:hAnsi="Times"/>
              </w:rPr>
            </w:pPr>
            <w:r w:rsidRPr="00FB229F">
              <w:t>QALYs</w:t>
            </w:r>
          </w:p>
        </w:tc>
        <w:tc>
          <w:tcPr>
            <w:tcW w:w="1359" w:type="pct"/>
            <w:vAlign w:val="center"/>
          </w:tcPr>
          <w:p w14:paraId="279A1695" w14:textId="77777777" w:rsidR="00DD24A9" w:rsidRPr="00FB229F" w:rsidRDefault="00DD24A9" w:rsidP="00604558">
            <w:pPr>
              <w:pStyle w:val="TableText0"/>
              <w:jc w:val="center"/>
              <w:rPr>
                <w:rFonts w:ascii="Times" w:hAnsi="Times"/>
              </w:rPr>
            </w:pPr>
            <w:r w:rsidRPr="00FB229F">
              <w:t>3.289</w:t>
            </w:r>
          </w:p>
        </w:tc>
        <w:tc>
          <w:tcPr>
            <w:tcW w:w="1274" w:type="pct"/>
            <w:vAlign w:val="center"/>
          </w:tcPr>
          <w:p w14:paraId="5D612812" w14:textId="77777777" w:rsidR="00DD24A9" w:rsidRPr="00FB229F" w:rsidRDefault="00DD24A9" w:rsidP="00604558">
            <w:pPr>
              <w:pStyle w:val="TableText0"/>
              <w:jc w:val="center"/>
              <w:rPr>
                <w:rFonts w:ascii="Times" w:hAnsi="Times"/>
              </w:rPr>
            </w:pPr>
            <w:r w:rsidRPr="00FB229F">
              <w:t>1.437</w:t>
            </w:r>
          </w:p>
        </w:tc>
        <w:tc>
          <w:tcPr>
            <w:tcW w:w="838" w:type="pct"/>
            <w:vAlign w:val="center"/>
          </w:tcPr>
          <w:p w14:paraId="734B217D" w14:textId="77777777" w:rsidR="00DD24A9" w:rsidRPr="00FB229F" w:rsidRDefault="00DD24A9" w:rsidP="00604558">
            <w:pPr>
              <w:pStyle w:val="TableText0"/>
              <w:jc w:val="center"/>
            </w:pPr>
            <w:r w:rsidRPr="00FB229F">
              <w:t>1.852</w:t>
            </w:r>
          </w:p>
        </w:tc>
      </w:tr>
      <w:tr w:rsidR="00DD24A9" w:rsidRPr="00FB229F" w14:paraId="40AC9C5B" w14:textId="77777777" w:rsidTr="00604558">
        <w:trPr>
          <w:cantSplit/>
        </w:trPr>
        <w:tc>
          <w:tcPr>
            <w:tcW w:w="4162" w:type="pct"/>
            <w:gridSpan w:val="3"/>
            <w:vAlign w:val="center"/>
          </w:tcPr>
          <w:p w14:paraId="45548CFA" w14:textId="77777777" w:rsidR="00DD24A9" w:rsidRPr="00FB229F" w:rsidRDefault="00DD24A9" w:rsidP="00604558">
            <w:pPr>
              <w:pStyle w:val="TableText0"/>
              <w:rPr>
                <w:rFonts w:ascii="Times" w:hAnsi="Times"/>
                <w:b/>
              </w:rPr>
            </w:pPr>
            <w:r w:rsidRPr="00FB229F">
              <w:rPr>
                <w:b/>
              </w:rPr>
              <w:t>Incremental cost/QALY gained</w:t>
            </w:r>
          </w:p>
        </w:tc>
        <w:tc>
          <w:tcPr>
            <w:tcW w:w="838" w:type="pct"/>
            <w:vAlign w:val="center"/>
          </w:tcPr>
          <w:p w14:paraId="57B11CD9" w14:textId="7968E77A" w:rsidR="00DD24A9" w:rsidRPr="00816BFB" w:rsidRDefault="00DD24A9" w:rsidP="00604558">
            <w:pPr>
              <w:pStyle w:val="TableText0"/>
              <w:jc w:val="center"/>
              <w:rPr>
                <w:rFonts w:ascii="Times" w:hAnsi="Times"/>
                <w:b/>
                <w:vertAlign w:val="superscript"/>
              </w:rPr>
            </w:pPr>
            <w:r w:rsidRPr="00FB229F">
              <w:rPr>
                <w:b/>
              </w:rPr>
              <w:t>$</w:t>
            </w:r>
            <w:r w:rsidR="00816BFB" w:rsidRPr="00816BFB">
              <w:rPr>
                <w:b/>
                <w:highlight w:val="black"/>
              </w:rPr>
              <w:t>|</w:t>
            </w:r>
            <w:r w:rsidR="005F773C">
              <w:rPr>
                <w:b/>
                <w:vertAlign w:val="superscript"/>
              </w:rPr>
              <w:t>3</w:t>
            </w:r>
          </w:p>
        </w:tc>
      </w:tr>
    </w:tbl>
    <w:p w14:paraId="38F71BA3" w14:textId="77777777" w:rsidR="00DD24A9" w:rsidRPr="00FB229F" w:rsidRDefault="00DD24A9" w:rsidP="00DD24A9">
      <w:pPr>
        <w:pStyle w:val="FooterTableFigure"/>
      </w:pPr>
      <w:r w:rsidRPr="00FB229F">
        <w:t>Source: Table 3-35, p372 of the submission.</w:t>
      </w:r>
    </w:p>
    <w:p w14:paraId="7AEC081D" w14:textId="77777777" w:rsidR="00DD24A9" w:rsidRPr="00FB229F" w:rsidRDefault="00DD24A9" w:rsidP="00DD24A9">
      <w:pPr>
        <w:pStyle w:val="FooterTableFigure"/>
      </w:pPr>
      <w:r w:rsidRPr="00FB229F">
        <w:t>LYs = life years; PC = pemetrexed + platinum chemotherapy; PSM = propensity score matching; NMA = network meta-analysis; QALYs = quality-adjusted life years</w:t>
      </w:r>
    </w:p>
    <w:p w14:paraId="4C0040D0" w14:textId="76649037" w:rsidR="00DD24A9" w:rsidRDefault="00DD24A9" w:rsidP="00816BFB">
      <w:pPr>
        <w:pStyle w:val="FooterTableFigure"/>
        <w:spacing w:after="0"/>
      </w:pPr>
      <w:r w:rsidRPr="00FB229F">
        <w:rPr>
          <w:vertAlign w:val="superscript"/>
        </w:rPr>
        <w:t xml:space="preserve">a </w:t>
      </w:r>
      <w:r w:rsidRPr="00FB229F">
        <w:t>42 months was the latest follow-up in the selpercatinib trial LIBRETTO-001</w:t>
      </w:r>
    </w:p>
    <w:p w14:paraId="7A8F581A" w14:textId="77777777" w:rsidR="005F773C" w:rsidRPr="009A6D58" w:rsidRDefault="005F773C" w:rsidP="005F773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833CBD0" w14:textId="3E21FFCD" w:rsidR="005F773C" w:rsidRPr="009A6D58" w:rsidRDefault="005F773C" w:rsidP="005F773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F773C">
        <w:rPr>
          <w:rFonts w:ascii="Arial Narrow" w:hAnsi="Arial Narrow"/>
          <w:i/>
          <w:sz w:val="18"/>
          <w:szCs w:val="18"/>
        </w:rPr>
        <w:t>$75,000 to &lt; $95,000</w:t>
      </w:r>
    </w:p>
    <w:p w14:paraId="261ED9D5" w14:textId="50CAFE37" w:rsidR="005F773C" w:rsidRPr="009A6D58" w:rsidRDefault="005F773C" w:rsidP="005F773C">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F773C">
        <w:rPr>
          <w:rFonts w:ascii="Arial Narrow" w:hAnsi="Arial Narrow"/>
          <w:i/>
          <w:sz w:val="18"/>
          <w:szCs w:val="18"/>
        </w:rPr>
        <w:t>$</w:t>
      </w:r>
      <w:r>
        <w:rPr>
          <w:rFonts w:ascii="Arial Narrow" w:hAnsi="Arial Narrow"/>
          <w:i/>
          <w:sz w:val="18"/>
          <w:szCs w:val="18"/>
        </w:rPr>
        <w:t>4</w:t>
      </w:r>
      <w:r w:rsidRPr="005F773C">
        <w:rPr>
          <w:rFonts w:ascii="Arial Narrow" w:hAnsi="Arial Narrow"/>
          <w:i/>
          <w:sz w:val="18"/>
          <w:szCs w:val="18"/>
        </w:rPr>
        <w:t>5,000 to &lt; $</w:t>
      </w:r>
      <w:r>
        <w:rPr>
          <w:rFonts w:ascii="Arial Narrow" w:hAnsi="Arial Narrow"/>
          <w:i/>
          <w:sz w:val="18"/>
          <w:szCs w:val="18"/>
        </w:rPr>
        <w:t>5</w:t>
      </w:r>
      <w:r w:rsidRPr="005F773C">
        <w:rPr>
          <w:rFonts w:ascii="Arial Narrow" w:hAnsi="Arial Narrow"/>
          <w:i/>
          <w:sz w:val="18"/>
          <w:szCs w:val="18"/>
        </w:rPr>
        <w:t>5,000</w:t>
      </w:r>
    </w:p>
    <w:p w14:paraId="0897901B" w14:textId="20998E29" w:rsidR="005F773C" w:rsidRDefault="005F773C" w:rsidP="00816BFB">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F773C">
        <w:rPr>
          <w:rFonts w:ascii="Arial Narrow" w:hAnsi="Arial Narrow"/>
          <w:i/>
          <w:sz w:val="18"/>
          <w:szCs w:val="18"/>
        </w:rPr>
        <w:t>$</w:t>
      </w:r>
      <w:r>
        <w:rPr>
          <w:rFonts w:ascii="Arial Narrow" w:hAnsi="Arial Narrow"/>
          <w:i/>
          <w:sz w:val="18"/>
          <w:szCs w:val="18"/>
        </w:rPr>
        <w:t>5</w:t>
      </w:r>
      <w:r w:rsidRPr="005F773C">
        <w:rPr>
          <w:rFonts w:ascii="Arial Narrow" w:hAnsi="Arial Narrow"/>
          <w:i/>
          <w:sz w:val="18"/>
          <w:szCs w:val="18"/>
        </w:rPr>
        <w:t>5,000 to &lt; $</w:t>
      </w:r>
      <w:r>
        <w:rPr>
          <w:rFonts w:ascii="Arial Narrow" w:hAnsi="Arial Narrow"/>
          <w:i/>
          <w:sz w:val="18"/>
          <w:szCs w:val="18"/>
        </w:rPr>
        <w:t>7</w:t>
      </w:r>
      <w:r w:rsidRPr="005F773C">
        <w:rPr>
          <w:rFonts w:ascii="Arial Narrow" w:hAnsi="Arial Narrow"/>
          <w:i/>
          <w:sz w:val="18"/>
          <w:szCs w:val="18"/>
        </w:rPr>
        <w:t>5,000</w:t>
      </w:r>
    </w:p>
    <w:p w14:paraId="1E1C5429" w14:textId="445300E5" w:rsidR="00DD24A9" w:rsidRPr="00FB229F" w:rsidRDefault="00DD24A9" w:rsidP="007F03AD">
      <w:pPr>
        <w:pStyle w:val="3-BodyText"/>
        <w:ind w:left="709" w:hanging="709"/>
        <w:rPr>
          <w:iCs/>
        </w:rPr>
      </w:pPr>
      <w:bookmarkStart w:id="85" w:name="_Ref132630600"/>
      <w:bookmarkStart w:id="86" w:name="_Hlk136354116"/>
      <w:r w:rsidRPr="00FB229F">
        <w:t xml:space="preserve">The disaggregated base case results for LYs by health state are presented in </w:t>
      </w:r>
      <w:r w:rsidRPr="00FB229F">
        <w:fldChar w:fldCharType="begin" w:fldLock="1"/>
      </w:r>
      <w:r w:rsidRPr="00FB229F">
        <w:instrText xml:space="preserve"> REF _Ref131777839 \h </w:instrText>
      </w:r>
      <w:r w:rsidRPr="00FB229F">
        <w:fldChar w:fldCharType="separate"/>
      </w:r>
      <w:r w:rsidR="00CA7201" w:rsidRPr="00FB229F">
        <w:t xml:space="preserve">Table </w:t>
      </w:r>
      <w:r w:rsidR="00CA7201" w:rsidRPr="00166045">
        <w:t>22</w:t>
      </w:r>
      <w:r w:rsidRPr="00FB229F">
        <w:fldChar w:fldCharType="end"/>
      </w:r>
      <w:r w:rsidRPr="00FB229F">
        <w:t>. The incremental LYs accumulated in both the PFS and PD health states. The undiscounted LYs gained of 3.33 years modelled for selpercatinib versus pembrolizumab + PC appeared overly optimistic, considering the advanced disease stage of NSCLC in the proposed target population.</w:t>
      </w:r>
      <w:r w:rsidR="00960C1C" w:rsidRPr="00FB229F">
        <w:t xml:space="preserve"> </w:t>
      </w:r>
      <w:r w:rsidRPr="00FB229F">
        <w:t>The modelled mean time in the PD health state for patients receiving second-line pembrolizumab + PC (90%) or chemotherapy alone (10%) in the selpercatinib arm was 2.75 years (undiscounted), much greater than the median OS reported by the trials of PD-(L)1 inhibitors for the treatment of patients with locally advanced or metastatic NSLCLC that had progressed during or after platinum-based chemotherapy – median OS of 12.2-13.8 months in patients receiving second-line (majority of patients) or third-line nivolumab or atezolizumab for NSCLC with non-squamous histology predominantly (Trials CheckMate-057, OAK and POLAR)</w:t>
      </w:r>
      <w:r w:rsidRPr="00FB229F">
        <w:rPr>
          <w:rStyle w:val="FootnoteReference"/>
          <w:rFonts w:eastAsiaTheme="minorHAnsi"/>
        </w:rPr>
        <w:footnoteReference w:id="24"/>
      </w:r>
      <w:r w:rsidRPr="00FB229F">
        <w:t>. This supports the concern on the selection of extrapolation functions for OS in the base case analysis.</w:t>
      </w:r>
      <w:bookmarkEnd w:id="85"/>
      <w:r w:rsidR="0078220D" w:rsidRPr="00FB229F">
        <w:t xml:space="preserve"> </w:t>
      </w:r>
      <w:r w:rsidR="00960C1C" w:rsidRPr="00FB229F">
        <w:rPr>
          <w:iCs/>
        </w:rPr>
        <w:t xml:space="preserve">The PSCR argued that the updated OS data from the January 2023 data cut of LIBRETTO-001 (see paragraph </w:t>
      </w:r>
      <w:r w:rsidR="00D62D6C" w:rsidRPr="00FB229F">
        <w:rPr>
          <w:iCs/>
        </w:rPr>
        <w:fldChar w:fldCharType="begin" w:fldLock="1"/>
      </w:r>
      <w:r w:rsidR="00D62D6C" w:rsidRPr="00FB229F">
        <w:rPr>
          <w:iCs/>
        </w:rPr>
        <w:instrText xml:space="preserve"> REF _Ref138161786 \r \h </w:instrText>
      </w:r>
      <w:r w:rsidR="00D62D6C" w:rsidRPr="00FB229F">
        <w:rPr>
          <w:iCs/>
        </w:rPr>
      </w:r>
      <w:r w:rsidR="00D62D6C" w:rsidRPr="00FB229F">
        <w:rPr>
          <w:iCs/>
        </w:rPr>
        <w:fldChar w:fldCharType="separate"/>
      </w:r>
      <w:r w:rsidR="00CE0B36">
        <w:rPr>
          <w:iCs/>
        </w:rPr>
        <w:t>6.20</w:t>
      </w:r>
      <w:r w:rsidR="00D62D6C" w:rsidRPr="00FB229F">
        <w:rPr>
          <w:iCs/>
        </w:rPr>
        <w:fldChar w:fldCharType="end"/>
      </w:r>
      <w:r w:rsidR="00960C1C" w:rsidRPr="00FB229F">
        <w:rPr>
          <w:iCs/>
        </w:rPr>
        <w:t>) supported the undiscounted LYs gained of 3.33 years modelled. In addition, t</w:t>
      </w:r>
      <w:r w:rsidR="0078220D" w:rsidRPr="00FB229F">
        <w:rPr>
          <w:iCs/>
        </w:rPr>
        <w:t xml:space="preserve">he PSCR </w:t>
      </w:r>
      <w:r w:rsidR="00960C1C" w:rsidRPr="00FB229F">
        <w:rPr>
          <w:iCs/>
        </w:rPr>
        <w:lastRenderedPageBreak/>
        <w:t xml:space="preserve">highlighted the limitations relating to the comparison of the modelled mean time in the progressed disease health state for selpercatinib with the median OS reported in the trials of </w:t>
      </w:r>
      <w:bookmarkStart w:id="87" w:name="_Hlk135839812"/>
      <w:r w:rsidR="00960C1C" w:rsidRPr="00FB229F">
        <w:rPr>
          <w:iCs/>
        </w:rPr>
        <w:t xml:space="preserve">PD-(L)1 </w:t>
      </w:r>
      <w:bookmarkEnd w:id="87"/>
      <w:r w:rsidR="00960C1C" w:rsidRPr="00FB229F">
        <w:rPr>
          <w:iCs/>
        </w:rPr>
        <w:t xml:space="preserve">inhibitors as later-line therapy for NSCLC. </w:t>
      </w:r>
      <w:r w:rsidR="00D8174C" w:rsidRPr="00FB229F">
        <w:rPr>
          <w:iCs/>
        </w:rPr>
        <w:t xml:space="preserve">The ESC noted that more than half of the total incremental gain in undiscounted LYs </w:t>
      </w:r>
      <w:r w:rsidR="00B357A8" w:rsidRPr="00FB229F">
        <w:rPr>
          <w:iCs/>
        </w:rPr>
        <w:t xml:space="preserve">was </w:t>
      </w:r>
      <w:r w:rsidR="00D8174C" w:rsidRPr="00FB229F">
        <w:rPr>
          <w:iCs/>
        </w:rPr>
        <w:t>in the</w:t>
      </w:r>
      <w:r w:rsidR="00B357A8" w:rsidRPr="00FB229F">
        <w:rPr>
          <w:iCs/>
        </w:rPr>
        <w:t xml:space="preserve"> progressed state. The ESC considered this may not be reasonable given that patients are required to cease treatment on progression and the limited duration of subsequent therapy.</w:t>
      </w:r>
      <w:r w:rsidR="00D8174C" w:rsidRPr="00FB229F">
        <w:rPr>
          <w:iCs/>
        </w:rPr>
        <w:t xml:space="preserve"> </w:t>
      </w:r>
    </w:p>
    <w:p w14:paraId="7B560B5D" w14:textId="2AD595C6" w:rsidR="00DD24A9" w:rsidRPr="00FB229F" w:rsidRDefault="00DD24A9" w:rsidP="00DD24A9">
      <w:pPr>
        <w:pStyle w:val="Caption"/>
      </w:pPr>
      <w:bookmarkStart w:id="88" w:name="_Ref131777839"/>
      <w:bookmarkEnd w:id="86"/>
      <w:r w:rsidRPr="00FB229F">
        <w:t xml:space="preserve">Table </w:t>
      </w:r>
      <w:r w:rsidR="00BF0AEB">
        <w:fldChar w:fldCharType="begin" w:fldLock="1"/>
      </w:r>
      <w:r w:rsidR="00BF0AEB">
        <w:instrText xml:space="preserve"> SEQ Table \* ARABIC </w:instrText>
      </w:r>
      <w:r w:rsidR="00BF0AEB">
        <w:fldChar w:fldCharType="separate"/>
      </w:r>
      <w:r w:rsidR="00CA7201" w:rsidRPr="00166045">
        <w:t>22</w:t>
      </w:r>
      <w:r w:rsidR="00BF0AEB">
        <w:fldChar w:fldCharType="end"/>
      </w:r>
      <w:bookmarkEnd w:id="88"/>
      <w:r w:rsidRPr="00FB229F">
        <w:t>:</w:t>
      </w:r>
      <w:r w:rsidRPr="00FB229F">
        <w:rPr>
          <w:rStyle w:val="CommentReference"/>
          <w:b/>
          <w:szCs w:val="24"/>
        </w:rPr>
        <w:t xml:space="preserve"> Mean time in the economic model by health state</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65"/>
        <w:gridCol w:w="1701"/>
        <w:gridCol w:w="1910"/>
        <w:gridCol w:w="1617"/>
        <w:gridCol w:w="1717"/>
      </w:tblGrid>
      <w:tr w:rsidR="00DD24A9" w:rsidRPr="00FB229F" w14:paraId="7F3D6FBA" w14:textId="77777777" w:rsidTr="00604558">
        <w:trPr>
          <w:cantSplit/>
        </w:trPr>
        <w:tc>
          <w:tcPr>
            <w:tcW w:w="206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FEF2E3" w14:textId="77777777" w:rsidR="00DD24A9" w:rsidRPr="00166045" w:rsidRDefault="00DD24A9" w:rsidP="00604558">
            <w:pPr>
              <w:pStyle w:val="In-tableHeading"/>
              <w:rPr>
                <w:lang w:val="en-AU"/>
              </w:rPr>
            </w:pPr>
            <w:r w:rsidRPr="00166045">
              <w:rPr>
                <w:lang w:val="en-AU"/>
              </w:rPr>
              <w:t>Outcome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05B8AAF0" w14:textId="77777777" w:rsidR="00DD24A9" w:rsidRPr="00166045" w:rsidRDefault="00DD24A9" w:rsidP="00604558">
            <w:pPr>
              <w:pStyle w:val="In-tableHeading"/>
              <w:jc w:val="center"/>
              <w:rPr>
                <w:lang w:val="en-AU"/>
              </w:rPr>
            </w:pPr>
            <w:r w:rsidRPr="00166045">
              <w:rPr>
                <w:szCs w:val="20"/>
                <w:lang w:val="en-AU"/>
              </w:rPr>
              <w:t>Selpercatinib</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18825CB5" w14:textId="77777777" w:rsidR="00DD24A9" w:rsidRPr="00166045" w:rsidRDefault="00DD24A9" w:rsidP="00604558">
            <w:pPr>
              <w:pStyle w:val="In-tableHeading"/>
              <w:jc w:val="center"/>
              <w:rPr>
                <w:lang w:val="en-AU"/>
              </w:rPr>
            </w:pPr>
            <w:r w:rsidRPr="00166045">
              <w:rPr>
                <w:szCs w:val="20"/>
                <w:lang w:val="en-AU"/>
              </w:rPr>
              <w:t>Pembrolizumab + PC</w:t>
            </w:r>
          </w:p>
        </w:tc>
        <w:tc>
          <w:tcPr>
            <w:tcW w:w="1617" w:type="dxa"/>
            <w:tcBorders>
              <w:top w:val="single" w:sz="4" w:space="0" w:color="auto"/>
              <w:left w:val="single" w:sz="4" w:space="0" w:color="auto"/>
              <w:bottom w:val="single" w:sz="4" w:space="0" w:color="auto"/>
              <w:right w:val="single" w:sz="4" w:space="0" w:color="auto"/>
            </w:tcBorders>
            <w:vAlign w:val="center"/>
          </w:tcPr>
          <w:p w14:paraId="5C2B42FA" w14:textId="77777777" w:rsidR="00DD24A9" w:rsidRPr="00166045" w:rsidRDefault="00DD24A9" w:rsidP="00604558">
            <w:pPr>
              <w:pStyle w:val="In-tableHeading"/>
              <w:jc w:val="center"/>
              <w:rPr>
                <w:lang w:val="en-AU"/>
              </w:rPr>
            </w:pPr>
            <w:r w:rsidRPr="00166045">
              <w:rPr>
                <w:lang w:val="en-AU"/>
              </w:rPr>
              <w:t>Incremental outcome</w:t>
            </w:r>
          </w:p>
        </w:tc>
        <w:tc>
          <w:tcPr>
            <w:tcW w:w="17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B545A5" w14:textId="77777777" w:rsidR="00DD24A9" w:rsidRPr="00166045" w:rsidRDefault="00DD24A9" w:rsidP="00604558">
            <w:pPr>
              <w:pStyle w:val="In-tableHeading"/>
              <w:ind w:left="-57" w:right="-57"/>
              <w:jc w:val="center"/>
              <w:rPr>
                <w:lang w:val="en-AU"/>
              </w:rPr>
            </w:pPr>
            <w:r w:rsidRPr="00166045">
              <w:rPr>
                <w:lang w:val="en-AU"/>
              </w:rPr>
              <w:t>% of total incremental outcome</w:t>
            </w:r>
          </w:p>
        </w:tc>
      </w:tr>
      <w:tr w:rsidR="00DD24A9" w:rsidRPr="00FB229F" w14:paraId="1E5DD265" w14:textId="77777777" w:rsidTr="00604558">
        <w:trPr>
          <w:cantSplit/>
        </w:trPr>
        <w:tc>
          <w:tcPr>
            <w:tcW w:w="9010"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F439E4" w14:textId="77777777" w:rsidR="00DD24A9" w:rsidRPr="00FB229F" w:rsidRDefault="00DD24A9" w:rsidP="00604558">
            <w:pPr>
              <w:pStyle w:val="TableText0"/>
              <w:rPr>
                <w:b/>
              </w:rPr>
            </w:pPr>
            <w:r w:rsidRPr="00FB229F">
              <w:rPr>
                <w:b/>
              </w:rPr>
              <w:t>Undiscounted (years)</w:t>
            </w:r>
          </w:p>
        </w:tc>
      </w:tr>
      <w:tr w:rsidR="00DD24A9" w:rsidRPr="00FB229F" w14:paraId="74D20FD2" w14:textId="77777777" w:rsidTr="00604558">
        <w:trPr>
          <w:cantSplit/>
        </w:trPr>
        <w:tc>
          <w:tcPr>
            <w:tcW w:w="206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5D3C32" w14:textId="77777777" w:rsidR="00DD24A9" w:rsidRPr="00FB229F" w:rsidRDefault="00DD24A9" w:rsidP="00604558">
            <w:pPr>
              <w:pStyle w:val="TableText0"/>
            </w:pPr>
            <w:r w:rsidRPr="00FB229F">
              <w:t>Progression-free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63DAF2EC" w14:textId="77777777" w:rsidR="00DD24A9" w:rsidRPr="00FB229F" w:rsidRDefault="00DD24A9" w:rsidP="00604558">
            <w:pPr>
              <w:pStyle w:val="TableText0"/>
              <w:jc w:val="center"/>
            </w:pPr>
            <w:r w:rsidRPr="00FB229F">
              <w:t>2.677</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61A640BE" w14:textId="77777777" w:rsidR="00DD24A9" w:rsidRPr="00FB229F" w:rsidRDefault="00DD24A9" w:rsidP="00604558">
            <w:pPr>
              <w:pStyle w:val="TableText0"/>
              <w:jc w:val="center"/>
            </w:pPr>
            <w:r w:rsidRPr="00FB229F">
              <w:t>1.138</w:t>
            </w:r>
          </w:p>
        </w:tc>
        <w:tc>
          <w:tcPr>
            <w:tcW w:w="1617" w:type="dxa"/>
            <w:tcBorders>
              <w:top w:val="single" w:sz="4" w:space="0" w:color="auto"/>
              <w:left w:val="single" w:sz="4" w:space="0" w:color="auto"/>
              <w:bottom w:val="single" w:sz="4" w:space="0" w:color="auto"/>
              <w:right w:val="single" w:sz="4" w:space="0" w:color="auto"/>
            </w:tcBorders>
          </w:tcPr>
          <w:p w14:paraId="420EA046" w14:textId="77777777" w:rsidR="00DD24A9" w:rsidRPr="00FB229F" w:rsidRDefault="00DD24A9" w:rsidP="00604558">
            <w:pPr>
              <w:pStyle w:val="TableText0"/>
              <w:jc w:val="center"/>
            </w:pPr>
            <w:r w:rsidRPr="00FB229F">
              <w:t>1.538</w:t>
            </w:r>
          </w:p>
        </w:tc>
        <w:tc>
          <w:tcPr>
            <w:tcW w:w="1717" w:type="dxa"/>
            <w:tcBorders>
              <w:top w:val="single" w:sz="4" w:space="0" w:color="auto"/>
              <w:left w:val="single" w:sz="4" w:space="0" w:color="auto"/>
              <w:bottom w:val="single" w:sz="4" w:space="0" w:color="auto"/>
              <w:right w:val="single" w:sz="4" w:space="0" w:color="auto"/>
            </w:tcBorders>
            <w:tcMar>
              <w:left w:w="57" w:type="dxa"/>
              <w:right w:w="57" w:type="dxa"/>
            </w:tcMar>
          </w:tcPr>
          <w:p w14:paraId="462782CF" w14:textId="77777777" w:rsidR="00DD24A9" w:rsidRPr="00FB229F" w:rsidRDefault="00DD24A9" w:rsidP="00604558">
            <w:pPr>
              <w:pStyle w:val="TableText0"/>
              <w:jc w:val="center"/>
            </w:pPr>
            <w:r w:rsidRPr="00FB229F">
              <w:t>46%</w:t>
            </w:r>
          </w:p>
        </w:tc>
      </w:tr>
      <w:tr w:rsidR="00DD24A9" w:rsidRPr="00FB229F" w14:paraId="268A1E98" w14:textId="77777777" w:rsidTr="00604558">
        <w:trPr>
          <w:cantSplit/>
        </w:trPr>
        <w:tc>
          <w:tcPr>
            <w:tcW w:w="206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B5D636" w14:textId="77777777" w:rsidR="00DD24A9" w:rsidRPr="00FB229F" w:rsidRDefault="00DD24A9" w:rsidP="00604558">
            <w:pPr>
              <w:pStyle w:val="TableText0"/>
            </w:pPr>
            <w:r w:rsidRPr="00FB229F">
              <w:t>Progressed disease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0FE7B741" w14:textId="77777777" w:rsidR="00DD24A9" w:rsidRPr="00FB229F" w:rsidRDefault="00DD24A9" w:rsidP="00604558">
            <w:pPr>
              <w:pStyle w:val="TableText0"/>
              <w:jc w:val="center"/>
            </w:pPr>
            <w:r w:rsidRPr="00FB229F">
              <w:t>2.751</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476DDFBA" w14:textId="77777777" w:rsidR="00DD24A9" w:rsidRPr="00FB229F" w:rsidRDefault="00DD24A9" w:rsidP="00604558">
            <w:pPr>
              <w:pStyle w:val="TableText0"/>
              <w:jc w:val="center"/>
            </w:pPr>
            <w:r w:rsidRPr="00FB229F">
              <w:t>0.963</w:t>
            </w:r>
          </w:p>
        </w:tc>
        <w:tc>
          <w:tcPr>
            <w:tcW w:w="1617" w:type="dxa"/>
            <w:tcBorders>
              <w:top w:val="single" w:sz="4" w:space="0" w:color="auto"/>
              <w:left w:val="single" w:sz="4" w:space="0" w:color="auto"/>
              <w:bottom w:val="single" w:sz="4" w:space="0" w:color="auto"/>
              <w:right w:val="single" w:sz="4" w:space="0" w:color="auto"/>
            </w:tcBorders>
          </w:tcPr>
          <w:p w14:paraId="5D2CB55D" w14:textId="77777777" w:rsidR="00DD24A9" w:rsidRPr="00FB229F" w:rsidRDefault="00DD24A9" w:rsidP="00604558">
            <w:pPr>
              <w:pStyle w:val="TableText0"/>
              <w:jc w:val="center"/>
            </w:pPr>
            <w:r w:rsidRPr="00FB229F">
              <w:t>1.789</w:t>
            </w:r>
          </w:p>
        </w:tc>
        <w:tc>
          <w:tcPr>
            <w:tcW w:w="1717" w:type="dxa"/>
            <w:tcBorders>
              <w:top w:val="single" w:sz="4" w:space="0" w:color="auto"/>
              <w:left w:val="single" w:sz="4" w:space="0" w:color="auto"/>
              <w:bottom w:val="single" w:sz="4" w:space="0" w:color="auto"/>
              <w:right w:val="single" w:sz="4" w:space="0" w:color="auto"/>
            </w:tcBorders>
            <w:tcMar>
              <w:left w:w="57" w:type="dxa"/>
              <w:right w:w="57" w:type="dxa"/>
            </w:tcMar>
          </w:tcPr>
          <w:p w14:paraId="1736A5FA" w14:textId="77777777" w:rsidR="00DD24A9" w:rsidRPr="00FB229F" w:rsidRDefault="00DD24A9" w:rsidP="00604558">
            <w:pPr>
              <w:pStyle w:val="TableText0"/>
              <w:jc w:val="center"/>
            </w:pPr>
            <w:r w:rsidRPr="00FB229F">
              <w:t>54%</w:t>
            </w:r>
          </w:p>
        </w:tc>
      </w:tr>
      <w:tr w:rsidR="00DD24A9" w:rsidRPr="00FB229F" w14:paraId="0B8A799E" w14:textId="77777777" w:rsidTr="00604558">
        <w:trPr>
          <w:cantSplit/>
        </w:trPr>
        <w:tc>
          <w:tcPr>
            <w:tcW w:w="206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C47E98" w14:textId="77777777" w:rsidR="00DD24A9" w:rsidRPr="00FB229F" w:rsidRDefault="00DD24A9" w:rsidP="00604558">
            <w:pPr>
              <w:pStyle w:val="TableText0"/>
              <w:rPr>
                <w:b/>
              </w:rPr>
            </w:pPr>
            <w:r w:rsidRPr="00FB229F">
              <w:rPr>
                <w:b/>
              </w:rPr>
              <w:t>Total LYs</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tcPr>
          <w:p w14:paraId="5C394ABC" w14:textId="77777777" w:rsidR="00DD24A9" w:rsidRPr="00FB229F" w:rsidRDefault="00DD24A9" w:rsidP="00604558">
            <w:pPr>
              <w:pStyle w:val="TableText0"/>
              <w:jc w:val="center"/>
              <w:rPr>
                <w:b/>
              </w:rPr>
            </w:pPr>
            <w:r w:rsidRPr="00FB229F">
              <w:t>5.428</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tcPr>
          <w:p w14:paraId="1CF4ED02" w14:textId="77777777" w:rsidR="00DD24A9" w:rsidRPr="00FB229F" w:rsidRDefault="00DD24A9" w:rsidP="00604558">
            <w:pPr>
              <w:pStyle w:val="TableText0"/>
              <w:jc w:val="center"/>
              <w:rPr>
                <w:b/>
              </w:rPr>
            </w:pPr>
            <w:r w:rsidRPr="00FB229F">
              <w:t>2.101</w:t>
            </w:r>
          </w:p>
        </w:tc>
        <w:tc>
          <w:tcPr>
            <w:tcW w:w="1617" w:type="dxa"/>
            <w:tcBorders>
              <w:top w:val="single" w:sz="4" w:space="0" w:color="auto"/>
              <w:left w:val="single" w:sz="4" w:space="0" w:color="auto"/>
              <w:bottom w:val="single" w:sz="4" w:space="0" w:color="auto"/>
              <w:right w:val="single" w:sz="4" w:space="0" w:color="auto"/>
            </w:tcBorders>
          </w:tcPr>
          <w:p w14:paraId="7B352FFA" w14:textId="77777777" w:rsidR="00DD24A9" w:rsidRPr="00FB229F" w:rsidRDefault="00DD24A9" w:rsidP="00604558">
            <w:pPr>
              <w:pStyle w:val="TableText0"/>
              <w:jc w:val="center"/>
              <w:rPr>
                <w:b/>
              </w:rPr>
            </w:pPr>
            <w:r w:rsidRPr="00FB229F">
              <w:t>3.327</w:t>
            </w:r>
          </w:p>
        </w:tc>
        <w:tc>
          <w:tcPr>
            <w:tcW w:w="1717" w:type="dxa"/>
            <w:tcBorders>
              <w:top w:val="single" w:sz="4" w:space="0" w:color="auto"/>
              <w:left w:val="single" w:sz="4" w:space="0" w:color="auto"/>
              <w:bottom w:val="single" w:sz="4" w:space="0" w:color="auto"/>
              <w:right w:val="single" w:sz="4" w:space="0" w:color="auto"/>
            </w:tcBorders>
            <w:tcMar>
              <w:left w:w="57" w:type="dxa"/>
              <w:right w:w="57" w:type="dxa"/>
            </w:tcMar>
          </w:tcPr>
          <w:p w14:paraId="427E8A3F" w14:textId="77777777" w:rsidR="00DD24A9" w:rsidRPr="00FB229F" w:rsidRDefault="00DD24A9" w:rsidP="00604558">
            <w:pPr>
              <w:pStyle w:val="TableText0"/>
              <w:jc w:val="center"/>
              <w:rPr>
                <w:b/>
              </w:rPr>
            </w:pPr>
            <w:r w:rsidRPr="00FB229F">
              <w:t>100%</w:t>
            </w:r>
          </w:p>
        </w:tc>
      </w:tr>
      <w:tr w:rsidR="00DD24A9" w:rsidRPr="00FB229F" w14:paraId="6FDE621B" w14:textId="77777777" w:rsidTr="00604558">
        <w:trPr>
          <w:cantSplit/>
        </w:trPr>
        <w:tc>
          <w:tcPr>
            <w:tcW w:w="9010"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6856FF" w14:textId="77777777" w:rsidR="00DD24A9" w:rsidRPr="00FB229F" w:rsidRDefault="00DD24A9" w:rsidP="00604558">
            <w:pPr>
              <w:pStyle w:val="TableText0"/>
              <w:rPr>
                <w:b/>
              </w:rPr>
            </w:pPr>
            <w:r w:rsidRPr="00FB229F">
              <w:rPr>
                <w:b/>
              </w:rPr>
              <w:t>Discounted (years)</w:t>
            </w:r>
          </w:p>
        </w:tc>
      </w:tr>
      <w:tr w:rsidR="00DD24A9" w:rsidRPr="00FB229F" w14:paraId="2CED5A80" w14:textId="77777777" w:rsidTr="00604558">
        <w:trPr>
          <w:cantSplit/>
        </w:trPr>
        <w:tc>
          <w:tcPr>
            <w:tcW w:w="206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668E1C" w14:textId="77777777" w:rsidR="00DD24A9" w:rsidRPr="00FB229F" w:rsidRDefault="00DD24A9" w:rsidP="00604558">
            <w:pPr>
              <w:pStyle w:val="TableText0"/>
            </w:pPr>
            <w:r w:rsidRPr="00FB229F">
              <w:t>Progression-free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669C05" w14:textId="77777777" w:rsidR="00DD24A9" w:rsidRPr="00FB229F" w:rsidRDefault="00DD24A9" w:rsidP="00604558">
            <w:pPr>
              <w:pStyle w:val="TableText0"/>
              <w:jc w:val="center"/>
            </w:pPr>
            <w:r w:rsidRPr="00FB229F">
              <w:t>2.406</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7C291B" w14:textId="77777777" w:rsidR="00DD24A9" w:rsidRPr="00FB229F" w:rsidRDefault="00DD24A9" w:rsidP="00604558">
            <w:pPr>
              <w:pStyle w:val="TableText0"/>
              <w:jc w:val="center"/>
            </w:pPr>
            <w:r w:rsidRPr="00FB229F">
              <w:t>1.083</w:t>
            </w:r>
          </w:p>
        </w:tc>
        <w:tc>
          <w:tcPr>
            <w:tcW w:w="1617" w:type="dxa"/>
            <w:tcBorders>
              <w:top w:val="single" w:sz="4" w:space="0" w:color="auto"/>
              <w:left w:val="single" w:sz="4" w:space="0" w:color="auto"/>
              <w:bottom w:val="single" w:sz="4" w:space="0" w:color="auto"/>
              <w:right w:val="single" w:sz="4" w:space="0" w:color="auto"/>
            </w:tcBorders>
            <w:vAlign w:val="center"/>
          </w:tcPr>
          <w:p w14:paraId="2B41E0FA" w14:textId="77777777" w:rsidR="00DD24A9" w:rsidRPr="00FB229F" w:rsidRDefault="00DD24A9" w:rsidP="00604558">
            <w:pPr>
              <w:pStyle w:val="TableText0"/>
              <w:jc w:val="center"/>
            </w:pPr>
            <w:r w:rsidRPr="00FB229F">
              <w:t>1.323</w:t>
            </w:r>
          </w:p>
        </w:tc>
        <w:tc>
          <w:tcPr>
            <w:tcW w:w="17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60AD84" w14:textId="77777777" w:rsidR="00DD24A9" w:rsidRPr="00FB229F" w:rsidRDefault="00DD24A9" w:rsidP="00604558">
            <w:pPr>
              <w:pStyle w:val="TableText0"/>
              <w:jc w:val="center"/>
            </w:pPr>
            <w:r w:rsidRPr="00FB229F">
              <w:t>53%</w:t>
            </w:r>
          </w:p>
        </w:tc>
      </w:tr>
      <w:tr w:rsidR="00DD24A9" w:rsidRPr="00FB229F" w14:paraId="5A507393" w14:textId="77777777" w:rsidTr="00604558">
        <w:trPr>
          <w:cantSplit/>
        </w:trPr>
        <w:tc>
          <w:tcPr>
            <w:tcW w:w="206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B5A729" w14:textId="77777777" w:rsidR="00DD24A9" w:rsidRPr="00FB229F" w:rsidRDefault="00DD24A9" w:rsidP="00604558">
            <w:pPr>
              <w:pStyle w:val="TableText0"/>
            </w:pPr>
            <w:r w:rsidRPr="00FB229F">
              <w:t>Progressed disease</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A8E62" w14:textId="77777777" w:rsidR="00DD24A9" w:rsidRPr="00FB229F" w:rsidRDefault="00DD24A9" w:rsidP="00604558">
            <w:pPr>
              <w:pStyle w:val="TableText0"/>
              <w:jc w:val="center"/>
            </w:pPr>
            <w:r w:rsidRPr="00FB229F">
              <w:t>1.995</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95322C" w14:textId="77777777" w:rsidR="00DD24A9" w:rsidRPr="00FB229F" w:rsidRDefault="00DD24A9" w:rsidP="00604558">
            <w:pPr>
              <w:pStyle w:val="TableText0"/>
              <w:jc w:val="center"/>
            </w:pPr>
            <w:r w:rsidRPr="00FB229F">
              <w:t>0.840</w:t>
            </w:r>
          </w:p>
        </w:tc>
        <w:tc>
          <w:tcPr>
            <w:tcW w:w="1617" w:type="dxa"/>
            <w:tcBorders>
              <w:top w:val="single" w:sz="4" w:space="0" w:color="auto"/>
              <w:left w:val="single" w:sz="4" w:space="0" w:color="auto"/>
              <w:bottom w:val="single" w:sz="4" w:space="0" w:color="auto"/>
              <w:right w:val="single" w:sz="4" w:space="0" w:color="auto"/>
            </w:tcBorders>
            <w:vAlign w:val="center"/>
          </w:tcPr>
          <w:p w14:paraId="78B2A363" w14:textId="77777777" w:rsidR="00DD24A9" w:rsidRPr="00FB229F" w:rsidRDefault="00DD24A9" w:rsidP="00604558">
            <w:pPr>
              <w:pStyle w:val="TableText0"/>
              <w:jc w:val="center"/>
            </w:pPr>
            <w:r w:rsidRPr="00FB229F">
              <w:t>1.156</w:t>
            </w:r>
          </w:p>
        </w:tc>
        <w:tc>
          <w:tcPr>
            <w:tcW w:w="17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331242" w14:textId="77777777" w:rsidR="00DD24A9" w:rsidRPr="00FB229F" w:rsidRDefault="00DD24A9" w:rsidP="00604558">
            <w:pPr>
              <w:pStyle w:val="TableText0"/>
              <w:jc w:val="center"/>
            </w:pPr>
            <w:r w:rsidRPr="00FB229F">
              <w:t>47%</w:t>
            </w:r>
          </w:p>
        </w:tc>
      </w:tr>
      <w:tr w:rsidR="00DD24A9" w:rsidRPr="00FB229F" w14:paraId="235578C4" w14:textId="77777777" w:rsidTr="00604558">
        <w:trPr>
          <w:cantSplit/>
        </w:trPr>
        <w:tc>
          <w:tcPr>
            <w:tcW w:w="206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6EA325" w14:textId="77777777" w:rsidR="00DD24A9" w:rsidRPr="00FB229F" w:rsidRDefault="00DD24A9" w:rsidP="00604558">
            <w:pPr>
              <w:pStyle w:val="TableText0"/>
              <w:rPr>
                <w:b/>
              </w:rPr>
            </w:pPr>
            <w:r w:rsidRPr="00FB229F">
              <w:rPr>
                <w:b/>
              </w:rPr>
              <w:t>Total LYs</w:t>
            </w:r>
          </w:p>
        </w:tc>
        <w:tc>
          <w:tcPr>
            <w:tcW w:w="17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75ACFD" w14:textId="77777777" w:rsidR="00DD24A9" w:rsidRPr="00FB229F" w:rsidRDefault="00DD24A9" w:rsidP="00604558">
            <w:pPr>
              <w:pStyle w:val="TableText0"/>
              <w:jc w:val="center"/>
              <w:rPr>
                <w:b/>
              </w:rPr>
            </w:pPr>
            <w:r w:rsidRPr="00FB229F">
              <w:t>4.401</w:t>
            </w:r>
          </w:p>
        </w:tc>
        <w:tc>
          <w:tcPr>
            <w:tcW w:w="191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7A4AFD" w14:textId="77777777" w:rsidR="00DD24A9" w:rsidRPr="00FB229F" w:rsidRDefault="00DD24A9" w:rsidP="00604558">
            <w:pPr>
              <w:pStyle w:val="TableText0"/>
              <w:jc w:val="center"/>
              <w:rPr>
                <w:b/>
              </w:rPr>
            </w:pPr>
            <w:r w:rsidRPr="00FB229F">
              <w:t>1.923</w:t>
            </w:r>
          </w:p>
        </w:tc>
        <w:tc>
          <w:tcPr>
            <w:tcW w:w="1617" w:type="dxa"/>
            <w:tcBorders>
              <w:top w:val="single" w:sz="4" w:space="0" w:color="auto"/>
              <w:left w:val="single" w:sz="4" w:space="0" w:color="auto"/>
              <w:bottom w:val="single" w:sz="4" w:space="0" w:color="auto"/>
              <w:right w:val="single" w:sz="4" w:space="0" w:color="auto"/>
            </w:tcBorders>
            <w:vAlign w:val="center"/>
          </w:tcPr>
          <w:p w14:paraId="459BA706" w14:textId="77777777" w:rsidR="00DD24A9" w:rsidRPr="00FB229F" w:rsidRDefault="00DD24A9" w:rsidP="00604558">
            <w:pPr>
              <w:pStyle w:val="TableText0"/>
              <w:jc w:val="center"/>
              <w:rPr>
                <w:b/>
              </w:rPr>
            </w:pPr>
            <w:r w:rsidRPr="00FB229F">
              <w:t>2.478</w:t>
            </w:r>
          </w:p>
        </w:tc>
        <w:tc>
          <w:tcPr>
            <w:tcW w:w="17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636638" w14:textId="77777777" w:rsidR="00DD24A9" w:rsidRPr="00FB229F" w:rsidRDefault="00DD24A9" w:rsidP="00604558">
            <w:pPr>
              <w:pStyle w:val="TableText0"/>
              <w:jc w:val="center"/>
              <w:rPr>
                <w:b/>
              </w:rPr>
            </w:pPr>
            <w:r w:rsidRPr="00FB229F">
              <w:rPr>
                <w:b/>
              </w:rPr>
              <w:t>100%</w:t>
            </w:r>
          </w:p>
        </w:tc>
      </w:tr>
    </w:tbl>
    <w:p w14:paraId="2106CBF3" w14:textId="38D3390C" w:rsidR="00DD24A9" w:rsidRPr="00FB229F" w:rsidRDefault="00DD24A9" w:rsidP="00DD24A9">
      <w:pPr>
        <w:pStyle w:val="TableFooter"/>
      </w:pPr>
      <w:r w:rsidRPr="00FB229F">
        <w:t>Source: Table 3-37, p373 of the submission; “A5.1_Selpercatinib Section 3 Workbook”.</w:t>
      </w:r>
    </w:p>
    <w:p w14:paraId="1CCAED77" w14:textId="1EC3F1D9" w:rsidR="00DD24A9" w:rsidRPr="00FB229F" w:rsidRDefault="00DD24A9" w:rsidP="00816BFB">
      <w:pPr>
        <w:pStyle w:val="TableFooter"/>
        <w:spacing w:after="120"/>
      </w:pPr>
      <w:r w:rsidRPr="00FB229F">
        <w:t>LYs = life years; PC = pemetrexed + platinum chemotherapy</w:t>
      </w:r>
    </w:p>
    <w:p w14:paraId="3E6B9B07" w14:textId="77777777" w:rsidR="00DD24A9" w:rsidRPr="00FB229F" w:rsidRDefault="00DD24A9" w:rsidP="007B1BC5">
      <w:pPr>
        <w:pStyle w:val="3-BodyText"/>
        <w:ind w:left="709" w:hanging="709"/>
      </w:pPr>
      <w:bookmarkStart w:id="89" w:name="_Ref141947548"/>
      <w:r w:rsidRPr="00FB229F">
        <w:t>As stated previously, the submission made a number of unreasonable or unjustified assumptions and errors in the base case analysis. The base case economic evaluation was re-specified as follows:</w:t>
      </w:r>
      <w:bookmarkEnd w:id="89"/>
    </w:p>
    <w:p w14:paraId="41273096" w14:textId="0D8DD56E" w:rsidR="00DD24A9" w:rsidRPr="00FB229F" w:rsidRDefault="00DD24A9" w:rsidP="00816BFB">
      <w:pPr>
        <w:pStyle w:val="Bulletpoints"/>
      </w:pPr>
      <w:r w:rsidRPr="00FB229F">
        <w:t>A 7.5-year time horizon</w:t>
      </w:r>
      <w:r w:rsidR="009E5A28" w:rsidRPr="00FB229F">
        <w:t xml:space="preserve"> (see Paragraph</w:t>
      </w:r>
      <w:r w:rsidR="002D3A41" w:rsidRPr="00FB229F">
        <w:t xml:space="preserve"> </w:t>
      </w:r>
      <w:r w:rsidR="002D3A41" w:rsidRPr="00FB229F">
        <w:fldChar w:fldCharType="begin" w:fldLock="1"/>
      </w:r>
      <w:r w:rsidR="002D3A41" w:rsidRPr="00FB229F">
        <w:instrText xml:space="preserve"> REF _Ref134109635 \r \h </w:instrText>
      </w:r>
      <w:r w:rsidR="005F773C">
        <w:instrText xml:space="preserve"> \* MERGEFORMAT </w:instrText>
      </w:r>
      <w:r w:rsidR="002D3A41" w:rsidRPr="00FB229F">
        <w:fldChar w:fldCharType="separate"/>
      </w:r>
      <w:r w:rsidR="00CE0B36">
        <w:t>6.70</w:t>
      </w:r>
      <w:r w:rsidR="002D3A41" w:rsidRPr="00FB229F">
        <w:fldChar w:fldCharType="end"/>
      </w:r>
      <w:r w:rsidR="009E5A28" w:rsidRPr="00FB229F">
        <w:t>)</w:t>
      </w:r>
      <w:r w:rsidRPr="00FB229F">
        <w:t>;</w:t>
      </w:r>
    </w:p>
    <w:p w14:paraId="177FCA8E" w14:textId="15418BF2" w:rsidR="00DD24A9" w:rsidRPr="00FB229F" w:rsidRDefault="00DD24A9" w:rsidP="00816BFB">
      <w:pPr>
        <w:pStyle w:val="Bulletpoints"/>
      </w:pPr>
      <w:r w:rsidRPr="00FB229F">
        <w:t xml:space="preserve">Removing the cost of </w:t>
      </w:r>
      <w:r w:rsidR="003D270C" w:rsidRPr="00FB229F">
        <w:rPr>
          <w:i/>
          <w:iCs/>
        </w:rPr>
        <w:t>RET</w:t>
      </w:r>
      <w:r w:rsidRPr="00FB229F">
        <w:rPr>
          <w:i/>
          <w:iCs/>
        </w:rPr>
        <w:t xml:space="preserve"> </w:t>
      </w:r>
      <w:r w:rsidRPr="00FB229F">
        <w:t>fusion testing</w:t>
      </w:r>
      <w:r w:rsidR="009E5A28" w:rsidRPr="00FB229F">
        <w:t xml:space="preserve"> (see Paragraph</w:t>
      </w:r>
      <w:r w:rsidR="002D3A41" w:rsidRPr="00FB229F">
        <w:t xml:space="preserve"> </w:t>
      </w:r>
      <w:r w:rsidR="002D3A41" w:rsidRPr="00FB229F">
        <w:fldChar w:fldCharType="begin" w:fldLock="1"/>
      </w:r>
      <w:r w:rsidR="002D3A41" w:rsidRPr="00FB229F">
        <w:instrText xml:space="preserve"> REF _Ref134109692 \r \h </w:instrText>
      </w:r>
      <w:r w:rsidR="005F773C">
        <w:instrText xml:space="preserve"> \* MERGEFORMAT </w:instrText>
      </w:r>
      <w:r w:rsidR="002D3A41" w:rsidRPr="00FB229F">
        <w:fldChar w:fldCharType="separate"/>
      </w:r>
      <w:r w:rsidR="00CE0B36">
        <w:t>6.78</w:t>
      </w:r>
      <w:r w:rsidR="002D3A41" w:rsidRPr="00FB229F">
        <w:fldChar w:fldCharType="end"/>
      </w:r>
      <w:r w:rsidR="00ED3EBA" w:rsidRPr="00FB229F">
        <w:t>)</w:t>
      </w:r>
      <w:r w:rsidRPr="00FB229F">
        <w:t>;</w:t>
      </w:r>
    </w:p>
    <w:p w14:paraId="1C8A57D2" w14:textId="0EA2721F" w:rsidR="00DD24A9" w:rsidRPr="00FB229F" w:rsidRDefault="00DD24A9" w:rsidP="00816BFB">
      <w:pPr>
        <w:pStyle w:val="Bulletpoints"/>
      </w:pPr>
      <w:r w:rsidRPr="00FB229F">
        <w:t>No dose reduction for pembrolizumab</w:t>
      </w:r>
      <w:r w:rsidR="00ED3EBA" w:rsidRPr="00FB229F">
        <w:t xml:space="preserve"> (see </w:t>
      </w:r>
      <w:r w:rsidR="000365C6" w:rsidRPr="00FB229F">
        <w:t>Paragraph</w:t>
      </w:r>
      <w:r w:rsidR="002D3A41" w:rsidRPr="00FB229F">
        <w:t xml:space="preserve"> </w:t>
      </w:r>
      <w:r w:rsidR="002D3A41" w:rsidRPr="00FB229F">
        <w:fldChar w:fldCharType="begin" w:fldLock="1"/>
      </w:r>
      <w:r w:rsidR="002D3A41" w:rsidRPr="00FB229F">
        <w:instrText xml:space="preserve"> REF _Ref134109727 \r \h </w:instrText>
      </w:r>
      <w:r w:rsidR="005F773C">
        <w:instrText xml:space="preserve"> \* MERGEFORMAT </w:instrText>
      </w:r>
      <w:r w:rsidR="002D3A41" w:rsidRPr="00FB229F">
        <w:fldChar w:fldCharType="separate"/>
      </w:r>
      <w:r w:rsidR="00CE0B36">
        <w:t>6.75</w:t>
      </w:r>
      <w:r w:rsidR="002D3A41" w:rsidRPr="00FB229F">
        <w:fldChar w:fldCharType="end"/>
      </w:r>
      <w:r w:rsidR="00ED3EBA" w:rsidRPr="00FB229F">
        <w:t>)</w:t>
      </w:r>
      <w:r w:rsidRPr="00FB229F">
        <w:t>;</w:t>
      </w:r>
    </w:p>
    <w:p w14:paraId="0257C98B" w14:textId="0900D360" w:rsidR="00DD24A9" w:rsidRPr="00FB229F" w:rsidRDefault="00DD24A9" w:rsidP="00816BFB">
      <w:pPr>
        <w:pStyle w:val="Bulletpoints"/>
      </w:pPr>
      <w:r w:rsidRPr="00FB229F">
        <w:t xml:space="preserve">Doubling the TTD for later-line pembrolizumab therapy, from 5.65 3-weekly treatment cycles to 11.31 </w:t>
      </w:r>
      <w:r w:rsidR="006B2A55" w:rsidRPr="00FB229F">
        <w:t xml:space="preserve">3-weekly </w:t>
      </w:r>
      <w:r w:rsidRPr="00FB229F">
        <w:t>cycles</w:t>
      </w:r>
      <w:r w:rsidR="00ED3EBA" w:rsidRPr="00FB229F">
        <w:t xml:space="preserve"> (see Paragraph</w:t>
      </w:r>
      <w:r w:rsidR="002D3A41" w:rsidRPr="00FB229F">
        <w:t xml:space="preserve"> </w:t>
      </w:r>
      <w:r w:rsidR="002D3A41" w:rsidRPr="00FB229F">
        <w:fldChar w:fldCharType="begin" w:fldLock="1"/>
      </w:r>
      <w:r w:rsidR="002D3A41" w:rsidRPr="00FB229F">
        <w:instrText xml:space="preserve"> REF _Ref134109762 \r \h </w:instrText>
      </w:r>
      <w:r w:rsidR="005F773C">
        <w:instrText xml:space="preserve"> \* MERGEFORMAT </w:instrText>
      </w:r>
      <w:r w:rsidR="002D3A41" w:rsidRPr="00FB229F">
        <w:fldChar w:fldCharType="separate"/>
      </w:r>
      <w:r w:rsidR="00CE0B36">
        <w:t>6.77</w:t>
      </w:r>
      <w:r w:rsidR="002D3A41" w:rsidRPr="00FB229F">
        <w:fldChar w:fldCharType="end"/>
      </w:r>
      <w:r w:rsidR="00ED3EBA" w:rsidRPr="00FB229F">
        <w:t>)</w:t>
      </w:r>
      <w:r w:rsidRPr="00FB229F">
        <w:t xml:space="preserve">; and </w:t>
      </w:r>
    </w:p>
    <w:p w14:paraId="7CDB7A16" w14:textId="7FB9C19E" w:rsidR="00DD24A9" w:rsidRPr="00FB229F" w:rsidRDefault="00DD24A9" w:rsidP="00816BFB">
      <w:pPr>
        <w:pStyle w:val="Bulletpoints"/>
      </w:pPr>
      <w:r w:rsidRPr="00FB229F">
        <w:t>Re-calculation of the drug acquisition costs for pembrolizumab, pemetrexed, carboplatin and docetaxel, according to the EFC Program</w:t>
      </w:r>
      <w:r w:rsidR="00ED3EBA" w:rsidRPr="00FB229F">
        <w:t xml:space="preserve"> </w:t>
      </w:r>
      <w:r w:rsidR="006D19F4" w:rsidRPr="00FB229F">
        <w:t xml:space="preserve">(see </w:t>
      </w:r>
      <w:r w:rsidR="000365C6" w:rsidRPr="00FB229F">
        <w:t>Paragraph</w:t>
      </w:r>
      <w:r w:rsidR="002D3A41" w:rsidRPr="00FB229F">
        <w:t xml:space="preserve"> </w:t>
      </w:r>
      <w:r w:rsidR="002D3A41" w:rsidRPr="00FB229F">
        <w:fldChar w:fldCharType="begin" w:fldLock="1"/>
      </w:r>
      <w:r w:rsidR="002D3A41" w:rsidRPr="00FB229F">
        <w:instrText xml:space="preserve"> REF _Ref134109727 \r \h </w:instrText>
      </w:r>
      <w:r w:rsidR="005F773C">
        <w:instrText xml:space="preserve"> \* MERGEFORMAT </w:instrText>
      </w:r>
      <w:r w:rsidR="002D3A41" w:rsidRPr="00FB229F">
        <w:fldChar w:fldCharType="separate"/>
      </w:r>
      <w:r w:rsidR="00CE0B36">
        <w:t>6.75</w:t>
      </w:r>
      <w:r w:rsidR="002D3A41" w:rsidRPr="00FB229F">
        <w:fldChar w:fldCharType="end"/>
      </w:r>
      <w:r w:rsidR="006D19F4" w:rsidRPr="00FB229F">
        <w:t>)</w:t>
      </w:r>
      <w:r w:rsidRPr="00FB229F">
        <w:t xml:space="preserve">. </w:t>
      </w:r>
    </w:p>
    <w:p w14:paraId="72C0EC01" w14:textId="65AF9B3E" w:rsidR="00DD24A9" w:rsidRPr="00FB229F" w:rsidRDefault="00DD24A9" w:rsidP="007F03AD">
      <w:pPr>
        <w:pStyle w:val="3-BodyText"/>
        <w:ind w:left="709" w:hanging="709"/>
      </w:pPr>
      <w:r w:rsidRPr="00FB229F">
        <w:t xml:space="preserve">The ICER of the revised base case was estimated to be </w:t>
      </w:r>
      <w:r w:rsidR="00825FC5" w:rsidRPr="00825FC5">
        <w:t>$75,000 to &lt; $95,000</w:t>
      </w:r>
      <w:r w:rsidRPr="00FB229F">
        <w:t>/QALY gained</w:t>
      </w:r>
      <w:r w:rsidRPr="008731AF">
        <w:t>, 8.7%</w:t>
      </w:r>
      <w:r w:rsidRPr="00FB229F">
        <w:t xml:space="preserve"> higher than the submission’s base case estimate (</w:t>
      </w:r>
      <w:r w:rsidR="005F773C" w:rsidRPr="00825FC5">
        <w:t>$</w:t>
      </w:r>
      <w:r w:rsidR="005F773C">
        <w:t>5</w:t>
      </w:r>
      <w:r w:rsidR="005F773C" w:rsidRPr="00825FC5">
        <w:t>5,000 to &lt; $</w:t>
      </w:r>
      <w:r w:rsidR="005F773C">
        <w:t>7</w:t>
      </w:r>
      <w:r w:rsidR="005F773C" w:rsidRPr="00825FC5">
        <w:t>5,000</w:t>
      </w:r>
      <w:r w:rsidR="005F773C">
        <w:t xml:space="preserve"> </w:t>
      </w:r>
      <w:r w:rsidR="005F773C" w:rsidRPr="00FB229F">
        <w:t>/</w:t>
      </w:r>
      <w:r w:rsidRPr="00FB229F">
        <w:t xml:space="preserve">QALY gained). </w:t>
      </w:r>
      <w:r w:rsidR="000B4C65" w:rsidRPr="00FB229F">
        <w:t>However the fundamental uncertainty associated with the indirect comparison between poorly transitive studies that formed the basis of the model cannot be resolved by re-specification; therefore the ICER remained highly uncertain.</w:t>
      </w:r>
      <w:r w:rsidRPr="00FB229F">
        <w:t xml:space="preserve"> </w:t>
      </w:r>
    </w:p>
    <w:p w14:paraId="7F4DFA51" w14:textId="7953E639" w:rsidR="00DD24A9" w:rsidRPr="00FB229F" w:rsidRDefault="00DD24A9" w:rsidP="007B1BC5">
      <w:pPr>
        <w:pStyle w:val="Caption"/>
        <w:rPr>
          <w:iCs/>
        </w:rPr>
      </w:pPr>
      <w:r w:rsidRPr="00FB229F">
        <w:rPr>
          <w:iCs/>
        </w:rPr>
        <w:t xml:space="preserve">Table </w:t>
      </w:r>
      <w:r w:rsidRPr="00FB229F">
        <w:rPr>
          <w:iCs/>
        </w:rPr>
        <w:fldChar w:fldCharType="begin" w:fldLock="1"/>
      </w:r>
      <w:r w:rsidRPr="00FB229F">
        <w:rPr>
          <w:iCs/>
        </w:rPr>
        <w:instrText xml:space="preserve"> SEQ Table \* ARABIC </w:instrText>
      </w:r>
      <w:r w:rsidRPr="00FB229F">
        <w:rPr>
          <w:iCs/>
        </w:rPr>
        <w:fldChar w:fldCharType="separate"/>
      </w:r>
      <w:r w:rsidR="00CA7201" w:rsidRPr="00166045">
        <w:rPr>
          <w:iCs/>
        </w:rPr>
        <w:t>23</w:t>
      </w:r>
      <w:r w:rsidRPr="00FB229F">
        <w:rPr>
          <w:iCs/>
        </w:rPr>
        <w:fldChar w:fldCharType="end"/>
      </w:r>
      <w:r w:rsidRPr="00FB229F">
        <w:rPr>
          <w:iCs/>
        </w:rPr>
        <w:t>: Results of the revised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47"/>
        <w:gridCol w:w="2395"/>
        <w:gridCol w:w="2965"/>
        <w:gridCol w:w="2110"/>
      </w:tblGrid>
      <w:tr w:rsidR="00DD24A9" w:rsidRPr="00FB229F" w14:paraId="362B583C" w14:textId="77777777" w:rsidTr="00604558">
        <w:trPr>
          <w:cantSplit/>
          <w:trHeight w:val="108"/>
          <w:tblHeader/>
        </w:trPr>
        <w:tc>
          <w:tcPr>
            <w:tcW w:w="858" w:type="pct"/>
            <w:vAlign w:val="center"/>
          </w:tcPr>
          <w:p w14:paraId="6D88F5A0" w14:textId="77777777" w:rsidR="00DD24A9" w:rsidRPr="00166045" w:rsidRDefault="00DD24A9" w:rsidP="007B1BC5">
            <w:pPr>
              <w:pStyle w:val="In-tableHeading"/>
              <w:rPr>
                <w:iCs/>
                <w:lang w:val="en-AU"/>
              </w:rPr>
            </w:pPr>
          </w:p>
        </w:tc>
        <w:tc>
          <w:tcPr>
            <w:tcW w:w="1328" w:type="pct"/>
            <w:vAlign w:val="center"/>
          </w:tcPr>
          <w:p w14:paraId="3A43F33C" w14:textId="77777777" w:rsidR="00DD24A9" w:rsidRPr="00166045" w:rsidRDefault="00DD24A9" w:rsidP="007B1BC5">
            <w:pPr>
              <w:pStyle w:val="In-tableHeading"/>
              <w:jc w:val="center"/>
              <w:rPr>
                <w:iCs/>
                <w:lang w:val="en-AU"/>
              </w:rPr>
            </w:pPr>
            <w:r w:rsidRPr="00166045">
              <w:rPr>
                <w:iCs/>
                <w:lang w:val="en-AU"/>
              </w:rPr>
              <w:t>Selpercatinib</w:t>
            </w:r>
          </w:p>
        </w:tc>
        <w:tc>
          <w:tcPr>
            <w:tcW w:w="1641" w:type="pct"/>
            <w:vAlign w:val="center"/>
          </w:tcPr>
          <w:p w14:paraId="5BD7253A" w14:textId="77777777" w:rsidR="00DD24A9" w:rsidRPr="00166045" w:rsidRDefault="00DD24A9" w:rsidP="007B1BC5">
            <w:pPr>
              <w:pStyle w:val="In-tableHeading"/>
              <w:jc w:val="center"/>
              <w:rPr>
                <w:iCs/>
                <w:lang w:val="en-AU"/>
              </w:rPr>
            </w:pPr>
            <w:r w:rsidRPr="00166045">
              <w:rPr>
                <w:iCs/>
                <w:lang w:val="en-AU"/>
              </w:rPr>
              <w:t>Pembrolizumab + PC</w:t>
            </w:r>
          </w:p>
        </w:tc>
        <w:tc>
          <w:tcPr>
            <w:tcW w:w="1173" w:type="pct"/>
            <w:vAlign w:val="center"/>
          </w:tcPr>
          <w:p w14:paraId="67BC1981" w14:textId="77777777" w:rsidR="00DD24A9" w:rsidRPr="00166045" w:rsidRDefault="00DD24A9" w:rsidP="007B1BC5">
            <w:pPr>
              <w:pStyle w:val="In-tableHeading"/>
              <w:jc w:val="center"/>
              <w:rPr>
                <w:iCs/>
                <w:lang w:val="en-AU"/>
              </w:rPr>
            </w:pPr>
            <w:r w:rsidRPr="00166045">
              <w:rPr>
                <w:iCs/>
                <w:lang w:val="en-AU"/>
              </w:rPr>
              <w:t>Increment</w:t>
            </w:r>
          </w:p>
        </w:tc>
      </w:tr>
      <w:tr w:rsidR="00DD24A9" w:rsidRPr="00FB229F" w14:paraId="7EED6F15" w14:textId="77777777" w:rsidTr="00604558">
        <w:trPr>
          <w:cantSplit/>
        </w:trPr>
        <w:tc>
          <w:tcPr>
            <w:tcW w:w="858" w:type="pct"/>
            <w:vAlign w:val="center"/>
          </w:tcPr>
          <w:p w14:paraId="37E4BEA1" w14:textId="77777777" w:rsidR="00DD24A9" w:rsidRPr="00FB229F" w:rsidRDefault="00DD24A9" w:rsidP="007B1BC5">
            <w:pPr>
              <w:pStyle w:val="TableText0"/>
              <w:rPr>
                <w:iCs/>
              </w:rPr>
            </w:pPr>
            <w:r w:rsidRPr="00FB229F">
              <w:rPr>
                <w:iCs/>
              </w:rPr>
              <w:t>Costs</w:t>
            </w:r>
          </w:p>
        </w:tc>
        <w:tc>
          <w:tcPr>
            <w:tcW w:w="1328" w:type="pct"/>
            <w:vAlign w:val="center"/>
          </w:tcPr>
          <w:p w14:paraId="5D71EF3E" w14:textId="302E32E1" w:rsidR="00DD24A9" w:rsidRPr="00FB229F" w:rsidRDefault="00DD24A9" w:rsidP="007B1BC5">
            <w:pPr>
              <w:pStyle w:val="TableText0"/>
              <w:jc w:val="center"/>
              <w:rPr>
                <w:iCs/>
              </w:rPr>
            </w:pPr>
            <w:r w:rsidRPr="00FB229F">
              <w:rPr>
                <w:iCs/>
              </w:rPr>
              <w:t>$</w:t>
            </w:r>
            <w:r w:rsidR="00816BFB" w:rsidRPr="00816BFB">
              <w:rPr>
                <w:iCs/>
                <w:highlight w:val="black"/>
              </w:rPr>
              <w:t>|</w:t>
            </w:r>
          </w:p>
        </w:tc>
        <w:tc>
          <w:tcPr>
            <w:tcW w:w="1641" w:type="pct"/>
            <w:vAlign w:val="center"/>
          </w:tcPr>
          <w:p w14:paraId="76F405AC" w14:textId="77777777" w:rsidR="00DD24A9" w:rsidRPr="00FB229F" w:rsidRDefault="00DD24A9" w:rsidP="007B1BC5">
            <w:pPr>
              <w:pStyle w:val="TableText0"/>
              <w:jc w:val="center"/>
              <w:rPr>
                <w:iCs/>
              </w:rPr>
            </w:pPr>
            <w:r w:rsidRPr="00FB229F">
              <w:rPr>
                <w:iCs/>
              </w:rPr>
              <w:t>$185,634</w:t>
            </w:r>
          </w:p>
        </w:tc>
        <w:tc>
          <w:tcPr>
            <w:tcW w:w="1173" w:type="pct"/>
            <w:vAlign w:val="center"/>
          </w:tcPr>
          <w:p w14:paraId="0A8A83C2" w14:textId="50973D23" w:rsidR="00DD24A9" w:rsidRPr="00FB229F" w:rsidRDefault="00DD24A9" w:rsidP="007B1BC5">
            <w:pPr>
              <w:pStyle w:val="TableText0"/>
              <w:jc w:val="center"/>
              <w:rPr>
                <w:iCs/>
              </w:rPr>
            </w:pPr>
            <w:r w:rsidRPr="00FB229F">
              <w:rPr>
                <w:iCs/>
              </w:rPr>
              <w:t>$</w:t>
            </w:r>
            <w:r w:rsidR="00816BFB" w:rsidRPr="00816BFB">
              <w:rPr>
                <w:iCs/>
                <w:highlight w:val="black"/>
              </w:rPr>
              <w:t>|</w:t>
            </w:r>
          </w:p>
        </w:tc>
      </w:tr>
      <w:tr w:rsidR="00DD24A9" w:rsidRPr="00FB229F" w14:paraId="3027DC4C" w14:textId="77777777" w:rsidTr="00604558">
        <w:trPr>
          <w:cantSplit/>
        </w:trPr>
        <w:tc>
          <w:tcPr>
            <w:tcW w:w="858" w:type="pct"/>
            <w:vAlign w:val="center"/>
          </w:tcPr>
          <w:p w14:paraId="75CB6F03" w14:textId="77777777" w:rsidR="00DD24A9" w:rsidRPr="00FB229F" w:rsidRDefault="00DD24A9" w:rsidP="007B1BC5">
            <w:pPr>
              <w:pStyle w:val="TableText0"/>
              <w:rPr>
                <w:iCs/>
              </w:rPr>
            </w:pPr>
            <w:r w:rsidRPr="00FB229F">
              <w:rPr>
                <w:iCs/>
              </w:rPr>
              <w:t>QALYs</w:t>
            </w:r>
          </w:p>
        </w:tc>
        <w:tc>
          <w:tcPr>
            <w:tcW w:w="1328" w:type="pct"/>
            <w:vAlign w:val="center"/>
          </w:tcPr>
          <w:p w14:paraId="186EC5FF" w14:textId="77777777" w:rsidR="00DD24A9" w:rsidRPr="00FB229F" w:rsidRDefault="00DD24A9" w:rsidP="007B1BC5">
            <w:pPr>
              <w:pStyle w:val="TableText0"/>
              <w:jc w:val="center"/>
              <w:rPr>
                <w:iCs/>
              </w:rPr>
            </w:pPr>
            <w:r w:rsidRPr="00FB229F">
              <w:rPr>
                <w:iCs/>
              </w:rPr>
              <w:t>2.804</w:t>
            </w:r>
          </w:p>
        </w:tc>
        <w:tc>
          <w:tcPr>
            <w:tcW w:w="1641" w:type="pct"/>
            <w:vAlign w:val="center"/>
          </w:tcPr>
          <w:p w14:paraId="6CAE7D82" w14:textId="77777777" w:rsidR="00DD24A9" w:rsidRPr="00FB229F" w:rsidRDefault="00DD24A9" w:rsidP="007B1BC5">
            <w:pPr>
              <w:pStyle w:val="TableText0"/>
              <w:jc w:val="center"/>
              <w:rPr>
                <w:iCs/>
              </w:rPr>
            </w:pPr>
            <w:r w:rsidRPr="00FB229F">
              <w:rPr>
                <w:iCs/>
              </w:rPr>
              <w:t>1.421</w:t>
            </w:r>
          </w:p>
        </w:tc>
        <w:tc>
          <w:tcPr>
            <w:tcW w:w="1173" w:type="pct"/>
            <w:vAlign w:val="center"/>
          </w:tcPr>
          <w:p w14:paraId="7D11D511" w14:textId="77777777" w:rsidR="00DD24A9" w:rsidRPr="00FB229F" w:rsidRDefault="00DD24A9" w:rsidP="007B1BC5">
            <w:pPr>
              <w:pStyle w:val="TableText0"/>
              <w:jc w:val="center"/>
              <w:rPr>
                <w:iCs/>
              </w:rPr>
            </w:pPr>
            <w:r w:rsidRPr="00FB229F">
              <w:rPr>
                <w:iCs/>
              </w:rPr>
              <w:t>1.382</w:t>
            </w:r>
          </w:p>
        </w:tc>
      </w:tr>
      <w:tr w:rsidR="00DD24A9" w:rsidRPr="00FB229F" w14:paraId="29AAA228" w14:textId="77777777" w:rsidTr="00604558">
        <w:trPr>
          <w:cantSplit/>
        </w:trPr>
        <w:tc>
          <w:tcPr>
            <w:tcW w:w="3830" w:type="pct"/>
            <w:gridSpan w:val="3"/>
            <w:vAlign w:val="center"/>
          </w:tcPr>
          <w:p w14:paraId="043B117A" w14:textId="77777777" w:rsidR="00DD24A9" w:rsidRPr="00FB229F" w:rsidRDefault="00DD24A9" w:rsidP="007B1BC5">
            <w:pPr>
              <w:pStyle w:val="TableText0"/>
              <w:rPr>
                <w:b/>
                <w:iCs/>
              </w:rPr>
            </w:pPr>
            <w:r w:rsidRPr="00FB229F">
              <w:rPr>
                <w:b/>
                <w:iCs/>
              </w:rPr>
              <w:t>Incremental cost/QALY gained</w:t>
            </w:r>
          </w:p>
        </w:tc>
        <w:tc>
          <w:tcPr>
            <w:tcW w:w="1170" w:type="pct"/>
            <w:vAlign w:val="center"/>
          </w:tcPr>
          <w:p w14:paraId="691A1BD5" w14:textId="6A4633AF" w:rsidR="00DD24A9" w:rsidRPr="00816BFB" w:rsidRDefault="00DD24A9" w:rsidP="007B1BC5">
            <w:pPr>
              <w:pStyle w:val="TableText0"/>
              <w:jc w:val="center"/>
              <w:rPr>
                <w:b/>
                <w:iCs/>
                <w:vertAlign w:val="superscript"/>
              </w:rPr>
            </w:pPr>
            <w:r w:rsidRPr="00FB229F">
              <w:rPr>
                <w:b/>
                <w:iCs/>
              </w:rPr>
              <w:t>$</w:t>
            </w:r>
            <w:r w:rsidR="00816BFB" w:rsidRPr="00816BFB">
              <w:rPr>
                <w:b/>
                <w:iCs/>
                <w:highlight w:val="black"/>
              </w:rPr>
              <w:t>|</w:t>
            </w:r>
            <w:r w:rsidR="002B1C05">
              <w:rPr>
                <w:b/>
                <w:iCs/>
                <w:vertAlign w:val="superscript"/>
              </w:rPr>
              <w:t>1</w:t>
            </w:r>
          </w:p>
        </w:tc>
      </w:tr>
    </w:tbl>
    <w:p w14:paraId="121BA1F7" w14:textId="77777777" w:rsidR="00DD24A9" w:rsidRPr="00FB229F" w:rsidRDefault="00DD24A9" w:rsidP="00816BFB">
      <w:pPr>
        <w:pStyle w:val="FooterTableFigure"/>
        <w:keepNext/>
        <w:rPr>
          <w:iCs/>
        </w:rPr>
      </w:pPr>
      <w:r w:rsidRPr="00FB229F">
        <w:rPr>
          <w:iCs/>
        </w:rPr>
        <w:t>Source: Analysis performed during the evaluation.</w:t>
      </w:r>
    </w:p>
    <w:p w14:paraId="49213481" w14:textId="141A6F23" w:rsidR="00DD24A9" w:rsidRDefault="00DD24A9" w:rsidP="00816BFB">
      <w:pPr>
        <w:pStyle w:val="FooterTableFigure"/>
        <w:keepNext/>
        <w:spacing w:after="0"/>
        <w:rPr>
          <w:iCs/>
        </w:rPr>
      </w:pPr>
      <w:r w:rsidRPr="00FB229F">
        <w:rPr>
          <w:iCs/>
        </w:rPr>
        <w:t>QALYs = quality-adjusted life years; PC = pemetrexed + platinum chemotherapy</w:t>
      </w:r>
    </w:p>
    <w:p w14:paraId="63FB8CDB" w14:textId="77777777" w:rsidR="005F773C" w:rsidRPr="009A6D58" w:rsidRDefault="005F773C" w:rsidP="00816BFB">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5265227" w14:textId="00E88B2C" w:rsidR="005F773C" w:rsidRPr="00816BFB" w:rsidRDefault="005F773C" w:rsidP="00816BFB">
      <w:pPr>
        <w:spacing w:after="120"/>
        <w:rPr>
          <w:i/>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F773C">
        <w:rPr>
          <w:rFonts w:ascii="Arial Narrow" w:hAnsi="Arial Narrow"/>
          <w:i/>
          <w:sz w:val="18"/>
          <w:szCs w:val="18"/>
        </w:rPr>
        <w:t>$75,000 to &lt; $95,000</w:t>
      </w:r>
    </w:p>
    <w:p w14:paraId="19E82669" w14:textId="77777777" w:rsidR="00DD24A9" w:rsidRPr="00FB229F" w:rsidRDefault="00DD24A9" w:rsidP="00DD24A9"/>
    <w:p w14:paraId="7A16530C" w14:textId="15DD65E0" w:rsidR="00DD24A9" w:rsidRPr="00FB229F" w:rsidRDefault="00DD24A9" w:rsidP="007F03AD">
      <w:pPr>
        <w:pStyle w:val="3-BodyText"/>
        <w:ind w:left="709" w:hanging="709"/>
      </w:pPr>
      <w:r w:rsidRPr="00FB229F">
        <w:lastRenderedPageBreak/>
        <w:t xml:space="preserve">The results of key sensitivity analyses using the re-specified base case are summarised in </w:t>
      </w:r>
      <w:r w:rsidRPr="00FB229F">
        <w:fldChar w:fldCharType="begin" w:fldLock="1"/>
      </w:r>
      <w:r w:rsidRPr="00FB229F">
        <w:instrText xml:space="preserve"> REF _Ref104804865 \h  \* MERGEFORMAT </w:instrText>
      </w:r>
      <w:r w:rsidRPr="00FB229F">
        <w:fldChar w:fldCharType="separate"/>
      </w:r>
      <w:r w:rsidR="00CA7201" w:rsidRPr="00FB229F">
        <w:t xml:space="preserve">Table </w:t>
      </w:r>
      <w:r w:rsidR="00CA7201" w:rsidRPr="00166045">
        <w:t>24</w:t>
      </w:r>
      <w:r w:rsidRPr="00FB229F">
        <w:fldChar w:fldCharType="end"/>
      </w:r>
      <w:r w:rsidRPr="00FB229F">
        <w:t>.</w:t>
      </w:r>
    </w:p>
    <w:p w14:paraId="457CE972" w14:textId="2038988B" w:rsidR="00DD24A9" w:rsidRPr="00FB229F" w:rsidRDefault="00DD24A9" w:rsidP="00DD24A9">
      <w:pPr>
        <w:pStyle w:val="Caption"/>
        <w:rPr>
          <w:rStyle w:val="CommentReference"/>
          <w:b/>
          <w:iCs/>
          <w:szCs w:val="24"/>
        </w:rPr>
      </w:pPr>
      <w:bookmarkStart w:id="90" w:name="_Ref104804865"/>
      <w:r w:rsidRPr="00FB229F">
        <w:rPr>
          <w:iCs/>
        </w:rPr>
        <w:t xml:space="preserve">Table </w:t>
      </w:r>
      <w:r w:rsidRPr="00166045">
        <w:rPr>
          <w:iCs/>
        </w:rPr>
        <w:fldChar w:fldCharType="begin" w:fldLock="1"/>
      </w:r>
      <w:r w:rsidRPr="00FB229F">
        <w:rPr>
          <w:iCs/>
        </w:rPr>
        <w:instrText xml:space="preserve"> SEQ Table \* ARABIC </w:instrText>
      </w:r>
      <w:r w:rsidRPr="00166045">
        <w:rPr>
          <w:iCs/>
        </w:rPr>
        <w:fldChar w:fldCharType="separate"/>
      </w:r>
      <w:r w:rsidR="00CA7201" w:rsidRPr="00166045">
        <w:rPr>
          <w:iCs/>
        </w:rPr>
        <w:t>24</w:t>
      </w:r>
      <w:r w:rsidRPr="00166045">
        <w:rPr>
          <w:iCs/>
        </w:rPr>
        <w:fldChar w:fldCharType="end"/>
      </w:r>
      <w:bookmarkEnd w:id="90"/>
      <w:r w:rsidRPr="00FB229F">
        <w:rPr>
          <w:iCs/>
        </w:rPr>
        <w:t>:</w:t>
      </w:r>
      <w:r w:rsidRPr="00FB229F">
        <w:rPr>
          <w:rStyle w:val="CommentReference"/>
          <w:b/>
          <w:iCs/>
          <w:szCs w:val="24"/>
        </w:rPr>
        <w:t xml:space="preserve"> Key sensitivity analyses based on the re-specified base case</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3836"/>
        <w:gridCol w:w="1112"/>
        <w:gridCol w:w="1114"/>
        <w:gridCol w:w="1390"/>
        <w:gridCol w:w="1388"/>
      </w:tblGrid>
      <w:tr w:rsidR="009E412A" w:rsidRPr="00FB229F" w14:paraId="5CCA7C74" w14:textId="77777777" w:rsidTr="00816BFB">
        <w:tc>
          <w:tcPr>
            <w:tcW w:w="2170" w:type="pct"/>
            <w:noWrap/>
          </w:tcPr>
          <w:p w14:paraId="64149E71" w14:textId="77777777" w:rsidR="00DD24A9" w:rsidRPr="00FB229F" w:rsidRDefault="00DD24A9" w:rsidP="00604558">
            <w:pPr>
              <w:pStyle w:val="Tabletextleft"/>
              <w:keepNext/>
              <w:spacing w:after="0"/>
              <w:rPr>
                <w:rFonts w:ascii="Arial Narrow" w:hAnsi="Arial Narrow"/>
                <w:b/>
                <w:iCs/>
                <w:sz w:val="20"/>
              </w:rPr>
            </w:pPr>
            <w:r w:rsidRPr="00FB229F">
              <w:rPr>
                <w:rFonts w:ascii="Arial Narrow" w:hAnsi="Arial Narrow"/>
                <w:b/>
                <w:iCs/>
                <w:sz w:val="20"/>
              </w:rPr>
              <w:t>Description</w:t>
            </w:r>
          </w:p>
        </w:tc>
        <w:tc>
          <w:tcPr>
            <w:tcW w:w="629" w:type="pct"/>
            <w:noWrap/>
          </w:tcPr>
          <w:p w14:paraId="060F41B3" w14:textId="54DF70F6" w:rsidR="00DD24A9" w:rsidRPr="00FB229F" w:rsidRDefault="00DD24A9" w:rsidP="00604558">
            <w:pPr>
              <w:pStyle w:val="Tabletextleft"/>
              <w:keepNext/>
              <w:spacing w:after="0"/>
              <w:jc w:val="center"/>
              <w:rPr>
                <w:rFonts w:ascii="Arial Narrow" w:hAnsi="Arial Narrow"/>
                <w:b/>
                <w:iCs/>
                <w:sz w:val="20"/>
              </w:rPr>
            </w:pPr>
            <w:r w:rsidRPr="00FB229F">
              <w:rPr>
                <w:rFonts w:ascii="Arial Narrow" w:hAnsi="Arial Narrow"/>
                <w:b/>
                <w:iCs/>
                <w:sz w:val="20"/>
              </w:rPr>
              <w:t>Incremental cost</w:t>
            </w:r>
            <w:r w:rsidR="005F773C">
              <w:rPr>
                <w:rFonts w:ascii="Arial Narrow" w:hAnsi="Arial Narrow"/>
                <w:b/>
                <w:iCs/>
                <w:sz w:val="20"/>
              </w:rPr>
              <w:t xml:space="preserve"> ($)</w:t>
            </w:r>
          </w:p>
        </w:tc>
        <w:tc>
          <w:tcPr>
            <w:tcW w:w="630" w:type="pct"/>
            <w:noWrap/>
          </w:tcPr>
          <w:p w14:paraId="1258320B" w14:textId="77777777" w:rsidR="00DD24A9" w:rsidRPr="00FB229F" w:rsidRDefault="00DD24A9" w:rsidP="00604558">
            <w:pPr>
              <w:pStyle w:val="Tabletextleft"/>
              <w:keepNext/>
              <w:spacing w:after="0"/>
              <w:jc w:val="center"/>
              <w:rPr>
                <w:rFonts w:ascii="Arial Narrow" w:hAnsi="Arial Narrow"/>
                <w:b/>
                <w:iCs/>
                <w:sz w:val="20"/>
              </w:rPr>
            </w:pPr>
            <w:r w:rsidRPr="00FB229F">
              <w:rPr>
                <w:rFonts w:ascii="Arial Narrow" w:hAnsi="Arial Narrow"/>
                <w:b/>
                <w:iCs/>
                <w:sz w:val="20"/>
              </w:rPr>
              <w:t>Incremental QALYs</w:t>
            </w:r>
          </w:p>
        </w:tc>
        <w:tc>
          <w:tcPr>
            <w:tcW w:w="786" w:type="pct"/>
            <w:noWrap/>
          </w:tcPr>
          <w:p w14:paraId="5C848472" w14:textId="1CE38C2B" w:rsidR="00DD24A9" w:rsidRPr="00FB229F" w:rsidRDefault="00DD24A9" w:rsidP="00604558">
            <w:pPr>
              <w:pStyle w:val="Tabletextleft"/>
              <w:keepNext/>
              <w:spacing w:after="0"/>
              <w:jc w:val="center"/>
              <w:rPr>
                <w:rFonts w:ascii="Arial Narrow" w:hAnsi="Arial Narrow"/>
                <w:b/>
                <w:iCs/>
                <w:sz w:val="20"/>
              </w:rPr>
            </w:pPr>
            <w:r w:rsidRPr="00FB229F">
              <w:rPr>
                <w:rFonts w:ascii="Arial Narrow" w:hAnsi="Arial Narrow"/>
                <w:b/>
                <w:iCs/>
                <w:sz w:val="20"/>
              </w:rPr>
              <w:t>ICER (cost per QALY gained)</w:t>
            </w:r>
          </w:p>
        </w:tc>
        <w:tc>
          <w:tcPr>
            <w:tcW w:w="785" w:type="pct"/>
            <w:noWrap/>
          </w:tcPr>
          <w:p w14:paraId="62D9E8F2" w14:textId="77777777" w:rsidR="00DD24A9" w:rsidRPr="00FB229F" w:rsidRDefault="00DD24A9" w:rsidP="00604558">
            <w:pPr>
              <w:pStyle w:val="Tabletextleft"/>
              <w:keepNext/>
              <w:spacing w:after="0"/>
              <w:jc w:val="center"/>
              <w:rPr>
                <w:rFonts w:ascii="Arial Narrow" w:hAnsi="Arial Narrow"/>
                <w:b/>
                <w:iCs/>
                <w:sz w:val="20"/>
              </w:rPr>
            </w:pPr>
            <w:r w:rsidRPr="00FB229F">
              <w:rPr>
                <w:rFonts w:ascii="Arial Narrow" w:hAnsi="Arial Narrow"/>
                <w:b/>
                <w:iCs/>
                <w:sz w:val="20"/>
              </w:rPr>
              <w:t>% change from base case ICER</w:t>
            </w:r>
          </w:p>
        </w:tc>
      </w:tr>
      <w:tr w:rsidR="009E412A" w:rsidRPr="00FB229F" w14:paraId="051836E6" w14:textId="77777777" w:rsidTr="00816BFB">
        <w:tc>
          <w:tcPr>
            <w:tcW w:w="2170" w:type="pct"/>
            <w:noWrap/>
          </w:tcPr>
          <w:p w14:paraId="5F156799" w14:textId="77777777" w:rsidR="00DD24A9" w:rsidRPr="00FB229F" w:rsidRDefault="00DD24A9" w:rsidP="00604558">
            <w:pPr>
              <w:pStyle w:val="Tabletextleft"/>
              <w:keepNext/>
              <w:spacing w:after="0"/>
              <w:rPr>
                <w:rFonts w:ascii="Arial Narrow" w:hAnsi="Arial Narrow"/>
                <w:b/>
                <w:iCs/>
                <w:sz w:val="20"/>
              </w:rPr>
            </w:pPr>
            <w:r w:rsidRPr="00FB229F">
              <w:rPr>
                <w:rFonts w:ascii="Arial Narrow" w:hAnsi="Arial Narrow"/>
                <w:b/>
                <w:iCs/>
                <w:sz w:val="20"/>
              </w:rPr>
              <w:t>Base case</w:t>
            </w:r>
          </w:p>
        </w:tc>
        <w:tc>
          <w:tcPr>
            <w:tcW w:w="629" w:type="pct"/>
            <w:noWrap/>
          </w:tcPr>
          <w:p w14:paraId="53344347" w14:textId="36A2FA8C" w:rsidR="00DD24A9" w:rsidRPr="00816BFB" w:rsidRDefault="00816BFB" w:rsidP="00604558">
            <w:pPr>
              <w:pStyle w:val="Tabletextleft"/>
              <w:keepNext/>
              <w:spacing w:after="0"/>
              <w:jc w:val="center"/>
              <w:rPr>
                <w:rFonts w:ascii="Arial Narrow" w:hAnsi="Arial Narrow"/>
                <w:b/>
                <w:iCs/>
                <w:sz w:val="20"/>
                <w:highlight w:val="black"/>
              </w:rPr>
            </w:pPr>
            <w:r w:rsidRPr="00816BFB">
              <w:rPr>
                <w:rFonts w:ascii="Arial Narrow" w:hAnsi="Arial Narrow" w:hint="eastAsia"/>
                <w:iCs/>
                <w:w w:val="15"/>
                <w:sz w:val="20"/>
                <w:highlight w:val="black"/>
                <w:fitText w:val="64" w:id="-1167880956"/>
              </w:rPr>
              <w:t xml:space="preserve">　</w:t>
            </w:r>
            <w:r w:rsidRPr="00816BFB">
              <w:rPr>
                <w:rFonts w:ascii="Arial Narrow" w:hAnsi="Arial Narrow"/>
                <w:iCs/>
                <w:w w:val="15"/>
                <w:sz w:val="20"/>
                <w:highlight w:val="black"/>
                <w:fitText w:val="64" w:id="-1167880956"/>
              </w:rPr>
              <w:t>|</w:t>
            </w:r>
            <w:r w:rsidRPr="00816BFB">
              <w:rPr>
                <w:rFonts w:ascii="Arial Narrow" w:hAnsi="Arial Narrow" w:hint="eastAsia"/>
                <w:iCs/>
                <w:spacing w:val="-1"/>
                <w:w w:val="15"/>
                <w:sz w:val="20"/>
                <w:highlight w:val="black"/>
                <w:fitText w:val="64" w:id="-1167880956"/>
              </w:rPr>
              <w:t xml:space="preserve">　</w:t>
            </w:r>
            <w:r w:rsidR="005F773C" w:rsidRPr="00816BFB">
              <w:rPr>
                <w:rFonts w:ascii="Arial Narrow" w:hAnsi="Arial Narrow"/>
                <w:iCs/>
                <w:sz w:val="20"/>
                <w:highlight w:val="black"/>
              </w:rPr>
              <w:t xml:space="preserve"> </w:t>
            </w:r>
          </w:p>
        </w:tc>
        <w:tc>
          <w:tcPr>
            <w:tcW w:w="630" w:type="pct"/>
            <w:noWrap/>
          </w:tcPr>
          <w:p w14:paraId="1705EDD0" w14:textId="77777777" w:rsidR="00DD24A9" w:rsidRPr="00FB229F" w:rsidRDefault="00DD24A9" w:rsidP="00604558">
            <w:pPr>
              <w:pStyle w:val="Tabletextleft"/>
              <w:keepNext/>
              <w:spacing w:after="0"/>
              <w:jc w:val="center"/>
              <w:rPr>
                <w:rFonts w:ascii="Arial Narrow" w:hAnsi="Arial Narrow"/>
                <w:b/>
                <w:iCs/>
                <w:sz w:val="20"/>
              </w:rPr>
            </w:pPr>
            <w:r w:rsidRPr="00FB229F">
              <w:rPr>
                <w:rFonts w:ascii="Arial Narrow" w:hAnsi="Arial Narrow"/>
                <w:iCs/>
                <w:sz w:val="20"/>
              </w:rPr>
              <w:t>1.382</w:t>
            </w:r>
          </w:p>
        </w:tc>
        <w:tc>
          <w:tcPr>
            <w:tcW w:w="786" w:type="pct"/>
            <w:noWrap/>
          </w:tcPr>
          <w:p w14:paraId="5980F112" w14:textId="42843A74" w:rsidR="00DD24A9" w:rsidRPr="00816BFB" w:rsidRDefault="00816BFB" w:rsidP="00604558">
            <w:pPr>
              <w:pStyle w:val="Tabletextleft"/>
              <w:keepNext/>
              <w:spacing w:after="0"/>
              <w:jc w:val="center"/>
              <w:rPr>
                <w:rFonts w:ascii="Arial Narrow" w:hAnsi="Arial Narrow"/>
                <w:b/>
                <w:iCs/>
                <w:sz w:val="20"/>
                <w:vertAlign w:val="superscript"/>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42AD1555" w14:textId="77777777" w:rsidR="00DD24A9" w:rsidRPr="00FB229F" w:rsidRDefault="00DD24A9" w:rsidP="00604558">
            <w:pPr>
              <w:pStyle w:val="Tabletextleft"/>
              <w:keepNext/>
              <w:spacing w:after="0"/>
              <w:jc w:val="center"/>
              <w:rPr>
                <w:rFonts w:ascii="Arial Narrow" w:hAnsi="Arial Narrow"/>
                <w:b/>
                <w:iCs/>
                <w:sz w:val="20"/>
              </w:rPr>
            </w:pPr>
            <w:r w:rsidRPr="00FB229F">
              <w:rPr>
                <w:rFonts w:ascii="Arial Narrow" w:hAnsi="Arial Narrow"/>
                <w:b/>
                <w:iCs/>
                <w:sz w:val="20"/>
              </w:rPr>
              <w:t>–</w:t>
            </w:r>
          </w:p>
        </w:tc>
      </w:tr>
      <w:tr w:rsidR="00DD24A9" w:rsidRPr="00FB229F" w14:paraId="243C978C" w14:textId="77777777" w:rsidTr="00816BFB">
        <w:tc>
          <w:tcPr>
            <w:tcW w:w="5000" w:type="pct"/>
            <w:gridSpan w:val="5"/>
            <w:noWrap/>
            <w:hideMark/>
          </w:tcPr>
          <w:p w14:paraId="0CFEC0F1"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cs="Arial"/>
                <w:b/>
                <w:bCs/>
                <w:iCs/>
                <w:sz w:val="20"/>
              </w:rPr>
              <w:t>Time horizon (base case: 7.5 years)</w:t>
            </w:r>
          </w:p>
        </w:tc>
      </w:tr>
      <w:tr w:rsidR="009E412A" w:rsidRPr="00FB229F" w14:paraId="2C432F5E" w14:textId="77777777" w:rsidTr="00816BFB">
        <w:tc>
          <w:tcPr>
            <w:tcW w:w="2170" w:type="pct"/>
            <w:noWrap/>
          </w:tcPr>
          <w:p w14:paraId="438E9FF7"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5 years</w:t>
            </w:r>
          </w:p>
        </w:tc>
        <w:tc>
          <w:tcPr>
            <w:tcW w:w="629" w:type="pct"/>
            <w:noWrap/>
          </w:tcPr>
          <w:p w14:paraId="519B92DB" w14:textId="712E63FB"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55"/>
              </w:rPr>
              <w:t xml:space="preserve">　</w:t>
            </w:r>
            <w:r w:rsidRPr="00816BFB">
              <w:rPr>
                <w:rFonts w:ascii="Arial Narrow" w:hAnsi="Arial Narrow"/>
                <w:iCs/>
                <w:w w:val="15"/>
                <w:sz w:val="20"/>
                <w:highlight w:val="black"/>
                <w:fitText w:val="64" w:id="-1167880955"/>
              </w:rPr>
              <w:t>|</w:t>
            </w:r>
            <w:r w:rsidRPr="00816BFB">
              <w:rPr>
                <w:rFonts w:ascii="Arial Narrow" w:hAnsi="Arial Narrow" w:hint="eastAsia"/>
                <w:iCs/>
                <w:spacing w:val="-1"/>
                <w:w w:val="15"/>
                <w:sz w:val="20"/>
                <w:highlight w:val="black"/>
                <w:fitText w:val="64" w:id="-1167880955"/>
              </w:rPr>
              <w:t xml:space="preserve">　</w:t>
            </w:r>
            <w:r w:rsidR="005F773C" w:rsidRPr="00816BFB">
              <w:rPr>
                <w:rFonts w:ascii="Arial Narrow" w:hAnsi="Arial Narrow"/>
                <w:iCs/>
                <w:sz w:val="20"/>
                <w:highlight w:val="black"/>
              </w:rPr>
              <w:t xml:space="preserve"> </w:t>
            </w:r>
          </w:p>
        </w:tc>
        <w:tc>
          <w:tcPr>
            <w:tcW w:w="630" w:type="pct"/>
            <w:noWrap/>
          </w:tcPr>
          <w:p w14:paraId="585DCA60"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0.992</w:t>
            </w:r>
          </w:p>
        </w:tc>
        <w:tc>
          <w:tcPr>
            <w:tcW w:w="786" w:type="pct"/>
            <w:noWrap/>
          </w:tcPr>
          <w:p w14:paraId="2129B784" w14:textId="6919FD34"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58721958"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5%</w:t>
            </w:r>
          </w:p>
        </w:tc>
      </w:tr>
      <w:tr w:rsidR="009E412A" w:rsidRPr="00FB229F" w14:paraId="3DDE1C99" w14:textId="77777777" w:rsidTr="00816BFB">
        <w:tc>
          <w:tcPr>
            <w:tcW w:w="2170" w:type="pct"/>
            <w:noWrap/>
          </w:tcPr>
          <w:p w14:paraId="287D004B"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20 years</w:t>
            </w:r>
          </w:p>
        </w:tc>
        <w:tc>
          <w:tcPr>
            <w:tcW w:w="629" w:type="pct"/>
            <w:noWrap/>
          </w:tcPr>
          <w:p w14:paraId="5E80FA3C" w14:textId="3985034E"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54"/>
              </w:rPr>
              <w:t xml:space="preserve">　</w:t>
            </w:r>
            <w:r w:rsidRPr="00816BFB">
              <w:rPr>
                <w:rFonts w:ascii="Arial Narrow" w:hAnsi="Arial Narrow"/>
                <w:iCs/>
                <w:w w:val="15"/>
                <w:sz w:val="20"/>
                <w:highlight w:val="black"/>
                <w:fitText w:val="64" w:id="-1167880954"/>
              </w:rPr>
              <w:t>|</w:t>
            </w:r>
            <w:r w:rsidRPr="00816BFB">
              <w:rPr>
                <w:rFonts w:ascii="Arial Narrow" w:hAnsi="Arial Narrow" w:hint="eastAsia"/>
                <w:iCs/>
                <w:spacing w:val="-1"/>
                <w:w w:val="15"/>
                <w:sz w:val="20"/>
                <w:highlight w:val="black"/>
                <w:fitText w:val="64" w:id="-1167880954"/>
              </w:rPr>
              <w:t xml:space="preserve">　</w:t>
            </w:r>
            <w:r w:rsidR="005F773C" w:rsidRPr="00816BFB">
              <w:rPr>
                <w:rFonts w:ascii="Arial Narrow" w:hAnsi="Arial Narrow"/>
                <w:iCs/>
                <w:sz w:val="20"/>
                <w:highlight w:val="black"/>
              </w:rPr>
              <w:t xml:space="preserve"> </w:t>
            </w:r>
          </w:p>
        </w:tc>
        <w:tc>
          <w:tcPr>
            <w:tcW w:w="630" w:type="pct"/>
            <w:noWrap/>
          </w:tcPr>
          <w:p w14:paraId="150CCA75"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1.852</w:t>
            </w:r>
          </w:p>
        </w:tc>
        <w:tc>
          <w:tcPr>
            <w:tcW w:w="786" w:type="pct"/>
            <w:noWrap/>
          </w:tcPr>
          <w:p w14:paraId="26BFAB3E" w14:textId="1EEAB80D" w:rsidR="00DD24A9" w:rsidRPr="00816BFB" w:rsidRDefault="00816BFB" w:rsidP="00604558">
            <w:pPr>
              <w:pStyle w:val="Tabletextleft"/>
              <w:keepNext/>
              <w:spacing w:after="0"/>
              <w:jc w:val="center"/>
              <w:rPr>
                <w:rFonts w:ascii="Arial Narrow" w:hAnsi="Arial Narrow"/>
                <w:iCs/>
                <w:sz w:val="20"/>
                <w:vertAlign w:val="superscript"/>
              </w:rPr>
            </w:pPr>
            <w:r w:rsidRPr="00816BFB">
              <w:rPr>
                <w:rFonts w:ascii="Arial Narrow" w:hAnsi="Arial Narrow"/>
                <w:iCs/>
                <w:sz w:val="20"/>
                <w:highlight w:val="black"/>
              </w:rPr>
              <w:t>|</w:t>
            </w:r>
            <w:r w:rsidR="00FE038D">
              <w:rPr>
                <w:rFonts w:ascii="Arial Narrow" w:hAnsi="Arial Narrow"/>
                <w:iCs/>
                <w:sz w:val="20"/>
              </w:rPr>
              <w:t xml:space="preserve"> </w:t>
            </w:r>
            <w:r w:rsidR="00FE038D">
              <w:rPr>
                <w:rFonts w:ascii="Arial Narrow" w:hAnsi="Arial Narrow"/>
                <w:iCs/>
                <w:sz w:val="20"/>
                <w:vertAlign w:val="superscript"/>
              </w:rPr>
              <w:t>2</w:t>
            </w:r>
          </w:p>
        </w:tc>
        <w:tc>
          <w:tcPr>
            <w:tcW w:w="785" w:type="pct"/>
            <w:noWrap/>
          </w:tcPr>
          <w:p w14:paraId="221940F8"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-13%</w:t>
            </w:r>
          </w:p>
        </w:tc>
      </w:tr>
      <w:tr w:rsidR="00DD24A9" w:rsidRPr="00FB229F" w14:paraId="35692DEE" w14:textId="77777777" w:rsidTr="00816BFB">
        <w:tc>
          <w:tcPr>
            <w:tcW w:w="5000" w:type="pct"/>
            <w:gridSpan w:val="5"/>
            <w:noWrap/>
          </w:tcPr>
          <w:p w14:paraId="0CFBDD65"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cs="Arial"/>
                <w:b/>
                <w:bCs/>
                <w:iCs/>
                <w:sz w:val="20"/>
              </w:rPr>
              <w:t>Discounting rate (base case: 5% for both costs and health outcomes)</w:t>
            </w:r>
          </w:p>
        </w:tc>
      </w:tr>
      <w:tr w:rsidR="009E412A" w:rsidRPr="00FB229F" w14:paraId="78B8E1DF" w14:textId="77777777" w:rsidTr="00816BFB">
        <w:tc>
          <w:tcPr>
            <w:tcW w:w="2170" w:type="pct"/>
            <w:noWrap/>
          </w:tcPr>
          <w:p w14:paraId="1F13CCD1"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cs="Arial"/>
                <w:iCs/>
                <w:sz w:val="20"/>
              </w:rPr>
              <w:t>0% for both costs and health outcomes</w:t>
            </w:r>
          </w:p>
        </w:tc>
        <w:tc>
          <w:tcPr>
            <w:tcW w:w="629" w:type="pct"/>
            <w:noWrap/>
          </w:tcPr>
          <w:p w14:paraId="55A54118" w14:textId="3632CBF6" w:rsidR="00DD24A9" w:rsidRPr="00816BFB" w:rsidRDefault="00816BFB" w:rsidP="00604558">
            <w:pPr>
              <w:pStyle w:val="Tabletextleft"/>
              <w:keepNext/>
              <w:spacing w:after="0"/>
              <w:jc w:val="center"/>
              <w:rPr>
                <w:rFonts w:ascii="Arial Narrow" w:hAnsi="Arial Narrow"/>
                <w:iCs/>
                <w:sz w:val="20"/>
                <w:highlight w:val="black"/>
              </w:rPr>
            </w:pPr>
            <w:r w:rsidRPr="00543276">
              <w:rPr>
                <w:rFonts w:ascii="Arial Narrow" w:hAnsi="Arial Narrow" w:hint="eastAsia"/>
                <w:iCs/>
                <w:w w:val="15"/>
                <w:sz w:val="20"/>
                <w:highlight w:val="black"/>
                <w:fitText w:val="64" w:id="-1167880953"/>
              </w:rPr>
              <w:t xml:space="preserve">　</w:t>
            </w:r>
            <w:r w:rsidRPr="00543276">
              <w:rPr>
                <w:rFonts w:ascii="Arial Narrow" w:hAnsi="Arial Narrow"/>
                <w:iCs/>
                <w:w w:val="15"/>
                <w:sz w:val="20"/>
                <w:highlight w:val="black"/>
                <w:fitText w:val="64" w:id="-1167880953"/>
              </w:rPr>
              <w:t>|</w:t>
            </w:r>
            <w:r w:rsidRPr="00543276">
              <w:rPr>
                <w:rFonts w:ascii="Arial Narrow" w:hAnsi="Arial Narrow" w:hint="eastAsia"/>
                <w:iCs/>
                <w:w w:val="15"/>
                <w:sz w:val="20"/>
                <w:highlight w:val="black"/>
                <w:fitText w:val="64" w:id="-1167880953"/>
              </w:rPr>
              <w:t xml:space="preserve">　</w:t>
            </w:r>
          </w:p>
        </w:tc>
        <w:tc>
          <w:tcPr>
            <w:tcW w:w="630" w:type="pct"/>
            <w:noWrap/>
          </w:tcPr>
          <w:p w14:paraId="3FBF2763"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1.663</w:t>
            </w:r>
          </w:p>
        </w:tc>
        <w:tc>
          <w:tcPr>
            <w:tcW w:w="786" w:type="pct"/>
            <w:noWrap/>
          </w:tcPr>
          <w:p w14:paraId="2356C97F" w14:textId="4E7B5EED"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537CE062"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3%</w:t>
            </w:r>
          </w:p>
        </w:tc>
      </w:tr>
      <w:tr w:rsidR="009E412A" w:rsidRPr="00FB229F" w14:paraId="0226245A" w14:textId="77777777" w:rsidTr="00816BFB">
        <w:tc>
          <w:tcPr>
            <w:tcW w:w="2170" w:type="pct"/>
            <w:noWrap/>
          </w:tcPr>
          <w:p w14:paraId="67BE12C8" w14:textId="77777777" w:rsidR="00DD24A9" w:rsidRPr="00FB229F" w:rsidRDefault="00DD24A9" w:rsidP="00604558">
            <w:pPr>
              <w:pStyle w:val="Tabletextleft"/>
              <w:keepNext/>
              <w:spacing w:after="0"/>
              <w:rPr>
                <w:rFonts w:ascii="Arial Narrow" w:hAnsi="Arial Narrow" w:cs="Arial"/>
                <w:iCs/>
                <w:sz w:val="20"/>
              </w:rPr>
            </w:pPr>
            <w:r w:rsidRPr="00FB229F">
              <w:rPr>
                <w:rFonts w:ascii="Arial Narrow" w:hAnsi="Arial Narrow" w:cs="Arial"/>
                <w:iCs/>
                <w:sz w:val="20"/>
              </w:rPr>
              <w:t>3.5% for both costs and health outcomes</w:t>
            </w:r>
          </w:p>
        </w:tc>
        <w:tc>
          <w:tcPr>
            <w:tcW w:w="629" w:type="pct"/>
            <w:noWrap/>
          </w:tcPr>
          <w:p w14:paraId="01E37CB8" w14:textId="1A8711E0" w:rsidR="00DD24A9" w:rsidRPr="00816BFB" w:rsidRDefault="00816BFB" w:rsidP="00604558">
            <w:pPr>
              <w:pStyle w:val="Tabletextleft"/>
              <w:keepNext/>
              <w:spacing w:after="0"/>
              <w:jc w:val="center"/>
              <w:rPr>
                <w:rFonts w:ascii="Arial Narrow" w:hAnsi="Arial Narrow"/>
                <w:iCs/>
                <w:sz w:val="20"/>
                <w:highlight w:val="black"/>
              </w:rPr>
            </w:pPr>
            <w:r w:rsidRPr="00543276">
              <w:rPr>
                <w:rFonts w:ascii="Arial Narrow" w:hAnsi="Arial Narrow" w:hint="eastAsia"/>
                <w:iCs/>
                <w:w w:val="15"/>
                <w:sz w:val="20"/>
                <w:highlight w:val="black"/>
                <w:fitText w:val="64" w:id="-1167880952"/>
              </w:rPr>
              <w:t xml:space="preserve">　</w:t>
            </w:r>
            <w:r w:rsidRPr="00543276">
              <w:rPr>
                <w:rFonts w:ascii="Arial Narrow" w:hAnsi="Arial Narrow"/>
                <w:iCs/>
                <w:w w:val="15"/>
                <w:sz w:val="20"/>
                <w:highlight w:val="black"/>
                <w:fitText w:val="64" w:id="-1167880952"/>
              </w:rPr>
              <w:t>|</w:t>
            </w:r>
            <w:r w:rsidRPr="00543276">
              <w:rPr>
                <w:rFonts w:ascii="Arial Narrow" w:hAnsi="Arial Narrow" w:hint="eastAsia"/>
                <w:iCs/>
                <w:w w:val="15"/>
                <w:sz w:val="20"/>
                <w:highlight w:val="black"/>
                <w:fitText w:val="64" w:id="-1167880952"/>
              </w:rPr>
              <w:t xml:space="preserve">　</w:t>
            </w:r>
          </w:p>
        </w:tc>
        <w:tc>
          <w:tcPr>
            <w:tcW w:w="630" w:type="pct"/>
            <w:noWrap/>
          </w:tcPr>
          <w:p w14:paraId="0F344E34"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1.459</w:t>
            </w:r>
          </w:p>
        </w:tc>
        <w:tc>
          <w:tcPr>
            <w:tcW w:w="786" w:type="pct"/>
            <w:noWrap/>
          </w:tcPr>
          <w:p w14:paraId="64A8CC93" w14:textId="7FDBBC31"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3ABD1046"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w:t>
            </w:r>
          </w:p>
        </w:tc>
      </w:tr>
      <w:tr w:rsidR="00DD24A9" w:rsidRPr="00FB229F" w14:paraId="09883152" w14:textId="77777777" w:rsidTr="00816BFB">
        <w:tc>
          <w:tcPr>
            <w:tcW w:w="5000" w:type="pct"/>
            <w:gridSpan w:val="5"/>
            <w:noWrap/>
          </w:tcPr>
          <w:p w14:paraId="0C4D38C9" w14:textId="77777777" w:rsidR="00DD24A9" w:rsidRPr="00FB229F" w:rsidRDefault="00DD24A9" w:rsidP="00604558">
            <w:pPr>
              <w:pStyle w:val="Tabletextleft"/>
              <w:keepNext/>
              <w:spacing w:after="0"/>
              <w:rPr>
                <w:rFonts w:ascii="Arial Narrow" w:hAnsi="Arial Narrow"/>
                <w:b/>
                <w:iCs/>
                <w:sz w:val="20"/>
              </w:rPr>
            </w:pPr>
            <w:r w:rsidRPr="00FB229F">
              <w:rPr>
                <w:rFonts w:ascii="Arial Narrow" w:hAnsi="Arial Narrow"/>
                <w:b/>
                <w:bCs/>
                <w:iCs/>
                <w:sz w:val="20"/>
              </w:rPr>
              <w:t>Parametric function for OS (base case: spline knot 1 for both selpercatinib and pseudo-control (i.e. PC alone))</w:t>
            </w:r>
          </w:p>
        </w:tc>
      </w:tr>
      <w:tr w:rsidR="009E412A" w:rsidRPr="00FB229F" w14:paraId="3F00AAA5" w14:textId="77777777" w:rsidTr="00816BFB">
        <w:tc>
          <w:tcPr>
            <w:tcW w:w="2170" w:type="pct"/>
            <w:shd w:val="clear" w:color="auto" w:fill="auto"/>
            <w:noWrap/>
          </w:tcPr>
          <w:p w14:paraId="48D8C709"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Use generalised gamma (2</w:t>
            </w:r>
            <w:r w:rsidRPr="00FB229F">
              <w:rPr>
                <w:rFonts w:ascii="Arial Narrow" w:hAnsi="Arial Narrow"/>
                <w:iCs/>
                <w:sz w:val="20"/>
                <w:vertAlign w:val="superscript"/>
              </w:rPr>
              <w:t>nd</w:t>
            </w:r>
            <w:r w:rsidRPr="00FB229F">
              <w:rPr>
                <w:rFonts w:ascii="Arial Narrow" w:hAnsi="Arial Narrow"/>
                <w:iCs/>
                <w:sz w:val="20"/>
              </w:rPr>
              <w:t xml:space="preserve"> best fit) for selpercatinib arm only</w:t>
            </w:r>
          </w:p>
        </w:tc>
        <w:tc>
          <w:tcPr>
            <w:tcW w:w="629" w:type="pct"/>
            <w:noWrap/>
          </w:tcPr>
          <w:p w14:paraId="3F586DF4" w14:textId="770A4254" w:rsidR="00DD24A9" w:rsidRPr="00816BFB" w:rsidRDefault="00816BFB" w:rsidP="00604558">
            <w:pPr>
              <w:pStyle w:val="Tabletextleft"/>
              <w:keepNext/>
              <w:spacing w:after="0"/>
              <w:jc w:val="center"/>
              <w:rPr>
                <w:rFonts w:ascii="Arial Narrow" w:hAnsi="Arial Narrow"/>
                <w:iCs/>
                <w:sz w:val="20"/>
                <w:highlight w:val="black"/>
              </w:rPr>
            </w:pPr>
            <w:r w:rsidRPr="00543276">
              <w:rPr>
                <w:rFonts w:ascii="Arial Narrow" w:hAnsi="Arial Narrow" w:hint="eastAsia"/>
                <w:iCs/>
                <w:w w:val="15"/>
                <w:sz w:val="20"/>
                <w:highlight w:val="black"/>
                <w:fitText w:val="64" w:id="-1167880951"/>
              </w:rPr>
              <w:t xml:space="preserve">　</w:t>
            </w:r>
            <w:r w:rsidRPr="00543276">
              <w:rPr>
                <w:rFonts w:ascii="Arial Narrow" w:hAnsi="Arial Narrow"/>
                <w:iCs/>
                <w:w w:val="15"/>
                <w:sz w:val="20"/>
                <w:highlight w:val="black"/>
                <w:fitText w:val="64" w:id="-1167880951"/>
              </w:rPr>
              <w:t>|</w:t>
            </w:r>
            <w:r w:rsidRPr="00543276">
              <w:rPr>
                <w:rFonts w:ascii="Arial Narrow" w:hAnsi="Arial Narrow" w:hint="eastAsia"/>
                <w:iCs/>
                <w:w w:val="15"/>
                <w:sz w:val="20"/>
                <w:highlight w:val="black"/>
                <w:fitText w:val="64" w:id="-1167880951"/>
              </w:rPr>
              <w:t xml:space="preserve">　</w:t>
            </w:r>
          </w:p>
        </w:tc>
        <w:tc>
          <w:tcPr>
            <w:tcW w:w="630" w:type="pct"/>
            <w:noWrap/>
          </w:tcPr>
          <w:p w14:paraId="3E7EF9BD"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1.412</w:t>
            </w:r>
          </w:p>
        </w:tc>
        <w:tc>
          <w:tcPr>
            <w:tcW w:w="786" w:type="pct"/>
            <w:noWrap/>
          </w:tcPr>
          <w:p w14:paraId="283FA82B" w14:textId="57E5BB5A" w:rsidR="00DD24A9" w:rsidRPr="00816BFB" w:rsidRDefault="00816BFB" w:rsidP="00604558">
            <w:pPr>
              <w:pStyle w:val="Tabletextleft"/>
              <w:keepNext/>
              <w:spacing w:after="0"/>
              <w:jc w:val="center"/>
              <w:rPr>
                <w:rFonts w:ascii="Arial Narrow" w:hAnsi="Arial Narrow"/>
                <w:iCs/>
                <w:sz w:val="20"/>
                <w:highlight w:val="darkGray"/>
              </w:rPr>
            </w:pPr>
            <w:r w:rsidRPr="00816BFB">
              <w:rPr>
                <w:rFonts w:ascii="Arial Narrow" w:hAnsi="Arial Narrow"/>
                <w:iCs/>
                <w:sz w:val="20"/>
                <w:highlight w:val="black"/>
              </w:rPr>
              <w:t>|</w:t>
            </w:r>
            <w:r w:rsidR="005F773C" w:rsidRPr="00B4032E">
              <w:rPr>
                <w:rFonts w:ascii="Arial Narrow" w:hAnsi="Arial Narrow"/>
                <w:iCs/>
                <w:sz w:val="20"/>
              </w:rPr>
              <w:t xml:space="preserve"> </w:t>
            </w:r>
            <w:r w:rsidR="005F773C" w:rsidRPr="00B4032E">
              <w:rPr>
                <w:rFonts w:ascii="Arial Narrow" w:hAnsi="Arial Narrow"/>
                <w:iCs/>
                <w:sz w:val="20"/>
                <w:vertAlign w:val="superscript"/>
              </w:rPr>
              <w:t>1</w:t>
            </w:r>
          </w:p>
        </w:tc>
        <w:tc>
          <w:tcPr>
            <w:tcW w:w="785" w:type="pct"/>
            <w:noWrap/>
          </w:tcPr>
          <w:p w14:paraId="2D2351AA"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-3%</w:t>
            </w:r>
          </w:p>
        </w:tc>
      </w:tr>
      <w:tr w:rsidR="009E412A" w:rsidRPr="00FB229F" w14:paraId="0C1F3A02" w14:textId="77777777" w:rsidTr="00816BFB">
        <w:tc>
          <w:tcPr>
            <w:tcW w:w="2170" w:type="pct"/>
            <w:shd w:val="clear" w:color="auto" w:fill="auto"/>
            <w:noWrap/>
          </w:tcPr>
          <w:p w14:paraId="179F4526"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Use gamma (3</w:t>
            </w:r>
            <w:r w:rsidRPr="00FB229F">
              <w:rPr>
                <w:rFonts w:ascii="Arial Narrow" w:hAnsi="Arial Narrow"/>
                <w:iCs/>
                <w:sz w:val="20"/>
                <w:vertAlign w:val="superscript"/>
              </w:rPr>
              <w:t>rd</w:t>
            </w:r>
            <w:r w:rsidRPr="00FB229F">
              <w:rPr>
                <w:rFonts w:ascii="Arial Narrow" w:hAnsi="Arial Narrow"/>
                <w:iCs/>
                <w:sz w:val="20"/>
              </w:rPr>
              <w:t xml:space="preserve"> best fit) for selpercatinib arm only</w:t>
            </w:r>
          </w:p>
        </w:tc>
        <w:tc>
          <w:tcPr>
            <w:tcW w:w="629" w:type="pct"/>
            <w:noWrap/>
          </w:tcPr>
          <w:p w14:paraId="542C880A" w14:textId="51DE737C" w:rsidR="00DD24A9" w:rsidRPr="00816BFB" w:rsidRDefault="00816BFB" w:rsidP="00604558">
            <w:pPr>
              <w:pStyle w:val="Tabletextleft"/>
              <w:keepNext/>
              <w:spacing w:after="0"/>
              <w:jc w:val="center"/>
              <w:rPr>
                <w:rFonts w:ascii="Arial Narrow" w:hAnsi="Arial Narrow"/>
                <w:iCs/>
                <w:sz w:val="20"/>
                <w:highlight w:val="black"/>
              </w:rPr>
            </w:pPr>
            <w:r w:rsidRPr="00543276">
              <w:rPr>
                <w:rFonts w:ascii="Arial Narrow" w:hAnsi="Arial Narrow" w:hint="eastAsia"/>
                <w:iCs/>
                <w:w w:val="15"/>
                <w:sz w:val="20"/>
                <w:highlight w:val="black"/>
                <w:fitText w:val="64" w:id="-1167880950"/>
              </w:rPr>
              <w:t xml:space="preserve">　</w:t>
            </w:r>
            <w:r w:rsidRPr="00543276">
              <w:rPr>
                <w:rFonts w:ascii="Arial Narrow" w:hAnsi="Arial Narrow"/>
                <w:iCs/>
                <w:w w:val="15"/>
                <w:sz w:val="20"/>
                <w:highlight w:val="black"/>
                <w:fitText w:val="64" w:id="-1167880950"/>
              </w:rPr>
              <w:t>|</w:t>
            </w:r>
            <w:r w:rsidRPr="00543276">
              <w:rPr>
                <w:rFonts w:ascii="Arial Narrow" w:hAnsi="Arial Narrow" w:hint="eastAsia"/>
                <w:iCs/>
                <w:w w:val="15"/>
                <w:sz w:val="20"/>
                <w:highlight w:val="black"/>
                <w:fitText w:val="64" w:id="-1167880950"/>
              </w:rPr>
              <w:t xml:space="preserve">　</w:t>
            </w:r>
          </w:p>
        </w:tc>
        <w:tc>
          <w:tcPr>
            <w:tcW w:w="630" w:type="pct"/>
            <w:noWrap/>
          </w:tcPr>
          <w:p w14:paraId="4B6BBB2D"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1.251</w:t>
            </w:r>
          </w:p>
        </w:tc>
        <w:tc>
          <w:tcPr>
            <w:tcW w:w="786" w:type="pct"/>
            <w:noWrap/>
          </w:tcPr>
          <w:p w14:paraId="7EF89B7D" w14:textId="451B5177"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22720B10"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13%</w:t>
            </w:r>
          </w:p>
        </w:tc>
      </w:tr>
      <w:tr w:rsidR="009E412A" w:rsidRPr="00FB229F" w14:paraId="0F844CFB" w14:textId="77777777" w:rsidTr="00816BFB">
        <w:tc>
          <w:tcPr>
            <w:tcW w:w="2170" w:type="pct"/>
            <w:shd w:val="clear" w:color="auto" w:fill="auto"/>
            <w:noWrap/>
          </w:tcPr>
          <w:p w14:paraId="2501265C"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Exponential for both arms</w:t>
            </w:r>
          </w:p>
        </w:tc>
        <w:tc>
          <w:tcPr>
            <w:tcW w:w="629" w:type="pct"/>
            <w:noWrap/>
          </w:tcPr>
          <w:p w14:paraId="382963C6" w14:textId="55642E6B" w:rsidR="00DD24A9" w:rsidRPr="00816BFB" w:rsidRDefault="00816BFB" w:rsidP="00604558">
            <w:pPr>
              <w:pStyle w:val="Tabletextleft"/>
              <w:keepNext/>
              <w:spacing w:after="0"/>
              <w:jc w:val="center"/>
              <w:rPr>
                <w:rFonts w:ascii="Arial Narrow" w:hAnsi="Arial Narrow"/>
                <w:iCs/>
                <w:sz w:val="20"/>
                <w:highlight w:val="black"/>
              </w:rPr>
            </w:pPr>
            <w:r w:rsidRPr="00543276">
              <w:rPr>
                <w:rFonts w:ascii="Arial Narrow" w:hAnsi="Arial Narrow" w:hint="eastAsia"/>
                <w:iCs/>
                <w:w w:val="15"/>
                <w:sz w:val="20"/>
                <w:highlight w:val="black"/>
                <w:fitText w:val="64" w:id="-1167880949"/>
              </w:rPr>
              <w:t xml:space="preserve">　</w:t>
            </w:r>
            <w:r w:rsidRPr="00543276">
              <w:rPr>
                <w:rFonts w:ascii="Arial Narrow" w:hAnsi="Arial Narrow"/>
                <w:iCs/>
                <w:w w:val="15"/>
                <w:sz w:val="20"/>
                <w:highlight w:val="black"/>
                <w:fitText w:val="64" w:id="-1167880949"/>
              </w:rPr>
              <w:t>|</w:t>
            </w:r>
            <w:r w:rsidRPr="00543276">
              <w:rPr>
                <w:rFonts w:ascii="Arial Narrow" w:hAnsi="Arial Narrow" w:hint="eastAsia"/>
                <w:iCs/>
                <w:w w:val="15"/>
                <w:sz w:val="20"/>
                <w:highlight w:val="black"/>
                <w:fitText w:val="64" w:id="-1167880949"/>
              </w:rPr>
              <w:t xml:space="preserve">　</w:t>
            </w:r>
          </w:p>
        </w:tc>
        <w:tc>
          <w:tcPr>
            <w:tcW w:w="630" w:type="pct"/>
            <w:noWrap/>
          </w:tcPr>
          <w:p w14:paraId="26E5804B"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1.305</w:t>
            </w:r>
          </w:p>
        </w:tc>
        <w:tc>
          <w:tcPr>
            <w:tcW w:w="786" w:type="pct"/>
            <w:noWrap/>
          </w:tcPr>
          <w:p w14:paraId="4D777D29" w14:textId="0DDB8484"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7C096568"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6%</w:t>
            </w:r>
          </w:p>
        </w:tc>
      </w:tr>
      <w:tr w:rsidR="009E412A" w:rsidRPr="00FB229F" w14:paraId="1939061F" w14:textId="77777777" w:rsidTr="00816BFB">
        <w:tc>
          <w:tcPr>
            <w:tcW w:w="2170" w:type="pct"/>
            <w:shd w:val="clear" w:color="auto" w:fill="auto"/>
            <w:noWrap/>
          </w:tcPr>
          <w:p w14:paraId="6189F8F2"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Weibull for both arms</w:t>
            </w:r>
          </w:p>
        </w:tc>
        <w:tc>
          <w:tcPr>
            <w:tcW w:w="629" w:type="pct"/>
            <w:noWrap/>
          </w:tcPr>
          <w:p w14:paraId="05204BDC" w14:textId="2E05B248" w:rsidR="00DD24A9" w:rsidRPr="00816BFB" w:rsidRDefault="00816BFB" w:rsidP="00604558">
            <w:pPr>
              <w:pStyle w:val="Tabletextleft"/>
              <w:keepNext/>
              <w:spacing w:after="0"/>
              <w:jc w:val="center"/>
              <w:rPr>
                <w:rFonts w:ascii="Arial Narrow" w:hAnsi="Arial Narrow"/>
                <w:iCs/>
                <w:sz w:val="20"/>
                <w:highlight w:val="black"/>
              </w:rPr>
            </w:pPr>
            <w:r w:rsidRPr="00543276">
              <w:rPr>
                <w:rFonts w:ascii="Arial Narrow" w:hAnsi="Arial Narrow" w:hint="eastAsia"/>
                <w:iCs/>
                <w:w w:val="15"/>
                <w:sz w:val="20"/>
                <w:highlight w:val="black"/>
                <w:fitText w:val="64" w:id="-1167880948"/>
              </w:rPr>
              <w:t xml:space="preserve">　</w:t>
            </w:r>
            <w:r w:rsidRPr="00543276">
              <w:rPr>
                <w:rFonts w:ascii="Arial Narrow" w:hAnsi="Arial Narrow"/>
                <w:iCs/>
                <w:w w:val="15"/>
                <w:sz w:val="20"/>
                <w:highlight w:val="black"/>
                <w:fitText w:val="64" w:id="-1167880948"/>
              </w:rPr>
              <w:t>|</w:t>
            </w:r>
            <w:r w:rsidRPr="00543276">
              <w:rPr>
                <w:rFonts w:ascii="Arial Narrow" w:hAnsi="Arial Narrow" w:hint="eastAsia"/>
                <w:iCs/>
                <w:w w:val="15"/>
                <w:sz w:val="20"/>
                <w:highlight w:val="black"/>
                <w:fitText w:val="64" w:id="-1167880948"/>
              </w:rPr>
              <w:t xml:space="preserve">　</w:t>
            </w:r>
          </w:p>
        </w:tc>
        <w:tc>
          <w:tcPr>
            <w:tcW w:w="630" w:type="pct"/>
            <w:noWrap/>
          </w:tcPr>
          <w:p w14:paraId="430AF8A2"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1.370</w:t>
            </w:r>
          </w:p>
        </w:tc>
        <w:tc>
          <w:tcPr>
            <w:tcW w:w="786" w:type="pct"/>
            <w:noWrap/>
          </w:tcPr>
          <w:p w14:paraId="16F14428" w14:textId="09D1DFBA"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40D07C30"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2%</w:t>
            </w:r>
          </w:p>
        </w:tc>
      </w:tr>
      <w:tr w:rsidR="009E412A" w:rsidRPr="00FB229F" w14:paraId="17A8DAA1" w14:textId="77777777" w:rsidTr="00816BFB">
        <w:tc>
          <w:tcPr>
            <w:tcW w:w="2170" w:type="pct"/>
            <w:shd w:val="clear" w:color="auto" w:fill="auto"/>
            <w:noWrap/>
          </w:tcPr>
          <w:p w14:paraId="3BAC8E15"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Gompertz for both arms</w:t>
            </w:r>
          </w:p>
        </w:tc>
        <w:tc>
          <w:tcPr>
            <w:tcW w:w="629" w:type="pct"/>
            <w:noWrap/>
          </w:tcPr>
          <w:p w14:paraId="65D385A8" w14:textId="4FE93E8A" w:rsidR="00DD24A9" w:rsidRPr="00816BFB" w:rsidRDefault="00816BFB" w:rsidP="00604558">
            <w:pPr>
              <w:pStyle w:val="Tabletextleft"/>
              <w:keepNext/>
              <w:spacing w:after="0"/>
              <w:jc w:val="center"/>
              <w:rPr>
                <w:rFonts w:ascii="Arial Narrow" w:hAnsi="Arial Narrow"/>
                <w:iCs/>
                <w:sz w:val="20"/>
                <w:highlight w:val="black"/>
              </w:rPr>
            </w:pPr>
            <w:r w:rsidRPr="00543276">
              <w:rPr>
                <w:rFonts w:ascii="Arial Narrow" w:hAnsi="Arial Narrow" w:hint="eastAsia"/>
                <w:iCs/>
                <w:w w:val="15"/>
                <w:sz w:val="20"/>
                <w:highlight w:val="black"/>
                <w:fitText w:val="64" w:id="-1167880947"/>
              </w:rPr>
              <w:t xml:space="preserve">　</w:t>
            </w:r>
            <w:r w:rsidRPr="00543276">
              <w:rPr>
                <w:rFonts w:ascii="Arial Narrow" w:hAnsi="Arial Narrow"/>
                <w:iCs/>
                <w:w w:val="15"/>
                <w:sz w:val="20"/>
                <w:highlight w:val="black"/>
                <w:fitText w:val="64" w:id="-1167880947"/>
              </w:rPr>
              <w:t>|</w:t>
            </w:r>
            <w:r w:rsidRPr="00543276">
              <w:rPr>
                <w:rFonts w:ascii="Arial Narrow" w:hAnsi="Arial Narrow" w:hint="eastAsia"/>
                <w:iCs/>
                <w:w w:val="15"/>
                <w:sz w:val="20"/>
                <w:highlight w:val="black"/>
                <w:fitText w:val="64" w:id="-1167880947"/>
              </w:rPr>
              <w:t xml:space="preserve">　</w:t>
            </w:r>
          </w:p>
        </w:tc>
        <w:tc>
          <w:tcPr>
            <w:tcW w:w="630" w:type="pct"/>
            <w:noWrap/>
          </w:tcPr>
          <w:p w14:paraId="7EBB698D"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1.168</w:t>
            </w:r>
          </w:p>
        </w:tc>
        <w:tc>
          <w:tcPr>
            <w:tcW w:w="786" w:type="pct"/>
            <w:noWrap/>
          </w:tcPr>
          <w:p w14:paraId="76CD3929" w14:textId="79F83765" w:rsidR="00DD24A9" w:rsidRPr="00816BFB" w:rsidRDefault="00816BFB" w:rsidP="00604558">
            <w:pPr>
              <w:pStyle w:val="Tabletextleft"/>
              <w:keepNext/>
              <w:spacing w:after="0"/>
              <w:jc w:val="center"/>
              <w:rPr>
                <w:rFonts w:ascii="Arial Narrow" w:hAnsi="Arial Narrow"/>
                <w:iCs/>
                <w:sz w:val="20"/>
                <w:vertAlign w:val="superscript"/>
              </w:rPr>
            </w:pPr>
            <w:r w:rsidRPr="00816BFB">
              <w:rPr>
                <w:rFonts w:ascii="Arial Narrow" w:hAnsi="Arial Narrow"/>
                <w:iCs/>
                <w:sz w:val="20"/>
                <w:highlight w:val="black"/>
              </w:rPr>
              <w:t>|</w:t>
            </w:r>
            <w:r w:rsidR="009E412A">
              <w:rPr>
                <w:rFonts w:ascii="Arial Narrow" w:hAnsi="Arial Narrow"/>
                <w:iCs/>
                <w:sz w:val="20"/>
              </w:rPr>
              <w:t xml:space="preserve"> </w:t>
            </w:r>
            <w:r w:rsidR="009E412A">
              <w:rPr>
                <w:rFonts w:ascii="Arial Narrow" w:hAnsi="Arial Narrow"/>
                <w:iCs/>
                <w:sz w:val="20"/>
                <w:vertAlign w:val="superscript"/>
              </w:rPr>
              <w:t>3</w:t>
            </w:r>
          </w:p>
        </w:tc>
        <w:tc>
          <w:tcPr>
            <w:tcW w:w="785" w:type="pct"/>
            <w:noWrap/>
          </w:tcPr>
          <w:p w14:paraId="3A16CC50"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24%</w:t>
            </w:r>
          </w:p>
        </w:tc>
      </w:tr>
      <w:tr w:rsidR="009E412A" w:rsidRPr="00FB229F" w14:paraId="406E3EE9" w14:textId="77777777" w:rsidTr="00816BFB">
        <w:tc>
          <w:tcPr>
            <w:tcW w:w="2170" w:type="pct"/>
            <w:shd w:val="clear" w:color="auto" w:fill="auto"/>
            <w:noWrap/>
          </w:tcPr>
          <w:p w14:paraId="43D8037E"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Spline knot 2 for both arms</w:t>
            </w:r>
          </w:p>
        </w:tc>
        <w:tc>
          <w:tcPr>
            <w:tcW w:w="629" w:type="pct"/>
            <w:noWrap/>
          </w:tcPr>
          <w:p w14:paraId="510ACAAB" w14:textId="151FF6CD" w:rsidR="00DD24A9" w:rsidRPr="00816BFB" w:rsidRDefault="00816BFB" w:rsidP="00604558">
            <w:pPr>
              <w:pStyle w:val="Tabletextleft"/>
              <w:keepNext/>
              <w:spacing w:after="0"/>
              <w:jc w:val="center"/>
              <w:rPr>
                <w:rFonts w:ascii="Arial Narrow" w:hAnsi="Arial Narrow"/>
                <w:iCs/>
                <w:sz w:val="20"/>
                <w:highlight w:val="black"/>
              </w:rPr>
            </w:pPr>
            <w:r w:rsidRPr="00543276">
              <w:rPr>
                <w:rFonts w:ascii="Arial Narrow" w:hAnsi="Arial Narrow" w:hint="eastAsia"/>
                <w:iCs/>
                <w:w w:val="15"/>
                <w:sz w:val="20"/>
                <w:highlight w:val="black"/>
                <w:fitText w:val="64" w:id="-1167880946"/>
              </w:rPr>
              <w:t xml:space="preserve">　</w:t>
            </w:r>
            <w:r w:rsidRPr="00543276">
              <w:rPr>
                <w:rFonts w:ascii="Arial Narrow" w:hAnsi="Arial Narrow"/>
                <w:iCs/>
                <w:w w:val="15"/>
                <w:sz w:val="20"/>
                <w:highlight w:val="black"/>
                <w:fitText w:val="64" w:id="-1167880946"/>
              </w:rPr>
              <w:t>|</w:t>
            </w:r>
            <w:r w:rsidRPr="00543276">
              <w:rPr>
                <w:rFonts w:ascii="Arial Narrow" w:hAnsi="Arial Narrow" w:hint="eastAsia"/>
                <w:iCs/>
                <w:w w:val="15"/>
                <w:sz w:val="20"/>
                <w:highlight w:val="black"/>
                <w:fitText w:val="64" w:id="-1167880946"/>
              </w:rPr>
              <w:t xml:space="preserve">　</w:t>
            </w:r>
          </w:p>
        </w:tc>
        <w:tc>
          <w:tcPr>
            <w:tcW w:w="630" w:type="pct"/>
            <w:noWrap/>
          </w:tcPr>
          <w:p w14:paraId="260DF06B"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1.284</w:t>
            </w:r>
          </w:p>
        </w:tc>
        <w:tc>
          <w:tcPr>
            <w:tcW w:w="786" w:type="pct"/>
            <w:noWrap/>
          </w:tcPr>
          <w:p w14:paraId="7FCCFABB" w14:textId="6E07620C"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75BBCB2C"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11%</w:t>
            </w:r>
          </w:p>
        </w:tc>
      </w:tr>
      <w:tr w:rsidR="009E412A" w:rsidRPr="00FB229F" w14:paraId="2B839CCC" w14:textId="77777777" w:rsidTr="00816BFB">
        <w:tc>
          <w:tcPr>
            <w:tcW w:w="2170" w:type="pct"/>
            <w:shd w:val="clear" w:color="auto" w:fill="auto"/>
            <w:noWrap/>
          </w:tcPr>
          <w:p w14:paraId="60704816"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Spline knot 3 for both arms</w:t>
            </w:r>
          </w:p>
        </w:tc>
        <w:tc>
          <w:tcPr>
            <w:tcW w:w="629" w:type="pct"/>
            <w:noWrap/>
          </w:tcPr>
          <w:p w14:paraId="4E8A4CDB" w14:textId="71EA67FB"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45"/>
              </w:rPr>
              <w:t xml:space="preserve">　</w:t>
            </w:r>
            <w:r w:rsidRPr="00816BFB">
              <w:rPr>
                <w:rFonts w:ascii="Arial Narrow" w:hAnsi="Arial Narrow"/>
                <w:iCs/>
                <w:w w:val="15"/>
                <w:sz w:val="20"/>
                <w:highlight w:val="black"/>
                <w:fitText w:val="64" w:id="-1167880945"/>
              </w:rPr>
              <w:t>|</w:t>
            </w:r>
            <w:r w:rsidRPr="00816BFB">
              <w:rPr>
                <w:rFonts w:ascii="Arial Narrow" w:hAnsi="Arial Narrow" w:hint="eastAsia"/>
                <w:iCs/>
                <w:spacing w:val="-1"/>
                <w:w w:val="15"/>
                <w:sz w:val="20"/>
                <w:highlight w:val="black"/>
                <w:fitText w:val="64" w:id="-1167880945"/>
              </w:rPr>
              <w:t xml:space="preserve">　</w:t>
            </w:r>
          </w:p>
        </w:tc>
        <w:tc>
          <w:tcPr>
            <w:tcW w:w="630" w:type="pct"/>
            <w:noWrap/>
          </w:tcPr>
          <w:p w14:paraId="2AB357BC"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1.377</w:t>
            </w:r>
          </w:p>
        </w:tc>
        <w:tc>
          <w:tcPr>
            <w:tcW w:w="786" w:type="pct"/>
            <w:noWrap/>
          </w:tcPr>
          <w:p w14:paraId="3D398989" w14:textId="4B5ED8B9"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635E161F"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w:t>
            </w:r>
          </w:p>
        </w:tc>
      </w:tr>
      <w:tr w:rsidR="009E412A" w:rsidRPr="00FB229F" w14:paraId="571AE11E" w14:textId="77777777" w:rsidTr="00816BFB">
        <w:tc>
          <w:tcPr>
            <w:tcW w:w="2170" w:type="pct"/>
            <w:shd w:val="clear" w:color="auto" w:fill="auto"/>
            <w:noWrap/>
          </w:tcPr>
          <w:p w14:paraId="73230969"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Stratified Weibull for both arms</w:t>
            </w:r>
          </w:p>
        </w:tc>
        <w:tc>
          <w:tcPr>
            <w:tcW w:w="629" w:type="pct"/>
            <w:noWrap/>
          </w:tcPr>
          <w:p w14:paraId="222CF00A" w14:textId="72AEE179"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44"/>
              </w:rPr>
              <w:t xml:space="preserve">　</w:t>
            </w:r>
            <w:r w:rsidRPr="00816BFB">
              <w:rPr>
                <w:rFonts w:ascii="Arial Narrow" w:hAnsi="Arial Narrow"/>
                <w:iCs/>
                <w:w w:val="15"/>
                <w:sz w:val="20"/>
                <w:highlight w:val="black"/>
                <w:fitText w:val="64" w:id="-1167880944"/>
              </w:rPr>
              <w:t>|</w:t>
            </w:r>
            <w:r w:rsidRPr="00816BFB">
              <w:rPr>
                <w:rFonts w:ascii="Arial Narrow" w:hAnsi="Arial Narrow" w:hint="eastAsia"/>
                <w:iCs/>
                <w:spacing w:val="-1"/>
                <w:w w:val="15"/>
                <w:sz w:val="20"/>
                <w:highlight w:val="black"/>
                <w:fitText w:val="64" w:id="-1167880944"/>
              </w:rPr>
              <w:t xml:space="preserve">　</w:t>
            </w:r>
          </w:p>
        </w:tc>
        <w:tc>
          <w:tcPr>
            <w:tcW w:w="630" w:type="pct"/>
            <w:noWrap/>
          </w:tcPr>
          <w:p w14:paraId="310182E1"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1.175</w:t>
            </w:r>
          </w:p>
        </w:tc>
        <w:tc>
          <w:tcPr>
            <w:tcW w:w="786" w:type="pct"/>
            <w:noWrap/>
          </w:tcPr>
          <w:p w14:paraId="2206C403" w14:textId="11AA1B9C"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789A6B7F" w14:textId="3B648A2C"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22</w:t>
            </w:r>
            <w:r w:rsidR="00E548E8" w:rsidRPr="00FB229F">
              <w:rPr>
                <w:rFonts w:ascii="Arial Narrow" w:hAnsi="Arial Narrow"/>
                <w:iCs/>
                <w:sz w:val="20"/>
              </w:rPr>
              <w:t>%</w:t>
            </w:r>
          </w:p>
        </w:tc>
      </w:tr>
      <w:tr w:rsidR="009E412A" w:rsidRPr="00FB229F" w14:paraId="25E302EC" w14:textId="77777777" w:rsidTr="00816BFB">
        <w:tc>
          <w:tcPr>
            <w:tcW w:w="2170" w:type="pct"/>
            <w:shd w:val="clear" w:color="auto" w:fill="auto"/>
            <w:noWrap/>
          </w:tcPr>
          <w:p w14:paraId="3D3B3103"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Stratified Gompertz for both arms</w:t>
            </w:r>
          </w:p>
        </w:tc>
        <w:tc>
          <w:tcPr>
            <w:tcW w:w="629" w:type="pct"/>
            <w:noWrap/>
          </w:tcPr>
          <w:p w14:paraId="22D41642" w14:textId="60FF97AC"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60"/>
              </w:rPr>
              <w:t xml:space="preserve">　</w:t>
            </w:r>
            <w:r w:rsidRPr="00816BFB">
              <w:rPr>
                <w:rFonts w:ascii="Arial Narrow" w:hAnsi="Arial Narrow"/>
                <w:iCs/>
                <w:w w:val="15"/>
                <w:sz w:val="20"/>
                <w:highlight w:val="black"/>
                <w:fitText w:val="64" w:id="-1167880960"/>
              </w:rPr>
              <w:t>|</w:t>
            </w:r>
            <w:r w:rsidRPr="00816BFB">
              <w:rPr>
                <w:rFonts w:ascii="Arial Narrow" w:hAnsi="Arial Narrow" w:hint="eastAsia"/>
                <w:iCs/>
                <w:spacing w:val="-1"/>
                <w:w w:val="15"/>
                <w:sz w:val="20"/>
                <w:highlight w:val="black"/>
                <w:fitText w:val="64" w:id="-1167880960"/>
              </w:rPr>
              <w:t xml:space="preserve">　</w:t>
            </w:r>
          </w:p>
        </w:tc>
        <w:tc>
          <w:tcPr>
            <w:tcW w:w="630" w:type="pct"/>
            <w:noWrap/>
          </w:tcPr>
          <w:p w14:paraId="3D66B778"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0.863</w:t>
            </w:r>
          </w:p>
        </w:tc>
        <w:tc>
          <w:tcPr>
            <w:tcW w:w="786" w:type="pct"/>
            <w:noWrap/>
          </w:tcPr>
          <w:p w14:paraId="28995A1A" w14:textId="343F6BAA" w:rsidR="00DD24A9" w:rsidRPr="00816BFB" w:rsidRDefault="00816BFB" w:rsidP="00604558">
            <w:pPr>
              <w:pStyle w:val="Tabletextleft"/>
              <w:keepNext/>
              <w:spacing w:after="0"/>
              <w:jc w:val="center"/>
              <w:rPr>
                <w:rFonts w:ascii="Arial Narrow" w:hAnsi="Arial Narrow"/>
                <w:iCs/>
                <w:sz w:val="20"/>
                <w:vertAlign w:val="superscript"/>
              </w:rPr>
            </w:pPr>
            <w:r w:rsidRPr="00816BFB">
              <w:rPr>
                <w:rFonts w:ascii="Arial Narrow" w:hAnsi="Arial Narrow"/>
                <w:iCs/>
                <w:sz w:val="20"/>
                <w:highlight w:val="black"/>
              </w:rPr>
              <w:t>|</w:t>
            </w:r>
            <w:r w:rsidR="009E412A">
              <w:rPr>
                <w:rFonts w:ascii="Arial Narrow" w:hAnsi="Arial Narrow"/>
                <w:iCs/>
                <w:sz w:val="20"/>
              </w:rPr>
              <w:t xml:space="preserve"> </w:t>
            </w:r>
            <w:r w:rsidR="009E412A">
              <w:rPr>
                <w:rFonts w:ascii="Arial Narrow" w:hAnsi="Arial Narrow"/>
                <w:iCs/>
                <w:sz w:val="20"/>
                <w:vertAlign w:val="superscript"/>
              </w:rPr>
              <w:t>4</w:t>
            </w:r>
          </w:p>
        </w:tc>
        <w:tc>
          <w:tcPr>
            <w:tcW w:w="785" w:type="pct"/>
            <w:noWrap/>
          </w:tcPr>
          <w:p w14:paraId="1E225351"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67%</w:t>
            </w:r>
          </w:p>
        </w:tc>
      </w:tr>
      <w:tr w:rsidR="00DD24A9" w:rsidRPr="00FB229F" w14:paraId="49D42A75" w14:textId="77777777" w:rsidTr="00816BFB">
        <w:tc>
          <w:tcPr>
            <w:tcW w:w="5000" w:type="pct"/>
            <w:gridSpan w:val="5"/>
            <w:noWrap/>
          </w:tcPr>
          <w:p w14:paraId="1CD59C26" w14:textId="77777777" w:rsidR="00DD24A9" w:rsidRPr="00FB229F" w:rsidRDefault="00DD24A9" w:rsidP="00604558">
            <w:pPr>
              <w:pStyle w:val="Tabletextleft"/>
              <w:keepNext/>
              <w:spacing w:after="0"/>
              <w:rPr>
                <w:rFonts w:ascii="Arial Narrow" w:hAnsi="Arial Narrow"/>
                <w:b/>
                <w:bCs/>
                <w:iCs/>
                <w:sz w:val="20"/>
              </w:rPr>
            </w:pPr>
            <w:r w:rsidRPr="00FB229F">
              <w:rPr>
                <w:rFonts w:ascii="Arial Narrow" w:hAnsi="Arial Narrow"/>
                <w:b/>
                <w:bCs/>
                <w:iCs/>
                <w:sz w:val="20"/>
              </w:rPr>
              <w:t>Relative efficacy (base case: PSM NMA)</w:t>
            </w:r>
          </w:p>
        </w:tc>
      </w:tr>
      <w:tr w:rsidR="009E412A" w:rsidRPr="00FB229F" w14:paraId="1883BC74" w14:textId="77777777" w:rsidTr="00816BFB">
        <w:tc>
          <w:tcPr>
            <w:tcW w:w="2170" w:type="pct"/>
            <w:noWrap/>
          </w:tcPr>
          <w:p w14:paraId="6B6D9D5F"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PSM NMA, but OS HR for pembrolizumab + PC vs. pseudo-control (i.e. PC) generated through NMA reduced by 20%</w:t>
            </w:r>
            <w:r w:rsidRPr="00FB229F">
              <w:rPr>
                <w:rFonts w:ascii="Arial Narrow" w:hAnsi="Arial Narrow"/>
                <w:iCs/>
                <w:sz w:val="20"/>
                <w:vertAlign w:val="superscript"/>
              </w:rPr>
              <w:t>a</w:t>
            </w:r>
            <w:r w:rsidRPr="00FB229F">
              <w:rPr>
                <w:rFonts w:ascii="Arial Narrow" w:hAnsi="Arial Narrow"/>
                <w:iCs/>
                <w:sz w:val="20"/>
              </w:rPr>
              <w:t xml:space="preserve"> </w:t>
            </w:r>
          </w:p>
        </w:tc>
        <w:tc>
          <w:tcPr>
            <w:tcW w:w="629" w:type="pct"/>
            <w:noWrap/>
          </w:tcPr>
          <w:p w14:paraId="673B41AA" w14:textId="1251FDCD"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59"/>
              </w:rPr>
              <w:t xml:space="preserve">　</w:t>
            </w:r>
            <w:r w:rsidRPr="00816BFB">
              <w:rPr>
                <w:rFonts w:ascii="Arial Narrow" w:hAnsi="Arial Narrow"/>
                <w:iCs/>
                <w:w w:val="15"/>
                <w:sz w:val="20"/>
                <w:highlight w:val="black"/>
                <w:fitText w:val="64" w:id="-1167880959"/>
              </w:rPr>
              <w:t>|</w:t>
            </w:r>
            <w:r w:rsidRPr="00816BFB">
              <w:rPr>
                <w:rFonts w:ascii="Arial Narrow" w:hAnsi="Arial Narrow" w:hint="eastAsia"/>
                <w:iCs/>
                <w:spacing w:val="-1"/>
                <w:w w:val="15"/>
                <w:sz w:val="20"/>
                <w:highlight w:val="black"/>
                <w:fitText w:val="64" w:id="-1167880959"/>
              </w:rPr>
              <w:t xml:space="preserve">　</w:t>
            </w:r>
          </w:p>
        </w:tc>
        <w:tc>
          <w:tcPr>
            <w:tcW w:w="630" w:type="pct"/>
            <w:noWrap/>
          </w:tcPr>
          <w:p w14:paraId="67531635"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1.135</w:t>
            </w:r>
          </w:p>
        </w:tc>
        <w:tc>
          <w:tcPr>
            <w:tcW w:w="786" w:type="pct"/>
            <w:noWrap/>
          </w:tcPr>
          <w:p w14:paraId="7987EE54" w14:textId="3BD883E6"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9E412A">
              <w:rPr>
                <w:rFonts w:ascii="Arial Narrow" w:hAnsi="Arial Narrow"/>
                <w:iCs/>
                <w:sz w:val="20"/>
              </w:rPr>
              <w:t xml:space="preserve"> </w:t>
            </w:r>
            <w:r w:rsidR="009E412A">
              <w:rPr>
                <w:rFonts w:ascii="Arial Narrow" w:hAnsi="Arial Narrow"/>
                <w:iCs/>
                <w:sz w:val="20"/>
                <w:vertAlign w:val="superscript"/>
              </w:rPr>
              <w:t>3</w:t>
            </w:r>
          </w:p>
        </w:tc>
        <w:tc>
          <w:tcPr>
            <w:tcW w:w="785" w:type="pct"/>
            <w:noWrap/>
          </w:tcPr>
          <w:p w14:paraId="6ECF0F1D"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23%</w:t>
            </w:r>
          </w:p>
        </w:tc>
      </w:tr>
      <w:tr w:rsidR="009E412A" w:rsidRPr="00FB229F" w14:paraId="24BF12F1" w14:textId="77777777" w:rsidTr="00816BFB">
        <w:tc>
          <w:tcPr>
            <w:tcW w:w="2170" w:type="pct"/>
            <w:noWrap/>
          </w:tcPr>
          <w:p w14:paraId="68BE9412" w14:textId="138620BB" w:rsidR="00A6370E" w:rsidRPr="00FB229F" w:rsidRDefault="00A6370E" w:rsidP="00A6370E">
            <w:pPr>
              <w:pStyle w:val="Tabletextleft"/>
              <w:keepNext/>
              <w:spacing w:after="0"/>
              <w:rPr>
                <w:rFonts w:ascii="Arial Narrow" w:hAnsi="Arial Narrow"/>
                <w:iCs/>
                <w:sz w:val="20"/>
              </w:rPr>
            </w:pPr>
            <w:r w:rsidRPr="00FB229F">
              <w:rPr>
                <w:rFonts w:ascii="Arial Narrow" w:hAnsi="Arial Narrow"/>
                <w:iCs/>
                <w:sz w:val="20"/>
              </w:rPr>
              <w:t>PSM NMA, but PFS and OS HRs for pembrolizumab + PC vs. pseudo-control (i.e. PC) generated through NMA reduced by 50%</w:t>
            </w:r>
            <w:r w:rsidR="00FC500B" w:rsidRPr="00FB229F">
              <w:rPr>
                <w:rFonts w:ascii="Arial Narrow" w:hAnsi="Arial Narrow"/>
                <w:iCs/>
                <w:sz w:val="20"/>
                <w:vertAlign w:val="superscript"/>
              </w:rPr>
              <w:t>b</w:t>
            </w:r>
          </w:p>
        </w:tc>
        <w:tc>
          <w:tcPr>
            <w:tcW w:w="629" w:type="pct"/>
            <w:noWrap/>
          </w:tcPr>
          <w:p w14:paraId="724365F4" w14:textId="29CF6232" w:rsidR="00A6370E" w:rsidRPr="00816BFB" w:rsidRDefault="00816BFB" w:rsidP="00A6370E">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58"/>
              </w:rPr>
              <w:t xml:space="preserve">　</w:t>
            </w:r>
            <w:r w:rsidRPr="00816BFB">
              <w:rPr>
                <w:rFonts w:ascii="Arial Narrow" w:hAnsi="Arial Narrow"/>
                <w:iCs/>
                <w:w w:val="15"/>
                <w:sz w:val="20"/>
                <w:highlight w:val="black"/>
                <w:fitText w:val="64" w:id="-1167880958"/>
              </w:rPr>
              <w:t>|</w:t>
            </w:r>
            <w:r w:rsidRPr="00816BFB">
              <w:rPr>
                <w:rFonts w:ascii="Arial Narrow" w:hAnsi="Arial Narrow" w:hint="eastAsia"/>
                <w:iCs/>
                <w:spacing w:val="-1"/>
                <w:w w:val="15"/>
                <w:sz w:val="20"/>
                <w:highlight w:val="black"/>
                <w:fitText w:val="64" w:id="-1167880958"/>
              </w:rPr>
              <w:t xml:space="preserve">　</w:t>
            </w:r>
          </w:p>
        </w:tc>
        <w:tc>
          <w:tcPr>
            <w:tcW w:w="630" w:type="pct"/>
            <w:noWrap/>
          </w:tcPr>
          <w:p w14:paraId="1EAB45AB" w14:textId="5C7B5D3E" w:rsidR="00A6370E" w:rsidRPr="00FB229F" w:rsidRDefault="00A6370E" w:rsidP="00A6370E">
            <w:pPr>
              <w:pStyle w:val="Tabletextleft"/>
              <w:keepNext/>
              <w:spacing w:after="0"/>
              <w:jc w:val="center"/>
              <w:rPr>
                <w:rFonts w:ascii="Arial Narrow" w:hAnsi="Arial Narrow"/>
                <w:iCs/>
                <w:sz w:val="20"/>
              </w:rPr>
            </w:pPr>
            <w:r w:rsidRPr="00FB229F">
              <w:rPr>
                <w:rFonts w:ascii="Arial Narrow" w:hAnsi="Arial Narrow"/>
                <w:iCs/>
                <w:sz w:val="20"/>
              </w:rPr>
              <w:t>0.504</w:t>
            </w:r>
          </w:p>
        </w:tc>
        <w:tc>
          <w:tcPr>
            <w:tcW w:w="786" w:type="pct"/>
            <w:noWrap/>
          </w:tcPr>
          <w:p w14:paraId="2B9C66B2" w14:textId="44A0CFF9" w:rsidR="00A6370E" w:rsidRPr="00FB229F" w:rsidRDefault="00816BFB" w:rsidP="00A6370E">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9E412A">
              <w:rPr>
                <w:rFonts w:ascii="Arial Narrow" w:hAnsi="Arial Narrow"/>
                <w:iCs/>
                <w:sz w:val="20"/>
              </w:rPr>
              <w:t xml:space="preserve"> </w:t>
            </w:r>
            <w:r w:rsidR="009E412A">
              <w:rPr>
                <w:rFonts w:ascii="Arial Narrow" w:hAnsi="Arial Narrow"/>
                <w:iCs/>
                <w:sz w:val="20"/>
                <w:vertAlign w:val="superscript"/>
              </w:rPr>
              <w:t>4</w:t>
            </w:r>
          </w:p>
        </w:tc>
        <w:tc>
          <w:tcPr>
            <w:tcW w:w="785" w:type="pct"/>
            <w:noWrap/>
          </w:tcPr>
          <w:p w14:paraId="2A1C8FA2" w14:textId="50FCC3B2" w:rsidR="00A6370E" w:rsidRPr="00FB229F" w:rsidRDefault="00A6370E" w:rsidP="00A6370E">
            <w:pPr>
              <w:pStyle w:val="Tabletextleft"/>
              <w:keepNext/>
              <w:spacing w:after="0"/>
              <w:jc w:val="center"/>
              <w:rPr>
                <w:rFonts w:ascii="Arial Narrow" w:hAnsi="Arial Narrow"/>
                <w:iCs/>
                <w:sz w:val="20"/>
              </w:rPr>
            </w:pPr>
            <w:r w:rsidRPr="00FB229F">
              <w:rPr>
                <w:rFonts w:ascii="Arial Narrow" w:hAnsi="Arial Narrow"/>
                <w:iCs/>
                <w:sz w:val="20"/>
              </w:rPr>
              <w:t>55%</w:t>
            </w:r>
          </w:p>
        </w:tc>
      </w:tr>
      <w:tr w:rsidR="009E412A" w:rsidRPr="00FB229F" w14:paraId="4F49A12D" w14:textId="77777777" w:rsidTr="00816BFB">
        <w:tc>
          <w:tcPr>
            <w:tcW w:w="2170" w:type="pct"/>
            <w:noWrap/>
          </w:tcPr>
          <w:p w14:paraId="10E17DCB"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Bucher ITC</w:t>
            </w:r>
          </w:p>
        </w:tc>
        <w:tc>
          <w:tcPr>
            <w:tcW w:w="629" w:type="pct"/>
            <w:noWrap/>
          </w:tcPr>
          <w:p w14:paraId="35A38B72" w14:textId="764EF4B2"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57"/>
              </w:rPr>
              <w:t xml:space="preserve">　</w:t>
            </w:r>
            <w:r w:rsidRPr="00816BFB">
              <w:rPr>
                <w:rFonts w:ascii="Arial Narrow" w:hAnsi="Arial Narrow"/>
                <w:iCs/>
                <w:w w:val="15"/>
                <w:sz w:val="20"/>
                <w:highlight w:val="black"/>
                <w:fitText w:val="64" w:id="-1167880957"/>
              </w:rPr>
              <w:t>|</w:t>
            </w:r>
            <w:r w:rsidRPr="00816BFB">
              <w:rPr>
                <w:rFonts w:ascii="Arial Narrow" w:hAnsi="Arial Narrow" w:hint="eastAsia"/>
                <w:iCs/>
                <w:spacing w:val="-1"/>
                <w:w w:val="15"/>
                <w:sz w:val="20"/>
                <w:highlight w:val="black"/>
                <w:fitText w:val="64" w:id="-1167880957"/>
              </w:rPr>
              <w:t xml:space="preserve">　</w:t>
            </w:r>
          </w:p>
        </w:tc>
        <w:tc>
          <w:tcPr>
            <w:tcW w:w="630" w:type="pct"/>
            <w:noWrap/>
          </w:tcPr>
          <w:p w14:paraId="5E295ED1"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1.343</w:t>
            </w:r>
          </w:p>
        </w:tc>
        <w:tc>
          <w:tcPr>
            <w:tcW w:w="786" w:type="pct"/>
            <w:noWrap/>
          </w:tcPr>
          <w:p w14:paraId="74275FEC" w14:textId="64874C2B"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FE038D">
              <w:rPr>
                <w:rFonts w:ascii="Arial Narrow" w:hAnsi="Arial Narrow"/>
                <w:iCs/>
                <w:sz w:val="20"/>
              </w:rPr>
              <w:t xml:space="preserve"> </w:t>
            </w:r>
            <w:r w:rsidR="00FE038D">
              <w:rPr>
                <w:rFonts w:ascii="Arial Narrow" w:hAnsi="Arial Narrow"/>
                <w:iCs/>
                <w:sz w:val="20"/>
                <w:vertAlign w:val="superscript"/>
              </w:rPr>
              <w:t>2</w:t>
            </w:r>
          </w:p>
        </w:tc>
        <w:tc>
          <w:tcPr>
            <w:tcW w:w="785" w:type="pct"/>
            <w:noWrap/>
          </w:tcPr>
          <w:p w14:paraId="2597E56F"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-4%</w:t>
            </w:r>
          </w:p>
        </w:tc>
      </w:tr>
      <w:tr w:rsidR="009E412A" w:rsidRPr="00FB229F" w14:paraId="4890F8A2" w14:textId="77777777" w:rsidTr="00816BFB">
        <w:tc>
          <w:tcPr>
            <w:tcW w:w="2170" w:type="pct"/>
            <w:noWrap/>
          </w:tcPr>
          <w:p w14:paraId="56B90A9F"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MAIC Model 1 (not adjusted for smoking status)</w:t>
            </w:r>
          </w:p>
        </w:tc>
        <w:tc>
          <w:tcPr>
            <w:tcW w:w="629" w:type="pct"/>
            <w:noWrap/>
          </w:tcPr>
          <w:p w14:paraId="13D95659" w14:textId="107E7ADE"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56"/>
              </w:rPr>
              <w:t xml:space="preserve">　</w:t>
            </w:r>
            <w:r w:rsidRPr="00816BFB">
              <w:rPr>
                <w:rFonts w:ascii="Arial Narrow" w:hAnsi="Arial Narrow"/>
                <w:iCs/>
                <w:w w:val="15"/>
                <w:sz w:val="20"/>
                <w:highlight w:val="black"/>
                <w:fitText w:val="64" w:id="-1167880956"/>
              </w:rPr>
              <w:t>|</w:t>
            </w:r>
            <w:r w:rsidRPr="00816BFB">
              <w:rPr>
                <w:rFonts w:ascii="Arial Narrow" w:hAnsi="Arial Narrow" w:hint="eastAsia"/>
                <w:iCs/>
                <w:spacing w:val="-1"/>
                <w:w w:val="15"/>
                <w:sz w:val="20"/>
                <w:highlight w:val="black"/>
                <w:fitText w:val="64" w:id="-1167880956"/>
              </w:rPr>
              <w:t xml:space="preserve">　</w:t>
            </w:r>
          </w:p>
        </w:tc>
        <w:tc>
          <w:tcPr>
            <w:tcW w:w="630" w:type="pct"/>
            <w:noWrap/>
          </w:tcPr>
          <w:p w14:paraId="13D24CFB"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1.198</w:t>
            </w:r>
          </w:p>
        </w:tc>
        <w:tc>
          <w:tcPr>
            <w:tcW w:w="786" w:type="pct"/>
            <w:noWrap/>
          </w:tcPr>
          <w:p w14:paraId="05DFF8F4" w14:textId="04AD8B82"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7C5E4BDB"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w:t>
            </w:r>
          </w:p>
        </w:tc>
      </w:tr>
      <w:tr w:rsidR="009E412A" w:rsidRPr="00FB229F" w14:paraId="3137AC76" w14:textId="77777777" w:rsidTr="00816BFB">
        <w:tc>
          <w:tcPr>
            <w:tcW w:w="2170" w:type="pct"/>
            <w:noWrap/>
          </w:tcPr>
          <w:p w14:paraId="7C9F443A"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MAIC Model 2 (adjusted for smoking status)</w:t>
            </w:r>
          </w:p>
        </w:tc>
        <w:tc>
          <w:tcPr>
            <w:tcW w:w="629" w:type="pct"/>
            <w:noWrap/>
          </w:tcPr>
          <w:p w14:paraId="05095C0F" w14:textId="5283A3A0"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55"/>
              </w:rPr>
              <w:t xml:space="preserve">　</w:t>
            </w:r>
            <w:r w:rsidRPr="00816BFB">
              <w:rPr>
                <w:rFonts w:ascii="Arial Narrow" w:hAnsi="Arial Narrow"/>
                <w:iCs/>
                <w:w w:val="15"/>
                <w:sz w:val="20"/>
                <w:highlight w:val="black"/>
                <w:fitText w:val="64" w:id="-1167880955"/>
              </w:rPr>
              <w:t>|</w:t>
            </w:r>
            <w:r w:rsidRPr="00816BFB">
              <w:rPr>
                <w:rFonts w:ascii="Arial Narrow" w:hAnsi="Arial Narrow" w:hint="eastAsia"/>
                <w:iCs/>
                <w:spacing w:val="-1"/>
                <w:w w:val="15"/>
                <w:sz w:val="20"/>
                <w:highlight w:val="black"/>
                <w:fitText w:val="64" w:id="-1167880955"/>
              </w:rPr>
              <w:t xml:space="preserve">　</w:t>
            </w:r>
          </w:p>
        </w:tc>
        <w:tc>
          <w:tcPr>
            <w:tcW w:w="630" w:type="pct"/>
            <w:noWrap/>
          </w:tcPr>
          <w:p w14:paraId="531D7002"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1.061</w:t>
            </w:r>
          </w:p>
        </w:tc>
        <w:tc>
          <w:tcPr>
            <w:tcW w:w="786" w:type="pct"/>
            <w:noWrap/>
          </w:tcPr>
          <w:p w14:paraId="2B5EDE49" w14:textId="1DF8B8E8"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71825D06"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6%</w:t>
            </w:r>
          </w:p>
        </w:tc>
      </w:tr>
      <w:tr w:rsidR="00DD24A9" w:rsidRPr="00FB229F" w14:paraId="0E6C7916" w14:textId="77777777" w:rsidTr="00816BFB">
        <w:tc>
          <w:tcPr>
            <w:tcW w:w="5000" w:type="pct"/>
            <w:gridSpan w:val="5"/>
            <w:noWrap/>
          </w:tcPr>
          <w:p w14:paraId="3FDFF951" w14:textId="55A21E5A" w:rsidR="00DD24A9" w:rsidRPr="00FB229F" w:rsidRDefault="00DD24A9" w:rsidP="00604558">
            <w:pPr>
              <w:pStyle w:val="Tabletextleft"/>
              <w:keepNext/>
              <w:spacing w:after="0"/>
              <w:rPr>
                <w:rFonts w:ascii="Arial Narrow" w:hAnsi="Arial Narrow"/>
                <w:iCs/>
                <w:sz w:val="20"/>
              </w:rPr>
            </w:pPr>
            <w:r w:rsidRPr="00FB229F">
              <w:rPr>
                <w:rFonts w:ascii="Arial Narrow" w:hAnsi="Arial Narrow"/>
                <w:b/>
                <w:bCs/>
                <w:iCs/>
                <w:sz w:val="20"/>
              </w:rPr>
              <w:t>Treatment dur</w:t>
            </w:r>
            <w:r w:rsidR="003C5C25" w:rsidRPr="00FB229F">
              <w:rPr>
                <w:rFonts w:ascii="Arial Narrow" w:hAnsi="Arial Narrow"/>
                <w:b/>
                <w:bCs/>
                <w:iCs/>
                <w:sz w:val="20"/>
              </w:rPr>
              <w:t>ation</w:t>
            </w:r>
            <w:r w:rsidRPr="00FB229F">
              <w:rPr>
                <w:rFonts w:ascii="Arial Narrow" w:hAnsi="Arial Narrow"/>
                <w:b/>
                <w:bCs/>
                <w:iCs/>
                <w:sz w:val="20"/>
              </w:rPr>
              <w:t xml:space="preserve"> of pembrolizumab therapy in the second-line setting (base case: 11.3 treatment cycles)</w:t>
            </w:r>
          </w:p>
        </w:tc>
      </w:tr>
      <w:tr w:rsidR="009E412A" w:rsidRPr="00FB229F" w14:paraId="00AD8B29" w14:textId="77777777" w:rsidTr="00816BFB">
        <w:tc>
          <w:tcPr>
            <w:tcW w:w="2170" w:type="pct"/>
            <w:shd w:val="clear" w:color="auto" w:fill="auto"/>
            <w:noWrap/>
          </w:tcPr>
          <w:p w14:paraId="726E009B" w14:textId="77777777" w:rsidR="00DD24A9" w:rsidRPr="00FB229F" w:rsidRDefault="00DD24A9" w:rsidP="00604558">
            <w:pPr>
              <w:pStyle w:val="Tabletextleft"/>
              <w:keepNext/>
              <w:spacing w:after="0"/>
              <w:rPr>
                <w:rFonts w:ascii="Arial Narrow" w:hAnsi="Arial Narrow"/>
                <w:iCs/>
                <w:sz w:val="20"/>
              </w:rPr>
            </w:pPr>
            <w:r w:rsidRPr="00FB229F">
              <w:rPr>
                <w:rFonts w:ascii="Arial Narrow" w:hAnsi="Arial Narrow"/>
                <w:iCs/>
                <w:sz w:val="20"/>
              </w:rPr>
              <w:t>Increasing by 50% (i.e.17.0 cycles)</w:t>
            </w:r>
          </w:p>
        </w:tc>
        <w:tc>
          <w:tcPr>
            <w:tcW w:w="629" w:type="pct"/>
            <w:noWrap/>
          </w:tcPr>
          <w:p w14:paraId="011A1C52" w14:textId="675FB64E" w:rsidR="00DD24A9" w:rsidRPr="00816BFB" w:rsidRDefault="00816BFB" w:rsidP="00604558">
            <w:pPr>
              <w:pStyle w:val="Tabletextleft"/>
              <w:keepNext/>
              <w:spacing w:after="0"/>
              <w:jc w:val="center"/>
              <w:rPr>
                <w:rFonts w:ascii="Arial Narrow" w:hAnsi="Arial Narrow"/>
                <w:iCs/>
                <w:sz w:val="20"/>
                <w:highlight w:val="black"/>
              </w:rPr>
            </w:pPr>
            <w:r w:rsidRPr="00816BFB">
              <w:rPr>
                <w:rFonts w:ascii="Arial Narrow" w:hAnsi="Arial Narrow" w:hint="eastAsia"/>
                <w:iCs/>
                <w:w w:val="15"/>
                <w:sz w:val="20"/>
                <w:highlight w:val="black"/>
                <w:fitText w:val="64" w:id="-1167880954"/>
              </w:rPr>
              <w:t xml:space="preserve">　</w:t>
            </w:r>
            <w:r w:rsidRPr="00816BFB">
              <w:rPr>
                <w:rFonts w:ascii="Arial Narrow" w:hAnsi="Arial Narrow"/>
                <w:iCs/>
                <w:w w:val="15"/>
                <w:sz w:val="20"/>
                <w:highlight w:val="black"/>
                <w:fitText w:val="64" w:id="-1167880954"/>
              </w:rPr>
              <w:t>|</w:t>
            </w:r>
            <w:r w:rsidRPr="00816BFB">
              <w:rPr>
                <w:rFonts w:ascii="Arial Narrow" w:hAnsi="Arial Narrow" w:hint="eastAsia"/>
                <w:iCs/>
                <w:spacing w:val="-1"/>
                <w:w w:val="15"/>
                <w:sz w:val="20"/>
                <w:highlight w:val="black"/>
                <w:fitText w:val="64" w:id="-1167880954"/>
              </w:rPr>
              <w:t xml:space="preserve">　</w:t>
            </w:r>
          </w:p>
        </w:tc>
        <w:tc>
          <w:tcPr>
            <w:tcW w:w="630" w:type="pct"/>
            <w:noWrap/>
          </w:tcPr>
          <w:p w14:paraId="61BD1961"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1.382</w:t>
            </w:r>
          </w:p>
        </w:tc>
        <w:tc>
          <w:tcPr>
            <w:tcW w:w="786" w:type="pct"/>
            <w:noWrap/>
          </w:tcPr>
          <w:p w14:paraId="2E8382CB" w14:textId="1D0E922C" w:rsidR="00DD24A9" w:rsidRPr="00FB229F" w:rsidRDefault="00816BFB" w:rsidP="00604558">
            <w:pPr>
              <w:pStyle w:val="Tabletextleft"/>
              <w:keepNext/>
              <w:spacing w:after="0"/>
              <w:jc w:val="center"/>
              <w:rPr>
                <w:rFonts w:ascii="Arial Narrow" w:hAnsi="Arial Narrow"/>
                <w:iCs/>
                <w:sz w:val="20"/>
              </w:rPr>
            </w:pPr>
            <w:r w:rsidRPr="00816BFB">
              <w:rPr>
                <w:rFonts w:ascii="Arial Narrow" w:hAnsi="Arial Narrow"/>
                <w:iCs/>
                <w:sz w:val="20"/>
                <w:highlight w:val="black"/>
              </w:rPr>
              <w:t>|</w:t>
            </w:r>
            <w:r w:rsidR="009E412A">
              <w:rPr>
                <w:rFonts w:ascii="Arial Narrow" w:hAnsi="Arial Narrow"/>
                <w:iCs/>
                <w:sz w:val="20"/>
              </w:rPr>
              <w:t xml:space="preserve"> </w:t>
            </w:r>
            <w:r w:rsidR="009E412A">
              <w:rPr>
                <w:rFonts w:ascii="Arial Narrow" w:hAnsi="Arial Narrow"/>
                <w:iCs/>
                <w:sz w:val="20"/>
                <w:vertAlign w:val="superscript"/>
              </w:rPr>
              <w:t>3</w:t>
            </w:r>
          </w:p>
        </w:tc>
        <w:tc>
          <w:tcPr>
            <w:tcW w:w="785" w:type="pct"/>
            <w:noWrap/>
          </w:tcPr>
          <w:p w14:paraId="063D81E9" w14:textId="77777777" w:rsidR="00DD24A9" w:rsidRPr="00FB229F" w:rsidRDefault="00DD24A9" w:rsidP="00604558">
            <w:pPr>
              <w:pStyle w:val="Tabletextleft"/>
              <w:keepNext/>
              <w:spacing w:after="0"/>
              <w:jc w:val="center"/>
              <w:rPr>
                <w:rFonts w:ascii="Arial Narrow" w:hAnsi="Arial Narrow"/>
                <w:iCs/>
                <w:sz w:val="20"/>
              </w:rPr>
            </w:pPr>
            <w:r w:rsidRPr="00FB229F">
              <w:rPr>
                <w:rFonts w:ascii="Arial Narrow" w:hAnsi="Arial Narrow"/>
                <w:iCs/>
                <w:sz w:val="20"/>
              </w:rPr>
              <w:t>32%</w:t>
            </w:r>
          </w:p>
        </w:tc>
      </w:tr>
      <w:tr w:rsidR="00AB6C37" w:rsidRPr="00FB229F" w14:paraId="282DFB9A" w14:textId="77777777" w:rsidTr="00816BFB">
        <w:tc>
          <w:tcPr>
            <w:tcW w:w="5000" w:type="pct"/>
            <w:gridSpan w:val="5"/>
            <w:shd w:val="clear" w:color="auto" w:fill="auto"/>
            <w:noWrap/>
          </w:tcPr>
          <w:p w14:paraId="11F61270" w14:textId="54AC82FB" w:rsidR="00AB6C37" w:rsidRPr="00FB229F" w:rsidRDefault="00AB6C37" w:rsidP="00B75F7C">
            <w:pPr>
              <w:pStyle w:val="Tabletextleft"/>
              <w:keepNext/>
              <w:spacing w:after="0"/>
              <w:rPr>
                <w:rFonts w:ascii="Arial Narrow" w:hAnsi="Arial Narrow"/>
                <w:b/>
                <w:bCs/>
                <w:sz w:val="20"/>
              </w:rPr>
            </w:pPr>
            <w:r w:rsidRPr="00FB229F">
              <w:rPr>
                <w:rFonts w:ascii="Arial Narrow" w:hAnsi="Arial Narrow"/>
                <w:b/>
                <w:bCs/>
                <w:sz w:val="20"/>
              </w:rPr>
              <w:t>Inclusion of terminal care cost (base case: yes)</w:t>
            </w:r>
          </w:p>
        </w:tc>
      </w:tr>
      <w:tr w:rsidR="009E412A" w:rsidRPr="00FB229F" w14:paraId="5EB7EC91" w14:textId="77777777" w:rsidTr="00816BFB">
        <w:tc>
          <w:tcPr>
            <w:tcW w:w="2170" w:type="pct"/>
            <w:shd w:val="clear" w:color="auto" w:fill="auto"/>
            <w:noWrap/>
          </w:tcPr>
          <w:p w14:paraId="0719FD2B" w14:textId="77777777" w:rsidR="00AB6C37" w:rsidRPr="00FB229F" w:rsidRDefault="00AB6C37" w:rsidP="00B75F7C">
            <w:pPr>
              <w:pStyle w:val="Tabletextleft"/>
              <w:keepNext/>
              <w:spacing w:after="0"/>
              <w:rPr>
                <w:rFonts w:ascii="Arial Narrow" w:hAnsi="Arial Narrow"/>
                <w:i/>
                <w:sz w:val="20"/>
                <w:vertAlign w:val="superscript"/>
              </w:rPr>
            </w:pPr>
            <w:proofErr w:type="spellStart"/>
            <w:r w:rsidRPr="00FB229F">
              <w:rPr>
                <w:rFonts w:ascii="Arial Narrow" w:hAnsi="Arial Narrow"/>
                <w:sz w:val="20"/>
              </w:rPr>
              <w:t>No</w:t>
            </w:r>
            <w:r w:rsidRPr="00FB229F">
              <w:rPr>
                <w:rFonts w:ascii="Arial Narrow" w:hAnsi="Arial Narrow"/>
                <w:sz w:val="20"/>
                <w:vertAlign w:val="superscript"/>
              </w:rPr>
              <w:t>c</w:t>
            </w:r>
            <w:proofErr w:type="spellEnd"/>
          </w:p>
        </w:tc>
        <w:tc>
          <w:tcPr>
            <w:tcW w:w="629" w:type="pct"/>
            <w:noWrap/>
          </w:tcPr>
          <w:p w14:paraId="0B121345" w14:textId="30045AB5" w:rsidR="00AB6C37" w:rsidRPr="00816BFB" w:rsidRDefault="00816BFB" w:rsidP="00B75F7C">
            <w:pPr>
              <w:pStyle w:val="Tabletextleft"/>
              <w:keepNext/>
              <w:spacing w:after="0"/>
              <w:jc w:val="center"/>
              <w:rPr>
                <w:rFonts w:ascii="Arial Narrow" w:hAnsi="Arial Narrow"/>
                <w:i/>
                <w:sz w:val="20"/>
                <w:highlight w:val="black"/>
              </w:rPr>
            </w:pPr>
            <w:r w:rsidRPr="00816BFB">
              <w:rPr>
                <w:rFonts w:ascii="Arial Narrow" w:hAnsi="Arial Narrow" w:hint="eastAsia"/>
                <w:w w:val="15"/>
                <w:sz w:val="20"/>
                <w:highlight w:val="black"/>
                <w:fitText w:val="64" w:id="-1167880953"/>
              </w:rPr>
              <w:t xml:space="preserve">　</w:t>
            </w:r>
            <w:r w:rsidRPr="00816BFB">
              <w:rPr>
                <w:rFonts w:ascii="Arial Narrow" w:hAnsi="Arial Narrow"/>
                <w:w w:val="15"/>
                <w:sz w:val="20"/>
                <w:highlight w:val="black"/>
                <w:fitText w:val="64" w:id="-1167880953"/>
              </w:rPr>
              <w:t>|</w:t>
            </w:r>
            <w:r w:rsidRPr="00816BFB">
              <w:rPr>
                <w:rFonts w:ascii="Arial Narrow" w:hAnsi="Arial Narrow" w:hint="eastAsia"/>
                <w:spacing w:val="-1"/>
                <w:w w:val="15"/>
                <w:sz w:val="20"/>
                <w:highlight w:val="black"/>
                <w:fitText w:val="64" w:id="-1167880953"/>
              </w:rPr>
              <w:t xml:space="preserve">　</w:t>
            </w:r>
            <w:r w:rsidR="005F773C" w:rsidRPr="00816BFB">
              <w:rPr>
                <w:rFonts w:ascii="Arial Narrow" w:hAnsi="Arial Narrow"/>
                <w:sz w:val="20"/>
                <w:highlight w:val="black"/>
              </w:rPr>
              <w:t xml:space="preserve"> </w:t>
            </w:r>
          </w:p>
        </w:tc>
        <w:tc>
          <w:tcPr>
            <w:tcW w:w="630" w:type="pct"/>
            <w:noWrap/>
          </w:tcPr>
          <w:p w14:paraId="4F79FDD4" w14:textId="77777777" w:rsidR="00AB6C37" w:rsidRPr="00FB229F" w:rsidRDefault="00AB6C37" w:rsidP="00B75F7C">
            <w:pPr>
              <w:pStyle w:val="Tabletextleft"/>
              <w:keepNext/>
              <w:spacing w:after="0"/>
              <w:jc w:val="center"/>
              <w:rPr>
                <w:rFonts w:ascii="Arial Narrow" w:hAnsi="Arial Narrow"/>
                <w:i/>
                <w:sz w:val="20"/>
              </w:rPr>
            </w:pPr>
            <w:r w:rsidRPr="00FB229F">
              <w:rPr>
                <w:rFonts w:ascii="Arial Narrow" w:hAnsi="Arial Narrow"/>
                <w:sz w:val="20"/>
              </w:rPr>
              <w:t>1.382</w:t>
            </w:r>
          </w:p>
        </w:tc>
        <w:tc>
          <w:tcPr>
            <w:tcW w:w="786" w:type="pct"/>
            <w:noWrap/>
          </w:tcPr>
          <w:p w14:paraId="160B9DF6" w14:textId="176B9690" w:rsidR="00AB6C37" w:rsidRPr="00FB229F" w:rsidRDefault="00816BFB" w:rsidP="00B75F7C">
            <w:pPr>
              <w:pStyle w:val="Tabletextleft"/>
              <w:keepNext/>
              <w:spacing w:after="0"/>
              <w:jc w:val="center"/>
              <w:rPr>
                <w:rFonts w:ascii="Arial Narrow" w:hAnsi="Arial Narrow"/>
                <w:i/>
                <w:sz w:val="20"/>
              </w:rPr>
            </w:pPr>
            <w:r w:rsidRPr="00816BFB">
              <w:rPr>
                <w:rFonts w:ascii="Arial Narrow" w:hAnsi="Arial Narrow"/>
                <w:sz w:val="20"/>
                <w:highlight w:val="black"/>
              </w:rPr>
              <w:t>|</w:t>
            </w:r>
            <w:r w:rsidR="005F773C">
              <w:rPr>
                <w:rFonts w:ascii="Arial Narrow" w:hAnsi="Arial Narrow"/>
                <w:iCs/>
                <w:sz w:val="20"/>
              </w:rPr>
              <w:t xml:space="preserve"> </w:t>
            </w:r>
            <w:r w:rsidR="005F773C">
              <w:rPr>
                <w:rFonts w:ascii="Arial Narrow" w:hAnsi="Arial Narrow"/>
                <w:iCs/>
                <w:sz w:val="20"/>
                <w:vertAlign w:val="superscript"/>
              </w:rPr>
              <w:t>1</w:t>
            </w:r>
          </w:p>
        </w:tc>
        <w:tc>
          <w:tcPr>
            <w:tcW w:w="785" w:type="pct"/>
            <w:noWrap/>
          </w:tcPr>
          <w:p w14:paraId="56B7A814" w14:textId="77777777" w:rsidR="00AB6C37" w:rsidRPr="00FB229F" w:rsidRDefault="00AB6C37" w:rsidP="00B75F7C">
            <w:pPr>
              <w:pStyle w:val="Tabletextleft"/>
              <w:keepNext/>
              <w:spacing w:after="0"/>
              <w:jc w:val="center"/>
              <w:rPr>
                <w:rFonts w:ascii="Arial Narrow" w:hAnsi="Arial Narrow"/>
                <w:sz w:val="20"/>
              </w:rPr>
            </w:pPr>
            <w:r w:rsidRPr="00FB229F">
              <w:rPr>
                <w:rFonts w:ascii="Arial Narrow" w:hAnsi="Arial Narrow"/>
                <w:sz w:val="20"/>
              </w:rPr>
              <w:t>9%</w:t>
            </w:r>
          </w:p>
        </w:tc>
      </w:tr>
    </w:tbl>
    <w:p w14:paraId="1CC04A43" w14:textId="77777777" w:rsidR="00DD24A9" w:rsidRPr="00FB229F" w:rsidRDefault="00DD24A9" w:rsidP="00DD24A9">
      <w:pPr>
        <w:pStyle w:val="FooterTableFigure"/>
        <w:rPr>
          <w:rStyle w:val="CommentReference"/>
          <w:iCs/>
        </w:rPr>
      </w:pPr>
      <w:r w:rsidRPr="00FB229F">
        <w:rPr>
          <w:iCs/>
        </w:rPr>
        <w:t>Source: Sensitivity analyses performed during the evaluation.</w:t>
      </w:r>
    </w:p>
    <w:p w14:paraId="17ED9FD2" w14:textId="77777777" w:rsidR="00DD24A9" w:rsidRPr="00FB229F" w:rsidRDefault="00DD24A9" w:rsidP="00DD24A9">
      <w:pPr>
        <w:pStyle w:val="FooterTableFigure"/>
        <w:rPr>
          <w:rFonts w:eastAsia="Calibri"/>
          <w:iCs/>
          <w:szCs w:val="20"/>
        </w:rPr>
      </w:pPr>
      <w:r w:rsidRPr="00FB229F">
        <w:rPr>
          <w:rFonts w:eastAsia="Calibri"/>
          <w:iCs/>
          <w:szCs w:val="20"/>
        </w:rPr>
        <w:t>ICER = incremental cost-effectiveness ratio; ITC = indirect treatment comparison; MAIC = matching-adjusted indirect comparison; OS = overall survival; PC = pemetrexed + platinum chemotherapy; PFS = progression-free survival; QALY = quality-adjusted life year</w:t>
      </w:r>
    </w:p>
    <w:p w14:paraId="1218F21A" w14:textId="25FD1584" w:rsidR="00DD24A9" w:rsidRPr="00FB229F" w:rsidRDefault="00DD24A9" w:rsidP="00DD24A9">
      <w:pPr>
        <w:pStyle w:val="FooterTableFigure"/>
        <w:rPr>
          <w:rFonts w:eastAsia="Calibri"/>
          <w:iCs/>
          <w:szCs w:val="20"/>
        </w:rPr>
      </w:pPr>
      <w:r w:rsidRPr="00FB229F">
        <w:rPr>
          <w:rFonts w:eastAsia="Calibri"/>
          <w:iCs/>
          <w:szCs w:val="20"/>
          <w:vertAlign w:val="superscript"/>
        </w:rPr>
        <w:t xml:space="preserve">a </w:t>
      </w:r>
      <w:r w:rsidRPr="00FB229F">
        <w:rPr>
          <w:rFonts w:eastAsia="Calibri"/>
          <w:iCs/>
          <w:szCs w:val="20"/>
        </w:rPr>
        <w:t xml:space="preserve">From 0.609 to 0.487 (Cell DS20, ‘1L NSCLC S(t)’, “A5.1_Selpercatinib Section 3 Workbook”). </w:t>
      </w:r>
    </w:p>
    <w:p w14:paraId="09D5FB4B" w14:textId="237371DA" w:rsidR="00A6370E" w:rsidRPr="00FB229F" w:rsidRDefault="00A6370E" w:rsidP="00DD24A9">
      <w:pPr>
        <w:pStyle w:val="FooterTableFigure"/>
        <w:rPr>
          <w:rFonts w:eastAsia="Calibri"/>
          <w:iCs/>
          <w:szCs w:val="20"/>
        </w:rPr>
      </w:pPr>
      <w:r w:rsidRPr="00FB229F">
        <w:rPr>
          <w:rFonts w:eastAsia="Calibri"/>
          <w:iCs/>
          <w:szCs w:val="20"/>
          <w:vertAlign w:val="superscript"/>
        </w:rPr>
        <w:t xml:space="preserve">b </w:t>
      </w:r>
      <w:r w:rsidRPr="00FB229F">
        <w:rPr>
          <w:rFonts w:eastAsia="Calibri"/>
          <w:iCs/>
          <w:szCs w:val="20"/>
        </w:rPr>
        <w:t>From 0.518 to 0.259 for PFS and from 0.609 to 0.305 for OS (Cells DR20:DS20, ‘1L NSCLC S(t)’, “A5.1_Selpercatinib Section 3 Workbook”).</w:t>
      </w:r>
    </w:p>
    <w:p w14:paraId="19B70858" w14:textId="77777777" w:rsidR="00AB6C37" w:rsidRPr="00FB229F" w:rsidRDefault="00AB6C37" w:rsidP="00816BFB">
      <w:pPr>
        <w:pStyle w:val="FooterTableFigure"/>
        <w:spacing w:after="0"/>
        <w:rPr>
          <w:rFonts w:eastAsia="Calibri"/>
          <w:szCs w:val="20"/>
        </w:rPr>
      </w:pPr>
      <w:r w:rsidRPr="00FB229F">
        <w:rPr>
          <w:rFonts w:eastAsia="Calibri"/>
          <w:szCs w:val="20"/>
          <w:vertAlign w:val="superscript"/>
        </w:rPr>
        <w:t xml:space="preserve">c </w:t>
      </w:r>
      <w:r w:rsidRPr="00FB229F">
        <w:rPr>
          <w:rFonts w:eastAsia="Calibri"/>
          <w:szCs w:val="20"/>
        </w:rPr>
        <w:t>Change the cost of terminal care from $39,489.83 to $0 (F1377, ‘Country-Specific Data 1L NSCLC’, “A5.1_Selpercatinib Section 3 Workbook”)</w:t>
      </w:r>
    </w:p>
    <w:p w14:paraId="378BC310" w14:textId="77777777" w:rsidR="009E412A" w:rsidRPr="009A6D58" w:rsidRDefault="009E412A" w:rsidP="009E412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7C7025A" w14:textId="77777777" w:rsidR="009E412A" w:rsidRPr="009A6D58" w:rsidRDefault="009E412A" w:rsidP="009E412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F773C">
        <w:rPr>
          <w:rFonts w:ascii="Arial Narrow" w:hAnsi="Arial Narrow"/>
          <w:i/>
          <w:sz w:val="18"/>
          <w:szCs w:val="18"/>
        </w:rPr>
        <w:t>$75,000 to &lt; $95,000</w:t>
      </w:r>
    </w:p>
    <w:p w14:paraId="78B1D962" w14:textId="012A1C4D" w:rsidR="009E412A" w:rsidRPr="009A6D58" w:rsidRDefault="009E412A" w:rsidP="009E412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F773C">
        <w:rPr>
          <w:rFonts w:ascii="Arial Narrow" w:hAnsi="Arial Narrow"/>
          <w:i/>
          <w:sz w:val="18"/>
          <w:szCs w:val="18"/>
        </w:rPr>
        <w:t>$</w:t>
      </w:r>
      <w:r>
        <w:rPr>
          <w:rFonts w:ascii="Arial Narrow" w:hAnsi="Arial Narrow"/>
          <w:i/>
          <w:sz w:val="18"/>
          <w:szCs w:val="18"/>
        </w:rPr>
        <w:t>5</w:t>
      </w:r>
      <w:r w:rsidRPr="005F773C">
        <w:rPr>
          <w:rFonts w:ascii="Arial Narrow" w:hAnsi="Arial Narrow"/>
          <w:i/>
          <w:sz w:val="18"/>
          <w:szCs w:val="18"/>
        </w:rPr>
        <w:t>5,000 to &lt; $</w:t>
      </w:r>
      <w:r>
        <w:rPr>
          <w:rFonts w:ascii="Arial Narrow" w:hAnsi="Arial Narrow"/>
          <w:i/>
          <w:sz w:val="18"/>
          <w:szCs w:val="18"/>
        </w:rPr>
        <w:t>7</w:t>
      </w:r>
      <w:r w:rsidRPr="005F773C">
        <w:rPr>
          <w:rFonts w:ascii="Arial Narrow" w:hAnsi="Arial Narrow"/>
          <w:i/>
          <w:sz w:val="18"/>
          <w:szCs w:val="18"/>
        </w:rPr>
        <w:t>5,000</w:t>
      </w:r>
    </w:p>
    <w:p w14:paraId="59ED88A0" w14:textId="39F195CB" w:rsidR="009E412A" w:rsidRPr="00816BFB" w:rsidRDefault="009E412A" w:rsidP="00816BFB">
      <w:pPr>
        <w:rPr>
          <w:rFonts w:ascii="Arial Narrow" w:hAnsi="Arial Narrow"/>
          <w:i/>
          <w:sz w:val="18"/>
          <w:szCs w:val="18"/>
        </w:rPr>
      </w:pPr>
      <w:r w:rsidRPr="00816BFB">
        <w:rPr>
          <w:rFonts w:ascii="Arial Narrow" w:hAnsi="Arial Narrow"/>
          <w:i/>
          <w:sz w:val="18"/>
          <w:szCs w:val="18"/>
          <w:vertAlign w:val="superscript"/>
        </w:rPr>
        <w:t>3</w:t>
      </w:r>
      <w:r>
        <w:rPr>
          <w:rFonts w:ascii="Arial Narrow" w:hAnsi="Arial Narrow"/>
          <w:i/>
          <w:sz w:val="18"/>
          <w:szCs w:val="18"/>
        </w:rPr>
        <w:t xml:space="preserve"> </w:t>
      </w:r>
      <w:r w:rsidRPr="00816BFB">
        <w:rPr>
          <w:rFonts w:ascii="Arial Narrow" w:hAnsi="Arial Narrow"/>
          <w:i/>
          <w:sz w:val="18"/>
          <w:szCs w:val="18"/>
        </w:rPr>
        <w:t>$95,000 to &lt; $115,000</w:t>
      </w:r>
    </w:p>
    <w:p w14:paraId="1EE386CC" w14:textId="7D1B42A6" w:rsidR="00AB6C37" w:rsidRPr="00FB229F" w:rsidRDefault="009E412A" w:rsidP="00816BFB">
      <w:pPr>
        <w:spacing w:after="120"/>
        <w:rPr>
          <w:rFonts w:eastAsia="Calibri"/>
          <w:iCs/>
          <w:szCs w:val="20"/>
        </w:rPr>
      </w:pPr>
      <w:r>
        <w:rPr>
          <w:rFonts w:ascii="Arial Narrow" w:hAnsi="Arial Narrow"/>
          <w:i/>
          <w:sz w:val="18"/>
          <w:szCs w:val="18"/>
          <w:vertAlign w:val="superscript"/>
        </w:rPr>
        <w:t>4</w:t>
      </w:r>
      <w:r>
        <w:rPr>
          <w:rFonts w:ascii="Arial Narrow" w:hAnsi="Arial Narrow"/>
          <w:i/>
          <w:sz w:val="18"/>
          <w:szCs w:val="18"/>
        </w:rPr>
        <w:t xml:space="preserve"> </w:t>
      </w:r>
      <w:r w:rsidRPr="00225FFA">
        <w:rPr>
          <w:rFonts w:ascii="Arial Narrow" w:hAnsi="Arial Narrow"/>
          <w:i/>
          <w:sz w:val="18"/>
          <w:szCs w:val="18"/>
        </w:rPr>
        <w:t>$</w:t>
      </w:r>
      <w:r>
        <w:rPr>
          <w:rFonts w:ascii="Arial Narrow" w:hAnsi="Arial Narrow"/>
          <w:i/>
          <w:sz w:val="18"/>
          <w:szCs w:val="18"/>
        </w:rPr>
        <w:t>11</w:t>
      </w:r>
      <w:r w:rsidRPr="00225FFA">
        <w:rPr>
          <w:rFonts w:ascii="Arial Narrow" w:hAnsi="Arial Narrow"/>
          <w:i/>
          <w:sz w:val="18"/>
          <w:szCs w:val="18"/>
        </w:rPr>
        <w:t>5,000 to &lt; $1</w:t>
      </w:r>
      <w:r>
        <w:rPr>
          <w:rFonts w:ascii="Arial Narrow" w:hAnsi="Arial Narrow"/>
          <w:i/>
          <w:sz w:val="18"/>
          <w:szCs w:val="18"/>
        </w:rPr>
        <w:t>3</w:t>
      </w:r>
      <w:r w:rsidRPr="00225FFA">
        <w:rPr>
          <w:rFonts w:ascii="Arial Narrow" w:hAnsi="Arial Narrow"/>
          <w:i/>
          <w:sz w:val="18"/>
          <w:szCs w:val="18"/>
        </w:rPr>
        <w:t>5,000</w:t>
      </w:r>
    </w:p>
    <w:p w14:paraId="620C911E" w14:textId="6903B3B3" w:rsidR="00DD24A9" w:rsidRPr="00FB229F" w:rsidRDefault="00DD24A9" w:rsidP="007F03AD">
      <w:pPr>
        <w:pStyle w:val="3-BodyText"/>
        <w:ind w:left="709" w:hanging="709"/>
      </w:pPr>
      <w:r w:rsidRPr="00FB229F">
        <w:t xml:space="preserve">The magnitude of the comparative treatment benefits of selpercatinib compared with pembrolizumab + PC affected the ICER </w:t>
      </w:r>
      <w:r w:rsidR="00434779" w:rsidRPr="00FB229F">
        <w:t>greatly</w:t>
      </w:r>
      <w:r w:rsidRPr="00FB229F">
        <w:t xml:space="preserve">. As stated in Paragraph </w:t>
      </w:r>
      <w:r w:rsidRPr="00FB229F">
        <w:fldChar w:fldCharType="begin" w:fldLock="1"/>
      </w:r>
      <w:r w:rsidRPr="00FB229F">
        <w:instrText xml:space="preserve"> REF _Ref132208324 \r \h </w:instrText>
      </w:r>
      <w:r w:rsidRPr="00FB229F">
        <w:fldChar w:fldCharType="separate"/>
      </w:r>
      <w:r w:rsidR="00CE0B36">
        <w:t>6.74</w:t>
      </w:r>
      <w:r w:rsidRPr="00FB229F">
        <w:fldChar w:fldCharType="end"/>
      </w:r>
      <w:r w:rsidRPr="00FB229F">
        <w:t xml:space="preserve">, the PSM </w:t>
      </w:r>
      <w:r w:rsidRPr="00FB229F">
        <w:lastRenderedPageBreak/>
        <w:t xml:space="preserve">NMA approach resulted in </w:t>
      </w:r>
      <w:r w:rsidR="00E548E8" w:rsidRPr="00FB229F">
        <w:t>lower</w:t>
      </w:r>
      <w:r w:rsidRPr="00FB229F">
        <w:t xml:space="preserve"> modelled OS estimates for pembrolizumab + PC than the OS data reported in KN-189 (</w:t>
      </w:r>
      <w:r w:rsidR="00E548E8" w:rsidRPr="00FB229F">
        <w:t>red dotted line</w:t>
      </w:r>
      <w:r w:rsidRPr="00FB229F">
        <w:t xml:space="preserve"> vs. blue solid line, </w:t>
      </w:r>
      <w:r w:rsidRPr="00FB229F">
        <w:fldChar w:fldCharType="begin" w:fldLock="1"/>
      </w:r>
      <w:r w:rsidRPr="00FB229F">
        <w:instrText xml:space="preserve"> REF _Ref132210003 \h </w:instrText>
      </w:r>
      <w:r w:rsidR="00604654" w:rsidRPr="00FB229F">
        <w:instrText xml:space="preserve"> \* MERGEFORMAT </w:instrText>
      </w:r>
      <w:r w:rsidRPr="00FB229F">
        <w:fldChar w:fldCharType="separate"/>
      </w:r>
      <w:r w:rsidR="00604654" w:rsidRPr="00FB229F">
        <w:t xml:space="preserve">Figure </w:t>
      </w:r>
      <w:r w:rsidR="00604654" w:rsidRPr="00166045">
        <w:t>9</w:t>
      </w:r>
      <w:r w:rsidRPr="00FB229F">
        <w:fldChar w:fldCharType="end"/>
      </w:r>
      <w:r w:rsidRPr="00FB229F">
        <w:t>)</w:t>
      </w:r>
      <w:r w:rsidR="00E548E8" w:rsidRPr="00FB229F">
        <w:t>, which favoured selpercatinib</w:t>
      </w:r>
      <w:r w:rsidRPr="00FB229F">
        <w:t>. A 20% reduction of OS HR generated through NMA for pembrolizumab + PC versus pseudo-control (i.e. PC) (from 0.609 to 0.487) provided an OS curve more comparable with the trial-based KM (</w:t>
      </w:r>
      <w:r w:rsidR="00E548E8" w:rsidRPr="00FB229F">
        <w:t>green dashed</w:t>
      </w:r>
      <w:r w:rsidRPr="00FB229F">
        <w:t xml:space="preserve"> line vs. blue solid line, </w:t>
      </w:r>
      <w:r w:rsidRPr="00FB229F">
        <w:fldChar w:fldCharType="begin" w:fldLock="1"/>
      </w:r>
      <w:r w:rsidRPr="00FB229F">
        <w:instrText xml:space="preserve"> REF _Ref132210003 \h </w:instrText>
      </w:r>
      <w:r w:rsidR="00604654" w:rsidRPr="00FB229F">
        <w:instrText xml:space="preserve"> \* MERGEFORMAT </w:instrText>
      </w:r>
      <w:r w:rsidRPr="00FB229F">
        <w:fldChar w:fldCharType="separate"/>
      </w:r>
      <w:r w:rsidR="00CA7201" w:rsidRPr="00FB229F">
        <w:t xml:space="preserve">Figure </w:t>
      </w:r>
      <w:r w:rsidR="00CA7201" w:rsidRPr="00166045">
        <w:t>9</w:t>
      </w:r>
      <w:r w:rsidRPr="00FB229F">
        <w:fldChar w:fldCharType="end"/>
      </w:r>
      <w:r w:rsidRPr="00FB229F">
        <w:t xml:space="preserve">). This would increase the ICER by 23% to </w:t>
      </w:r>
      <w:r w:rsidR="00F97170" w:rsidRPr="00F97170">
        <w:t>$95,000 to &lt; $115,000</w:t>
      </w:r>
      <w:r w:rsidR="00F97170">
        <w:t xml:space="preserve"> </w:t>
      </w:r>
      <w:r w:rsidRPr="00FB229F">
        <w:t xml:space="preserve">/QALY. </w:t>
      </w:r>
      <w:r w:rsidR="00A6370E" w:rsidRPr="00FB229F">
        <w:t xml:space="preserve">If the </w:t>
      </w:r>
      <w:r w:rsidR="00E548E8" w:rsidRPr="00FB229F">
        <w:t>PFS and OS HRs from the NMA</w:t>
      </w:r>
      <w:r w:rsidR="00A6370E" w:rsidRPr="00FB229F">
        <w:t xml:space="preserve"> </w:t>
      </w:r>
      <w:r w:rsidR="00E548E8" w:rsidRPr="00FB229F">
        <w:t xml:space="preserve">between pembrolizumab + PC and PC reduced further, the ICER could increase </w:t>
      </w:r>
      <w:r w:rsidR="00147541" w:rsidRPr="00FB229F">
        <w:t xml:space="preserve">to </w:t>
      </w:r>
      <w:r w:rsidR="00E548E8" w:rsidRPr="00FB229F">
        <w:t xml:space="preserve">above </w:t>
      </w:r>
      <w:r w:rsidR="009610F2" w:rsidRPr="00F97170">
        <w:t>$95,000 to &lt; $115,000</w:t>
      </w:r>
      <w:r w:rsidR="00E548E8" w:rsidRPr="00FB229F">
        <w:t xml:space="preserve">/QALY gained. </w:t>
      </w:r>
    </w:p>
    <w:p w14:paraId="172820E7" w14:textId="145426AD" w:rsidR="00DD24A9" w:rsidRPr="00FB229F" w:rsidRDefault="00DD24A9" w:rsidP="00DD24A9">
      <w:pPr>
        <w:pStyle w:val="Caption"/>
      </w:pPr>
      <w:bookmarkStart w:id="91" w:name="_Ref132210003"/>
      <w:r w:rsidRPr="00FB229F">
        <w:t xml:space="preserve">Figure </w:t>
      </w:r>
      <w:r w:rsidR="00BF0AEB">
        <w:fldChar w:fldCharType="begin" w:fldLock="1"/>
      </w:r>
      <w:r w:rsidR="00BF0AEB">
        <w:instrText xml:space="preserve"> SEQ Figure \* ARABIC </w:instrText>
      </w:r>
      <w:r w:rsidR="00BF0AEB">
        <w:fldChar w:fldCharType="separate"/>
      </w:r>
      <w:r w:rsidR="00CA7201" w:rsidRPr="00166045">
        <w:t>9</w:t>
      </w:r>
      <w:r w:rsidR="00BF0AEB">
        <w:fldChar w:fldCharType="end"/>
      </w:r>
      <w:bookmarkEnd w:id="91"/>
      <w:r w:rsidRPr="00FB229F">
        <w:t xml:space="preserve">: OS for pembrolizumab + PC in the base case, in the sensitivity analysis and from the trial </w:t>
      </w:r>
    </w:p>
    <w:p w14:paraId="303418B3" w14:textId="1A405E33" w:rsidR="00DD24A9" w:rsidRPr="00FB229F" w:rsidRDefault="00E548E8" w:rsidP="00DD24A9">
      <w:pPr>
        <w:pStyle w:val="TableFooter"/>
        <w:rPr>
          <w:iCs/>
        </w:rPr>
      </w:pPr>
      <w:r w:rsidRPr="00E40104">
        <w:rPr>
          <w:noProof/>
        </w:rPr>
        <w:drawing>
          <wp:inline distT="0" distB="0" distL="0" distR="0" wp14:anchorId="0E6BA5A4" wp14:editId="49A17A88">
            <wp:extent cx="5730875" cy="3009900"/>
            <wp:effectExtent l="0" t="0" r="0" b="0"/>
            <wp:docPr id="24" name="Picture 24" descr="Figure 9: OS for pembrolizumab + PC in the base case, in the sensitivity analysis and from the 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9: OS for pembrolizumab + PC in the base case, in the sensitivity analysis and from the trial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3009900"/>
                    </a:xfrm>
                    <a:prstGeom prst="rect">
                      <a:avLst/>
                    </a:prstGeom>
                    <a:noFill/>
                  </pic:spPr>
                </pic:pic>
              </a:graphicData>
            </a:graphic>
          </wp:inline>
        </w:drawing>
      </w:r>
      <w:r w:rsidR="00DD24A9" w:rsidRPr="00FB229F">
        <w:rPr>
          <w:iCs/>
        </w:rPr>
        <w:t>Source: Figure constructed during the evaluation from “A5.1_Selpercatinib Section 3 Workbook”.</w:t>
      </w:r>
    </w:p>
    <w:p w14:paraId="59A45CEC" w14:textId="77777777" w:rsidR="00DD24A9" w:rsidRPr="00FB229F" w:rsidRDefault="00DD24A9" w:rsidP="00DD24A9">
      <w:pPr>
        <w:pStyle w:val="TableFooter"/>
        <w:rPr>
          <w:iCs/>
        </w:rPr>
      </w:pPr>
      <w:r w:rsidRPr="00FB229F">
        <w:rPr>
          <w:iCs/>
        </w:rPr>
        <w:t>HR = hazard ratio; KM = Kaplan-Meier; OS = overall survival; PC = pemetrexed + platinum chemotherapy</w:t>
      </w:r>
    </w:p>
    <w:p w14:paraId="118DB808" w14:textId="77777777" w:rsidR="00DD24A9" w:rsidRPr="00FB229F" w:rsidRDefault="00DD24A9" w:rsidP="00816BFB">
      <w:pPr>
        <w:pStyle w:val="TableFooter"/>
        <w:spacing w:after="120"/>
        <w:rPr>
          <w:iCs/>
        </w:rPr>
      </w:pPr>
      <w:r w:rsidRPr="00FB229F">
        <w:rPr>
          <w:iCs/>
        </w:rPr>
        <w:t xml:space="preserve">Note: OS KM curve for pembrolizumab + PC from Trial KN-189 was digitised from Rodríguez-Abreu et al 2021 (Figure 1A). The OS HR for pembrolizumab + PC vs. PC generated from the NMA, as used in the base case analysis, was 0.609. This HR value was reduced by 20% (to 0.487) in the sensitivity analysis. </w:t>
      </w:r>
    </w:p>
    <w:p w14:paraId="32916E72" w14:textId="632DA51D" w:rsidR="00DD24A9" w:rsidRPr="00FB229F" w:rsidRDefault="00DD24A9" w:rsidP="007F03AD">
      <w:pPr>
        <w:pStyle w:val="3-BodyText"/>
        <w:ind w:left="709" w:hanging="709"/>
      </w:pPr>
      <w:r w:rsidRPr="00FB229F">
        <w:t xml:space="preserve">The model was sensitive the extrapolation parametric function for OS. Using different parametric functions to extrapolate OS, the ICER could increase by up to 67%. </w:t>
      </w:r>
    </w:p>
    <w:p w14:paraId="1046CCD4" w14:textId="562D34A6" w:rsidR="00DD24A9" w:rsidRPr="00FB229F" w:rsidRDefault="00DD24A9" w:rsidP="007F03AD">
      <w:pPr>
        <w:pStyle w:val="3-BodyText"/>
        <w:ind w:left="709" w:hanging="709"/>
      </w:pPr>
      <w:r w:rsidRPr="00FB229F">
        <w:t xml:space="preserve">The other economic </w:t>
      </w:r>
      <w:r w:rsidR="003B6ADB" w:rsidRPr="00FB229F">
        <w:t>parameter</w:t>
      </w:r>
      <w:r w:rsidRPr="00FB229F">
        <w:t>s which had a relatively larger impact on the result were the du</w:t>
      </w:r>
      <w:r w:rsidR="00E548E8" w:rsidRPr="00FB229F">
        <w:t>ration</w:t>
      </w:r>
      <w:r w:rsidRPr="00FB229F">
        <w:t xml:space="preserve"> of pembrolizumab therapy in a later-line treatment setting following first-line selpercatinib and the time horizon</w:t>
      </w:r>
      <w:r w:rsidR="003B6ADB" w:rsidRPr="00FB229F">
        <w:t xml:space="preserve"> of the model</w:t>
      </w:r>
      <w:r w:rsidRPr="00FB229F">
        <w:t xml:space="preserve">. </w:t>
      </w:r>
    </w:p>
    <w:p w14:paraId="1F499D8C" w14:textId="4E11D788" w:rsidR="00F81222" w:rsidRPr="00FB229F" w:rsidRDefault="00F81222" w:rsidP="007B1BC5">
      <w:pPr>
        <w:pStyle w:val="3-BodyText"/>
        <w:ind w:left="709" w:hanging="709"/>
      </w:pPr>
      <w:bookmarkStart w:id="92" w:name="_Ref141951511"/>
      <w:r w:rsidRPr="00FB229F">
        <w:t>The pre-PBAC response proposed a re-specified base case for the economic model with the following changes:</w:t>
      </w:r>
      <w:bookmarkEnd w:id="92"/>
      <w:r w:rsidRPr="00FB229F">
        <w:t xml:space="preserve"> </w:t>
      </w:r>
    </w:p>
    <w:p w14:paraId="616E0FDA" w14:textId="1AC83A22" w:rsidR="00F81222" w:rsidRPr="00FB229F" w:rsidRDefault="00F81222" w:rsidP="00816BFB">
      <w:pPr>
        <w:pStyle w:val="Bulletpoints"/>
      </w:pPr>
      <w:r w:rsidRPr="00FB229F">
        <w:t xml:space="preserve">Application of the selpercatinib treatment effect derived from the MAIC </w:t>
      </w:r>
      <w:r w:rsidR="00052EA8" w:rsidRPr="00FB229F">
        <w:t>M</w:t>
      </w:r>
      <w:r w:rsidRPr="00FB229F">
        <w:t>odel 2</w:t>
      </w:r>
    </w:p>
    <w:p w14:paraId="5663030C" w14:textId="77777777" w:rsidR="00F81222" w:rsidRPr="00FB229F" w:rsidRDefault="00F81222" w:rsidP="00816BFB">
      <w:pPr>
        <w:pStyle w:val="Bulletpoints"/>
      </w:pPr>
      <w:r w:rsidRPr="00FB229F">
        <w:t>A 10-year time horizon</w:t>
      </w:r>
    </w:p>
    <w:p w14:paraId="2F78CFEF" w14:textId="77777777" w:rsidR="00F81222" w:rsidRPr="00FB229F" w:rsidRDefault="00F81222" w:rsidP="00816BFB">
      <w:pPr>
        <w:pStyle w:val="Bulletpoints"/>
      </w:pPr>
      <w:r w:rsidRPr="00FB229F">
        <w:t xml:space="preserve">Removal of the cost of </w:t>
      </w:r>
      <w:r w:rsidRPr="00FB229F">
        <w:rPr>
          <w:i/>
          <w:iCs/>
        </w:rPr>
        <w:t>RET</w:t>
      </w:r>
      <w:r w:rsidRPr="00FB229F">
        <w:t xml:space="preserve"> fusion testing</w:t>
      </w:r>
    </w:p>
    <w:p w14:paraId="48CDBEDE" w14:textId="77777777" w:rsidR="00F81222" w:rsidRPr="00FB229F" w:rsidRDefault="00F81222" w:rsidP="00816BFB">
      <w:pPr>
        <w:pStyle w:val="Bulletpoints"/>
      </w:pPr>
      <w:r w:rsidRPr="00FB229F">
        <w:t xml:space="preserve">No dose reduction for pembrolizumab </w:t>
      </w:r>
    </w:p>
    <w:p w14:paraId="18202996" w14:textId="77777777" w:rsidR="00F81222" w:rsidRPr="00FB229F" w:rsidRDefault="00F81222" w:rsidP="00816BFB">
      <w:pPr>
        <w:pStyle w:val="Bulletpoints"/>
      </w:pPr>
      <w:r w:rsidRPr="00FB229F">
        <w:lastRenderedPageBreak/>
        <w:t xml:space="preserve">Doubling the time to treatment discontinuation (TTD) for later-line pembrolizumab therapy, from 5.65 3-weekly treatment cycles to 11.31 3-weekly cycles; and </w:t>
      </w:r>
    </w:p>
    <w:p w14:paraId="24E8184A" w14:textId="0E6AF91B" w:rsidR="00F81222" w:rsidRPr="00FB229F" w:rsidRDefault="00F81222" w:rsidP="00816BFB">
      <w:pPr>
        <w:pStyle w:val="Bulletpoints"/>
      </w:pPr>
      <w:r w:rsidRPr="00FB229F">
        <w:t>Re-calculation of the drug acquisition costs for pembrolizumab, pemetrexed, carboplatin and docetaxel, according to the EFC Program.</w:t>
      </w:r>
    </w:p>
    <w:p w14:paraId="0DFFEDD1" w14:textId="1D865FC3" w:rsidR="00F81222" w:rsidRPr="00FB229F" w:rsidRDefault="0026483B" w:rsidP="00052EA8">
      <w:pPr>
        <w:pStyle w:val="ListBullet"/>
        <w:numPr>
          <w:ilvl w:val="0"/>
          <w:numId w:val="0"/>
        </w:numPr>
        <w:spacing w:after="120"/>
        <w:ind w:left="720"/>
      </w:pPr>
      <w:r w:rsidRPr="00FB229F">
        <w:t>Incorporating</w:t>
      </w:r>
      <w:r w:rsidR="00052EA8" w:rsidRPr="00FB229F">
        <w:t xml:space="preserve"> the 1.5% price reduction </w:t>
      </w:r>
      <w:r w:rsidR="00E26507" w:rsidRPr="00FB229F">
        <w:t xml:space="preserve">for selpercatinib </w:t>
      </w:r>
      <w:r w:rsidR="00052EA8" w:rsidRPr="00FB229F">
        <w:t xml:space="preserve">proposed in the pre-PBAC response (see paragraph </w:t>
      </w:r>
      <w:r w:rsidR="00052EA8" w:rsidRPr="00FB229F">
        <w:fldChar w:fldCharType="begin" w:fldLock="1"/>
      </w:r>
      <w:r w:rsidR="00052EA8" w:rsidRPr="00FB229F">
        <w:instrText xml:space="preserve"> REF _Ref141905270 \r \h </w:instrText>
      </w:r>
      <w:r w:rsidR="00052EA8" w:rsidRPr="00FB229F">
        <w:fldChar w:fldCharType="separate"/>
      </w:r>
      <w:r w:rsidR="00CE0B36">
        <w:t>3.2</w:t>
      </w:r>
      <w:r w:rsidR="00052EA8" w:rsidRPr="00FB229F">
        <w:fldChar w:fldCharType="end"/>
      </w:r>
      <w:r w:rsidR="00052EA8" w:rsidRPr="00FB229F">
        <w:t xml:space="preserve">) the resulting ICER was </w:t>
      </w:r>
      <w:r w:rsidR="009610F2" w:rsidRPr="009610F2">
        <w:t>$55,000 to &lt; $75,000</w:t>
      </w:r>
      <w:r w:rsidR="00052EA8" w:rsidRPr="00FB229F">
        <w:t xml:space="preserve">/QALY gained. </w:t>
      </w:r>
    </w:p>
    <w:p w14:paraId="072CAA73" w14:textId="1759400C" w:rsidR="00C25D9C" w:rsidRPr="00FB229F" w:rsidRDefault="00C25D9C" w:rsidP="00B75F7C">
      <w:pPr>
        <w:pStyle w:val="4-SubsectionHeading"/>
        <w:rPr>
          <w:i w:val="0"/>
        </w:rPr>
      </w:pPr>
      <w:bookmarkStart w:id="93" w:name="_Toc135215243"/>
      <w:r w:rsidRPr="00FB229F">
        <w:rPr>
          <w:i w:val="0"/>
        </w:rPr>
        <w:t>Drug cost/patient/course</w:t>
      </w:r>
      <w:bookmarkEnd w:id="68"/>
      <w:bookmarkEnd w:id="93"/>
    </w:p>
    <w:p w14:paraId="1F8DA523" w14:textId="2B89220A" w:rsidR="009C10B8" w:rsidRPr="00FB229F" w:rsidRDefault="009C10B8" w:rsidP="00770E09">
      <w:pPr>
        <w:pStyle w:val="Caption"/>
        <w:rPr>
          <w:rStyle w:val="CommentReference"/>
          <w:b/>
          <w:bCs w:val="0"/>
          <w:szCs w:val="24"/>
        </w:rPr>
      </w:pPr>
      <w:bookmarkStart w:id="94" w:name="_Hlk107307804"/>
      <w:bookmarkStart w:id="95" w:name="_Toc22897647"/>
      <w:r w:rsidRPr="00FB229F">
        <w:t xml:space="preserve">Table </w:t>
      </w:r>
      <w:r w:rsidR="00BF0AEB">
        <w:fldChar w:fldCharType="begin" w:fldLock="1"/>
      </w:r>
      <w:r w:rsidR="00BF0AEB">
        <w:instrText xml:space="preserve"> SEQ Table \* ARABIC </w:instrText>
      </w:r>
      <w:r w:rsidR="00BF0AEB">
        <w:fldChar w:fldCharType="separate"/>
      </w:r>
      <w:r w:rsidR="00CA7201" w:rsidRPr="00166045">
        <w:t>25</w:t>
      </w:r>
      <w:r w:rsidR="00BF0AEB">
        <w:fldChar w:fldCharType="end"/>
      </w:r>
      <w:r w:rsidRPr="00FB229F">
        <w:t>:</w:t>
      </w:r>
      <w:r w:rsidRPr="00FB229F">
        <w:rPr>
          <w:b w:val="0"/>
        </w:rPr>
        <w:t xml:space="preserve"> </w:t>
      </w:r>
      <w:r w:rsidRPr="00FB229F">
        <w:rPr>
          <w:rStyle w:val="CommentReference"/>
          <w:b/>
          <w:szCs w:val="24"/>
        </w:rPr>
        <w:t>Drug cost per patient for selpercatinib and for pembrolizumab + pemetrexed + platinum chemotherapy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1456"/>
        <w:gridCol w:w="1455"/>
        <w:gridCol w:w="1309"/>
        <w:gridCol w:w="1163"/>
        <w:gridCol w:w="1603"/>
        <w:gridCol w:w="1015"/>
      </w:tblGrid>
      <w:tr w:rsidR="009C10B8" w:rsidRPr="00FB229F" w14:paraId="60804E52" w14:textId="77777777" w:rsidTr="009C10B8">
        <w:trPr>
          <w:cantSplit/>
          <w:tblHeader/>
        </w:trPr>
        <w:tc>
          <w:tcPr>
            <w:tcW w:w="563" w:type="pct"/>
            <w:vMerge w:val="restart"/>
            <w:tcBorders>
              <w:top w:val="single" w:sz="4" w:space="0" w:color="auto"/>
              <w:left w:val="single" w:sz="4" w:space="0" w:color="auto"/>
              <w:bottom w:val="single" w:sz="4" w:space="0" w:color="auto"/>
              <w:right w:val="single" w:sz="4" w:space="0" w:color="auto"/>
            </w:tcBorders>
            <w:vAlign w:val="center"/>
          </w:tcPr>
          <w:p w14:paraId="1804ED15" w14:textId="77777777" w:rsidR="009C10B8" w:rsidRPr="00166045" w:rsidRDefault="009C10B8" w:rsidP="00770E09">
            <w:pPr>
              <w:pStyle w:val="In-tableHeading"/>
              <w:jc w:val="center"/>
              <w:rPr>
                <w:lang w:val="en-AU"/>
              </w:rPr>
            </w:pPr>
          </w:p>
        </w:tc>
        <w:tc>
          <w:tcPr>
            <w:tcW w:w="2339" w:type="pct"/>
            <w:gridSpan w:val="3"/>
            <w:tcBorders>
              <w:top w:val="single" w:sz="4" w:space="0" w:color="auto"/>
              <w:left w:val="single" w:sz="4" w:space="0" w:color="auto"/>
              <w:bottom w:val="single" w:sz="4" w:space="0" w:color="auto"/>
              <w:right w:val="single" w:sz="4" w:space="0" w:color="auto"/>
            </w:tcBorders>
            <w:vAlign w:val="center"/>
            <w:hideMark/>
          </w:tcPr>
          <w:p w14:paraId="10080F68" w14:textId="77777777" w:rsidR="009C10B8" w:rsidRPr="00166045" w:rsidRDefault="009C10B8" w:rsidP="00770E09">
            <w:pPr>
              <w:pStyle w:val="In-tableHeading"/>
              <w:jc w:val="center"/>
              <w:rPr>
                <w:lang w:val="en-AU"/>
              </w:rPr>
            </w:pPr>
            <w:r w:rsidRPr="00166045">
              <w:rPr>
                <w:lang w:val="en-AU"/>
              </w:rPr>
              <w:t>Selpercatinib</w:t>
            </w:r>
          </w:p>
        </w:tc>
        <w:tc>
          <w:tcPr>
            <w:tcW w:w="209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3B4EB" w14:textId="77777777" w:rsidR="009C10B8" w:rsidRPr="00166045" w:rsidRDefault="009C10B8" w:rsidP="00770E09">
            <w:pPr>
              <w:pStyle w:val="In-tableHeading"/>
              <w:jc w:val="center"/>
              <w:rPr>
                <w:lang w:val="en-AU"/>
              </w:rPr>
            </w:pPr>
            <w:r w:rsidRPr="00166045">
              <w:rPr>
                <w:lang w:val="en-AU"/>
              </w:rPr>
              <w:t>Pembrolizumab + pemetrexed + carboplatin</w:t>
            </w:r>
          </w:p>
        </w:tc>
      </w:tr>
      <w:tr w:rsidR="009C10B8" w:rsidRPr="00FB229F" w14:paraId="5AF26595" w14:textId="77777777" w:rsidTr="009C10B8">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98D69" w14:textId="77777777" w:rsidR="009C10B8" w:rsidRPr="00166045" w:rsidRDefault="009C10B8" w:rsidP="00816BFB">
            <w:pPr>
              <w:keepNext/>
              <w:jc w:val="left"/>
              <w:rPr>
                <w:rFonts w:ascii="Arial Narrow" w:eastAsiaTheme="majorEastAsia" w:hAnsi="Arial Narrow" w:cs="Times New Roman"/>
                <w:b/>
                <w:sz w:val="20"/>
              </w:rPr>
            </w:pPr>
          </w:p>
        </w:tc>
        <w:tc>
          <w:tcPr>
            <w:tcW w:w="807" w:type="pct"/>
            <w:tcBorders>
              <w:top w:val="single" w:sz="4" w:space="0" w:color="auto"/>
              <w:left w:val="single" w:sz="4" w:space="0" w:color="auto"/>
              <w:bottom w:val="single" w:sz="4" w:space="0" w:color="auto"/>
              <w:right w:val="single" w:sz="4" w:space="0" w:color="auto"/>
            </w:tcBorders>
            <w:vAlign w:val="center"/>
            <w:hideMark/>
          </w:tcPr>
          <w:p w14:paraId="61C2C504" w14:textId="77777777" w:rsidR="009C10B8" w:rsidRPr="00166045" w:rsidRDefault="009C10B8" w:rsidP="00770E09">
            <w:pPr>
              <w:pStyle w:val="In-tableHeading"/>
              <w:jc w:val="center"/>
              <w:rPr>
                <w:lang w:val="en-AU"/>
              </w:rPr>
            </w:pPr>
            <w:r w:rsidRPr="00166045">
              <w:rPr>
                <w:lang w:val="en-AU"/>
              </w:rPr>
              <w:t>Trial dose and duration</w:t>
            </w:r>
          </w:p>
        </w:tc>
        <w:tc>
          <w:tcPr>
            <w:tcW w:w="807" w:type="pct"/>
            <w:tcBorders>
              <w:top w:val="single" w:sz="4" w:space="0" w:color="auto"/>
              <w:left w:val="single" w:sz="4" w:space="0" w:color="auto"/>
              <w:bottom w:val="single" w:sz="4" w:space="0" w:color="auto"/>
              <w:right w:val="single" w:sz="4" w:space="0" w:color="auto"/>
            </w:tcBorders>
            <w:vAlign w:val="center"/>
            <w:hideMark/>
          </w:tcPr>
          <w:p w14:paraId="080D1C6C" w14:textId="77777777" w:rsidR="009C10B8" w:rsidRPr="00166045" w:rsidRDefault="009C10B8" w:rsidP="00770E09">
            <w:pPr>
              <w:pStyle w:val="In-tableHeading"/>
              <w:jc w:val="center"/>
              <w:rPr>
                <w:lang w:val="en-AU"/>
              </w:rPr>
            </w:pPr>
            <w:r w:rsidRPr="00166045">
              <w:rPr>
                <w:lang w:val="en-AU"/>
              </w:rPr>
              <w:t>Model</w:t>
            </w:r>
          </w:p>
        </w:tc>
        <w:tc>
          <w:tcPr>
            <w:tcW w:w="726" w:type="pct"/>
            <w:tcBorders>
              <w:top w:val="single" w:sz="4" w:space="0" w:color="auto"/>
              <w:left w:val="single" w:sz="4" w:space="0" w:color="auto"/>
              <w:bottom w:val="single" w:sz="4" w:space="0" w:color="auto"/>
              <w:right w:val="single" w:sz="4" w:space="0" w:color="auto"/>
            </w:tcBorders>
            <w:vAlign w:val="center"/>
            <w:hideMark/>
          </w:tcPr>
          <w:p w14:paraId="7A081946" w14:textId="77777777" w:rsidR="009C10B8" w:rsidRPr="00166045" w:rsidRDefault="009C10B8" w:rsidP="00770E09">
            <w:pPr>
              <w:pStyle w:val="In-tableHeading"/>
              <w:jc w:val="center"/>
              <w:rPr>
                <w:lang w:val="en-AU"/>
              </w:rPr>
            </w:pPr>
            <w:r w:rsidRPr="00166045">
              <w:rPr>
                <w:lang w:val="en-AU"/>
              </w:rPr>
              <w:t>Financial estimates</w:t>
            </w:r>
          </w:p>
        </w:tc>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E7B8E" w14:textId="77777777" w:rsidR="009C10B8" w:rsidRPr="00166045" w:rsidRDefault="009C10B8" w:rsidP="00770E09">
            <w:pPr>
              <w:pStyle w:val="In-tableHeading"/>
              <w:jc w:val="center"/>
              <w:rPr>
                <w:lang w:val="en-AU"/>
              </w:rPr>
            </w:pPr>
            <w:r w:rsidRPr="00166045">
              <w:rPr>
                <w:lang w:val="en-AU"/>
              </w:rPr>
              <w:t>Trial dose and duration</w:t>
            </w:r>
          </w:p>
        </w:tc>
        <w:tc>
          <w:tcPr>
            <w:tcW w:w="8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96CA6E" w14:textId="77777777" w:rsidR="009C10B8" w:rsidRPr="00166045" w:rsidRDefault="009C10B8" w:rsidP="00770E09">
            <w:pPr>
              <w:pStyle w:val="In-tableHeading"/>
              <w:jc w:val="center"/>
              <w:rPr>
                <w:lang w:val="en-AU"/>
              </w:rPr>
            </w:pPr>
            <w:r w:rsidRPr="00166045">
              <w:rPr>
                <w:lang w:val="en-AU"/>
              </w:rPr>
              <w:t>Model</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0C19D" w14:textId="77777777" w:rsidR="009C10B8" w:rsidRPr="00166045" w:rsidRDefault="009C10B8" w:rsidP="00770E09">
            <w:pPr>
              <w:pStyle w:val="In-tableHeading"/>
              <w:jc w:val="center"/>
              <w:rPr>
                <w:lang w:val="en-AU"/>
              </w:rPr>
            </w:pPr>
            <w:r w:rsidRPr="00166045">
              <w:rPr>
                <w:lang w:val="en-AU"/>
              </w:rPr>
              <w:t>Financial estimates</w:t>
            </w:r>
          </w:p>
          <w:p w14:paraId="55709434" w14:textId="77777777" w:rsidR="009C10B8" w:rsidRPr="00FB229F" w:rsidRDefault="009C10B8" w:rsidP="00816BFB">
            <w:pPr>
              <w:keepNext/>
              <w:jc w:val="left"/>
              <w:rPr>
                <w:rFonts w:ascii="Times New Roman" w:hAnsi="Times New Roman" w:cs="Times New Roman"/>
                <w:sz w:val="20"/>
                <w:szCs w:val="20"/>
              </w:rPr>
            </w:pPr>
          </w:p>
        </w:tc>
      </w:tr>
      <w:tr w:rsidR="009C10B8" w:rsidRPr="00FB229F" w14:paraId="136A500E" w14:textId="77777777" w:rsidTr="009C10B8">
        <w:trPr>
          <w:cantSplit/>
        </w:trPr>
        <w:tc>
          <w:tcPr>
            <w:tcW w:w="563" w:type="pct"/>
            <w:tcBorders>
              <w:top w:val="single" w:sz="4" w:space="0" w:color="auto"/>
              <w:left w:val="single" w:sz="4" w:space="0" w:color="auto"/>
              <w:bottom w:val="single" w:sz="4" w:space="0" w:color="auto"/>
              <w:right w:val="single" w:sz="4" w:space="0" w:color="auto"/>
            </w:tcBorders>
            <w:vAlign w:val="center"/>
            <w:hideMark/>
          </w:tcPr>
          <w:p w14:paraId="202FE50A" w14:textId="77777777" w:rsidR="009C10B8" w:rsidRPr="00166045" w:rsidRDefault="009C10B8" w:rsidP="00770E09">
            <w:pPr>
              <w:pStyle w:val="TableText0"/>
            </w:pPr>
            <w:r w:rsidRPr="00166045">
              <w:t>Mean dose</w:t>
            </w:r>
          </w:p>
        </w:tc>
        <w:tc>
          <w:tcPr>
            <w:tcW w:w="807" w:type="pct"/>
            <w:tcBorders>
              <w:top w:val="single" w:sz="4" w:space="0" w:color="auto"/>
              <w:left w:val="single" w:sz="4" w:space="0" w:color="auto"/>
              <w:bottom w:val="single" w:sz="4" w:space="0" w:color="auto"/>
              <w:right w:val="single" w:sz="4" w:space="0" w:color="auto"/>
            </w:tcBorders>
            <w:vAlign w:val="center"/>
            <w:hideMark/>
          </w:tcPr>
          <w:p w14:paraId="6872774A" w14:textId="77777777" w:rsidR="009C10B8" w:rsidRPr="00166045" w:rsidRDefault="009C10B8" w:rsidP="00770E09">
            <w:pPr>
              <w:pStyle w:val="TableText0"/>
              <w:jc w:val="center"/>
            </w:pPr>
            <w:r w:rsidRPr="00166045">
              <w:t>28-day Cycle 1: 293.3 mg/day</w:t>
            </w:r>
          </w:p>
          <w:p w14:paraId="0A5736BD" w14:textId="77777777" w:rsidR="009C10B8" w:rsidRPr="00166045" w:rsidRDefault="009C10B8" w:rsidP="00770E09">
            <w:pPr>
              <w:pStyle w:val="TableText0"/>
              <w:jc w:val="center"/>
              <w:rPr>
                <w:vertAlign w:val="superscript"/>
              </w:rPr>
            </w:pPr>
            <w:r w:rsidRPr="00166045">
              <w:t>28-day Cycles 2+: 251.1 mg/day</w:t>
            </w:r>
            <w:r w:rsidRPr="00166045">
              <w:rPr>
                <w:vertAlign w:val="superscript"/>
              </w:rPr>
              <w:t>a</w:t>
            </w:r>
          </w:p>
        </w:tc>
        <w:tc>
          <w:tcPr>
            <w:tcW w:w="807" w:type="pct"/>
            <w:tcBorders>
              <w:top w:val="single" w:sz="4" w:space="0" w:color="auto"/>
              <w:left w:val="single" w:sz="4" w:space="0" w:color="auto"/>
              <w:bottom w:val="single" w:sz="4" w:space="0" w:color="auto"/>
              <w:right w:val="single" w:sz="4" w:space="0" w:color="auto"/>
            </w:tcBorders>
            <w:vAlign w:val="center"/>
            <w:hideMark/>
          </w:tcPr>
          <w:p w14:paraId="4EDBB6DE" w14:textId="77777777" w:rsidR="009C10B8" w:rsidRPr="00166045" w:rsidRDefault="009C10B8" w:rsidP="00770E09">
            <w:pPr>
              <w:pStyle w:val="TableText0"/>
              <w:jc w:val="center"/>
            </w:pPr>
            <w:r w:rsidRPr="00166045">
              <w:t>28-day Cycle 1: 293.3 mg/day</w:t>
            </w:r>
          </w:p>
          <w:p w14:paraId="5E03440E" w14:textId="77777777" w:rsidR="009C10B8" w:rsidRPr="00166045" w:rsidRDefault="009C10B8" w:rsidP="00770E09">
            <w:pPr>
              <w:pStyle w:val="TableText0"/>
              <w:jc w:val="center"/>
            </w:pPr>
            <w:r w:rsidRPr="00166045">
              <w:t>28-day Cycles 2+: 251.1 mg/day</w:t>
            </w:r>
          </w:p>
        </w:tc>
        <w:tc>
          <w:tcPr>
            <w:tcW w:w="726" w:type="pct"/>
            <w:tcBorders>
              <w:top w:val="single" w:sz="4" w:space="0" w:color="auto"/>
              <w:left w:val="single" w:sz="4" w:space="0" w:color="auto"/>
              <w:bottom w:val="single" w:sz="4" w:space="0" w:color="auto"/>
              <w:right w:val="single" w:sz="4" w:space="0" w:color="auto"/>
            </w:tcBorders>
            <w:vAlign w:val="center"/>
            <w:hideMark/>
          </w:tcPr>
          <w:p w14:paraId="3E56AC05" w14:textId="77777777" w:rsidR="009C10B8" w:rsidRPr="00166045" w:rsidRDefault="009C10B8" w:rsidP="00770E09">
            <w:pPr>
              <w:pStyle w:val="TableText0"/>
              <w:jc w:val="center"/>
              <w:rPr>
                <w:vertAlign w:val="superscript"/>
              </w:rPr>
            </w:pPr>
            <w:r w:rsidRPr="00166045">
              <w:t>252.19mg/</w:t>
            </w:r>
            <w:proofErr w:type="spellStart"/>
            <w:r w:rsidRPr="00166045">
              <w:t>day</w:t>
            </w:r>
            <w:r w:rsidRPr="00166045">
              <w:rPr>
                <w:vertAlign w:val="superscript"/>
              </w:rPr>
              <w:t>b</w:t>
            </w:r>
            <w:proofErr w:type="spellEnd"/>
          </w:p>
        </w:tc>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21AFA" w14:textId="77777777" w:rsidR="009C10B8" w:rsidRPr="00166045" w:rsidRDefault="009C10B8" w:rsidP="00770E09">
            <w:pPr>
              <w:pStyle w:val="TableText0"/>
              <w:jc w:val="center"/>
              <w:rPr>
                <w:b/>
              </w:rPr>
            </w:pPr>
            <w:r w:rsidRPr="00166045">
              <w:t>NR</w:t>
            </w:r>
          </w:p>
        </w:tc>
        <w:tc>
          <w:tcPr>
            <w:tcW w:w="8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1B686" w14:textId="77777777" w:rsidR="009C10B8" w:rsidRPr="00166045" w:rsidRDefault="009C10B8" w:rsidP="00770E09">
            <w:pPr>
              <w:pStyle w:val="TableText0"/>
              <w:jc w:val="center"/>
            </w:pPr>
            <w:r w:rsidRPr="00166045">
              <w:t xml:space="preserve">As per dose regimen recommended in eviQ </w:t>
            </w:r>
            <w:proofErr w:type="spellStart"/>
            <w:r w:rsidRPr="00166045">
              <w:t>guidelines</w:t>
            </w:r>
            <w:r w:rsidRPr="00166045">
              <w:rPr>
                <w:vertAlign w:val="superscript"/>
              </w:rPr>
              <w:t>e</w:t>
            </w:r>
            <w:proofErr w:type="spellEnd"/>
            <w:r w:rsidRPr="00166045">
              <w:t xml:space="preserve">, including an RDI of 83.4% from treatment Cycles 2 </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3F404" w14:textId="77777777" w:rsidR="009C10B8" w:rsidRPr="00166045" w:rsidRDefault="009C10B8" w:rsidP="00770E09">
            <w:pPr>
              <w:pStyle w:val="TableText0"/>
              <w:jc w:val="center"/>
            </w:pPr>
            <w:r w:rsidRPr="00166045">
              <w:t>NA</w:t>
            </w:r>
          </w:p>
          <w:p w14:paraId="31152647" w14:textId="77777777" w:rsidR="009C10B8" w:rsidRPr="00FB229F" w:rsidRDefault="009C10B8" w:rsidP="00816BFB">
            <w:pPr>
              <w:keepNext/>
              <w:jc w:val="left"/>
              <w:rPr>
                <w:rFonts w:ascii="Times New Roman" w:hAnsi="Times New Roman" w:cs="Times New Roman"/>
                <w:sz w:val="20"/>
                <w:szCs w:val="20"/>
              </w:rPr>
            </w:pPr>
          </w:p>
        </w:tc>
      </w:tr>
      <w:tr w:rsidR="009C10B8" w:rsidRPr="00FB229F" w14:paraId="224D4191" w14:textId="77777777" w:rsidTr="009C10B8">
        <w:trPr>
          <w:cantSplit/>
        </w:trPr>
        <w:tc>
          <w:tcPr>
            <w:tcW w:w="563" w:type="pct"/>
            <w:tcBorders>
              <w:top w:val="single" w:sz="4" w:space="0" w:color="auto"/>
              <w:left w:val="single" w:sz="4" w:space="0" w:color="auto"/>
              <w:bottom w:val="single" w:sz="4" w:space="0" w:color="auto"/>
              <w:right w:val="single" w:sz="4" w:space="0" w:color="auto"/>
            </w:tcBorders>
            <w:vAlign w:val="center"/>
            <w:hideMark/>
          </w:tcPr>
          <w:p w14:paraId="708DEFE4" w14:textId="77777777" w:rsidR="009C10B8" w:rsidRPr="00166045" w:rsidRDefault="009C10B8" w:rsidP="00770E09">
            <w:pPr>
              <w:pStyle w:val="TableText0"/>
            </w:pPr>
            <w:r w:rsidRPr="00166045">
              <w:t>Mean duration</w:t>
            </w:r>
          </w:p>
        </w:tc>
        <w:tc>
          <w:tcPr>
            <w:tcW w:w="807" w:type="pct"/>
            <w:tcBorders>
              <w:top w:val="single" w:sz="4" w:space="0" w:color="auto"/>
              <w:left w:val="single" w:sz="4" w:space="0" w:color="auto"/>
              <w:bottom w:val="single" w:sz="4" w:space="0" w:color="auto"/>
              <w:right w:val="single" w:sz="4" w:space="0" w:color="auto"/>
            </w:tcBorders>
            <w:vAlign w:val="center"/>
            <w:hideMark/>
          </w:tcPr>
          <w:p w14:paraId="1038F09F" w14:textId="77777777" w:rsidR="009C10B8" w:rsidRPr="00166045" w:rsidRDefault="009C10B8" w:rsidP="00770E09">
            <w:pPr>
              <w:pStyle w:val="TableText0"/>
              <w:jc w:val="center"/>
              <w:rPr>
                <w:vertAlign w:val="superscript"/>
              </w:rPr>
            </w:pPr>
            <w:r w:rsidRPr="00166045">
              <w:t xml:space="preserve">19.9 28-day </w:t>
            </w:r>
            <w:proofErr w:type="spellStart"/>
            <w:r w:rsidRPr="00166045">
              <w:t>cycles</w:t>
            </w:r>
            <w:r w:rsidRPr="00166045">
              <w:rPr>
                <w:vertAlign w:val="superscript"/>
              </w:rPr>
              <w:t>c</w:t>
            </w:r>
            <w:proofErr w:type="spellEnd"/>
          </w:p>
        </w:tc>
        <w:tc>
          <w:tcPr>
            <w:tcW w:w="807" w:type="pct"/>
            <w:tcBorders>
              <w:top w:val="single" w:sz="4" w:space="0" w:color="auto"/>
              <w:left w:val="single" w:sz="4" w:space="0" w:color="auto"/>
              <w:bottom w:val="single" w:sz="4" w:space="0" w:color="auto"/>
              <w:right w:val="single" w:sz="4" w:space="0" w:color="auto"/>
            </w:tcBorders>
            <w:vAlign w:val="center"/>
            <w:hideMark/>
          </w:tcPr>
          <w:p w14:paraId="7373C1B9" w14:textId="77777777" w:rsidR="009C10B8" w:rsidRPr="00166045" w:rsidRDefault="009C10B8" w:rsidP="00770E09">
            <w:pPr>
              <w:pStyle w:val="TableText0"/>
              <w:jc w:val="center"/>
            </w:pPr>
            <w:r w:rsidRPr="00166045">
              <w:t>37.5 28-day cycles</w:t>
            </w:r>
          </w:p>
        </w:tc>
        <w:tc>
          <w:tcPr>
            <w:tcW w:w="726" w:type="pct"/>
            <w:tcBorders>
              <w:top w:val="single" w:sz="4" w:space="0" w:color="auto"/>
              <w:left w:val="single" w:sz="4" w:space="0" w:color="auto"/>
              <w:bottom w:val="single" w:sz="4" w:space="0" w:color="auto"/>
              <w:right w:val="single" w:sz="4" w:space="0" w:color="auto"/>
            </w:tcBorders>
            <w:vAlign w:val="center"/>
            <w:hideMark/>
          </w:tcPr>
          <w:p w14:paraId="3ADBDEBA" w14:textId="77777777" w:rsidR="009C10B8" w:rsidRPr="00166045" w:rsidRDefault="009C10B8" w:rsidP="00770E09">
            <w:pPr>
              <w:pStyle w:val="TableText0"/>
              <w:jc w:val="center"/>
            </w:pPr>
            <w:r w:rsidRPr="00166045">
              <w:t xml:space="preserve">37.7 28-day cycles </w:t>
            </w:r>
          </w:p>
        </w:tc>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C5D9D" w14:textId="77777777" w:rsidR="009C10B8" w:rsidRPr="00166045" w:rsidRDefault="009C10B8" w:rsidP="00770E09">
            <w:pPr>
              <w:pStyle w:val="TableText0"/>
              <w:jc w:val="center"/>
              <w:rPr>
                <w:b/>
              </w:rPr>
            </w:pPr>
            <w:r w:rsidRPr="00166045">
              <w:t>NR</w:t>
            </w:r>
          </w:p>
        </w:tc>
        <w:tc>
          <w:tcPr>
            <w:tcW w:w="8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A013EC" w14:textId="77777777" w:rsidR="009C10B8" w:rsidRPr="00166045" w:rsidRDefault="009C10B8" w:rsidP="00770E09">
            <w:pPr>
              <w:pStyle w:val="TableText0"/>
              <w:jc w:val="center"/>
            </w:pPr>
            <w:r w:rsidRPr="00166045">
              <w:t>23.4 21-day cycles</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290DF1" w14:textId="77777777" w:rsidR="009C10B8" w:rsidRPr="00166045" w:rsidRDefault="009C10B8" w:rsidP="00770E09">
            <w:pPr>
              <w:pStyle w:val="TableText0"/>
              <w:jc w:val="center"/>
              <w:rPr>
                <w:b/>
              </w:rPr>
            </w:pPr>
            <w:r w:rsidRPr="00166045">
              <w:t>NA</w:t>
            </w:r>
          </w:p>
          <w:p w14:paraId="61089BC8" w14:textId="77777777" w:rsidR="009C10B8" w:rsidRPr="00FB229F" w:rsidRDefault="009C10B8" w:rsidP="00816BFB">
            <w:pPr>
              <w:keepNext/>
              <w:jc w:val="left"/>
              <w:rPr>
                <w:rFonts w:ascii="Times New Roman" w:hAnsi="Times New Roman" w:cs="Times New Roman"/>
                <w:sz w:val="20"/>
                <w:szCs w:val="20"/>
              </w:rPr>
            </w:pPr>
          </w:p>
        </w:tc>
      </w:tr>
      <w:tr w:rsidR="009C10B8" w:rsidRPr="00FB229F" w14:paraId="4FDC28FA" w14:textId="77777777" w:rsidTr="009C10B8">
        <w:trPr>
          <w:cantSplit/>
        </w:trPr>
        <w:tc>
          <w:tcPr>
            <w:tcW w:w="563" w:type="pct"/>
            <w:tcBorders>
              <w:top w:val="single" w:sz="4" w:space="0" w:color="auto"/>
              <w:left w:val="single" w:sz="4" w:space="0" w:color="auto"/>
              <w:bottom w:val="single" w:sz="4" w:space="0" w:color="auto"/>
              <w:right w:val="single" w:sz="4" w:space="0" w:color="auto"/>
            </w:tcBorders>
            <w:vAlign w:val="center"/>
            <w:hideMark/>
          </w:tcPr>
          <w:p w14:paraId="08D91F76" w14:textId="77777777" w:rsidR="009C10B8" w:rsidRPr="00166045" w:rsidRDefault="009C10B8" w:rsidP="00770E09">
            <w:pPr>
              <w:pStyle w:val="TableText0"/>
              <w:rPr>
                <w:vertAlign w:val="superscript"/>
              </w:rPr>
            </w:pPr>
            <w:r w:rsidRPr="00166045">
              <w:t>Cost/patient</w:t>
            </w:r>
            <w:r w:rsidRPr="00166045">
              <w:br/>
              <w:t>/cycle</w:t>
            </w:r>
          </w:p>
        </w:tc>
        <w:tc>
          <w:tcPr>
            <w:tcW w:w="807" w:type="pct"/>
            <w:tcBorders>
              <w:top w:val="single" w:sz="4" w:space="0" w:color="auto"/>
              <w:left w:val="single" w:sz="4" w:space="0" w:color="auto"/>
              <w:bottom w:val="single" w:sz="4" w:space="0" w:color="auto"/>
              <w:right w:val="single" w:sz="4" w:space="0" w:color="auto"/>
            </w:tcBorders>
            <w:vAlign w:val="center"/>
            <w:hideMark/>
          </w:tcPr>
          <w:p w14:paraId="0C98A5CC" w14:textId="43D56BA1" w:rsidR="009C10B8" w:rsidRPr="00166045" w:rsidRDefault="009C10B8" w:rsidP="00770E09">
            <w:pPr>
              <w:pStyle w:val="TableText0"/>
              <w:jc w:val="center"/>
              <w:rPr>
                <w:vertAlign w:val="superscript"/>
              </w:rPr>
            </w:pPr>
            <w:r w:rsidRPr="00166045">
              <w:t>28-day Cycle 1: $</w:t>
            </w:r>
            <w:r w:rsidR="00816BFB" w:rsidRPr="00816BFB">
              <w:rPr>
                <w:highlight w:val="black"/>
              </w:rPr>
              <w:t>|</w:t>
            </w:r>
            <w:r w:rsidRPr="00166045">
              <w:rPr>
                <w:vertAlign w:val="superscript"/>
              </w:rPr>
              <w:t>d</w:t>
            </w:r>
          </w:p>
          <w:p w14:paraId="571D31DD" w14:textId="578219F7" w:rsidR="009C10B8" w:rsidRPr="00166045" w:rsidRDefault="009C10B8" w:rsidP="00770E09">
            <w:pPr>
              <w:pStyle w:val="TableText0"/>
              <w:jc w:val="center"/>
            </w:pPr>
            <w:r w:rsidRPr="00166045">
              <w:t>28-day Cycles 2+: $</w:t>
            </w:r>
            <w:r w:rsidR="00816BFB" w:rsidRPr="00816BFB">
              <w:rPr>
                <w:highlight w:val="black"/>
              </w:rPr>
              <w:t>|</w:t>
            </w:r>
            <w:r w:rsidRPr="00166045">
              <w:t>9</w:t>
            </w:r>
            <w:r w:rsidRPr="00166045">
              <w:rPr>
                <w:vertAlign w:val="superscript"/>
              </w:rPr>
              <w:t>d</w:t>
            </w:r>
          </w:p>
        </w:tc>
        <w:tc>
          <w:tcPr>
            <w:tcW w:w="807" w:type="pct"/>
            <w:tcBorders>
              <w:top w:val="single" w:sz="4" w:space="0" w:color="auto"/>
              <w:left w:val="single" w:sz="4" w:space="0" w:color="auto"/>
              <w:bottom w:val="single" w:sz="4" w:space="0" w:color="auto"/>
              <w:right w:val="single" w:sz="4" w:space="0" w:color="auto"/>
            </w:tcBorders>
            <w:vAlign w:val="center"/>
            <w:hideMark/>
          </w:tcPr>
          <w:p w14:paraId="160ED250" w14:textId="163DC990" w:rsidR="009C10B8" w:rsidRPr="00166045" w:rsidRDefault="009C10B8" w:rsidP="00770E09">
            <w:pPr>
              <w:pStyle w:val="TableText0"/>
              <w:jc w:val="center"/>
            </w:pPr>
            <w:r w:rsidRPr="00166045">
              <w:t>28-day Cycle 1: $</w:t>
            </w:r>
            <w:r w:rsidR="00816BFB" w:rsidRPr="00816BFB">
              <w:rPr>
                <w:highlight w:val="black"/>
              </w:rPr>
              <w:t>|</w:t>
            </w:r>
            <w:r w:rsidRPr="00166045">
              <w:rPr>
                <w:vertAlign w:val="superscript"/>
              </w:rPr>
              <w:t>d</w:t>
            </w:r>
          </w:p>
          <w:p w14:paraId="51A71789" w14:textId="75785773" w:rsidR="009C10B8" w:rsidRPr="00166045" w:rsidRDefault="009C10B8" w:rsidP="00770E09">
            <w:pPr>
              <w:pStyle w:val="TableText0"/>
              <w:jc w:val="center"/>
            </w:pPr>
            <w:r w:rsidRPr="00166045">
              <w:t>28-day Cycles 2+: $</w:t>
            </w:r>
            <w:r w:rsidR="00816BFB" w:rsidRPr="00816BFB">
              <w:rPr>
                <w:highlight w:val="black"/>
              </w:rPr>
              <w:t>|</w:t>
            </w:r>
            <w:r w:rsidRPr="00166045">
              <w:rPr>
                <w:vertAlign w:val="superscript"/>
              </w:rPr>
              <w:t>d</w:t>
            </w:r>
          </w:p>
        </w:tc>
        <w:tc>
          <w:tcPr>
            <w:tcW w:w="726" w:type="pct"/>
            <w:tcBorders>
              <w:top w:val="single" w:sz="4" w:space="0" w:color="auto"/>
              <w:left w:val="single" w:sz="4" w:space="0" w:color="auto"/>
              <w:bottom w:val="single" w:sz="4" w:space="0" w:color="auto"/>
              <w:right w:val="single" w:sz="4" w:space="0" w:color="auto"/>
            </w:tcBorders>
            <w:vAlign w:val="center"/>
            <w:hideMark/>
          </w:tcPr>
          <w:p w14:paraId="123EBFC2" w14:textId="065E05EC" w:rsidR="009C10B8" w:rsidRPr="00166045" w:rsidRDefault="009C10B8" w:rsidP="00770E09">
            <w:pPr>
              <w:pStyle w:val="TableText0"/>
              <w:jc w:val="center"/>
              <w:rPr>
                <w:vertAlign w:val="superscript"/>
              </w:rPr>
            </w:pPr>
            <w:r w:rsidRPr="00166045">
              <w:t>$</w:t>
            </w:r>
            <w:r w:rsidR="00816BFB" w:rsidRPr="00816BFB">
              <w:rPr>
                <w:spacing w:val="157"/>
                <w:highlight w:val="black"/>
                <w:fitText w:val="243" w:id="-1167880952"/>
              </w:rPr>
              <w:t>|</w:t>
            </w:r>
            <w:r w:rsidR="00816BFB" w:rsidRPr="00816BFB">
              <w:rPr>
                <w:spacing w:val="1"/>
                <w:highlight w:val="black"/>
                <w:fitText w:val="243" w:id="-1167880952"/>
              </w:rPr>
              <w:t>|</w:t>
            </w:r>
            <w:r w:rsidRPr="00166045">
              <w:t xml:space="preserve"> per 28-day cycle</w:t>
            </w:r>
            <w:r w:rsidRPr="00166045">
              <w:rPr>
                <w:vertAlign w:val="superscript"/>
              </w:rPr>
              <w:t>d</w:t>
            </w:r>
          </w:p>
        </w:tc>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4F38EA" w14:textId="77777777" w:rsidR="009C10B8" w:rsidRPr="00166045" w:rsidRDefault="009C10B8" w:rsidP="00770E09">
            <w:pPr>
              <w:pStyle w:val="TableText0"/>
              <w:jc w:val="center"/>
            </w:pPr>
            <w:r w:rsidRPr="00166045">
              <w:t>–</w:t>
            </w:r>
          </w:p>
        </w:tc>
        <w:tc>
          <w:tcPr>
            <w:tcW w:w="8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72EC4" w14:textId="77777777" w:rsidR="009C10B8" w:rsidRPr="00166045" w:rsidRDefault="009C10B8" w:rsidP="00770E09">
            <w:pPr>
              <w:pStyle w:val="TableText0"/>
              <w:jc w:val="center"/>
            </w:pPr>
            <w:r w:rsidRPr="00166045">
              <w:t>21-day Cycle 1: $8,453</w:t>
            </w:r>
          </w:p>
          <w:p w14:paraId="03D9F32B" w14:textId="77777777" w:rsidR="009C10B8" w:rsidRPr="00166045" w:rsidRDefault="009C10B8" w:rsidP="00770E09">
            <w:pPr>
              <w:pStyle w:val="TableText0"/>
              <w:jc w:val="center"/>
            </w:pPr>
            <w:r w:rsidRPr="00166045">
              <w:t xml:space="preserve">21-day Cycles 2-4: </w:t>
            </w:r>
            <w:r w:rsidRPr="00FB229F">
              <w:t>$</w:t>
            </w:r>
            <w:r w:rsidRPr="00166045">
              <w:t>7,059</w:t>
            </w:r>
          </w:p>
          <w:p w14:paraId="5B52638E" w14:textId="564A81A8" w:rsidR="009C10B8" w:rsidRPr="00166045" w:rsidRDefault="009C10B8" w:rsidP="00770E09">
            <w:pPr>
              <w:pStyle w:val="TableText0"/>
              <w:jc w:val="center"/>
              <w:rPr>
                <w:vertAlign w:val="superscript"/>
              </w:rPr>
            </w:pPr>
            <w:r w:rsidRPr="00166045">
              <w:t xml:space="preserve">21-day Cycles 5+: </w:t>
            </w:r>
            <w:r w:rsidR="009610F2">
              <w:t>$</w:t>
            </w:r>
            <w:r w:rsidRPr="00166045">
              <w:t>6,873</w:t>
            </w:r>
            <w:r w:rsidRPr="00166045">
              <w:rPr>
                <w:vertAlign w:val="superscript"/>
              </w:rPr>
              <w:t>f</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C21B80" w14:textId="77777777" w:rsidR="009C10B8" w:rsidRPr="00166045" w:rsidRDefault="009C10B8" w:rsidP="00770E09">
            <w:pPr>
              <w:pStyle w:val="TableText0"/>
              <w:jc w:val="center"/>
            </w:pPr>
            <w:r w:rsidRPr="00166045">
              <w:t>–</w:t>
            </w:r>
          </w:p>
          <w:p w14:paraId="6BA5B9F7" w14:textId="77777777" w:rsidR="009C10B8" w:rsidRPr="00FB229F" w:rsidRDefault="009C10B8" w:rsidP="00816BFB">
            <w:pPr>
              <w:keepNext/>
              <w:jc w:val="left"/>
              <w:rPr>
                <w:rFonts w:ascii="Times New Roman" w:hAnsi="Times New Roman" w:cs="Times New Roman"/>
                <w:sz w:val="20"/>
                <w:szCs w:val="20"/>
              </w:rPr>
            </w:pPr>
          </w:p>
        </w:tc>
      </w:tr>
      <w:tr w:rsidR="009C10B8" w:rsidRPr="00FB229F" w14:paraId="3D7850DE" w14:textId="77777777" w:rsidTr="009C10B8">
        <w:trPr>
          <w:cantSplit/>
        </w:trPr>
        <w:tc>
          <w:tcPr>
            <w:tcW w:w="563" w:type="pct"/>
            <w:tcBorders>
              <w:top w:val="single" w:sz="4" w:space="0" w:color="auto"/>
              <w:left w:val="single" w:sz="4" w:space="0" w:color="auto"/>
              <w:bottom w:val="single" w:sz="4" w:space="0" w:color="auto"/>
              <w:right w:val="single" w:sz="4" w:space="0" w:color="auto"/>
            </w:tcBorders>
            <w:vAlign w:val="center"/>
            <w:hideMark/>
          </w:tcPr>
          <w:p w14:paraId="4C1CCD1F" w14:textId="77777777" w:rsidR="009C10B8" w:rsidRPr="00166045" w:rsidRDefault="009C10B8" w:rsidP="00770E09">
            <w:pPr>
              <w:pStyle w:val="TableText0"/>
            </w:pPr>
            <w:r w:rsidRPr="00166045">
              <w:t>Cost/patient</w:t>
            </w:r>
            <w:r w:rsidRPr="00166045">
              <w:br/>
              <w:t>/course</w:t>
            </w:r>
          </w:p>
        </w:tc>
        <w:tc>
          <w:tcPr>
            <w:tcW w:w="807" w:type="pct"/>
            <w:tcBorders>
              <w:top w:val="single" w:sz="4" w:space="0" w:color="auto"/>
              <w:left w:val="single" w:sz="4" w:space="0" w:color="auto"/>
              <w:bottom w:val="single" w:sz="4" w:space="0" w:color="auto"/>
              <w:right w:val="single" w:sz="4" w:space="0" w:color="auto"/>
            </w:tcBorders>
            <w:vAlign w:val="center"/>
            <w:hideMark/>
          </w:tcPr>
          <w:p w14:paraId="07F5F0FC" w14:textId="6DC47AA8" w:rsidR="009C10B8" w:rsidRPr="00166045" w:rsidRDefault="009C10B8" w:rsidP="00770E09">
            <w:pPr>
              <w:pStyle w:val="TableText0"/>
              <w:jc w:val="center"/>
            </w:pPr>
            <w:r w:rsidRPr="00166045">
              <w:t>$</w:t>
            </w:r>
            <w:r w:rsidR="00816BFB" w:rsidRPr="00816BFB">
              <w:rPr>
                <w:highlight w:val="black"/>
              </w:rPr>
              <w:t>|</w:t>
            </w:r>
          </w:p>
        </w:tc>
        <w:tc>
          <w:tcPr>
            <w:tcW w:w="807" w:type="pct"/>
            <w:tcBorders>
              <w:top w:val="single" w:sz="4" w:space="0" w:color="auto"/>
              <w:left w:val="single" w:sz="4" w:space="0" w:color="auto"/>
              <w:bottom w:val="single" w:sz="4" w:space="0" w:color="auto"/>
              <w:right w:val="single" w:sz="4" w:space="0" w:color="auto"/>
            </w:tcBorders>
            <w:vAlign w:val="center"/>
            <w:hideMark/>
          </w:tcPr>
          <w:p w14:paraId="012ABB68" w14:textId="14BAAA4C" w:rsidR="009C10B8" w:rsidRPr="00166045" w:rsidRDefault="009C10B8" w:rsidP="00770E09">
            <w:pPr>
              <w:pStyle w:val="TableText0"/>
              <w:jc w:val="center"/>
            </w:pPr>
            <w:r w:rsidRPr="00166045">
              <w:t>$</w:t>
            </w:r>
            <w:r w:rsidR="00816BFB" w:rsidRPr="00816BFB">
              <w:rPr>
                <w:highlight w:val="black"/>
              </w:rPr>
              <w:t>|</w:t>
            </w:r>
          </w:p>
        </w:tc>
        <w:tc>
          <w:tcPr>
            <w:tcW w:w="726" w:type="pct"/>
            <w:tcBorders>
              <w:top w:val="single" w:sz="4" w:space="0" w:color="auto"/>
              <w:left w:val="single" w:sz="4" w:space="0" w:color="auto"/>
              <w:bottom w:val="single" w:sz="4" w:space="0" w:color="auto"/>
              <w:right w:val="single" w:sz="4" w:space="0" w:color="auto"/>
            </w:tcBorders>
            <w:vAlign w:val="center"/>
            <w:hideMark/>
          </w:tcPr>
          <w:p w14:paraId="5F643FAC" w14:textId="2C8E2515" w:rsidR="009C10B8" w:rsidRPr="00166045" w:rsidRDefault="009C10B8" w:rsidP="00770E09">
            <w:pPr>
              <w:pStyle w:val="TableText0"/>
              <w:jc w:val="center"/>
            </w:pPr>
            <w:r w:rsidRPr="00166045">
              <w:t>$</w:t>
            </w:r>
            <w:r w:rsidR="00816BFB" w:rsidRPr="00816BFB">
              <w:rPr>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EBA0D9" w14:textId="77777777" w:rsidR="009C10B8" w:rsidRPr="00166045" w:rsidRDefault="009C10B8" w:rsidP="00770E09">
            <w:pPr>
              <w:pStyle w:val="TableText0"/>
              <w:jc w:val="center"/>
            </w:pPr>
            <w:r w:rsidRPr="00166045">
              <w:t>–</w:t>
            </w:r>
          </w:p>
        </w:tc>
        <w:tc>
          <w:tcPr>
            <w:tcW w:w="8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867156" w14:textId="77777777" w:rsidR="009C10B8" w:rsidRPr="00166045" w:rsidRDefault="009C10B8" w:rsidP="00770E09">
            <w:pPr>
              <w:pStyle w:val="TableText0"/>
              <w:jc w:val="center"/>
            </w:pPr>
            <w:r w:rsidRPr="00166045">
              <w:t>$120,011</w:t>
            </w:r>
            <w:r w:rsidRPr="00166045">
              <w:rPr>
                <w:vertAlign w:val="superscript"/>
              </w:rPr>
              <w:t>g</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6B52D" w14:textId="77777777" w:rsidR="009C10B8" w:rsidRPr="00166045" w:rsidRDefault="009C10B8" w:rsidP="00770E09">
            <w:pPr>
              <w:pStyle w:val="TableText0"/>
              <w:jc w:val="center"/>
            </w:pPr>
            <w:r w:rsidRPr="00166045">
              <w:t>–</w:t>
            </w:r>
          </w:p>
          <w:p w14:paraId="25515D62" w14:textId="77777777" w:rsidR="009C10B8" w:rsidRPr="00FB229F" w:rsidRDefault="009C10B8" w:rsidP="00816BFB">
            <w:pPr>
              <w:keepNext/>
              <w:jc w:val="left"/>
              <w:rPr>
                <w:rFonts w:ascii="Times New Roman" w:hAnsi="Times New Roman" w:cs="Times New Roman"/>
                <w:sz w:val="20"/>
                <w:szCs w:val="20"/>
              </w:rPr>
            </w:pPr>
          </w:p>
        </w:tc>
      </w:tr>
    </w:tbl>
    <w:p w14:paraId="4BC32D70" w14:textId="77777777" w:rsidR="009C10B8" w:rsidRPr="00FB229F" w:rsidRDefault="009C10B8" w:rsidP="00816BFB">
      <w:pPr>
        <w:pStyle w:val="FooterTableFigure"/>
        <w:keepNext/>
      </w:pPr>
      <w:r w:rsidRPr="00FB229F">
        <w:t>Source: Table compiled during the evaluation, based on Table 2-70, p199 and Table 3-21, p359 of the submission, “A5.1_Selpercatinib Section 3 Workbook” and “A6.1_ Selpercatinib Cost and utilisation model”</w:t>
      </w:r>
    </w:p>
    <w:p w14:paraId="19B304E5" w14:textId="77777777" w:rsidR="009C10B8" w:rsidRPr="00FB229F" w:rsidRDefault="009C10B8" w:rsidP="00816BFB">
      <w:pPr>
        <w:pStyle w:val="FooterTableFigure"/>
        <w:keepNext/>
      </w:pPr>
      <w:r w:rsidRPr="00FB229F">
        <w:t>NA = not applicable; NR = not reported; RDI = relative dose intensity</w:t>
      </w:r>
    </w:p>
    <w:p w14:paraId="03CF8B8E" w14:textId="77777777" w:rsidR="009C10B8" w:rsidRPr="00FB229F" w:rsidRDefault="009C10B8" w:rsidP="00816BFB">
      <w:pPr>
        <w:pStyle w:val="FooterTableFigure"/>
        <w:keepNext/>
      </w:pPr>
      <w:r w:rsidRPr="00FB229F">
        <w:rPr>
          <w:vertAlign w:val="superscript"/>
        </w:rPr>
        <w:t xml:space="preserve">a </w:t>
      </w:r>
      <w:r w:rsidRPr="00FB229F">
        <w:t>Daily dose in Trial LBRETTO-001 was calculated based on the proportion of patients on each dose as presented in Table 3-21, p359 of the submission</w:t>
      </w:r>
    </w:p>
    <w:p w14:paraId="4C296934" w14:textId="0558B6B1" w:rsidR="009C10B8" w:rsidRPr="00FB229F" w:rsidRDefault="009C10B8" w:rsidP="00816BFB">
      <w:pPr>
        <w:pStyle w:val="FooterTableFigure"/>
        <w:keepNext/>
      </w:pPr>
      <w:r w:rsidRPr="00FB229F">
        <w:rPr>
          <w:vertAlign w:val="superscript"/>
        </w:rPr>
        <w:t xml:space="preserve">b </w:t>
      </w:r>
      <w:r w:rsidRPr="00FB229F">
        <w:t>The daily dose used in the financial analysis was the weighted mean of 293.3 mg/day for the first 28-day treatment cycle and 251.1</w:t>
      </w:r>
      <w:r w:rsidR="008D56E6">
        <w:t> </w:t>
      </w:r>
      <w:r w:rsidRPr="00FB229F">
        <w:t>mg/day for the remaining 36.7 cycles.</w:t>
      </w:r>
    </w:p>
    <w:p w14:paraId="6BB5C695" w14:textId="77777777" w:rsidR="009C10B8" w:rsidRPr="00FB229F" w:rsidRDefault="009C10B8" w:rsidP="00816BFB">
      <w:pPr>
        <w:pStyle w:val="FooterTableFigure"/>
        <w:keepNext/>
      </w:pPr>
      <w:r w:rsidRPr="00FB229F">
        <w:rPr>
          <w:vertAlign w:val="superscript"/>
        </w:rPr>
        <w:t xml:space="preserve">c </w:t>
      </w:r>
      <w:r w:rsidRPr="00FB229F">
        <w:t>Derived from Table 2-70, p199 of the submission. The mean time on treatment was 18.27 months, equal to 19.9 28-day cycles.</w:t>
      </w:r>
    </w:p>
    <w:p w14:paraId="3790220A" w14:textId="77777777" w:rsidR="009C10B8" w:rsidRPr="00FB229F" w:rsidRDefault="009C10B8" w:rsidP="00816BFB">
      <w:pPr>
        <w:pStyle w:val="FooterTableFigure"/>
        <w:keepNext/>
      </w:pPr>
      <w:r w:rsidRPr="00FB229F">
        <w:rPr>
          <w:vertAlign w:val="superscript"/>
        </w:rPr>
        <w:t>d</w:t>
      </w:r>
      <w:r w:rsidRPr="00FB229F">
        <w:t xml:space="preserve"> Cost/patient/cycle was calculated by weighing the utilisation of selpercatinib across pack size combinations. </w:t>
      </w:r>
    </w:p>
    <w:p w14:paraId="2F76A04B" w14:textId="1354AF94" w:rsidR="009C10B8" w:rsidRPr="00FB229F" w:rsidRDefault="009C10B8" w:rsidP="00816BFB">
      <w:pPr>
        <w:pStyle w:val="FooterTableFigure"/>
        <w:keepNext/>
        <w:rPr>
          <w:szCs w:val="18"/>
        </w:rPr>
      </w:pPr>
      <w:r w:rsidRPr="00FB229F">
        <w:rPr>
          <w:vertAlign w:val="superscript"/>
        </w:rPr>
        <w:t xml:space="preserve">e </w:t>
      </w:r>
      <w:hyperlink r:id="rId17" w:history="1">
        <w:r w:rsidRPr="00FB229F">
          <w:rPr>
            <w:rStyle w:val="Hyperlink"/>
          </w:rPr>
          <w:t>https://www.eviq.org.au/medical-oncology/respiratory/non-small-cell-lung-cancer</w:t>
        </w:r>
      </w:hyperlink>
      <w:r w:rsidRPr="00FB229F">
        <w:t xml:space="preserve">. The recommended </w:t>
      </w:r>
      <w:r w:rsidRPr="00FB229F">
        <w:rPr>
          <w:vertAlign w:val="superscript"/>
        </w:rPr>
        <w:t xml:space="preserve"> </w:t>
      </w:r>
      <w:r w:rsidRPr="00FB229F">
        <w:t xml:space="preserve">dosing regimen per infusion (every 3 weeks) is 200 mg for pembrolizumab, </w:t>
      </w:r>
      <w:r w:rsidRPr="00FB229F">
        <w:rPr>
          <w:szCs w:val="18"/>
        </w:rPr>
        <w:t>500mg/m</w:t>
      </w:r>
      <w:r w:rsidRPr="00FB229F">
        <w:rPr>
          <w:szCs w:val="18"/>
          <w:vertAlign w:val="superscript"/>
        </w:rPr>
        <w:t xml:space="preserve">2 </w:t>
      </w:r>
      <w:r w:rsidRPr="00FB229F">
        <w:rPr>
          <w:szCs w:val="18"/>
        </w:rPr>
        <w:t>for pemetrexed and 5 area under curve (AUC) for carboplatin. Based on a mean body surface area of 1.81m</w:t>
      </w:r>
      <w:r w:rsidRPr="00FB229F">
        <w:rPr>
          <w:szCs w:val="18"/>
          <w:vertAlign w:val="superscript"/>
        </w:rPr>
        <w:t>2</w:t>
      </w:r>
      <w:r w:rsidRPr="00FB229F">
        <w:rPr>
          <w:szCs w:val="18"/>
        </w:rPr>
        <w:t xml:space="preserve"> and a mean glomerular filtration rate of 73 mL/min, the per infusion dose for pemetrexed and carboplatin was estimated to be 905 mg and 490 mg, respectively. The submission assumed that, from treatment Cycles 2 onward, the per infusion dose would reduce by 17.6% for pembrolizumab, pemetrexed and carboplatin. </w:t>
      </w:r>
    </w:p>
    <w:p w14:paraId="74F01BBC" w14:textId="77777777" w:rsidR="009C10B8" w:rsidRPr="00FB229F" w:rsidRDefault="009C10B8" w:rsidP="00816BFB">
      <w:pPr>
        <w:pStyle w:val="FooterTableFigure"/>
        <w:keepNext/>
        <w:rPr>
          <w:szCs w:val="18"/>
        </w:rPr>
      </w:pPr>
      <w:r w:rsidRPr="00FB229F">
        <w:rPr>
          <w:szCs w:val="18"/>
          <w:vertAlign w:val="superscript"/>
        </w:rPr>
        <w:t>f</w:t>
      </w:r>
      <w:r w:rsidRPr="00FB229F">
        <w:rPr>
          <w:szCs w:val="18"/>
        </w:rPr>
        <w:t xml:space="preserve"> Carboplatin discontinues from treatment Cycle 5.</w:t>
      </w:r>
    </w:p>
    <w:p w14:paraId="3A64E7DE" w14:textId="030F0BA5" w:rsidR="009C10B8" w:rsidRPr="00FB229F" w:rsidRDefault="009C10B8" w:rsidP="009C10B8">
      <w:pPr>
        <w:pStyle w:val="FooterTableFigure"/>
        <w:rPr>
          <w:iCs/>
        </w:rPr>
      </w:pPr>
      <w:r w:rsidRPr="00FB229F">
        <w:rPr>
          <w:szCs w:val="18"/>
          <w:vertAlign w:val="superscript"/>
        </w:rPr>
        <w:t xml:space="preserve">g </w:t>
      </w:r>
      <w:r w:rsidRPr="00FB229F">
        <w:rPr>
          <w:iCs/>
          <w:szCs w:val="18"/>
        </w:rPr>
        <w:t xml:space="preserve">The </w:t>
      </w:r>
      <w:r w:rsidRPr="00FB229F">
        <w:rPr>
          <w:iCs/>
        </w:rPr>
        <w:t>submission’s calculation of the dispensed costs for pembrolizumab and chemotherapy agents was not in line with the Efficient Funding of Chemotherapy (EFC) Program. In addition, the incorporation of an RDI to pembrolizumab therapy from treatment Cycles 2+ was not consistent with the pembrolizumab product information which does not recommend dose reductions. After fixing these errors, the revised cost per patient per course of pembrolizumab + pembrolizumab + carboplatin would be $138,111.</w:t>
      </w:r>
      <w:bookmarkEnd w:id="94"/>
    </w:p>
    <w:p w14:paraId="2A3842B5" w14:textId="0B910517" w:rsidR="00BC50A0" w:rsidRPr="00FB229F" w:rsidRDefault="00BC50A0" w:rsidP="00BC50A0">
      <w:pPr>
        <w:pStyle w:val="3-BodyText"/>
        <w:ind w:left="709" w:hanging="709"/>
      </w:pPr>
      <w:r w:rsidRPr="00FB229F">
        <w:t xml:space="preserve">The pre-PBAC response offered a 1.5% reduction </w:t>
      </w:r>
      <w:r w:rsidR="005D0860" w:rsidRPr="00FB229F">
        <w:t>on the price of</w:t>
      </w:r>
      <w:r w:rsidRPr="00FB229F">
        <w:t xml:space="preserve"> selpercatinib (i.e. published AEMP of $</w:t>
      </w:r>
      <w:r w:rsidR="00816BFB" w:rsidRPr="00BF0AEB">
        <w:rPr>
          <w:w w:val="15"/>
          <w:highlight w:val="black"/>
          <w:fitText w:val="-20" w:id="-1167880951"/>
        </w:rPr>
        <w:t xml:space="preserve">|  </w:t>
      </w:r>
      <w:r w:rsidR="00816BFB" w:rsidRPr="00BF0AEB">
        <w:rPr>
          <w:spacing w:val="-69"/>
          <w:w w:val="15"/>
          <w:highlight w:val="black"/>
          <w:fitText w:val="-20" w:id="-1167880951"/>
        </w:rPr>
        <w:t>|</w:t>
      </w:r>
      <w:r w:rsidRPr="00FB229F">
        <w:t>for the 80mg x 112 pack size, $</w:t>
      </w:r>
      <w:r w:rsidR="00816BFB" w:rsidRPr="00BF0AEB">
        <w:rPr>
          <w:w w:val="15"/>
          <w:highlight w:val="black"/>
          <w:fitText w:val="-20" w:id="-1167880950"/>
        </w:rPr>
        <w:t xml:space="preserve">|  </w:t>
      </w:r>
      <w:r w:rsidR="00816BFB" w:rsidRPr="00BF0AEB">
        <w:rPr>
          <w:spacing w:val="-69"/>
          <w:w w:val="15"/>
          <w:highlight w:val="black"/>
          <w:fitText w:val="-20" w:id="-1167880950"/>
        </w:rPr>
        <w:t>|</w:t>
      </w:r>
      <w:r w:rsidRPr="00FB229F">
        <w:t>for the 80 mg x 56 pack size and $</w:t>
      </w:r>
      <w:r w:rsidR="00816BFB" w:rsidRPr="00BF0AEB">
        <w:rPr>
          <w:w w:val="15"/>
          <w:highlight w:val="black"/>
          <w:fitText w:val="-20" w:id="-1167880949"/>
        </w:rPr>
        <w:t xml:space="preserve">|  </w:t>
      </w:r>
      <w:r w:rsidR="00816BFB" w:rsidRPr="00BF0AEB">
        <w:rPr>
          <w:spacing w:val="-69"/>
          <w:w w:val="15"/>
          <w:highlight w:val="black"/>
          <w:fitText w:val="-20" w:id="-1167880949"/>
        </w:rPr>
        <w:t>|</w:t>
      </w:r>
      <w:r w:rsidRPr="00FB229F">
        <w:t>for the 40 mg x 56 pack size).</w:t>
      </w:r>
    </w:p>
    <w:p w14:paraId="159E418E" w14:textId="4449F713" w:rsidR="00B60939" w:rsidRPr="00FB229F" w:rsidRDefault="00B60939" w:rsidP="002B05A1">
      <w:pPr>
        <w:pStyle w:val="4-SubsectionHeading"/>
        <w:rPr>
          <w:i w:val="0"/>
        </w:rPr>
      </w:pPr>
      <w:bookmarkStart w:id="96" w:name="_Toc135215244"/>
      <w:bookmarkStart w:id="97" w:name="_Hlk134624337"/>
      <w:r w:rsidRPr="00FB229F">
        <w:rPr>
          <w:i w:val="0"/>
        </w:rPr>
        <w:lastRenderedPageBreak/>
        <w:t>Estimated PBS usage &amp; financial implications</w:t>
      </w:r>
      <w:bookmarkEnd w:id="95"/>
      <w:bookmarkEnd w:id="96"/>
    </w:p>
    <w:p w14:paraId="33062C71" w14:textId="3103D51C" w:rsidR="00FC171B" w:rsidRPr="00FB229F" w:rsidRDefault="00FC171B" w:rsidP="00FC171B">
      <w:pPr>
        <w:pStyle w:val="3-BodyText"/>
        <w:ind w:left="709" w:hanging="709"/>
      </w:pPr>
      <w:bookmarkStart w:id="98" w:name="_Toc135215246"/>
      <w:r w:rsidRPr="00FB229F">
        <w:t xml:space="preserve">This submission was considered by DUSC. The submission </w:t>
      </w:r>
      <w:r w:rsidR="006A5BC8">
        <w:t>used</w:t>
      </w:r>
      <w:r w:rsidR="006A5BC8" w:rsidRPr="00FB229F">
        <w:t xml:space="preserve"> </w:t>
      </w:r>
      <w:r w:rsidRPr="00FB229F">
        <w:t xml:space="preserve">an epidemiological approach to determine the number of eligible patients in the first 6 years of listing. The key inputs </w:t>
      </w:r>
      <w:r w:rsidR="006A5BC8">
        <w:t>used</w:t>
      </w:r>
      <w:r w:rsidR="006A5BC8" w:rsidRPr="00FB229F">
        <w:t xml:space="preserve"> </w:t>
      </w:r>
      <w:r w:rsidRPr="00FB229F">
        <w:t xml:space="preserve">to determine the number of eligible patients and financial estimations are summarised in </w:t>
      </w:r>
      <w:r w:rsidRPr="00FB229F">
        <w:fldChar w:fldCharType="begin" w:fldLock="1"/>
      </w:r>
      <w:r w:rsidRPr="00FB229F">
        <w:instrText xml:space="preserve"> REF _Ref132642584 \h  \* MERGEFORMAT </w:instrText>
      </w:r>
      <w:r w:rsidRPr="00FB229F">
        <w:fldChar w:fldCharType="separate"/>
      </w:r>
      <w:r w:rsidRPr="00FB229F">
        <w:t>Table 26</w:t>
      </w:r>
      <w:r w:rsidRPr="00FB229F">
        <w:fldChar w:fldCharType="end"/>
      </w:r>
      <w:r w:rsidRPr="00FB229F">
        <w:t xml:space="preserve">. </w:t>
      </w:r>
    </w:p>
    <w:p w14:paraId="0EE3CBF0" w14:textId="5BC83885" w:rsidR="00FC171B" w:rsidRPr="0012315B" w:rsidRDefault="00FC171B" w:rsidP="00FC171B">
      <w:pPr>
        <w:pStyle w:val="TableHeadingleft"/>
        <w:rPr>
          <w:rFonts w:ascii="Arial Narrow" w:hAnsi="Arial Narrow"/>
          <w:sz w:val="20"/>
          <w:szCs w:val="20"/>
          <w:lang w:val="en-AU"/>
        </w:rPr>
      </w:pPr>
      <w:bookmarkStart w:id="99" w:name="_Ref132642584"/>
      <w:r w:rsidRPr="0012315B">
        <w:rPr>
          <w:rFonts w:ascii="Arial Narrow" w:hAnsi="Arial Narrow"/>
          <w:sz w:val="20"/>
          <w:szCs w:val="20"/>
          <w:lang w:val="en-AU"/>
        </w:rPr>
        <w:t xml:space="preserve">Table </w:t>
      </w:r>
      <w:r w:rsidRPr="0012315B">
        <w:rPr>
          <w:rFonts w:ascii="Arial Narrow" w:hAnsi="Arial Narrow"/>
          <w:sz w:val="20"/>
          <w:szCs w:val="20"/>
          <w:lang w:val="en-AU"/>
        </w:rPr>
        <w:fldChar w:fldCharType="begin" w:fldLock="1"/>
      </w:r>
      <w:r w:rsidRPr="0012315B">
        <w:rPr>
          <w:rFonts w:ascii="Arial Narrow" w:hAnsi="Arial Narrow"/>
          <w:sz w:val="20"/>
          <w:szCs w:val="20"/>
          <w:lang w:val="en-AU"/>
        </w:rPr>
        <w:instrText xml:space="preserve"> SEQ Table \* ARABIC </w:instrText>
      </w:r>
      <w:r w:rsidRPr="0012315B">
        <w:rPr>
          <w:rFonts w:ascii="Arial Narrow" w:hAnsi="Arial Narrow"/>
          <w:sz w:val="20"/>
          <w:szCs w:val="20"/>
          <w:lang w:val="en-AU"/>
        </w:rPr>
        <w:fldChar w:fldCharType="separate"/>
      </w:r>
      <w:r w:rsidRPr="0012315B">
        <w:rPr>
          <w:rFonts w:ascii="Arial Narrow" w:hAnsi="Arial Narrow"/>
          <w:sz w:val="20"/>
          <w:szCs w:val="20"/>
          <w:lang w:val="en-AU"/>
        </w:rPr>
        <w:t>26</w:t>
      </w:r>
      <w:r w:rsidRPr="0012315B">
        <w:rPr>
          <w:rFonts w:ascii="Arial Narrow" w:hAnsi="Arial Narrow"/>
          <w:sz w:val="20"/>
          <w:szCs w:val="20"/>
          <w:lang w:val="en-AU"/>
        </w:rPr>
        <w:fldChar w:fldCharType="end"/>
      </w:r>
      <w:bookmarkEnd w:id="99"/>
      <w:r w:rsidRPr="0012315B">
        <w:rPr>
          <w:rFonts w:ascii="Arial Narrow" w:hAnsi="Arial Narrow"/>
          <w:sz w:val="20"/>
          <w:szCs w:val="20"/>
          <w:lang w:val="en-AU"/>
        </w:rPr>
        <w:t>:</w:t>
      </w:r>
      <w:r w:rsidRPr="0012315B">
        <w:rPr>
          <w:rStyle w:val="CommentReference"/>
          <w:b/>
          <w:szCs w:val="20"/>
          <w:lang w:val="en-AU"/>
        </w:rPr>
        <w:t xml:space="preserve"> Key inputs for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59"/>
        <w:gridCol w:w="2935"/>
        <w:gridCol w:w="3260"/>
      </w:tblGrid>
      <w:tr w:rsidR="00FC171B" w:rsidRPr="008D56E6" w14:paraId="37553D4A" w14:textId="77777777" w:rsidTr="00816BFB">
        <w:trPr>
          <w:cantSplit/>
          <w:tblHeader/>
        </w:trPr>
        <w:tc>
          <w:tcPr>
            <w:tcW w:w="1526" w:type="dxa"/>
            <w:vAlign w:val="center"/>
          </w:tcPr>
          <w:p w14:paraId="54136458" w14:textId="77777777" w:rsidR="00FC171B" w:rsidRPr="009610F2" w:rsidRDefault="00FC171B" w:rsidP="009610F2">
            <w:pPr>
              <w:pStyle w:val="In-tableHeading"/>
              <w:keepNext w:val="0"/>
              <w:jc w:val="center"/>
              <w:rPr>
                <w:szCs w:val="20"/>
                <w:lang w:val="en-AU"/>
              </w:rPr>
            </w:pPr>
            <w:r w:rsidRPr="009610F2">
              <w:rPr>
                <w:szCs w:val="20"/>
                <w:lang w:val="en-AU"/>
              </w:rPr>
              <w:t>Data</w:t>
            </w:r>
          </w:p>
        </w:tc>
        <w:tc>
          <w:tcPr>
            <w:tcW w:w="1459" w:type="dxa"/>
            <w:vAlign w:val="center"/>
          </w:tcPr>
          <w:p w14:paraId="06FD599E" w14:textId="77777777" w:rsidR="00FC171B" w:rsidRPr="009610F2" w:rsidRDefault="00FC171B" w:rsidP="009610F2">
            <w:pPr>
              <w:pStyle w:val="In-tableHeading"/>
              <w:keepNext w:val="0"/>
              <w:jc w:val="center"/>
              <w:rPr>
                <w:szCs w:val="20"/>
                <w:lang w:val="en-AU"/>
              </w:rPr>
            </w:pPr>
            <w:r w:rsidRPr="009610F2">
              <w:rPr>
                <w:szCs w:val="20"/>
                <w:lang w:val="en-AU"/>
              </w:rPr>
              <w:t>Value</w:t>
            </w:r>
          </w:p>
        </w:tc>
        <w:tc>
          <w:tcPr>
            <w:tcW w:w="2935" w:type="dxa"/>
            <w:vAlign w:val="center"/>
          </w:tcPr>
          <w:p w14:paraId="4063A71D" w14:textId="77777777" w:rsidR="00FC171B" w:rsidRPr="009610F2" w:rsidRDefault="00FC171B" w:rsidP="009610F2">
            <w:pPr>
              <w:pStyle w:val="In-tableHeading"/>
              <w:keepNext w:val="0"/>
              <w:jc w:val="center"/>
              <w:rPr>
                <w:szCs w:val="20"/>
                <w:lang w:val="en-AU"/>
              </w:rPr>
            </w:pPr>
            <w:r w:rsidRPr="009610F2">
              <w:rPr>
                <w:szCs w:val="20"/>
                <w:lang w:val="en-AU"/>
              </w:rPr>
              <w:t>Source</w:t>
            </w:r>
          </w:p>
        </w:tc>
        <w:tc>
          <w:tcPr>
            <w:tcW w:w="3260" w:type="dxa"/>
            <w:vAlign w:val="center"/>
          </w:tcPr>
          <w:p w14:paraId="4A0EDD86" w14:textId="77777777" w:rsidR="00FC171B" w:rsidRPr="009610F2" w:rsidRDefault="00FC171B" w:rsidP="009610F2">
            <w:pPr>
              <w:pStyle w:val="In-tableHeading"/>
              <w:keepNext w:val="0"/>
              <w:jc w:val="center"/>
              <w:rPr>
                <w:szCs w:val="20"/>
                <w:lang w:val="en-AU"/>
              </w:rPr>
            </w:pPr>
            <w:r w:rsidRPr="009610F2">
              <w:rPr>
                <w:szCs w:val="20"/>
                <w:lang w:val="en-AU"/>
              </w:rPr>
              <w:t>Comment</w:t>
            </w:r>
          </w:p>
        </w:tc>
      </w:tr>
      <w:tr w:rsidR="00FC171B" w:rsidRPr="008D56E6" w14:paraId="62232EE1" w14:textId="77777777" w:rsidTr="00DA2BF8">
        <w:tc>
          <w:tcPr>
            <w:tcW w:w="9180" w:type="dxa"/>
            <w:gridSpan w:val="4"/>
            <w:vAlign w:val="center"/>
          </w:tcPr>
          <w:p w14:paraId="5C1D1107" w14:textId="77777777" w:rsidR="00FC171B" w:rsidRPr="009610F2" w:rsidRDefault="00FC171B" w:rsidP="009610F2">
            <w:pPr>
              <w:pStyle w:val="In-tableHeading"/>
              <w:keepNext w:val="0"/>
              <w:rPr>
                <w:szCs w:val="20"/>
                <w:lang w:val="en-AU"/>
              </w:rPr>
            </w:pPr>
            <w:r w:rsidRPr="009610F2">
              <w:rPr>
                <w:szCs w:val="20"/>
                <w:lang w:val="en-AU"/>
              </w:rPr>
              <w:t>Eligible population</w:t>
            </w:r>
          </w:p>
        </w:tc>
      </w:tr>
      <w:tr w:rsidR="00FC171B" w:rsidRPr="008D56E6" w14:paraId="3C056319" w14:textId="77777777" w:rsidTr="00816BFB">
        <w:tc>
          <w:tcPr>
            <w:tcW w:w="1526" w:type="dxa"/>
            <w:vAlign w:val="center"/>
          </w:tcPr>
          <w:p w14:paraId="7ACA58CF" w14:textId="77777777" w:rsidR="00FC171B" w:rsidRPr="009610F2" w:rsidRDefault="00FC171B" w:rsidP="009610F2">
            <w:pPr>
              <w:pStyle w:val="TableText0"/>
              <w:keepNext w:val="0"/>
              <w:rPr>
                <w:szCs w:val="20"/>
              </w:rPr>
            </w:pPr>
            <w:r w:rsidRPr="009610F2">
              <w:rPr>
                <w:szCs w:val="20"/>
              </w:rPr>
              <w:t>Incident patients</w:t>
            </w:r>
          </w:p>
        </w:tc>
        <w:tc>
          <w:tcPr>
            <w:tcW w:w="1459" w:type="dxa"/>
            <w:vAlign w:val="center"/>
          </w:tcPr>
          <w:p w14:paraId="3FBDECB1" w14:textId="77777777" w:rsidR="00FC171B" w:rsidRPr="009610F2" w:rsidRDefault="00FC171B" w:rsidP="009610F2">
            <w:pPr>
              <w:pStyle w:val="TableText0"/>
              <w:keepNext w:val="0"/>
              <w:rPr>
                <w:szCs w:val="20"/>
              </w:rPr>
            </w:pPr>
            <w:r w:rsidRPr="009610F2">
              <w:rPr>
                <w:szCs w:val="20"/>
              </w:rPr>
              <w:t>Yr 1: 14,561</w:t>
            </w:r>
          </w:p>
          <w:p w14:paraId="742E26ED" w14:textId="77777777" w:rsidR="00FC171B" w:rsidRPr="009610F2" w:rsidRDefault="00FC171B" w:rsidP="009610F2">
            <w:pPr>
              <w:pStyle w:val="TableText0"/>
              <w:keepNext w:val="0"/>
              <w:rPr>
                <w:szCs w:val="20"/>
              </w:rPr>
            </w:pPr>
            <w:r w:rsidRPr="009610F2">
              <w:rPr>
                <w:szCs w:val="20"/>
              </w:rPr>
              <w:t>Yr 2: 14,840</w:t>
            </w:r>
          </w:p>
          <w:p w14:paraId="29985021" w14:textId="77777777" w:rsidR="00FC171B" w:rsidRPr="009610F2" w:rsidRDefault="00FC171B" w:rsidP="009610F2">
            <w:pPr>
              <w:pStyle w:val="TableText0"/>
              <w:keepNext w:val="0"/>
              <w:rPr>
                <w:szCs w:val="20"/>
              </w:rPr>
            </w:pPr>
            <w:r w:rsidRPr="009610F2">
              <w:rPr>
                <w:szCs w:val="20"/>
              </w:rPr>
              <w:t>Yr 3: 15,133</w:t>
            </w:r>
          </w:p>
          <w:p w14:paraId="5346C98B" w14:textId="77777777" w:rsidR="00FC171B" w:rsidRPr="009610F2" w:rsidRDefault="00FC171B" w:rsidP="009610F2">
            <w:pPr>
              <w:pStyle w:val="TableText0"/>
              <w:keepNext w:val="0"/>
              <w:rPr>
                <w:szCs w:val="20"/>
              </w:rPr>
            </w:pPr>
            <w:r w:rsidRPr="009610F2">
              <w:rPr>
                <w:szCs w:val="20"/>
              </w:rPr>
              <w:t>Yr 4: 15,414</w:t>
            </w:r>
          </w:p>
          <w:p w14:paraId="5DAEC53E" w14:textId="77777777" w:rsidR="00FC171B" w:rsidRPr="009610F2" w:rsidRDefault="00FC171B" w:rsidP="009610F2">
            <w:pPr>
              <w:pStyle w:val="TableText0"/>
              <w:keepNext w:val="0"/>
              <w:rPr>
                <w:szCs w:val="20"/>
              </w:rPr>
            </w:pPr>
            <w:r w:rsidRPr="009610F2">
              <w:rPr>
                <w:szCs w:val="20"/>
              </w:rPr>
              <w:t>Yr 5: 15,686</w:t>
            </w:r>
          </w:p>
          <w:p w14:paraId="14D1BD02" w14:textId="77777777" w:rsidR="00FC171B" w:rsidRPr="009610F2" w:rsidRDefault="00FC171B" w:rsidP="009610F2">
            <w:pPr>
              <w:pStyle w:val="TableText0"/>
              <w:keepNext w:val="0"/>
              <w:rPr>
                <w:szCs w:val="20"/>
              </w:rPr>
            </w:pPr>
            <w:r w:rsidRPr="009610F2">
              <w:rPr>
                <w:szCs w:val="20"/>
              </w:rPr>
              <w:t>Yr 6: 15,943</w:t>
            </w:r>
          </w:p>
        </w:tc>
        <w:tc>
          <w:tcPr>
            <w:tcW w:w="2935" w:type="dxa"/>
            <w:vAlign w:val="center"/>
          </w:tcPr>
          <w:p w14:paraId="4D4CB544" w14:textId="77777777" w:rsidR="00FC171B" w:rsidRPr="009610F2" w:rsidRDefault="00FC171B" w:rsidP="009610F2">
            <w:pPr>
              <w:pStyle w:val="TableText0"/>
              <w:keepNext w:val="0"/>
              <w:rPr>
                <w:szCs w:val="20"/>
              </w:rPr>
            </w:pPr>
            <w:r w:rsidRPr="009610F2">
              <w:rPr>
                <w:szCs w:val="20"/>
              </w:rPr>
              <w:t>Australian Institute of Health and Welfare</w:t>
            </w:r>
            <w:r w:rsidRPr="00816BFB">
              <w:rPr>
                <w:szCs w:val="20"/>
              </w:rPr>
              <w:t xml:space="preserve">, </w:t>
            </w:r>
            <w:r w:rsidRPr="009610F2">
              <w:rPr>
                <w:szCs w:val="20"/>
              </w:rPr>
              <w:t xml:space="preserve">Cancer in Australia 2021 </w:t>
            </w:r>
          </w:p>
        </w:tc>
        <w:tc>
          <w:tcPr>
            <w:tcW w:w="3260" w:type="dxa"/>
            <w:vAlign w:val="center"/>
          </w:tcPr>
          <w:p w14:paraId="12D2CCBE" w14:textId="3AE5F99A" w:rsidR="00FC171B" w:rsidRPr="009610F2" w:rsidRDefault="00FC171B" w:rsidP="009610F2">
            <w:pPr>
              <w:pStyle w:val="TableText0"/>
              <w:keepNext w:val="0"/>
              <w:rPr>
                <w:iCs/>
                <w:szCs w:val="20"/>
              </w:rPr>
            </w:pPr>
            <w:r w:rsidRPr="009610F2">
              <w:rPr>
                <w:iCs/>
                <w:szCs w:val="20"/>
              </w:rPr>
              <w:t>These numbers were based on the AIHW projections of lung cancer. DUSC agreed with the evaluation that this was reasonable.</w:t>
            </w:r>
          </w:p>
        </w:tc>
      </w:tr>
      <w:tr w:rsidR="00FC171B" w:rsidRPr="008D56E6" w14:paraId="2B8B5352" w14:textId="77777777" w:rsidTr="00816BFB">
        <w:tc>
          <w:tcPr>
            <w:tcW w:w="1526" w:type="dxa"/>
            <w:vAlign w:val="center"/>
          </w:tcPr>
          <w:p w14:paraId="35B79A43" w14:textId="77777777" w:rsidR="00FC171B" w:rsidRPr="009610F2" w:rsidRDefault="00FC171B" w:rsidP="009610F2">
            <w:pPr>
              <w:pStyle w:val="TableText0"/>
              <w:keepNext w:val="0"/>
              <w:rPr>
                <w:szCs w:val="20"/>
              </w:rPr>
            </w:pPr>
            <w:r w:rsidRPr="009610F2">
              <w:rPr>
                <w:szCs w:val="20"/>
              </w:rPr>
              <w:t>Prevalent patients</w:t>
            </w:r>
          </w:p>
        </w:tc>
        <w:tc>
          <w:tcPr>
            <w:tcW w:w="1459" w:type="dxa"/>
            <w:vAlign w:val="center"/>
          </w:tcPr>
          <w:p w14:paraId="5FA5D08F" w14:textId="77777777" w:rsidR="00FC171B" w:rsidRPr="009610F2" w:rsidRDefault="00FC171B" w:rsidP="009610F2">
            <w:pPr>
              <w:pStyle w:val="TableText0"/>
              <w:keepNext w:val="0"/>
              <w:rPr>
                <w:szCs w:val="20"/>
              </w:rPr>
            </w:pPr>
            <w:r w:rsidRPr="009610F2">
              <w:rPr>
                <w:szCs w:val="20"/>
              </w:rPr>
              <w:t>Yr 1: 28,250</w:t>
            </w:r>
          </w:p>
          <w:p w14:paraId="773EDE14" w14:textId="77777777" w:rsidR="00FC171B" w:rsidRPr="009610F2" w:rsidRDefault="00FC171B" w:rsidP="009610F2">
            <w:pPr>
              <w:pStyle w:val="TableText0"/>
              <w:keepNext w:val="0"/>
              <w:rPr>
                <w:szCs w:val="20"/>
              </w:rPr>
            </w:pPr>
            <w:r w:rsidRPr="009610F2">
              <w:rPr>
                <w:szCs w:val="20"/>
              </w:rPr>
              <w:t>Yr 2-6: Not used</w:t>
            </w:r>
          </w:p>
        </w:tc>
        <w:tc>
          <w:tcPr>
            <w:tcW w:w="2935" w:type="dxa"/>
            <w:vAlign w:val="center"/>
          </w:tcPr>
          <w:p w14:paraId="41DAA731" w14:textId="77777777" w:rsidR="00FC171B" w:rsidRPr="009610F2" w:rsidRDefault="00FC171B" w:rsidP="009610F2">
            <w:pPr>
              <w:pStyle w:val="TableText0"/>
              <w:keepNext w:val="0"/>
              <w:rPr>
                <w:szCs w:val="20"/>
              </w:rPr>
            </w:pPr>
            <w:r w:rsidRPr="009610F2">
              <w:rPr>
                <w:szCs w:val="20"/>
              </w:rPr>
              <w:t>Australian Institute of Health and Welfare</w:t>
            </w:r>
            <w:r w:rsidRPr="00816BFB">
              <w:rPr>
                <w:szCs w:val="20"/>
              </w:rPr>
              <w:t xml:space="preserve">, </w:t>
            </w:r>
            <w:r w:rsidRPr="009610F2">
              <w:rPr>
                <w:szCs w:val="20"/>
              </w:rPr>
              <w:t>Cancer in Australia 2021</w:t>
            </w:r>
          </w:p>
        </w:tc>
        <w:tc>
          <w:tcPr>
            <w:tcW w:w="3260" w:type="dxa"/>
            <w:vAlign w:val="center"/>
          </w:tcPr>
          <w:p w14:paraId="786A7AC5" w14:textId="77777777" w:rsidR="00FC171B" w:rsidRPr="009610F2" w:rsidRDefault="00FC171B" w:rsidP="009610F2">
            <w:pPr>
              <w:pStyle w:val="TableText0"/>
              <w:keepNext w:val="0"/>
              <w:rPr>
                <w:iCs/>
                <w:szCs w:val="20"/>
              </w:rPr>
            </w:pPr>
            <w:r w:rsidRPr="009610F2">
              <w:rPr>
                <w:iCs/>
                <w:szCs w:val="20"/>
              </w:rPr>
              <w:t xml:space="preserve">This was estimated by totalling the incidence of lung cancer for Years 2022 (13,978) and 2023 (14,272) based on the Cancer in Australia, 2021 AIHW report. Given that patients diagnosed at Stage IIIB/IV have an OS of 2 years, it may not be reasonable to include incident patients from 2022. </w:t>
            </w:r>
          </w:p>
          <w:p w14:paraId="7C4CDB70" w14:textId="6F3F643C" w:rsidR="00FC171B" w:rsidRPr="009610F2" w:rsidRDefault="00FC171B" w:rsidP="009610F2">
            <w:pPr>
              <w:pStyle w:val="TableText0"/>
              <w:keepNext w:val="0"/>
              <w:rPr>
                <w:iCs/>
                <w:szCs w:val="20"/>
              </w:rPr>
            </w:pPr>
            <w:r w:rsidRPr="009610F2">
              <w:rPr>
                <w:rFonts w:eastAsia="MS Gothic" w:cs="Times New Roman"/>
                <w:iCs/>
                <w:szCs w:val="20"/>
              </w:rPr>
              <w:t xml:space="preserve">DUSC commented that it was reasonable to include a prevalent </w:t>
            </w:r>
            <w:r w:rsidR="00FB229F" w:rsidRPr="009610F2">
              <w:rPr>
                <w:rFonts w:eastAsia="MS Gothic" w:cs="Times New Roman"/>
                <w:iCs/>
                <w:szCs w:val="20"/>
              </w:rPr>
              <w:t>population but</w:t>
            </w:r>
            <w:r w:rsidRPr="009610F2">
              <w:rPr>
                <w:rFonts w:eastAsia="MS Gothic" w:cs="Times New Roman"/>
                <w:iCs/>
                <w:szCs w:val="20"/>
              </w:rPr>
              <w:t xml:space="preserve"> considered the submission underestimated mortality and that a proportion of the incident patients from the prior two years were likely to be deceased. DUSC considered the number of prevalent patients was overestimated.</w:t>
            </w:r>
          </w:p>
        </w:tc>
      </w:tr>
      <w:tr w:rsidR="00FC171B" w:rsidRPr="008D56E6" w14:paraId="267A674D" w14:textId="77777777" w:rsidTr="00DA2BF8">
        <w:tc>
          <w:tcPr>
            <w:tcW w:w="9180" w:type="dxa"/>
            <w:gridSpan w:val="4"/>
            <w:vAlign w:val="center"/>
          </w:tcPr>
          <w:p w14:paraId="1B083F8B" w14:textId="77777777" w:rsidR="00FC171B" w:rsidRPr="009610F2" w:rsidRDefault="00FC171B" w:rsidP="009610F2">
            <w:pPr>
              <w:pStyle w:val="TableText0"/>
              <w:keepNext w:val="0"/>
              <w:rPr>
                <w:b/>
                <w:iCs/>
                <w:szCs w:val="20"/>
              </w:rPr>
            </w:pPr>
            <w:r w:rsidRPr="009610F2">
              <w:rPr>
                <w:b/>
                <w:iCs/>
                <w:szCs w:val="20"/>
              </w:rPr>
              <w:t>Additional parameters utilised to estimate the number of eligible patients</w:t>
            </w:r>
            <w:r w:rsidRPr="009610F2">
              <w:rPr>
                <w:iCs/>
                <w:szCs w:val="20"/>
              </w:rPr>
              <w:t xml:space="preserve"> </w:t>
            </w:r>
          </w:p>
        </w:tc>
      </w:tr>
      <w:tr w:rsidR="00FC171B" w:rsidRPr="008D56E6" w14:paraId="75EDEB0D" w14:textId="77777777" w:rsidTr="00816BFB">
        <w:tc>
          <w:tcPr>
            <w:tcW w:w="1526" w:type="dxa"/>
            <w:vAlign w:val="center"/>
          </w:tcPr>
          <w:p w14:paraId="40D9CA77" w14:textId="77777777" w:rsidR="00FC171B" w:rsidRPr="009610F2" w:rsidRDefault="00FC171B" w:rsidP="009610F2">
            <w:pPr>
              <w:pStyle w:val="TableText0"/>
              <w:keepNext w:val="0"/>
              <w:rPr>
                <w:szCs w:val="20"/>
              </w:rPr>
            </w:pPr>
            <w:r w:rsidRPr="009610F2">
              <w:rPr>
                <w:szCs w:val="20"/>
              </w:rPr>
              <w:t>% NSCLC</w:t>
            </w:r>
          </w:p>
        </w:tc>
        <w:tc>
          <w:tcPr>
            <w:tcW w:w="1459" w:type="dxa"/>
            <w:vAlign w:val="center"/>
          </w:tcPr>
          <w:p w14:paraId="7E391ABB" w14:textId="77777777" w:rsidR="00FC171B" w:rsidRPr="009610F2" w:rsidRDefault="00FC171B" w:rsidP="009610F2">
            <w:pPr>
              <w:pStyle w:val="TableText0"/>
              <w:keepNext w:val="0"/>
              <w:rPr>
                <w:szCs w:val="20"/>
              </w:rPr>
            </w:pPr>
            <w:r w:rsidRPr="009610F2">
              <w:rPr>
                <w:szCs w:val="20"/>
              </w:rPr>
              <w:t>86.6%</w:t>
            </w:r>
          </w:p>
        </w:tc>
        <w:tc>
          <w:tcPr>
            <w:tcW w:w="2935" w:type="dxa"/>
            <w:vAlign w:val="center"/>
          </w:tcPr>
          <w:p w14:paraId="6FC38086" w14:textId="77777777" w:rsidR="00FC171B" w:rsidRPr="009610F2" w:rsidRDefault="00FC171B" w:rsidP="009610F2">
            <w:pPr>
              <w:pStyle w:val="TableText0"/>
              <w:keepNext w:val="0"/>
              <w:rPr>
                <w:szCs w:val="20"/>
              </w:rPr>
            </w:pPr>
            <w:r w:rsidRPr="009610F2">
              <w:rPr>
                <w:szCs w:val="20"/>
              </w:rPr>
              <w:t xml:space="preserve">Mitchell </w:t>
            </w:r>
            <w:r w:rsidRPr="009610F2">
              <w:rPr>
                <w:i/>
                <w:szCs w:val="20"/>
              </w:rPr>
              <w:t xml:space="preserve">et al </w:t>
            </w:r>
            <w:r w:rsidRPr="009610F2">
              <w:rPr>
                <w:szCs w:val="20"/>
              </w:rPr>
              <w:t>2013</w:t>
            </w:r>
          </w:p>
        </w:tc>
        <w:tc>
          <w:tcPr>
            <w:tcW w:w="3260" w:type="dxa"/>
            <w:vAlign w:val="center"/>
          </w:tcPr>
          <w:p w14:paraId="3A2699FA" w14:textId="4DF72D9B" w:rsidR="00FC171B" w:rsidRPr="009610F2" w:rsidRDefault="00FC171B" w:rsidP="009610F2">
            <w:pPr>
              <w:pStyle w:val="TableText0"/>
              <w:keepNext w:val="0"/>
              <w:rPr>
                <w:iCs/>
                <w:szCs w:val="20"/>
              </w:rPr>
            </w:pPr>
            <w:r w:rsidRPr="009610F2">
              <w:rPr>
                <w:iCs/>
                <w:szCs w:val="20"/>
              </w:rPr>
              <w:t>DUSC agreed with the evaluation that this was reasonable.</w:t>
            </w:r>
          </w:p>
        </w:tc>
      </w:tr>
      <w:tr w:rsidR="00FC171B" w:rsidRPr="008D56E6" w14:paraId="247B2022" w14:textId="77777777" w:rsidTr="00816BFB">
        <w:tc>
          <w:tcPr>
            <w:tcW w:w="1526" w:type="dxa"/>
            <w:vAlign w:val="center"/>
          </w:tcPr>
          <w:p w14:paraId="435F4CC1" w14:textId="77777777" w:rsidR="00FC171B" w:rsidRPr="009610F2" w:rsidRDefault="00FC171B" w:rsidP="009610F2">
            <w:pPr>
              <w:pStyle w:val="TableText0"/>
              <w:keepNext w:val="0"/>
              <w:rPr>
                <w:szCs w:val="20"/>
              </w:rPr>
            </w:pPr>
            <w:r w:rsidRPr="009610F2">
              <w:rPr>
                <w:szCs w:val="20"/>
              </w:rPr>
              <w:t>% NSQ/NOS</w:t>
            </w:r>
          </w:p>
        </w:tc>
        <w:tc>
          <w:tcPr>
            <w:tcW w:w="1459" w:type="dxa"/>
            <w:vAlign w:val="center"/>
          </w:tcPr>
          <w:p w14:paraId="3A106BD8" w14:textId="77777777" w:rsidR="00FC171B" w:rsidRPr="009610F2" w:rsidRDefault="00FC171B" w:rsidP="009610F2">
            <w:pPr>
              <w:pStyle w:val="TableText0"/>
              <w:keepNext w:val="0"/>
              <w:rPr>
                <w:szCs w:val="20"/>
              </w:rPr>
            </w:pPr>
            <w:r w:rsidRPr="009610F2">
              <w:rPr>
                <w:szCs w:val="20"/>
              </w:rPr>
              <w:t>74.2%</w:t>
            </w:r>
          </w:p>
        </w:tc>
        <w:tc>
          <w:tcPr>
            <w:tcW w:w="2935" w:type="dxa"/>
            <w:vAlign w:val="center"/>
          </w:tcPr>
          <w:p w14:paraId="23060E3E" w14:textId="77777777" w:rsidR="00FC171B" w:rsidRPr="009610F2" w:rsidRDefault="00FC171B" w:rsidP="009610F2">
            <w:pPr>
              <w:pStyle w:val="TableText0"/>
              <w:keepNext w:val="0"/>
              <w:rPr>
                <w:szCs w:val="20"/>
              </w:rPr>
            </w:pPr>
            <w:r w:rsidRPr="009610F2">
              <w:rPr>
                <w:szCs w:val="20"/>
              </w:rPr>
              <w:t>Paragraph 6.46, nivolumab PSD March 2016 PBAC meeting</w:t>
            </w:r>
          </w:p>
        </w:tc>
        <w:tc>
          <w:tcPr>
            <w:tcW w:w="3260" w:type="dxa"/>
            <w:vAlign w:val="center"/>
          </w:tcPr>
          <w:p w14:paraId="547A1CF1" w14:textId="7DBC1C5B" w:rsidR="00FC171B" w:rsidRPr="009610F2" w:rsidRDefault="00FC171B" w:rsidP="009610F2">
            <w:pPr>
              <w:pStyle w:val="TableText0"/>
              <w:keepNext w:val="0"/>
              <w:rPr>
                <w:iCs/>
                <w:szCs w:val="20"/>
              </w:rPr>
            </w:pPr>
            <w:r w:rsidRPr="009610F2">
              <w:rPr>
                <w:iCs/>
                <w:szCs w:val="20"/>
              </w:rPr>
              <w:t xml:space="preserve">The limitation to NSQ/NOS histology type is not consistent with the proposed PBS restriction. However, given that the occurrence of </w:t>
            </w:r>
            <w:r w:rsidRPr="009610F2">
              <w:rPr>
                <w:i/>
                <w:szCs w:val="20"/>
              </w:rPr>
              <w:t xml:space="preserve">RET </w:t>
            </w:r>
            <w:r w:rsidRPr="009610F2">
              <w:rPr>
                <w:iCs/>
                <w:szCs w:val="20"/>
              </w:rPr>
              <w:t>fusions is rare in squamous NSCLC, this is not expected to impact the estimates</w:t>
            </w:r>
            <w:r w:rsidR="00FB229F" w:rsidRPr="009610F2">
              <w:rPr>
                <w:iCs/>
                <w:szCs w:val="20"/>
              </w:rPr>
              <w:t xml:space="preserve">. </w:t>
            </w:r>
          </w:p>
          <w:p w14:paraId="3A5D3305" w14:textId="28EAC684" w:rsidR="000C152A" w:rsidRPr="009610F2" w:rsidRDefault="000C152A" w:rsidP="009610F2">
            <w:pPr>
              <w:pStyle w:val="TableText0"/>
              <w:keepNext w:val="0"/>
              <w:rPr>
                <w:szCs w:val="20"/>
              </w:rPr>
            </w:pPr>
            <w:r w:rsidRPr="009610F2">
              <w:rPr>
                <w:kern w:val="24"/>
                <w:szCs w:val="20"/>
              </w:rPr>
              <w:t xml:space="preserve">DUSC noted that the basis for including this proportion in the submission was that the proposed MBS item for </w:t>
            </w:r>
            <w:r w:rsidRPr="009610F2">
              <w:rPr>
                <w:i/>
                <w:iCs/>
                <w:kern w:val="24"/>
                <w:szCs w:val="20"/>
              </w:rPr>
              <w:t>RET</w:t>
            </w:r>
            <w:r w:rsidRPr="009610F2">
              <w:rPr>
                <w:kern w:val="24"/>
                <w:szCs w:val="20"/>
              </w:rPr>
              <w:t xml:space="preserve"> fusion testing was to require patients to have NSQ/NOS NSCLC to be eligible for MBS funding. </w:t>
            </w:r>
            <w:r w:rsidR="00FB229F" w:rsidRPr="009610F2">
              <w:rPr>
                <w:kern w:val="24"/>
                <w:szCs w:val="20"/>
              </w:rPr>
              <w:t>However,</w:t>
            </w:r>
            <w:r w:rsidRPr="009610F2">
              <w:rPr>
                <w:kern w:val="24"/>
                <w:szCs w:val="20"/>
              </w:rPr>
              <w:t xml:space="preserve"> DUSC agreed that </w:t>
            </w:r>
            <w:r w:rsidRPr="009610F2">
              <w:rPr>
                <w:i/>
                <w:iCs/>
                <w:kern w:val="24"/>
                <w:szCs w:val="20"/>
              </w:rPr>
              <w:t>RET</w:t>
            </w:r>
            <w:r w:rsidRPr="009610F2">
              <w:rPr>
                <w:kern w:val="24"/>
                <w:szCs w:val="20"/>
              </w:rPr>
              <w:t xml:space="preserve"> driver mutation positive was unlikely in </w:t>
            </w:r>
            <w:proofErr w:type="spellStart"/>
            <w:r w:rsidRPr="009610F2">
              <w:rPr>
                <w:kern w:val="24"/>
                <w:szCs w:val="20"/>
              </w:rPr>
              <w:t>SqCC</w:t>
            </w:r>
            <w:proofErr w:type="spellEnd"/>
            <w:r w:rsidRPr="009610F2">
              <w:rPr>
                <w:kern w:val="24"/>
                <w:szCs w:val="20"/>
              </w:rPr>
              <w:t xml:space="preserve"> histology and considered this was reasonable.</w:t>
            </w:r>
          </w:p>
        </w:tc>
      </w:tr>
      <w:tr w:rsidR="00FC171B" w:rsidRPr="008D56E6" w14:paraId="6EB8D344" w14:textId="77777777" w:rsidTr="00816BFB">
        <w:tc>
          <w:tcPr>
            <w:tcW w:w="1526" w:type="dxa"/>
            <w:vAlign w:val="center"/>
          </w:tcPr>
          <w:p w14:paraId="228C7F9C" w14:textId="77777777" w:rsidR="00FC171B" w:rsidRPr="009610F2" w:rsidRDefault="00FC171B" w:rsidP="009610F2">
            <w:pPr>
              <w:pStyle w:val="TableText0"/>
              <w:keepNext w:val="0"/>
              <w:rPr>
                <w:szCs w:val="20"/>
              </w:rPr>
            </w:pPr>
            <w:r w:rsidRPr="009610F2">
              <w:rPr>
                <w:szCs w:val="20"/>
              </w:rPr>
              <w:t>% ECOG PS: 0-2</w:t>
            </w:r>
          </w:p>
        </w:tc>
        <w:tc>
          <w:tcPr>
            <w:tcW w:w="1459" w:type="dxa"/>
            <w:vAlign w:val="center"/>
          </w:tcPr>
          <w:p w14:paraId="0308538D" w14:textId="77777777" w:rsidR="00FC171B" w:rsidRPr="009610F2" w:rsidRDefault="00FC171B" w:rsidP="009610F2">
            <w:pPr>
              <w:pStyle w:val="TableText0"/>
              <w:keepNext w:val="0"/>
              <w:rPr>
                <w:szCs w:val="20"/>
              </w:rPr>
            </w:pPr>
            <w:r w:rsidRPr="009610F2">
              <w:rPr>
                <w:szCs w:val="20"/>
              </w:rPr>
              <w:t>96.8%</w:t>
            </w:r>
          </w:p>
        </w:tc>
        <w:tc>
          <w:tcPr>
            <w:tcW w:w="2935" w:type="dxa"/>
            <w:vAlign w:val="center"/>
          </w:tcPr>
          <w:p w14:paraId="7179ED76" w14:textId="77777777" w:rsidR="00FC171B" w:rsidRPr="009610F2" w:rsidRDefault="00FC171B" w:rsidP="009610F2">
            <w:pPr>
              <w:pStyle w:val="TableText0"/>
              <w:keepNext w:val="0"/>
              <w:rPr>
                <w:szCs w:val="20"/>
              </w:rPr>
            </w:pPr>
            <w:r w:rsidRPr="009610F2">
              <w:rPr>
                <w:szCs w:val="20"/>
              </w:rPr>
              <w:t xml:space="preserve">Hess et al. (2021) </w:t>
            </w:r>
          </w:p>
        </w:tc>
        <w:tc>
          <w:tcPr>
            <w:tcW w:w="3260" w:type="dxa"/>
            <w:vAlign w:val="center"/>
          </w:tcPr>
          <w:p w14:paraId="1C698D49" w14:textId="77777777" w:rsidR="00FC171B" w:rsidRPr="009610F2" w:rsidRDefault="00FC171B" w:rsidP="009610F2">
            <w:pPr>
              <w:pStyle w:val="TableText0"/>
              <w:keepNext w:val="0"/>
              <w:rPr>
                <w:iCs/>
                <w:szCs w:val="20"/>
              </w:rPr>
            </w:pPr>
            <w:r w:rsidRPr="009610F2">
              <w:rPr>
                <w:iCs/>
                <w:szCs w:val="20"/>
              </w:rPr>
              <w:t xml:space="preserve">Since </w:t>
            </w:r>
            <w:r w:rsidRPr="009610F2">
              <w:rPr>
                <w:i/>
                <w:szCs w:val="20"/>
              </w:rPr>
              <w:t>RET</w:t>
            </w:r>
            <w:r w:rsidRPr="009610F2">
              <w:rPr>
                <w:iCs/>
                <w:szCs w:val="20"/>
              </w:rPr>
              <w:t xml:space="preserve"> fusion positive patients are generally younger, this assumption was reasonable but uncertain. </w:t>
            </w:r>
          </w:p>
          <w:p w14:paraId="6D97AC45" w14:textId="185DF8DF" w:rsidR="000C152A" w:rsidRPr="009610F2" w:rsidRDefault="000C152A" w:rsidP="009610F2">
            <w:pPr>
              <w:pStyle w:val="TableText0"/>
              <w:keepNext w:val="0"/>
              <w:rPr>
                <w:iCs/>
                <w:szCs w:val="20"/>
              </w:rPr>
            </w:pPr>
            <w:r w:rsidRPr="009610F2">
              <w:rPr>
                <w:kern w:val="24"/>
                <w:szCs w:val="20"/>
              </w:rPr>
              <w:lastRenderedPageBreak/>
              <w:t>DUSC considered this was reasonable for incident patients, but likely overestimated in 2L+ patients</w:t>
            </w:r>
            <w:r w:rsidRPr="009610F2">
              <w:rPr>
                <w:i/>
                <w:iCs/>
                <w:kern w:val="24"/>
                <w:szCs w:val="20"/>
              </w:rPr>
              <w:t>.</w:t>
            </w:r>
          </w:p>
        </w:tc>
      </w:tr>
      <w:tr w:rsidR="00FC171B" w:rsidRPr="008D56E6" w14:paraId="41715F75" w14:textId="77777777" w:rsidTr="00816BFB">
        <w:trPr>
          <w:trHeight w:val="2835"/>
        </w:trPr>
        <w:tc>
          <w:tcPr>
            <w:tcW w:w="1526" w:type="dxa"/>
            <w:vAlign w:val="center"/>
          </w:tcPr>
          <w:p w14:paraId="438DCFD0" w14:textId="77777777" w:rsidR="00FC171B" w:rsidRPr="009610F2" w:rsidRDefault="00FC171B" w:rsidP="009610F2">
            <w:pPr>
              <w:pStyle w:val="TableText0"/>
              <w:keepNext w:val="0"/>
              <w:rPr>
                <w:szCs w:val="20"/>
              </w:rPr>
            </w:pPr>
            <w:r w:rsidRPr="009610F2">
              <w:rPr>
                <w:szCs w:val="20"/>
              </w:rPr>
              <w:lastRenderedPageBreak/>
              <w:t xml:space="preserve">Proportion of patients who are </w:t>
            </w:r>
            <w:r w:rsidRPr="009610F2">
              <w:rPr>
                <w:i/>
                <w:szCs w:val="20"/>
              </w:rPr>
              <w:t>RET</w:t>
            </w:r>
            <w:r w:rsidRPr="009610F2">
              <w:rPr>
                <w:szCs w:val="20"/>
              </w:rPr>
              <w:t xml:space="preserve"> fusion positive</w:t>
            </w:r>
          </w:p>
        </w:tc>
        <w:tc>
          <w:tcPr>
            <w:tcW w:w="1459" w:type="dxa"/>
            <w:vAlign w:val="center"/>
          </w:tcPr>
          <w:p w14:paraId="326A3EFF" w14:textId="77777777" w:rsidR="00FC171B" w:rsidRPr="009610F2" w:rsidRDefault="00FC171B" w:rsidP="009610F2">
            <w:pPr>
              <w:pStyle w:val="TableText0"/>
              <w:keepNext w:val="0"/>
              <w:rPr>
                <w:szCs w:val="20"/>
              </w:rPr>
            </w:pPr>
            <w:r w:rsidRPr="009610F2">
              <w:rPr>
                <w:szCs w:val="20"/>
              </w:rPr>
              <w:t>1.5%</w:t>
            </w:r>
          </w:p>
        </w:tc>
        <w:tc>
          <w:tcPr>
            <w:tcW w:w="2935" w:type="dxa"/>
            <w:vAlign w:val="center"/>
          </w:tcPr>
          <w:p w14:paraId="30FF8DB6" w14:textId="77777777" w:rsidR="00FC171B" w:rsidRPr="009610F2" w:rsidRDefault="00FC171B" w:rsidP="009610F2">
            <w:pPr>
              <w:pStyle w:val="TableText0"/>
              <w:keepNext w:val="0"/>
              <w:rPr>
                <w:szCs w:val="20"/>
              </w:rPr>
            </w:pPr>
            <w:r w:rsidRPr="009610F2">
              <w:rPr>
                <w:szCs w:val="20"/>
              </w:rPr>
              <w:t>Kohno et al. (2012), Ferrara et al., (2018)</w:t>
            </w:r>
          </w:p>
        </w:tc>
        <w:tc>
          <w:tcPr>
            <w:tcW w:w="3260" w:type="dxa"/>
            <w:vAlign w:val="center"/>
          </w:tcPr>
          <w:p w14:paraId="1B491912" w14:textId="77777777" w:rsidR="00FC171B" w:rsidRPr="009610F2" w:rsidRDefault="00FC171B" w:rsidP="009610F2">
            <w:pPr>
              <w:pStyle w:val="TableText0"/>
              <w:keepNext w:val="0"/>
              <w:rPr>
                <w:iCs/>
                <w:szCs w:val="20"/>
              </w:rPr>
            </w:pPr>
            <w:r w:rsidRPr="009610F2">
              <w:rPr>
                <w:iCs/>
                <w:szCs w:val="20"/>
              </w:rPr>
              <w:t xml:space="preserve">Literature suggests that 0.5% to 2% of the population are </w:t>
            </w:r>
            <w:r w:rsidRPr="009610F2">
              <w:rPr>
                <w:i/>
                <w:szCs w:val="20"/>
              </w:rPr>
              <w:t>RET</w:t>
            </w:r>
            <w:r w:rsidRPr="009610F2">
              <w:rPr>
                <w:iCs/>
                <w:szCs w:val="20"/>
              </w:rPr>
              <w:t xml:space="preserve"> fusion positive. The 1.5% incidence utilised in the financial estimations was uncertain but reasonable and the range tested in the sensitivity analyses was plausible. </w:t>
            </w:r>
          </w:p>
          <w:p w14:paraId="56EC471F" w14:textId="58A6CC82" w:rsidR="000C152A" w:rsidRPr="009610F2" w:rsidRDefault="000C152A" w:rsidP="009610F2">
            <w:pPr>
              <w:pStyle w:val="TableText0"/>
              <w:keepNext w:val="0"/>
              <w:rPr>
                <w:szCs w:val="20"/>
              </w:rPr>
            </w:pPr>
            <w:r w:rsidRPr="009610F2">
              <w:rPr>
                <w:kern w:val="24"/>
                <w:szCs w:val="20"/>
              </w:rPr>
              <w:t xml:space="preserve">DUSC noted that this proportion was uncertain and impacted the estimates </w:t>
            </w:r>
            <w:r w:rsidR="00FB229F" w:rsidRPr="009610F2">
              <w:rPr>
                <w:kern w:val="24"/>
                <w:szCs w:val="20"/>
              </w:rPr>
              <w:t>significantly but</w:t>
            </w:r>
            <w:r w:rsidRPr="009610F2">
              <w:rPr>
                <w:kern w:val="24"/>
                <w:szCs w:val="20"/>
              </w:rPr>
              <w:t xml:space="preserve"> agreed the estimate of 1.5% was likely reasonable and noted the sensitivity analyses to support the uncertainty.</w:t>
            </w:r>
          </w:p>
        </w:tc>
      </w:tr>
      <w:tr w:rsidR="00FC171B" w:rsidRPr="008D56E6" w14:paraId="6B46D020" w14:textId="77777777" w:rsidTr="00DA2BF8">
        <w:tc>
          <w:tcPr>
            <w:tcW w:w="9180" w:type="dxa"/>
            <w:gridSpan w:val="4"/>
            <w:vAlign w:val="center"/>
          </w:tcPr>
          <w:p w14:paraId="3567D443" w14:textId="77777777" w:rsidR="00FC171B" w:rsidRPr="009610F2" w:rsidRDefault="00FC171B" w:rsidP="009610F2">
            <w:pPr>
              <w:pStyle w:val="TableText0"/>
              <w:keepNext w:val="0"/>
              <w:rPr>
                <w:b/>
                <w:iCs/>
                <w:szCs w:val="20"/>
              </w:rPr>
            </w:pPr>
            <w:r w:rsidRPr="009610F2">
              <w:rPr>
                <w:b/>
                <w:iCs/>
                <w:szCs w:val="20"/>
              </w:rPr>
              <w:t>Eligible patients</w:t>
            </w:r>
          </w:p>
        </w:tc>
      </w:tr>
      <w:tr w:rsidR="00FC171B" w:rsidRPr="008D56E6" w14:paraId="5CB2CACE" w14:textId="77777777" w:rsidTr="00816BFB">
        <w:trPr>
          <w:trHeight w:val="1417"/>
        </w:trPr>
        <w:tc>
          <w:tcPr>
            <w:tcW w:w="1526" w:type="dxa"/>
            <w:vAlign w:val="center"/>
          </w:tcPr>
          <w:p w14:paraId="16AB47E6" w14:textId="77777777" w:rsidR="00FC171B" w:rsidRPr="009610F2" w:rsidRDefault="00FC171B" w:rsidP="009610F2">
            <w:pPr>
              <w:pStyle w:val="TableText0"/>
              <w:keepNext w:val="0"/>
              <w:rPr>
                <w:szCs w:val="20"/>
              </w:rPr>
            </w:pPr>
            <w:r w:rsidRPr="009610F2">
              <w:rPr>
                <w:szCs w:val="20"/>
              </w:rPr>
              <w:t>Eligible patients, electing treatment and diagnosed at Stage IIIB/IV</w:t>
            </w:r>
          </w:p>
        </w:tc>
        <w:tc>
          <w:tcPr>
            <w:tcW w:w="1459" w:type="dxa"/>
            <w:vAlign w:val="center"/>
          </w:tcPr>
          <w:p w14:paraId="43F2082A" w14:textId="34FF524B" w:rsidR="00FC171B" w:rsidRPr="00816BFB" w:rsidRDefault="00FC171B" w:rsidP="009610F2">
            <w:pPr>
              <w:pStyle w:val="TableText0"/>
              <w:keepNext w:val="0"/>
              <w:rPr>
                <w:szCs w:val="20"/>
                <w:vertAlign w:val="superscript"/>
              </w:rPr>
            </w:pPr>
            <w:r w:rsidRPr="009610F2">
              <w:rPr>
                <w:szCs w:val="20"/>
              </w:rPr>
              <w:t xml:space="preserve">Yr 1: </w:t>
            </w:r>
            <w:r w:rsidR="00816BFB" w:rsidRPr="00816BFB">
              <w:rPr>
                <w:spacing w:val="51"/>
                <w:szCs w:val="20"/>
                <w:highlight w:val="black"/>
                <w:fitText w:val="324" w:id="-1167880948"/>
              </w:rPr>
              <w:t>|||</w:t>
            </w:r>
            <w:r w:rsidR="00816BFB" w:rsidRPr="00816BFB">
              <w:rPr>
                <w:spacing w:val="1"/>
                <w:szCs w:val="20"/>
                <w:highlight w:val="black"/>
                <w:fitText w:val="324" w:id="-1167880948"/>
              </w:rPr>
              <w:t>|</w:t>
            </w:r>
            <w:r w:rsidR="00320E7F" w:rsidRPr="009610F2">
              <w:rPr>
                <w:szCs w:val="20"/>
                <w:vertAlign w:val="superscript"/>
              </w:rPr>
              <w:t>1</w:t>
            </w:r>
          </w:p>
          <w:p w14:paraId="37300348" w14:textId="7AAB7F11" w:rsidR="00FC171B" w:rsidRPr="009610F2" w:rsidRDefault="00FC171B" w:rsidP="009610F2">
            <w:pPr>
              <w:pStyle w:val="TableText0"/>
              <w:keepNext w:val="0"/>
              <w:rPr>
                <w:szCs w:val="20"/>
              </w:rPr>
            </w:pPr>
            <w:r w:rsidRPr="009610F2">
              <w:rPr>
                <w:szCs w:val="20"/>
              </w:rPr>
              <w:t xml:space="preserve">Yr 2: </w:t>
            </w:r>
            <w:r w:rsidR="00816BFB" w:rsidRPr="00816BFB">
              <w:rPr>
                <w:spacing w:val="51"/>
                <w:szCs w:val="20"/>
                <w:highlight w:val="black"/>
                <w:fitText w:val="324" w:id="-1167880947"/>
              </w:rPr>
              <w:t>|||</w:t>
            </w:r>
            <w:r w:rsidR="00816BFB" w:rsidRPr="00816BFB">
              <w:rPr>
                <w:spacing w:val="1"/>
                <w:szCs w:val="20"/>
                <w:highlight w:val="black"/>
                <w:fitText w:val="324" w:id="-1167880947"/>
              </w:rPr>
              <w:t>|</w:t>
            </w:r>
            <w:r w:rsidR="00320E7F" w:rsidRPr="009610F2">
              <w:rPr>
                <w:szCs w:val="20"/>
                <w:vertAlign w:val="superscript"/>
              </w:rPr>
              <w:t>1</w:t>
            </w:r>
          </w:p>
          <w:p w14:paraId="47FABAB2" w14:textId="20419925" w:rsidR="00FC171B" w:rsidRPr="009610F2" w:rsidRDefault="00FC171B" w:rsidP="009610F2">
            <w:pPr>
              <w:pStyle w:val="TableText0"/>
              <w:keepNext w:val="0"/>
              <w:rPr>
                <w:szCs w:val="20"/>
              </w:rPr>
            </w:pPr>
            <w:r w:rsidRPr="009610F2">
              <w:rPr>
                <w:szCs w:val="20"/>
              </w:rPr>
              <w:t xml:space="preserve">Yr 3: </w:t>
            </w:r>
            <w:r w:rsidR="00816BFB" w:rsidRPr="00816BFB">
              <w:rPr>
                <w:spacing w:val="51"/>
                <w:szCs w:val="20"/>
                <w:highlight w:val="black"/>
                <w:fitText w:val="324" w:id="-1167880946"/>
              </w:rPr>
              <w:t>|||</w:t>
            </w:r>
            <w:r w:rsidR="00816BFB" w:rsidRPr="00816BFB">
              <w:rPr>
                <w:spacing w:val="1"/>
                <w:szCs w:val="20"/>
                <w:highlight w:val="black"/>
                <w:fitText w:val="324" w:id="-1167880946"/>
              </w:rPr>
              <w:t>|</w:t>
            </w:r>
            <w:r w:rsidR="00320E7F" w:rsidRPr="009610F2">
              <w:rPr>
                <w:szCs w:val="20"/>
                <w:vertAlign w:val="superscript"/>
              </w:rPr>
              <w:t>1</w:t>
            </w:r>
          </w:p>
          <w:p w14:paraId="78D91AD3" w14:textId="73E8CDF7" w:rsidR="00FC171B" w:rsidRPr="009610F2" w:rsidRDefault="00FC171B" w:rsidP="009610F2">
            <w:pPr>
              <w:pStyle w:val="TableText0"/>
              <w:keepNext w:val="0"/>
              <w:rPr>
                <w:szCs w:val="20"/>
              </w:rPr>
            </w:pPr>
            <w:r w:rsidRPr="009610F2">
              <w:rPr>
                <w:szCs w:val="20"/>
              </w:rPr>
              <w:t xml:space="preserve">Yr 4: </w:t>
            </w:r>
            <w:r w:rsidR="00816BFB" w:rsidRPr="00816BFB">
              <w:rPr>
                <w:spacing w:val="51"/>
                <w:szCs w:val="20"/>
                <w:highlight w:val="black"/>
                <w:fitText w:val="324" w:id="-1167880945"/>
              </w:rPr>
              <w:t>|||</w:t>
            </w:r>
            <w:r w:rsidR="00816BFB" w:rsidRPr="00816BFB">
              <w:rPr>
                <w:spacing w:val="1"/>
                <w:szCs w:val="20"/>
                <w:highlight w:val="black"/>
                <w:fitText w:val="324" w:id="-1167880945"/>
              </w:rPr>
              <w:t>|</w:t>
            </w:r>
            <w:r w:rsidR="00320E7F" w:rsidRPr="009610F2">
              <w:rPr>
                <w:szCs w:val="20"/>
                <w:vertAlign w:val="superscript"/>
              </w:rPr>
              <w:t>1</w:t>
            </w:r>
          </w:p>
          <w:p w14:paraId="3BE6FA87" w14:textId="2F4D604C" w:rsidR="00FC171B" w:rsidRPr="009610F2" w:rsidRDefault="00FC171B" w:rsidP="009610F2">
            <w:pPr>
              <w:pStyle w:val="TableText0"/>
              <w:keepNext w:val="0"/>
              <w:rPr>
                <w:szCs w:val="20"/>
              </w:rPr>
            </w:pPr>
            <w:r w:rsidRPr="009610F2">
              <w:rPr>
                <w:szCs w:val="20"/>
              </w:rPr>
              <w:t xml:space="preserve">Yr 5: </w:t>
            </w:r>
            <w:r w:rsidR="00816BFB" w:rsidRPr="00816BFB">
              <w:rPr>
                <w:spacing w:val="51"/>
                <w:szCs w:val="20"/>
                <w:highlight w:val="black"/>
                <w:fitText w:val="324" w:id="-1167880944"/>
              </w:rPr>
              <w:t>|||</w:t>
            </w:r>
            <w:r w:rsidR="00816BFB" w:rsidRPr="00816BFB">
              <w:rPr>
                <w:spacing w:val="1"/>
                <w:szCs w:val="20"/>
                <w:highlight w:val="black"/>
                <w:fitText w:val="324" w:id="-1167880944"/>
              </w:rPr>
              <w:t>|</w:t>
            </w:r>
            <w:r w:rsidR="00320E7F" w:rsidRPr="009610F2">
              <w:rPr>
                <w:szCs w:val="20"/>
                <w:vertAlign w:val="superscript"/>
              </w:rPr>
              <w:t>1</w:t>
            </w:r>
          </w:p>
          <w:p w14:paraId="2725D9D9" w14:textId="0E9DDEC2" w:rsidR="00FC171B" w:rsidRPr="009610F2" w:rsidRDefault="00FC171B" w:rsidP="009610F2">
            <w:pPr>
              <w:pStyle w:val="TableText0"/>
              <w:keepNext w:val="0"/>
              <w:rPr>
                <w:szCs w:val="20"/>
              </w:rPr>
            </w:pPr>
            <w:r w:rsidRPr="009610F2">
              <w:rPr>
                <w:szCs w:val="20"/>
              </w:rPr>
              <w:t xml:space="preserve">Yr 6: </w:t>
            </w:r>
            <w:r w:rsidR="00816BFB" w:rsidRPr="00816BFB">
              <w:rPr>
                <w:spacing w:val="51"/>
                <w:szCs w:val="20"/>
                <w:highlight w:val="black"/>
                <w:fitText w:val="324" w:id="-1167880960"/>
              </w:rPr>
              <w:t>|||</w:t>
            </w:r>
            <w:r w:rsidR="00816BFB" w:rsidRPr="00816BFB">
              <w:rPr>
                <w:spacing w:val="1"/>
                <w:szCs w:val="20"/>
                <w:highlight w:val="black"/>
                <w:fitText w:val="324" w:id="-1167880960"/>
              </w:rPr>
              <w:t>|</w:t>
            </w:r>
            <w:r w:rsidR="00320E7F" w:rsidRPr="009610F2">
              <w:rPr>
                <w:szCs w:val="20"/>
                <w:vertAlign w:val="superscript"/>
              </w:rPr>
              <w:t>1</w:t>
            </w:r>
          </w:p>
        </w:tc>
        <w:tc>
          <w:tcPr>
            <w:tcW w:w="2935" w:type="dxa"/>
            <w:vAlign w:val="center"/>
          </w:tcPr>
          <w:p w14:paraId="72231446" w14:textId="77777777" w:rsidR="00FC171B" w:rsidRPr="009610F2" w:rsidRDefault="00FC171B" w:rsidP="009610F2">
            <w:pPr>
              <w:pStyle w:val="TableText0"/>
              <w:keepNext w:val="0"/>
              <w:rPr>
                <w:szCs w:val="20"/>
              </w:rPr>
            </w:pPr>
            <w:r w:rsidRPr="009610F2">
              <w:rPr>
                <w:szCs w:val="20"/>
              </w:rPr>
              <w:t xml:space="preserve">Based on 65.5% of patients diagnosed at Stage IIIB/IV as presented in Mitchell </w:t>
            </w:r>
            <w:r w:rsidRPr="009610F2">
              <w:rPr>
                <w:i/>
                <w:szCs w:val="20"/>
              </w:rPr>
              <w:t>et al</w:t>
            </w:r>
            <w:r w:rsidRPr="009610F2">
              <w:rPr>
                <w:szCs w:val="20"/>
              </w:rPr>
              <w:t xml:space="preserve"> 2013 and the Erlotinib and Gefitinib DUSC report. </w:t>
            </w:r>
          </w:p>
        </w:tc>
        <w:tc>
          <w:tcPr>
            <w:tcW w:w="3260" w:type="dxa"/>
            <w:vAlign w:val="center"/>
          </w:tcPr>
          <w:p w14:paraId="46CDB558" w14:textId="64AF7E5D" w:rsidR="00FC171B" w:rsidRPr="009610F2" w:rsidRDefault="000C152A" w:rsidP="009610F2">
            <w:pPr>
              <w:pStyle w:val="TableText0"/>
              <w:keepNext w:val="0"/>
              <w:rPr>
                <w:iCs/>
                <w:szCs w:val="20"/>
              </w:rPr>
            </w:pPr>
            <w:r w:rsidRPr="009610F2">
              <w:rPr>
                <w:iCs/>
                <w:szCs w:val="20"/>
              </w:rPr>
              <w:t>DUSC agreed with the evaluation that this was reasonable</w:t>
            </w:r>
          </w:p>
        </w:tc>
      </w:tr>
      <w:tr w:rsidR="00FC171B" w:rsidRPr="008D56E6" w14:paraId="4F9C0676" w14:textId="77777777" w:rsidTr="00816BFB">
        <w:tc>
          <w:tcPr>
            <w:tcW w:w="1526" w:type="dxa"/>
            <w:vAlign w:val="center"/>
          </w:tcPr>
          <w:p w14:paraId="521B38DF" w14:textId="77777777" w:rsidR="00FC171B" w:rsidRPr="009610F2" w:rsidRDefault="00FC171B" w:rsidP="009610F2">
            <w:pPr>
              <w:pStyle w:val="TableText0"/>
              <w:keepNext w:val="0"/>
              <w:rPr>
                <w:szCs w:val="20"/>
              </w:rPr>
            </w:pPr>
            <w:r w:rsidRPr="009610F2">
              <w:rPr>
                <w:szCs w:val="20"/>
              </w:rPr>
              <w:t>Eligible patients, diagnosed at Stage I-IIIA who progress to Stage IIIB/IV within a year</w:t>
            </w:r>
          </w:p>
        </w:tc>
        <w:tc>
          <w:tcPr>
            <w:tcW w:w="1459" w:type="dxa"/>
            <w:vAlign w:val="center"/>
          </w:tcPr>
          <w:p w14:paraId="79619C66" w14:textId="14110494" w:rsidR="00FC171B" w:rsidRPr="009610F2" w:rsidRDefault="00FC171B" w:rsidP="009610F2">
            <w:pPr>
              <w:pStyle w:val="TableText0"/>
              <w:keepNext w:val="0"/>
              <w:rPr>
                <w:szCs w:val="20"/>
              </w:rPr>
            </w:pPr>
            <w:r w:rsidRPr="009610F2">
              <w:rPr>
                <w:szCs w:val="20"/>
              </w:rPr>
              <w:t xml:space="preserve">Yr 1-2: </w:t>
            </w:r>
            <w:r w:rsidR="00816BFB" w:rsidRPr="00816BFB">
              <w:rPr>
                <w:spacing w:val="51"/>
                <w:szCs w:val="20"/>
                <w:highlight w:val="black"/>
                <w:fitText w:val="324" w:id="-1167880959"/>
              </w:rPr>
              <w:t>|||</w:t>
            </w:r>
            <w:r w:rsidR="00816BFB" w:rsidRPr="00816BFB">
              <w:rPr>
                <w:spacing w:val="1"/>
                <w:szCs w:val="20"/>
                <w:highlight w:val="black"/>
                <w:fitText w:val="324" w:id="-1167880959"/>
              </w:rPr>
              <w:t>|</w:t>
            </w:r>
            <w:r w:rsidR="00320E7F" w:rsidRPr="009610F2">
              <w:rPr>
                <w:szCs w:val="20"/>
                <w:vertAlign w:val="superscript"/>
              </w:rPr>
              <w:t>1</w:t>
            </w:r>
          </w:p>
          <w:p w14:paraId="30B9E9A5" w14:textId="6D41F20C" w:rsidR="00FC171B" w:rsidRPr="009610F2" w:rsidRDefault="00FC171B" w:rsidP="009610F2">
            <w:pPr>
              <w:pStyle w:val="TableText0"/>
              <w:keepNext w:val="0"/>
              <w:rPr>
                <w:szCs w:val="20"/>
              </w:rPr>
            </w:pPr>
            <w:r w:rsidRPr="009610F2">
              <w:rPr>
                <w:szCs w:val="20"/>
              </w:rPr>
              <w:t xml:space="preserve">Yr 3-6: </w:t>
            </w:r>
            <w:r w:rsidR="00816BFB" w:rsidRPr="00816BFB">
              <w:rPr>
                <w:spacing w:val="51"/>
                <w:szCs w:val="20"/>
                <w:highlight w:val="black"/>
                <w:fitText w:val="324" w:id="-1167880958"/>
              </w:rPr>
              <w:t>|||</w:t>
            </w:r>
            <w:r w:rsidR="00816BFB" w:rsidRPr="00816BFB">
              <w:rPr>
                <w:spacing w:val="1"/>
                <w:szCs w:val="20"/>
                <w:highlight w:val="black"/>
                <w:fitText w:val="324" w:id="-1167880958"/>
              </w:rPr>
              <w:t>|</w:t>
            </w:r>
            <w:r w:rsidR="00320E7F" w:rsidRPr="009610F2">
              <w:rPr>
                <w:szCs w:val="20"/>
                <w:vertAlign w:val="superscript"/>
              </w:rPr>
              <w:t>1</w:t>
            </w:r>
          </w:p>
        </w:tc>
        <w:tc>
          <w:tcPr>
            <w:tcW w:w="2935" w:type="dxa"/>
            <w:vAlign w:val="center"/>
          </w:tcPr>
          <w:p w14:paraId="67452AB1" w14:textId="77777777" w:rsidR="00FC171B" w:rsidRPr="009610F2" w:rsidRDefault="00FC171B" w:rsidP="009610F2">
            <w:pPr>
              <w:pStyle w:val="TableText0"/>
              <w:keepNext w:val="0"/>
              <w:rPr>
                <w:szCs w:val="20"/>
              </w:rPr>
            </w:pPr>
            <w:r w:rsidRPr="009610F2">
              <w:rPr>
                <w:szCs w:val="20"/>
              </w:rPr>
              <w:t xml:space="preserve">Based on 34.5% of patients diagnosed at Stage I-IIIA, of which 30% progress within a year as presented in Mitchell </w:t>
            </w:r>
            <w:r w:rsidRPr="009610F2">
              <w:rPr>
                <w:i/>
                <w:szCs w:val="20"/>
              </w:rPr>
              <w:t xml:space="preserve">et al </w:t>
            </w:r>
            <w:r w:rsidRPr="009610F2">
              <w:rPr>
                <w:szCs w:val="20"/>
              </w:rPr>
              <w:t xml:space="preserve">2013. </w:t>
            </w:r>
          </w:p>
        </w:tc>
        <w:tc>
          <w:tcPr>
            <w:tcW w:w="3260" w:type="dxa"/>
            <w:vAlign w:val="center"/>
          </w:tcPr>
          <w:p w14:paraId="6383BAA4" w14:textId="37766EA5" w:rsidR="00FC171B" w:rsidRPr="009610F2" w:rsidRDefault="000C152A" w:rsidP="009610F2">
            <w:pPr>
              <w:pStyle w:val="TableText0"/>
              <w:keepNext w:val="0"/>
              <w:rPr>
                <w:iCs/>
                <w:szCs w:val="20"/>
              </w:rPr>
            </w:pPr>
            <w:r w:rsidRPr="009610F2">
              <w:rPr>
                <w:kern w:val="24"/>
                <w:szCs w:val="20"/>
              </w:rPr>
              <w:t xml:space="preserve">DUSC </w:t>
            </w:r>
            <w:r w:rsidR="006A5BC8" w:rsidRPr="009610F2">
              <w:rPr>
                <w:kern w:val="24"/>
                <w:szCs w:val="20"/>
              </w:rPr>
              <w:t xml:space="preserve">agreed with the evaluation that </w:t>
            </w:r>
            <w:r w:rsidRPr="009610F2">
              <w:rPr>
                <w:kern w:val="24"/>
                <w:szCs w:val="20"/>
              </w:rPr>
              <w:t>this was reasonable but noted there may be limited benefit of adjuvant or consolidation immunotherapy in driver mutation positive NSCLC.</w:t>
            </w:r>
          </w:p>
        </w:tc>
      </w:tr>
      <w:tr w:rsidR="00FC171B" w:rsidRPr="008D56E6" w14:paraId="59CB8F4A" w14:textId="77777777" w:rsidTr="00816BFB">
        <w:tc>
          <w:tcPr>
            <w:tcW w:w="1526" w:type="dxa"/>
            <w:vAlign w:val="center"/>
          </w:tcPr>
          <w:p w14:paraId="2FB0B163" w14:textId="77777777" w:rsidR="00FC171B" w:rsidRPr="009610F2" w:rsidRDefault="00FC171B" w:rsidP="009610F2">
            <w:pPr>
              <w:pStyle w:val="TableText0"/>
              <w:keepNext w:val="0"/>
              <w:rPr>
                <w:szCs w:val="20"/>
              </w:rPr>
            </w:pPr>
            <w:r w:rsidRPr="009610F2">
              <w:rPr>
                <w:szCs w:val="20"/>
              </w:rPr>
              <w:t>Eligible, pre-treated Stage IIIB/IV patients</w:t>
            </w:r>
          </w:p>
        </w:tc>
        <w:tc>
          <w:tcPr>
            <w:tcW w:w="1459" w:type="dxa"/>
            <w:vAlign w:val="center"/>
          </w:tcPr>
          <w:p w14:paraId="2891F89C" w14:textId="4B28500D" w:rsidR="00FC171B" w:rsidRPr="009610F2" w:rsidRDefault="00FC171B" w:rsidP="009610F2">
            <w:pPr>
              <w:pStyle w:val="TableText0"/>
              <w:keepNext w:val="0"/>
              <w:rPr>
                <w:szCs w:val="20"/>
              </w:rPr>
            </w:pPr>
            <w:r w:rsidRPr="009610F2">
              <w:rPr>
                <w:szCs w:val="20"/>
              </w:rPr>
              <w:t xml:space="preserve">Yr 1: </w:t>
            </w:r>
            <w:r w:rsidR="00816BFB" w:rsidRPr="00816BFB">
              <w:rPr>
                <w:spacing w:val="51"/>
                <w:szCs w:val="20"/>
                <w:highlight w:val="black"/>
                <w:fitText w:val="324" w:id="-1167880957"/>
              </w:rPr>
              <w:t>|||</w:t>
            </w:r>
            <w:r w:rsidR="00816BFB" w:rsidRPr="00816BFB">
              <w:rPr>
                <w:spacing w:val="1"/>
                <w:szCs w:val="20"/>
                <w:highlight w:val="black"/>
                <w:fitText w:val="324" w:id="-1167880957"/>
              </w:rPr>
              <w:t>|</w:t>
            </w:r>
            <w:r w:rsidR="00320E7F" w:rsidRPr="009610F2">
              <w:rPr>
                <w:szCs w:val="20"/>
                <w:vertAlign w:val="superscript"/>
              </w:rPr>
              <w:t>1</w:t>
            </w:r>
          </w:p>
          <w:p w14:paraId="02FB43C1" w14:textId="3071FD56" w:rsidR="00FC171B" w:rsidRPr="009610F2" w:rsidRDefault="00FC171B" w:rsidP="009610F2">
            <w:pPr>
              <w:pStyle w:val="TableText0"/>
              <w:keepNext w:val="0"/>
              <w:rPr>
                <w:szCs w:val="20"/>
              </w:rPr>
            </w:pPr>
            <w:r w:rsidRPr="009610F2">
              <w:rPr>
                <w:szCs w:val="20"/>
              </w:rPr>
              <w:t xml:space="preserve">Yr 2-6: </w:t>
            </w:r>
            <w:r w:rsidR="00816BFB" w:rsidRPr="00816BFB">
              <w:rPr>
                <w:spacing w:val="51"/>
                <w:szCs w:val="20"/>
                <w:highlight w:val="black"/>
                <w:fitText w:val="324" w:id="-1167880956"/>
              </w:rPr>
              <w:t>|||</w:t>
            </w:r>
            <w:r w:rsidR="00816BFB" w:rsidRPr="00816BFB">
              <w:rPr>
                <w:spacing w:val="1"/>
                <w:szCs w:val="20"/>
                <w:highlight w:val="black"/>
                <w:fitText w:val="324" w:id="-1167880956"/>
              </w:rPr>
              <w:t>|</w:t>
            </w:r>
            <w:r w:rsidR="00320E7F" w:rsidRPr="009610F2">
              <w:rPr>
                <w:szCs w:val="20"/>
                <w:vertAlign w:val="superscript"/>
              </w:rPr>
              <w:t>1</w:t>
            </w:r>
          </w:p>
        </w:tc>
        <w:tc>
          <w:tcPr>
            <w:tcW w:w="2935" w:type="dxa"/>
            <w:vAlign w:val="center"/>
          </w:tcPr>
          <w:p w14:paraId="7C62F6BC" w14:textId="53A5E2B2" w:rsidR="00FC171B" w:rsidRPr="009610F2" w:rsidRDefault="00FC171B" w:rsidP="009610F2">
            <w:pPr>
              <w:pStyle w:val="TableText0"/>
              <w:keepNext w:val="0"/>
              <w:rPr>
                <w:szCs w:val="20"/>
              </w:rPr>
            </w:pPr>
            <w:r w:rsidRPr="009610F2">
              <w:rPr>
                <w:szCs w:val="20"/>
              </w:rPr>
              <w:t xml:space="preserve">Based on 75.85% of prevalent patients at Stage IIIB/IV (at the time of listing) and inclusion of </w:t>
            </w:r>
            <w:r w:rsidR="00816BFB" w:rsidRPr="00816BFB">
              <w:rPr>
                <w:spacing w:val="56"/>
                <w:szCs w:val="20"/>
                <w:highlight w:val="black"/>
                <w:fitText w:val="340" w:id="-1167880955"/>
              </w:rPr>
              <w:t>|||</w:t>
            </w:r>
            <w:r w:rsidR="00816BFB" w:rsidRPr="00816BFB">
              <w:rPr>
                <w:spacing w:val="2"/>
                <w:szCs w:val="20"/>
                <w:highlight w:val="black"/>
                <w:fitText w:val="340" w:id="-1167880955"/>
              </w:rPr>
              <w:t>|</w:t>
            </w:r>
            <w:r w:rsidR="009610F2" w:rsidRPr="009610F2">
              <w:rPr>
                <w:szCs w:val="20"/>
                <w:vertAlign w:val="superscript"/>
              </w:rPr>
              <w:t>1</w:t>
            </w:r>
            <w:r w:rsidRPr="009610F2">
              <w:rPr>
                <w:szCs w:val="20"/>
              </w:rPr>
              <w:t xml:space="preserve"> grandfathered patients who were enrolled into an Early Familiarisation Program. </w:t>
            </w:r>
          </w:p>
        </w:tc>
        <w:tc>
          <w:tcPr>
            <w:tcW w:w="3260" w:type="dxa"/>
            <w:vAlign w:val="center"/>
          </w:tcPr>
          <w:p w14:paraId="45914CB2" w14:textId="77777777" w:rsidR="00FC171B" w:rsidRPr="009610F2" w:rsidRDefault="00FC171B" w:rsidP="009610F2">
            <w:pPr>
              <w:pStyle w:val="TableText0"/>
              <w:keepNext w:val="0"/>
              <w:rPr>
                <w:iCs/>
                <w:szCs w:val="20"/>
              </w:rPr>
            </w:pPr>
            <w:r w:rsidRPr="009610F2">
              <w:rPr>
                <w:iCs/>
                <w:szCs w:val="20"/>
              </w:rPr>
              <w:t xml:space="preserve">The same estimates for proportions of NSCLC (86.6%), NSQ/NOS histology (74.2%), PS of 0-2 (98.6%) and </w:t>
            </w:r>
            <w:r w:rsidRPr="009610F2">
              <w:rPr>
                <w:i/>
                <w:szCs w:val="20"/>
              </w:rPr>
              <w:t>RET</w:t>
            </w:r>
            <w:r w:rsidRPr="009610F2">
              <w:rPr>
                <w:iCs/>
                <w:szCs w:val="20"/>
              </w:rPr>
              <w:t xml:space="preserve"> fusion prevalence of 1.5% were utilised to estimate the number of previously treated eligible patients. These estimates may not be applicable as prevalent patients at Stage IIIB/IV are unlikely to have a PS of 0-2. Further, as discussed above, the approach assumes that all incident cases in the two years prior to listing would be eligible for treatment which is not consistent with the OS of 2 years for Stage IIIB/IV NSCLC patients. </w:t>
            </w:r>
          </w:p>
          <w:p w14:paraId="7BA09045" w14:textId="229C0E92" w:rsidR="000C152A" w:rsidRPr="009610F2" w:rsidRDefault="000C152A" w:rsidP="009610F2">
            <w:pPr>
              <w:pStyle w:val="TableText0"/>
              <w:keepNext w:val="0"/>
              <w:rPr>
                <w:iCs/>
                <w:szCs w:val="20"/>
              </w:rPr>
            </w:pPr>
            <w:r w:rsidRPr="009610F2">
              <w:rPr>
                <w:rFonts w:eastAsia="MS Gothic" w:cs="Times New Roman"/>
                <w:iCs/>
                <w:szCs w:val="20"/>
              </w:rPr>
              <w:t>DUSC considered that a proportion of these patients were likely to be deceased or no longer fit for treatment and that this was overestimated. DUSC considered the proportion of prevalent patients estimated from the incident patients for the prior two years who would be eligible for treatment may be between 70 - 80%.</w:t>
            </w:r>
          </w:p>
        </w:tc>
      </w:tr>
      <w:tr w:rsidR="00FC171B" w:rsidRPr="008D56E6" w14:paraId="7EB255E8" w14:textId="77777777" w:rsidTr="00816BFB">
        <w:trPr>
          <w:trHeight w:val="227"/>
        </w:trPr>
        <w:tc>
          <w:tcPr>
            <w:tcW w:w="9180" w:type="dxa"/>
            <w:gridSpan w:val="4"/>
            <w:vAlign w:val="center"/>
          </w:tcPr>
          <w:p w14:paraId="7144FD32" w14:textId="77777777" w:rsidR="00FC171B" w:rsidRPr="009610F2" w:rsidRDefault="00FC171B" w:rsidP="009610F2">
            <w:pPr>
              <w:pStyle w:val="TableText0"/>
              <w:keepNext w:val="0"/>
              <w:rPr>
                <w:b/>
                <w:iCs/>
                <w:szCs w:val="20"/>
              </w:rPr>
            </w:pPr>
            <w:r w:rsidRPr="009610F2">
              <w:rPr>
                <w:b/>
                <w:iCs/>
                <w:szCs w:val="20"/>
              </w:rPr>
              <w:t>Treatment utilisation</w:t>
            </w:r>
          </w:p>
        </w:tc>
      </w:tr>
      <w:tr w:rsidR="00FC171B" w:rsidRPr="008D56E6" w14:paraId="77CDC8C4" w14:textId="77777777" w:rsidTr="00816BFB">
        <w:trPr>
          <w:trHeight w:val="2721"/>
        </w:trPr>
        <w:tc>
          <w:tcPr>
            <w:tcW w:w="1526" w:type="dxa"/>
            <w:vAlign w:val="center"/>
          </w:tcPr>
          <w:p w14:paraId="1A96911B" w14:textId="77777777" w:rsidR="00FC171B" w:rsidRPr="009610F2" w:rsidRDefault="00FC171B" w:rsidP="009610F2">
            <w:pPr>
              <w:pStyle w:val="TableText0"/>
              <w:keepNext w:val="0"/>
              <w:rPr>
                <w:szCs w:val="20"/>
              </w:rPr>
            </w:pPr>
            <w:r w:rsidRPr="009610F2">
              <w:rPr>
                <w:szCs w:val="20"/>
              </w:rPr>
              <w:lastRenderedPageBreak/>
              <w:t>Uptake rate</w:t>
            </w:r>
          </w:p>
        </w:tc>
        <w:tc>
          <w:tcPr>
            <w:tcW w:w="1459" w:type="dxa"/>
            <w:vAlign w:val="center"/>
          </w:tcPr>
          <w:p w14:paraId="1D497AF9" w14:textId="77777777" w:rsidR="00FC171B" w:rsidRPr="009610F2" w:rsidRDefault="00FC171B" w:rsidP="009610F2">
            <w:pPr>
              <w:pStyle w:val="TableText0"/>
              <w:keepNext w:val="0"/>
              <w:rPr>
                <w:szCs w:val="20"/>
              </w:rPr>
            </w:pPr>
            <w:r w:rsidRPr="009610F2">
              <w:rPr>
                <w:szCs w:val="20"/>
              </w:rPr>
              <w:t>Yr 1-6: 100%</w:t>
            </w:r>
          </w:p>
        </w:tc>
        <w:tc>
          <w:tcPr>
            <w:tcW w:w="2935" w:type="dxa"/>
            <w:vAlign w:val="center"/>
          </w:tcPr>
          <w:p w14:paraId="26FF64D8" w14:textId="77777777" w:rsidR="00FC171B" w:rsidRPr="009610F2" w:rsidRDefault="00FC171B" w:rsidP="009610F2">
            <w:pPr>
              <w:pStyle w:val="TableText0"/>
              <w:keepNext w:val="0"/>
              <w:rPr>
                <w:szCs w:val="20"/>
              </w:rPr>
            </w:pPr>
            <w:r w:rsidRPr="009610F2">
              <w:rPr>
                <w:szCs w:val="20"/>
              </w:rPr>
              <w:t>Assumption</w:t>
            </w:r>
          </w:p>
        </w:tc>
        <w:tc>
          <w:tcPr>
            <w:tcW w:w="3260" w:type="dxa"/>
            <w:vAlign w:val="center"/>
          </w:tcPr>
          <w:p w14:paraId="5BBFC902" w14:textId="77777777" w:rsidR="00FC171B" w:rsidRPr="009610F2" w:rsidRDefault="00FC171B" w:rsidP="009610F2">
            <w:pPr>
              <w:pStyle w:val="TableText0"/>
              <w:keepNext w:val="0"/>
              <w:rPr>
                <w:iCs/>
                <w:szCs w:val="20"/>
              </w:rPr>
            </w:pPr>
            <w:r w:rsidRPr="009610F2">
              <w:rPr>
                <w:iCs/>
                <w:szCs w:val="20"/>
              </w:rPr>
              <w:t xml:space="preserve">Selpercatinib is an oral form of therapy and thus, has a more convenient mode of administration when compared to pembrolizumab, which is administered intravenously. Further, since selpercatinib is a targeted therapy, clinicians may be more likely to prescribe it over immunotherapy. This was reasonable. </w:t>
            </w:r>
          </w:p>
          <w:p w14:paraId="2ECC89C3" w14:textId="2DC7E8CB" w:rsidR="000C152A" w:rsidRPr="009610F2" w:rsidRDefault="000C152A" w:rsidP="009610F2">
            <w:pPr>
              <w:pStyle w:val="TableText0"/>
              <w:keepNext w:val="0"/>
              <w:rPr>
                <w:iCs/>
                <w:szCs w:val="20"/>
              </w:rPr>
            </w:pPr>
            <w:r w:rsidRPr="009610F2">
              <w:rPr>
                <w:rFonts w:eastAsia="MS Gothic" w:cs="Times New Roman"/>
                <w:iCs/>
                <w:szCs w:val="20"/>
              </w:rPr>
              <w:t xml:space="preserve">DUSC noted the submission estimated high uptake of 100% in eligible </w:t>
            </w:r>
            <w:r w:rsidR="00FB229F" w:rsidRPr="009610F2">
              <w:rPr>
                <w:rFonts w:eastAsia="MS Gothic" w:cs="Times New Roman"/>
                <w:iCs/>
                <w:szCs w:val="20"/>
              </w:rPr>
              <w:t>patients but</w:t>
            </w:r>
            <w:r w:rsidRPr="009610F2">
              <w:rPr>
                <w:rFonts w:eastAsia="MS Gothic" w:cs="Times New Roman"/>
                <w:iCs/>
                <w:szCs w:val="20"/>
              </w:rPr>
              <w:t xml:space="preserve"> agreed that uptake will likely be close to 100% and that this was reasonable.</w:t>
            </w:r>
          </w:p>
        </w:tc>
      </w:tr>
      <w:tr w:rsidR="005A260D" w:rsidRPr="005A260D" w14:paraId="6E03714A" w14:textId="77777777" w:rsidTr="00816BFB">
        <w:trPr>
          <w:trHeight w:val="6406"/>
        </w:trPr>
        <w:tc>
          <w:tcPr>
            <w:tcW w:w="1526" w:type="dxa"/>
            <w:vAlign w:val="center"/>
          </w:tcPr>
          <w:p w14:paraId="2C9BF99F" w14:textId="77777777" w:rsidR="00FC171B" w:rsidRPr="009610F2" w:rsidRDefault="00FC171B" w:rsidP="009610F2">
            <w:pPr>
              <w:pStyle w:val="TableText0"/>
              <w:keepNext w:val="0"/>
              <w:rPr>
                <w:szCs w:val="20"/>
              </w:rPr>
            </w:pPr>
            <w:r w:rsidRPr="009610F2">
              <w:rPr>
                <w:szCs w:val="20"/>
              </w:rPr>
              <w:t>Number treated</w:t>
            </w:r>
          </w:p>
        </w:tc>
        <w:tc>
          <w:tcPr>
            <w:tcW w:w="1459" w:type="dxa"/>
            <w:vAlign w:val="center"/>
          </w:tcPr>
          <w:p w14:paraId="76C40A52" w14:textId="36645C9A" w:rsidR="00FC171B" w:rsidRPr="00816BFB" w:rsidRDefault="00FC171B" w:rsidP="009610F2">
            <w:pPr>
              <w:pStyle w:val="TableText0"/>
              <w:keepNext w:val="0"/>
              <w:rPr>
                <w:szCs w:val="20"/>
                <w:vertAlign w:val="superscript"/>
              </w:rPr>
            </w:pPr>
            <w:r w:rsidRPr="009610F2">
              <w:rPr>
                <w:szCs w:val="20"/>
              </w:rPr>
              <w:t xml:space="preserve">Yr 1: </w:t>
            </w:r>
            <w:r w:rsidR="00816BFB" w:rsidRPr="00816BFB">
              <w:rPr>
                <w:spacing w:val="51"/>
                <w:szCs w:val="20"/>
                <w:highlight w:val="black"/>
                <w:fitText w:val="324" w:id="-1167880954"/>
              </w:rPr>
              <w:t>|||</w:t>
            </w:r>
            <w:r w:rsidR="00816BFB" w:rsidRPr="00816BFB">
              <w:rPr>
                <w:spacing w:val="1"/>
                <w:szCs w:val="20"/>
                <w:highlight w:val="black"/>
                <w:fitText w:val="324" w:id="-1167880954"/>
              </w:rPr>
              <w:t>|</w:t>
            </w:r>
            <w:r w:rsidR="00E528C0" w:rsidRPr="009610F2">
              <w:rPr>
                <w:szCs w:val="20"/>
                <w:vertAlign w:val="superscript"/>
              </w:rPr>
              <w:t>1</w:t>
            </w:r>
          </w:p>
          <w:p w14:paraId="59CCE984" w14:textId="32E1F94F" w:rsidR="00FC171B" w:rsidRPr="009610F2" w:rsidRDefault="00FC171B" w:rsidP="009610F2">
            <w:pPr>
              <w:pStyle w:val="TableText0"/>
              <w:keepNext w:val="0"/>
              <w:rPr>
                <w:szCs w:val="20"/>
              </w:rPr>
            </w:pPr>
            <w:r w:rsidRPr="009610F2">
              <w:rPr>
                <w:szCs w:val="20"/>
              </w:rPr>
              <w:t xml:space="preserve">Yr 2: </w:t>
            </w:r>
            <w:r w:rsidR="00816BFB" w:rsidRPr="00816BFB">
              <w:rPr>
                <w:spacing w:val="51"/>
                <w:szCs w:val="20"/>
                <w:highlight w:val="black"/>
                <w:fitText w:val="324" w:id="-1167880953"/>
              </w:rPr>
              <w:t>|||</w:t>
            </w:r>
            <w:r w:rsidR="00816BFB" w:rsidRPr="00816BFB">
              <w:rPr>
                <w:spacing w:val="1"/>
                <w:szCs w:val="20"/>
                <w:highlight w:val="black"/>
                <w:fitText w:val="324" w:id="-1167880953"/>
              </w:rPr>
              <w:t>|</w:t>
            </w:r>
            <w:r w:rsidR="009610F2" w:rsidRPr="009610F2">
              <w:rPr>
                <w:szCs w:val="20"/>
                <w:vertAlign w:val="superscript"/>
              </w:rPr>
              <w:t>1</w:t>
            </w:r>
          </w:p>
          <w:p w14:paraId="2527655D" w14:textId="72A5B1B0" w:rsidR="00FC171B" w:rsidRPr="009610F2" w:rsidRDefault="00FC171B" w:rsidP="009610F2">
            <w:pPr>
              <w:pStyle w:val="TableText0"/>
              <w:keepNext w:val="0"/>
              <w:rPr>
                <w:szCs w:val="20"/>
              </w:rPr>
            </w:pPr>
            <w:r w:rsidRPr="009610F2">
              <w:rPr>
                <w:szCs w:val="20"/>
              </w:rPr>
              <w:t xml:space="preserve">Yr 3: </w:t>
            </w:r>
            <w:r w:rsidR="00816BFB" w:rsidRPr="00816BFB">
              <w:rPr>
                <w:spacing w:val="51"/>
                <w:szCs w:val="20"/>
                <w:highlight w:val="black"/>
                <w:fitText w:val="324" w:id="-1167880952"/>
              </w:rPr>
              <w:t>|||</w:t>
            </w:r>
            <w:r w:rsidR="00816BFB" w:rsidRPr="00816BFB">
              <w:rPr>
                <w:spacing w:val="1"/>
                <w:szCs w:val="20"/>
                <w:highlight w:val="black"/>
                <w:fitText w:val="324" w:id="-1167880952"/>
              </w:rPr>
              <w:t>|</w:t>
            </w:r>
            <w:r w:rsidR="009610F2" w:rsidRPr="009610F2">
              <w:rPr>
                <w:szCs w:val="20"/>
                <w:vertAlign w:val="superscript"/>
              </w:rPr>
              <w:t>1</w:t>
            </w:r>
          </w:p>
          <w:p w14:paraId="736876A6" w14:textId="31A9BBD6" w:rsidR="00FC171B" w:rsidRPr="009610F2" w:rsidRDefault="00FC171B" w:rsidP="009610F2">
            <w:pPr>
              <w:pStyle w:val="TableText0"/>
              <w:keepNext w:val="0"/>
              <w:rPr>
                <w:szCs w:val="20"/>
              </w:rPr>
            </w:pPr>
            <w:r w:rsidRPr="009610F2">
              <w:rPr>
                <w:szCs w:val="20"/>
              </w:rPr>
              <w:t xml:space="preserve">Yr 4: </w:t>
            </w:r>
            <w:r w:rsidR="00816BFB" w:rsidRPr="00816BFB">
              <w:rPr>
                <w:spacing w:val="51"/>
                <w:szCs w:val="20"/>
                <w:highlight w:val="black"/>
                <w:fitText w:val="324" w:id="-1167880951"/>
              </w:rPr>
              <w:t>|||</w:t>
            </w:r>
            <w:r w:rsidR="00816BFB" w:rsidRPr="00816BFB">
              <w:rPr>
                <w:spacing w:val="1"/>
                <w:szCs w:val="20"/>
                <w:highlight w:val="black"/>
                <w:fitText w:val="324" w:id="-1167880951"/>
              </w:rPr>
              <w:t>|</w:t>
            </w:r>
            <w:r w:rsidR="009610F2" w:rsidRPr="009610F2">
              <w:rPr>
                <w:szCs w:val="20"/>
                <w:vertAlign w:val="superscript"/>
              </w:rPr>
              <w:t>1</w:t>
            </w:r>
          </w:p>
          <w:p w14:paraId="099CC4A8" w14:textId="5B3DB447" w:rsidR="00FC171B" w:rsidRPr="009610F2" w:rsidRDefault="00FC171B" w:rsidP="009610F2">
            <w:pPr>
              <w:pStyle w:val="TableText0"/>
              <w:keepNext w:val="0"/>
              <w:rPr>
                <w:szCs w:val="20"/>
              </w:rPr>
            </w:pPr>
            <w:r w:rsidRPr="009610F2">
              <w:rPr>
                <w:szCs w:val="20"/>
              </w:rPr>
              <w:t xml:space="preserve">Yr 5: </w:t>
            </w:r>
            <w:r w:rsidR="00816BFB" w:rsidRPr="00816BFB">
              <w:rPr>
                <w:spacing w:val="51"/>
                <w:szCs w:val="20"/>
                <w:highlight w:val="black"/>
                <w:fitText w:val="324" w:id="-1167880950"/>
              </w:rPr>
              <w:t>|||</w:t>
            </w:r>
            <w:r w:rsidR="00816BFB" w:rsidRPr="00816BFB">
              <w:rPr>
                <w:spacing w:val="1"/>
                <w:szCs w:val="20"/>
                <w:highlight w:val="black"/>
                <w:fitText w:val="324" w:id="-1167880950"/>
              </w:rPr>
              <w:t>|</w:t>
            </w:r>
            <w:r w:rsidR="009610F2" w:rsidRPr="009610F2">
              <w:rPr>
                <w:szCs w:val="20"/>
                <w:vertAlign w:val="superscript"/>
              </w:rPr>
              <w:t>1</w:t>
            </w:r>
          </w:p>
          <w:p w14:paraId="5E31085E" w14:textId="39FDC84A" w:rsidR="00FC171B" w:rsidRPr="009610F2" w:rsidRDefault="00FC171B" w:rsidP="009610F2">
            <w:pPr>
              <w:pStyle w:val="TableText0"/>
              <w:keepNext w:val="0"/>
              <w:rPr>
                <w:szCs w:val="20"/>
              </w:rPr>
            </w:pPr>
            <w:r w:rsidRPr="009610F2">
              <w:rPr>
                <w:szCs w:val="20"/>
              </w:rPr>
              <w:t xml:space="preserve">Yr 6: </w:t>
            </w:r>
            <w:r w:rsidR="00816BFB" w:rsidRPr="00816BFB">
              <w:rPr>
                <w:spacing w:val="51"/>
                <w:szCs w:val="20"/>
                <w:highlight w:val="black"/>
                <w:fitText w:val="324" w:id="-1167880949"/>
              </w:rPr>
              <w:t>|||</w:t>
            </w:r>
            <w:r w:rsidR="00816BFB" w:rsidRPr="00816BFB">
              <w:rPr>
                <w:spacing w:val="1"/>
                <w:szCs w:val="20"/>
                <w:highlight w:val="black"/>
                <w:fitText w:val="324" w:id="-1167880949"/>
              </w:rPr>
              <w:t>|</w:t>
            </w:r>
            <w:r w:rsidR="009610F2" w:rsidRPr="009610F2">
              <w:rPr>
                <w:szCs w:val="20"/>
                <w:vertAlign w:val="superscript"/>
              </w:rPr>
              <w:t>1</w:t>
            </w:r>
          </w:p>
        </w:tc>
        <w:tc>
          <w:tcPr>
            <w:tcW w:w="2935" w:type="dxa"/>
            <w:vAlign w:val="center"/>
          </w:tcPr>
          <w:p w14:paraId="1A1AE5DA" w14:textId="47312956" w:rsidR="00FC171B" w:rsidRPr="009610F2" w:rsidRDefault="00FC171B" w:rsidP="009610F2">
            <w:pPr>
              <w:pStyle w:val="TableText0"/>
              <w:keepNext w:val="0"/>
              <w:rPr>
                <w:szCs w:val="20"/>
              </w:rPr>
            </w:pPr>
            <w:r w:rsidRPr="009610F2">
              <w:rPr>
                <w:szCs w:val="20"/>
              </w:rPr>
              <w:t>Based on a treatment duration of 34.71 months for all eligible patients and calculated as a sum of prevalent and incident patients for each year</w:t>
            </w:r>
            <w:r w:rsidR="00FB229F" w:rsidRPr="009610F2">
              <w:rPr>
                <w:szCs w:val="20"/>
              </w:rPr>
              <w:t xml:space="preserve">. </w:t>
            </w:r>
          </w:p>
        </w:tc>
        <w:tc>
          <w:tcPr>
            <w:tcW w:w="3260" w:type="dxa"/>
            <w:vAlign w:val="center"/>
          </w:tcPr>
          <w:p w14:paraId="7B49C537" w14:textId="7D1A77A1" w:rsidR="00FC171B" w:rsidRPr="009610F2" w:rsidRDefault="00FC171B" w:rsidP="009610F2">
            <w:pPr>
              <w:pStyle w:val="TableText0"/>
              <w:keepNext w:val="0"/>
              <w:rPr>
                <w:iCs/>
                <w:szCs w:val="20"/>
              </w:rPr>
            </w:pPr>
            <w:r w:rsidRPr="009610F2">
              <w:rPr>
                <w:iCs/>
                <w:szCs w:val="20"/>
              </w:rPr>
              <w:t xml:space="preserve">The treatment duration was calculated by applying a range of standard parametric distributions to extrapolate the TTD data from the LIBRETTO-001 trial. The treatment duration was assumed to be the same for treatment-naïve and previously treated patients as both cohorts had similar PFS in the trial. </w:t>
            </w:r>
            <w:r w:rsidR="00A94A3C" w:rsidRPr="009610F2">
              <w:rPr>
                <w:iCs/>
                <w:szCs w:val="20"/>
              </w:rPr>
              <w:t xml:space="preserve">The evaluation considered this was reasonable. </w:t>
            </w:r>
          </w:p>
          <w:p w14:paraId="1CB4D5FF" w14:textId="5633696E" w:rsidR="000C152A" w:rsidRPr="009610F2" w:rsidRDefault="000C152A" w:rsidP="009610F2">
            <w:pPr>
              <w:jc w:val="left"/>
              <w:rPr>
                <w:rFonts w:ascii="Arial Narrow" w:eastAsia="MS Gothic" w:hAnsi="Arial Narrow" w:cs="Times New Roman"/>
                <w:bCs/>
                <w:iCs/>
                <w:sz w:val="20"/>
                <w:szCs w:val="20"/>
                <w:highlight w:val="cyan"/>
              </w:rPr>
            </w:pPr>
            <w:r w:rsidRPr="009610F2">
              <w:rPr>
                <w:rFonts w:ascii="Arial Narrow" w:eastAsia="MS Gothic" w:hAnsi="Arial Narrow" w:cs="Times New Roman"/>
                <w:bCs/>
                <w:iCs/>
                <w:sz w:val="20"/>
                <w:szCs w:val="20"/>
              </w:rPr>
              <w:t>DUSC noted that the proposed PBS restriction states that patients must not develop disease progression while receiving PBS-subsidised treatment with this drug for this condition, however in the trial 3</w:t>
            </w:r>
            <w:r w:rsidR="00CE456B" w:rsidRPr="009610F2">
              <w:rPr>
                <w:rFonts w:ascii="Arial Narrow" w:eastAsia="MS Gothic" w:hAnsi="Arial Narrow" w:cs="Times New Roman"/>
                <w:bCs/>
                <w:iCs/>
                <w:sz w:val="20"/>
                <w:szCs w:val="20"/>
              </w:rPr>
              <w:t>1.9</w:t>
            </w:r>
            <w:r w:rsidRPr="009610F2">
              <w:rPr>
                <w:rFonts w:ascii="Arial Narrow" w:eastAsia="MS Gothic" w:hAnsi="Arial Narrow" w:cs="Times New Roman"/>
                <w:bCs/>
                <w:iCs/>
                <w:sz w:val="20"/>
                <w:szCs w:val="20"/>
              </w:rPr>
              <w:t xml:space="preserve">% of treatment naïve patients were treated beyond progression on the basis of continuous clinical benefit per the investigator with sponsor approval. DUSC commented that it may be more appropriate to apply the modelled PFS from the trial, of 32.1 months, but that more mature data from the trial may prove this to be overestimated. </w:t>
            </w:r>
          </w:p>
          <w:p w14:paraId="14F09EA9" w14:textId="608248F0" w:rsidR="000C152A" w:rsidRPr="009610F2" w:rsidRDefault="000C152A" w:rsidP="009610F2">
            <w:pPr>
              <w:pStyle w:val="TableText0"/>
              <w:keepNext w:val="0"/>
              <w:rPr>
                <w:iCs/>
                <w:szCs w:val="20"/>
              </w:rPr>
            </w:pPr>
            <w:r w:rsidRPr="009610F2">
              <w:rPr>
                <w:rFonts w:eastAsia="MS Gothic" w:cs="Times New Roman"/>
                <w:iCs/>
                <w:szCs w:val="20"/>
              </w:rPr>
              <w:t>DUSC also considered that prevalent patients, particularly grandfathered patients, should have a shorter duration of treatment applied.</w:t>
            </w:r>
          </w:p>
        </w:tc>
      </w:tr>
      <w:tr w:rsidR="00FC171B" w:rsidRPr="008D56E6" w14:paraId="6AFD089C" w14:textId="77777777" w:rsidTr="00816BFB">
        <w:trPr>
          <w:trHeight w:val="1587"/>
        </w:trPr>
        <w:tc>
          <w:tcPr>
            <w:tcW w:w="1526" w:type="dxa"/>
            <w:vAlign w:val="center"/>
          </w:tcPr>
          <w:p w14:paraId="151E110E" w14:textId="77777777" w:rsidR="00FC171B" w:rsidRPr="009610F2" w:rsidRDefault="00FC171B" w:rsidP="009610F2">
            <w:pPr>
              <w:pStyle w:val="TableText0"/>
              <w:keepNext w:val="0"/>
              <w:rPr>
                <w:szCs w:val="20"/>
              </w:rPr>
            </w:pPr>
            <w:r w:rsidRPr="009610F2">
              <w:rPr>
                <w:szCs w:val="20"/>
              </w:rPr>
              <w:t>Scripts dispensed</w:t>
            </w:r>
          </w:p>
        </w:tc>
        <w:tc>
          <w:tcPr>
            <w:tcW w:w="1459" w:type="dxa"/>
            <w:vAlign w:val="center"/>
          </w:tcPr>
          <w:p w14:paraId="3D811297" w14:textId="51138E33" w:rsidR="00FC171B" w:rsidRPr="00816BFB" w:rsidRDefault="00FC171B" w:rsidP="009610F2">
            <w:pPr>
              <w:pStyle w:val="TableText0"/>
              <w:keepNext w:val="0"/>
              <w:rPr>
                <w:szCs w:val="20"/>
                <w:vertAlign w:val="superscript"/>
              </w:rPr>
            </w:pPr>
            <w:r w:rsidRPr="009610F2">
              <w:rPr>
                <w:szCs w:val="20"/>
              </w:rPr>
              <w:t xml:space="preserve">Yr 1: </w:t>
            </w:r>
            <w:r w:rsidR="00816BFB" w:rsidRPr="00816BFB">
              <w:rPr>
                <w:spacing w:val="51"/>
                <w:szCs w:val="20"/>
                <w:highlight w:val="black"/>
                <w:fitText w:val="324" w:id="-1167880948"/>
              </w:rPr>
              <w:t>|||</w:t>
            </w:r>
            <w:r w:rsidR="00816BFB" w:rsidRPr="00816BFB">
              <w:rPr>
                <w:spacing w:val="1"/>
                <w:szCs w:val="20"/>
                <w:highlight w:val="black"/>
                <w:fitText w:val="324" w:id="-1167880948"/>
              </w:rPr>
              <w:t>|</w:t>
            </w:r>
            <w:r w:rsidR="009610F2" w:rsidRPr="009610F2">
              <w:rPr>
                <w:szCs w:val="20"/>
                <w:vertAlign w:val="superscript"/>
              </w:rPr>
              <w:t>2</w:t>
            </w:r>
          </w:p>
          <w:p w14:paraId="1BB2EFCB" w14:textId="3D3A7111" w:rsidR="00FC171B" w:rsidRPr="00816BFB" w:rsidRDefault="00FC171B" w:rsidP="009610F2">
            <w:pPr>
              <w:pStyle w:val="TableText0"/>
              <w:keepNext w:val="0"/>
              <w:rPr>
                <w:szCs w:val="20"/>
                <w:vertAlign w:val="superscript"/>
              </w:rPr>
            </w:pPr>
            <w:r w:rsidRPr="009610F2">
              <w:rPr>
                <w:szCs w:val="20"/>
              </w:rPr>
              <w:t xml:space="preserve">Yr 2: </w:t>
            </w:r>
            <w:r w:rsidR="00816BFB" w:rsidRPr="00816BFB">
              <w:rPr>
                <w:spacing w:val="51"/>
                <w:szCs w:val="20"/>
                <w:highlight w:val="black"/>
                <w:fitText w:val="324" w:id="-1167880947"/>
              </w:rPr>
              <w:t>|||</w:t>
            </w:r>
            <w:r w:rsidR="00816BFB" w:rsidRPr="00816BFB">
              <w:rPr>
                <w:spacing w:val="1"/>
                <w:szCs w:val="20"/>
                <w:highlight w:val="black"/>
                <w:fitText w:val="324" w:id="-1167880947"/>
              </w:rPr>
              <w:t>|</w:t>
            </w:r>
            <w:r w:rsidR="009610F2" w:rsidRPr="009610F2">
              <w:rPr>
                <w:szCs w:val="20"/>
                <w:vertAlign w:val="superscript"/>
              </w:rPr>
              <w:t>3</w:t>
            </w:r>
          </w:p>
          <w:p w14:paraId="3AA5F66B" w14:textId="422B2525" w:rsidR="00FC171B" w:rsidRPr="009610F2" w:rsidRDefault="00FC171B" w:rsidP="009610F2">
            <w:pPr>
              <w:pStyle w:val="TableText0"/>
              <w:keepNext w:val="0"/>
              <w:rPr>
                <w:szCs w:val="20"/>
              </w:rPr>
            </w:pPr>
            <w:r w:rsidRPr="009610F2">
              <w:rPr>
                <w:szCs w:val="20"/>
              </w:rPr>
              <w:t xml:space="preserve">Yr 3: </w:t>
            </w:r>
            <w:r w:rsidR="00816BFB" w:rsidRPr="00816BFB">
              <w:rPr>
                <w:spacing w:val="51"/>
                <w:szCs w:val="20"/>
                <w:highlight w:val="black"/>
                <w:fitText w:val="324" w:id="-1167880946"/>
              </w:rPr>
              <w:t>|||</w:t>
            </w:r>
            <w:r w:rsidR="00816BFB" w:rsidRPr="00816BFB">
              <w:rPr>
                <w:spacing w:val="1"/>
                <w:szCs w:val="20"/>
                <w:highlight w:val="black"/>
                <w:fitText w:val="324" w:id="-1167880946"/>
              </w:rPr>
              <w:t>|</w:t>
            </w:r>
            <w:r w:rsidR="009610F2" w:rsidRPr="009610F2">
              <w:rPr>
                <w:szCs w:val="20"/>
                <w:vertAlign w:val="superscript"/>
              </w:rPr>
              <w:t>3</w:t>
            </w:r>
          </w:p>
          <w:p w14:paraId="0BEB3F24" w14:textId="67EBF55F" w:rsidR="00FC171B" w:rsidRPr="009610F2" w:rsidRDefault="00FC171B" w:rsidP="009610F2">
            <w:pPr>
              <w:pStyle w:val="TableText0"/>
              <w:keepNext w:val="0"/>
              <w:rPr>
                <w:szCs w:val="20"/>
              </w:rPr>
            </w:pPr>
            <w:r w:rsidRPr="009610F2">
              <w:rPr>
                <w:szCs w:val="20"/>
              </w:rPr>
              <w:t xml:space="preserve">Yr 4: </w:t>
            </w:r>
            <w:r w:rsidR="00816BFB" w:rsidRPr="00816BFB">
              <w:rPr>
                <w:spacing w:val="51"/>
                <w:szCs w:val="20"/>
                <w:highlight w:val="black"/>
                <w:fitText w:val="324" w:id="-1167880945"/>
              </w:rPr>
              <w:t>|||</w:t>
            </w:r>
            <w:r w:rsidR="00816BFB" w:rsidRPr="00816BFB">
              <w:rPr>
                <w:spacing w:val="1"/>
                <w:szCs w:val="20"/>
                <w:highlight w:val="black"/>
                <w:fitText w:val="324" w:id="-1167880945"/>
              </w:rPr>
              <w:t>|</w:t>
            </w:r>
            <w:r w:rsidR="009610F2" w:rsidRPr="009610F2">
              <w:rPr>
                <w:szCs w:val="20"/>
                <w:vertAlign w:val="superscript"/>
              </w:rPr>
              <w:t>2</w:t>
            </w:r>
          </w:p>
          <w:p w14:paraId="5AE1FA81" w14:textId="62AF50EF" w:rsidR="00FC171B" w:rsidRPr="009610F2" w:rsidRDefault="00FC171B" w:rsidP="009610F2">
            <w:pPr>
              <w:pStyle w:val="TableText0"/>
              <w:keepNext w:val="0"/>
              <w:rPr>
                <w:szCs w:val="20"/>
              </w:rPr>
            </w:pPr>
            <w:r w:rsidRPr="009610F2">
              <w:rPr>
                <w:szCs w:val="20"/>
              </w:rPr>
              <w:t xml:space="preserve">Yr 5: </w:t>
            </w:r>
            <w:r w:rsidR="00816BFB" w:rsidRPr="00816BFB">
              <w:rPr>
                <w:spacing w:val="51"/>
                <w:szCs w:val="20"/>
                <w:highlight w:val="black"/>
                <w:fitText w:val="324" w:id="-1167880944"/>
              </w:rPr>
              <w:t>|||</w:t>
            </w:r>
            <w:r w:rsidR="00816BFB" w:rsidRPr="00816BFB">
              <w:rPr>
                <w:spacing w:val="1"/>
                <w:szCs w:val="20"/>
                <w:highlight w:val="black"/>
                <w:fitText w:val="324" w:id="-1167880944"/>
              </w:rPr>
              <w:t>|</w:t>
            </w:r>
            <w:r w:rsidR="009610F2" w:rsidRPr="009610F2">
              <w:rPr>
                <w:szCs w:val="20"/>
                <w:vertAlign w:val="superscript"/>
              </w:rPr>
              <w:t>2</w:t>
            </w:r>
          </w:p>
          <w:p w14:paraId="2A540A12" w14:textId="081969A1" w:rsidR="00FC171B" w:rsidRPr="009610F2" w:rsidRDefault="00FC171B" w:rsidP="009610F2">
            <w:pPr>
              <w:pStyle w:val="TableText0"/>
              <w:keepNext w:val="0"/>
              <w:rPr>
                <w:szCs w:val="20"/>
              </w:rPr>
            </w:pPr>
            <w:r w:rsidRPr="009610F2">
              <w:rPr>
                <w:szCs w:val="20"/>
              </w:rPr>
              <w:t xml:space="preserve">Yr 6: </w:t>
            </w:r>
            <w:r w:rsidR="00816BFB" w:rsidRPr="00816BFB">
              <w:rPr>
                <w:spacing w:val="51"/>
                <w:szCs w:val="20"/>
                <w:highlight w:val="black"/>
                <w:fitText w:val="324" w:id="-1167880960"/>
              </w:rPr>
              <w:t>|||</w:t>
            </w:r>
            <w:r w:rsidR="00816BFB" w:rsidRPr="00816BFB">
              <w:rPr>
                <w:spacing w:val="1"/>
                <w:szCs w:val="20"/>
                <w:highlight w:val="black"/>
                <w:fitText w:val="324" w:id="-1167880960"/>
              </w:rPr>
              <w:t>|</w:t>
            </w:r>
            <w:r w:rsidR="009610F2" w:rsidRPr="009610F2">
              <w:rPr>
                <w:szCs w:val="20"/>
                <w:vertAlign w:val="superscript"/>
              </w:rPr>
              <w:t>2</w:t>
            </w:r>
          </w:p>
        </w:tc>
        <w:tc>
          <w:tcPr>
            <w:tcW w:w="2935" w:type="dxa"/>
            <w:vAlign w:val="center"/>
          </w:tcPr>
          <w:p w14:paraId="75131AE5" w14:textId="291CFA96" w:rsidR="00FC171B" w:rsidRPr="009610F2" w:rsidRDefault="00FC171B" w:rsidP="009610F2">
            <w:pPr>
              <w:pStyle w:val="TableText0"/>
              <w:keepNext w:val="0"/>
              <w:rPr>
                <w:szCs w:val="20"/>
              </w:rPr>
            </w:pPr>
            <w:r w:rsidRPr="009610F2">
              <w:rPr>
                <w:szCs w:val="20"/>
              </w:rPr>
              <w:t xml:space="preserve">Based on 13.04 </w:t>
            </w:r>
            <w:r w:rsidR="00166045" w:rsidRPr="009610F2">
              <w:rPr>
                <w:szCs w:val="20"/>
              </w:rPr>
              <w:t>prescription</w:t>
            </w:r>
            <w:r w:rsidRPr="009610F2">
              <w:rPr>
                <w:szCs w:val="20"/>
              </w:rPr>
              <w:t xml:space="preserve">s per patient per year and patient population splits of 53%, 43% and 19% for the following dose/size packs: 80 mg (112 capsules pack), 80 mg (56 capsules pack) and 40 mg (56 capsules pack)  </w:t>
            </w:r>
          </w:p>
        </w:tc>
        <w:tc>
          <w:tcPr>
            <w:tcW w:w="3260" w:type="dxa"/>
            <w:vAlign w:val="center"/>
          </w:tcPr>
          <w:p w14:paraId="78FBB288" w14:textId="1DA515E1" w:rsidR="000C152A" w:rsidRPr="009610F2" w:rsidRDefault="000C152A" w:rsidP="009610F2">
            <w:pPr>
              <w:pStyle w:val="TableText0"/>
              <w:keepNext w:val="0"/>
              <w:rPr>
                <w:iCs/>
                <w:szCs w:val="20"/>
              </w:rPr>
            </w:pPr>
            <w:r w:rsidRPr="009610F2">
              <w:rPr>
                <w:rFonts w:eastAsia="MS Gothic" w:cs="Times New Roman"/>
                <w:iCs/>
                <w:szCs w:val="20"/>
              </w:rPr>
              <w:t xml:space="preserve">DUSC noted this was extrapolated from dose reductions in the clinical trial population and </w:t>
            </w:r>
            <w:r w:rsidR="006A5BC8" w:rsidRPr="009610F2">
              <w:rPr>
                <w:rFonts w:eastAsia="MS Gothic" w:cs="Times New Roman"/>
                <w:iCs/>
                <w:szCs w:val="20"/>
              </w:rPr>
              <w:t xml:space="preserve">agreed with the evaluation that </w:t>
            </w:r>
            <w:r w:rsidRPr="009610F2">
              <w:rPr>
                <w:rFonts w:eastAsia="MS Gothic" w:cs="Times New Roman"/>
                <w:iCs/>
                <w:szCs w:val="20"/>
              </w:rPr>
              <w:t>this was reasonable.</w:t>
            </w:r>
          </w:p>
        </w:tc>
      </w:tr>
      <w:tr w:rsidR="00FC171B" w:rsidRPr="008D56E6" w14:paraId="227B2AAE" w14:textId="77777777" w:rsidTr="00816BFB">
        <w:trPr>
          <w:trHeight w:val="170"/>
        </w:trPr>
        <w:tc>
          <w:tcPr>
            <w:tcW w:w="9180" w:type="dxa"/>
            <w:gridSpan w:val="4"/>
            <w:vAlign w:val="center"/>
          </w:tcPr>
          <w:p w14:paraId="08403698" w14:textId="77777777" w:rsidR="00FC171B" w:rsidRPr="009610F2" w:rsidRDefault="00FC171B" w:rsidP="00626EE2">
            <w:pPr>
              <w:pStyle w:val="TableText0"/>
              <w:rPr>
                <w:b/>
                <w:iCs/>
                <w:szCs w:val="20"/>
              </w:rPr>
            </w:pPr>
            <w:r w:rsidRPr="009610F2">
              <w:rPr>
                <w:b/>
                <w:iCs/>
                <w:szCs w:val="20"/>
              </w:rPr>
              <w:lastRenderedPageBreak/>
              <w:t>Costs</w:t>
            </w:r>
          </w:p>
        </w:tc>
      </w:tr>
      <w:tr w:rsidR="00FC171B" w:rsidRPr="008D56E6" w14:paraId="1065ABAB" w14:textId="77777777" w:rsidTr="00816BFB">
        <w:trPr>
          <w:trHeight w:val="1587"/>
        </w:trPr>
        <w:tc>
          <w:tcPr>
            <w:tcW w:w="1526" w:type="dxa"/>
            <w:vAlign w:val="center"/>
          </w:tcPr>
          <w:p w14:paraId="6A21174C" w14:textId="77777777" w:rsidR="00FC171B" w:rsidRPr="009610F2" w:rsidRDefault="00FC171B" w:rsidP="009610F2">
            <w:pPr>
              <w:pStyle w:val="TableText0"/>
              <w:keepNext w:val="0"/>
              <w:rPr>
                <w:szCs w:val="20"/>
              </w:rPr>
            </w:pPr>
            <w:r w:rsidRPr="009610F2">
              <w:rPr>
                <w:szCs w:val="20"/>
              </w:rPr>
              <w:t>Selpercatinib</w:t>
            </w:r>
          </w:p>
          <w:p w14:paraId="1287A065" w14:textId="46A2F66E" w:rsidR="00FC171B" w:rsidRPr="009610F2" w:rsidRDefault="00FC171B" w:rsidP="009610F2">
            <w:pPr>
              <w:pStyle w:val="TableText0"/>
              <w:keepNext w:val="0"/>
              <w:rPr>
                <w:szCs w:val="20"/>
              </w:rPr>
            </w:pPr>
            <w:r w:rsidRPr="009610F2">
              <w:rPr>
                <w:szCs w:val="20"/>
              </w:rPr>
              <w:t>80</w:t>
            </w:r>
            <w:r w:rsidR="005A260D">
              <w:rPr>
                <w:szCs w:val="20"/>
              </w:rPr>
              <w:t> </w:t>
            </w:r>
            <w:r w:rsidRPr="009610F2">
              <w:rPr>
                <w:szCs w:val="20"/>
              </w:rPr>
              <w:t xml:space="preserve">mg x 112 pack size </w:t>
            </w:r>
          </w:p>
          <w:p w14:paraId="7820F7BD" w14:textId="77777777" w:rsidR="00FC171B" w:rsidRPr="009610F2" w:rsidRDefault="00FC171B" w:rsidP="009610F2">
            <w:pPr>
              <w:pStyle w:val="TableText0"/>
              <w:keepNext w:val="0"/>
              <w:rPr>
                <w:szCs w:val="20"/>
              </w:rPr>
            </w:pPr>
            <w:r w:rsidRPr="009610F2">
              <w:rPr>
                <w:szCs w:val="20"/>
              </w:rPr>
              <w:t xml:space="preserve">80 mg x 56 pack size </w:t>
            </w:r>
          </w:p>
          <w:p w14:paraId="23CCFE94" w14:textId="77777777" w:rsidR="00FC171B" w:rsidRPr="009610F2" w:rsidRDefault="00FC171B" w:rsidP="009610F2">
            <w:pPr>
              <w:pStyle w:val="TableText0"/>
              <w:keepNext w:val="0"/>
              <w:rPr>
                <w:szCs w:val="20"/>
              </w:rPr>
            </w:pPr>
            <w:r w:rsidRPr="009610F2">
              <w:rPr>
                <w:szCs w:val="20"/>
              </w:rPr>
              <w:t>40 mg x 56 pack size</w:t>
            </w:r>
          </w:p>
        </w:tc>
        <w:tc>
          <w:tcPr>
            <w:tcW w:w="1459" w:type="dxa"/>
            <w:vAlign w:val="center"/>
          </w:tcPr>
          <w:p w14:paraId="0A4F436B" w14:textId="47C2840F" w:rsidR="00FC171B" w:rsidRPr="009610F2" w:rsidRDefault="00FC171B" w:rsidP="009610F2">
            <w:pPr>
              <w:pStyle w:val="TableText0"/>
              <w:keepNext w:val="0"/>
              <w:rPr>
                <w:szCs w:val="20"/>
              </w:rPr>
            </w:pPr>
            <w:r w:rsidRPr="009610F2">
              <w:rPr>
                <w:szCs w:val="20"/>
              </w:rPr>
              <w:t>$</w:t>
            </w:r>
            <w:r w:rsidR="00816BFB" w:rsidRPr="00816BFB">
              <w:rPr>
                <w:spacing w:val="56"/>
                <w:szCs w:val="20"/>
                <w:highlight w:val="black"/>
                <w:fitText w:val="340" w:id="-1167880959"/>
              </w:rPr>
              <w:t>|||</w:t>
            </w:r>
            <w:r w:rsidR="00816BFB" w:rsidRPr="00816BFB">
              <w:rPr>
                <w:spacing w:val="2"/>
                <w:szCs w:val="20"/>
                <w:highlight w:val="black"/>
                <w:fitText w:val="340" w:id="-1167880959"/>
              </w:rPr>
              <w:t>|</w:t>
            </w:r>
          </w:p>
          <w:p w14:paraId="1DDA1692" w14:textId="77777777" w:rsidR="00FC171B" w:rsidRPr="009610F2" w:rsidRDefault="00FC171B" w:rsidP="009610F2">
            <w:pPr>
              <w:pStyle w:val="TableText0"/>
              <w:keepNext w:val="0"/>
              <w:rPr>
                <w:szCs w:val="20"/>
              </w:rPr>
            </w:pPr>
          </w:p>
          <w:p w14:paraId="52A0A971" w14:textId="039EC317" w:rsidR="00FC171B" w:rsidRPr="009610F2" w:rsidRDefault="00FC171B" w:rsidP="009610F2">
            <w:pPr>
              <w:pStyle w:val="TableText0"/>
              <w:keepNext w:val="0"/>
              <w:rPr>
                <w:szCs w:val="20"/>
              </w:rPr>
            </w:pPr>
            <w:r w:rsidRPr="009610F2">
              <w:rPr>
                <w:szCs w:val="20"/>
              </w:rPr>
              <w:t>$</w:t>
            </w:r>
            <w:r w:rsidR="00816BFB" w:rsidRPr="00816BFB">
              <w:rPr>
                <w:spacing w:val="56"/>
                <w:szCs w:val="20"/>
                <w:highlight w:val="black"/>
                <w:fitText w:val="340" w:id="-1167880958"/>
              </w:rPr>
              <w:t>|||</w:t>
            </w:r>
            <w:r w:rsidR="00816BFB" w:rsidRPr="00816BFB">
              <w:rPr>
                <w:spacing w:val="2"/>
                <w:szCs w:val="20"/>
                <w:highlight w:val="black"/>
                <w:fitText w:val="340" w:id="-1167880958"/>
              </w:rPr>
              <w:t>|</w:t>
            </w:r>
          </w:p>
          <w:p w14:paraId="78913C0C" w14:textId="77777777" w:rsidR="00FC171B" w:rsidRPr="009610F2" w:rsidRDefault="00FC171B" w:rsidP="009610F2">
            <w:pPr>
              <w:pStyle w:val="TableText0"/>
              <w:keepNext w:val="0"/>
              <w:rPr>
                <w:szCs w:val="20"/>
              </w:rPr>
            </w:pPr>
          </w:p>
          <w:p w14:paraId="76B99D0E" w14:textId="049929EF" w:rsidR="00FC171B" w:rsidRPr="009610F2" w:rsidRDefault="00FC171B" w:rsidP="009610F2">
            <w:pPr>
              <w:pStyle w:val="TableText0"/>
              <w:keepNext w:val="0"/>
              <w:rPr>
                <w:szCs w:val="20"/>
              </w:rPr>
            </w:pPr>
            <w:r w:rsidRPr="009610F2">
              <w:rPr>
                <w:szCs w:val="20"/>
              </w:rPr>
              <w:t>$</w:t>
            </w:r>
            <w:r w:rsidR="00816BFB" w:rsidRPr="00816BFB">
              <w:rPr>
                <w:spacing w:val="56"/>
                <w:szCs w:val="20"/>
                <w:highlight w:val="black"/>
                <w:fitText w:val="340" w:id="-1167880957"/>
              </w:rPr>
              <w:t>|||</w:t>
            </w:r>
            <w:r w:rsidR="00816BFB" w:rsidRPr="00816BFB">
              <w:rPr>
                <w:spacing w:val="2"/>
                <w:szCs w:val="20"/>
                <w:highlight w:val="black"/>
                <w:fitText w:val="340" w:id="-1167880957"/>
              </w:rPr>
              <w:t>|</w:t>
            </w:r>
          </w:p>
        </w:tc>
        <w:tc>
          <w:tcPr>
            <w:tcW w:w="2935" w:type="dxa"/>
            <w:vAlign w:val="center"/>
          </w:tcPr>
          <w:p w14:paraId="49CB164D" w14:textId="77777777" w:rsidR="00FC171B" w:rsidRPr="009610F2" w:rsidRDefault="00FC171B" w:rsidP="009610F2">
            <w:pPr>
              <w:pStyle w:val="TableText0"/>
              <w:keepNext w:val="0"/>
              <w:rPr>
                <w:szCs w:val="20"/>
              </w:rPr>
            </w:pPr>
            <w:r w:rsidRPr="009610F2">
              <w:rPr>
                <w:szCs w:val="20"/>
              </w:rPr>
              <w:t>Requested price</w:t>
            </w:r>
          </w:p>
        </w:tc>
        <w:tc>
          <w:tcPr>
            <w:tcW w:w="3260" w:type="dxa"/>
            <w:vAlign w:val="center"/>
          </w:tcPr>
          <w:p w14:paraId="3A9C11DA" w14:textId="74D4AFE7" w:rsidR="00FC171B" w:rsidRPr="00816BFB" w:rsidRDefault="000C152A" w:rsidP="009610F2">
            <w:pPr>
              <w:rPr>
                <w:rFonts w:ascii="Arial Narrow" w:hAnsi="Arial Narrow"/>
                <w:iCs/>
                <w:sz w:val="20"/>
                <w:szCs w:val="20"/>
              </w:rPr>
            </w:pPr>
            <w:r w:rsidRPr="009610F2">
              <w:rPr>
                <w:rFonts w:ascii="Arial Narrow" w:eastAsiaTheme="majorEastAsia" w:hAnsi="Arial Narrow" w:cstheme="majorBidi"/>
                <w:bCs/>
                <w:iCs/>
                <w:sz w:val="20"/>
                <w:szCs w:val="20"/>
              </w:rPr>
              <w:t>DUSC agreed with the evaluation that this was reasonable.</w:t>
            </w:r>
          </w:p>
        </w:tc>
      </w:tr>
      <w:tr w:rsidR="00FC171B" w:rsidRPr="008D56E6" w14:paraId="1D8424AF" w14:textId="77777777" w:rsidTr="00816BFB">
        <w:tc>
          <w:tcPr>
            <w:tcW w:w="1526" w:type="dxa"/>
            <w:vAlign w:val="center"/>
          </w:tcPr>
          <w:p w14:paraId="27777FF0" w14:textId="77777777" w:rsidR="00FC171B" w:rsidRPr="009610F2" w:rsidRDefault="00FC171B" w:rsidP="009610F2">
            <w:pPr>
              <w:pStyle w:val="TableText0"/>
              <w:keepNext w:val="0"/>
              <w:rPr>
                <w:szCs w:val="20"/>
              </w:rPr>
            </w:pPr>
            <w:r w:rsidRPr="009610F2">
              <w:rPr>
                <w:szCs w:val="20"/>
              </w:rPr>
              <w:t>Patient co-payment</w:t>
            </w:r>
          </w:p>
        </w:tc>
        <w:tc>
          <w:tcPr>
            <w:tcW w:w="1459" w:type="dxa"/>
            <w:vAlign w:val="center"/>
          </w:tcPr>
          <w:p w14:paraId="2E73D23C" w14:textId="77777777" w:rsidR="00FC171B" w:rsidRPr="009610F2" w:rsidRDefault="00FC171B" w:rsidP="009610F2">
            <w:pPr>
              <w:pStyle w:val="TableText0"/>
              <w:keepNext w:val="0"/>
              <w:rPr>
                <w:szCs w:val="20"/>
              </w:rPr>
            </w:pPr>
            <w:r w:rsidRPr="009610F2">
              <w:rPr>
                <w:szCs w:val="20"/>
              </w:rPr>
              <w:t>PBS: $14.61</w:t>
            </w:r>
          </w:p>
          <w:p w14:paraId="2C551C8B" w14:textId="77777777" w:rsidR="00FC171B" w:rsidRPr="009610F2" w:rsidRDefault="00FC171B" w:rsidP="009610F2">
            <w:pPr>
              <w:pStyle w:val="TableText0"/>
              <w:keepNext w:val="0"/>
              <w:rPr>
                <w:szCs w:val="20"/>
              </w:rPr>
            </w:pPr>
            <w:r w:rsidRPr="009610F2">
              <w:rPr>
                <w:szCs w:val="20"/>
              </w:rPr>
              <w:t>RPBS: $6.93</w:t>
            </w:r>
          </w:p>
        </w:tc>
        <w:tc>
          <w:tcPr>
            <w:tcW w:w="2935" w:type="dxa"/>
            <w:vAlign w:val="center"/>
          </w:tcPr>
          <w:p w14:paraId="5834C4AE" w14:textId="77777777" w:rsidR="00FC171B" w:rsidRPr="009610F2" w:rsidRDefault="00FC171B" w:rsidP="009610F2">
            <w:pPr>
              <w:pStyle w:val="TableText0"/>
              <w:keepNext w:val="0"/>
              <w:rPr>
                <w:szCs w:val="20"/>
              </w:rPr>
            </w:pPr>
            <w:r w:rsidRPr="009610F2">
              <w:rPr>
                <w:szCs w:val="20"/>
              </w:rPr>
              <w:t>Services Australia PBS item statistics</w:t>
            </w:r>
          </w:p>
          <w:p w14:paraId="7B6A2C49" w14:textId="77777777" w:rsidR="00FC171B" w:rsidRPr="009610F2" w:rsidRDefault="00FC171B" w:rsidP="009610F2">
            <w:pPr>
              <w:pStyle w:val="TableText0"/>
              <w:keepNext w:val="0"/>
              <w:rPr>
                <w:szCs w:val="20"/>
              </w:rPr>
            </w:pPr>
            <w:r w:rsidRPr="009610F2">
              <w:rPr>
                <w:szCs w:val="20"/>
              </w:rPr>
              <w:t>PBS item numbers: 11492W, 11494Y, 12119W, 12121Y</w:t>
            </w:r>
          </w:p>
        </w:tc>
        <w:tc>
          <w:tcPr>
            <w:tcW w:w="3260" w:type="dxa"/>
            <w:vAlign w:val="center"/>
          </w:tcPr>
          <w:p w14:paraId="3331EDFF" w14:textId="4556ACC4" w:rsidR="00FC171B" w:rsidRPr="009610F2" w:rsidRDefault="000C152A" w:rsidP="009610F2">
            <w:pPr>
              <w:pStyle w:val="TableText0"/>
              <w:keepNext w:val="0"/>
              <w:rPr>
                <w:iCs/>
                <w:szCs w:val="20"/>
              </w:rPr>
            </w:pPr>
            <w:r w:rsidRPr="009610F2">
              <w:rPr>
                <w:iCs/>
                <w:szCs w:val="20"/>
              </w:rPr>
              <w:t>DUSC agreed with the evaluation that this was reasonable</w:t>
            </w:r>
          </w:p>
        </w:tc>
      </w:tr>
      <w:tr w:rsidR="00FC171B" w:rsidRPr="008D56E6" w14:paraId="1849D6B5" w14:textId="77777777" w:rsidTr="00816BFB">
        <w:tc>
          <w:tcPr>
            <w:tcW w:w="1526" w:type="dxa"/>
            <w:tcBorders>
              <w:bottom w:val="single" w:sz="4" w:space="0" w:color="auto"/>
            </w:tcBorders>
            <w:vAlign w:val="center"/>
          </w:tcPr>
          <w:p w14:paraId="71800744" w14:textId="77777777" w:rsidR="00FC171B" w:rsidRPr="009610F2" w:rsidRDefault="00FC171B" w:rsidP="009610F2">
            <w:pPr>
              <w:pStyle w:val="TableText0"/>
              <w:keepNext w:val="0"/>
              <w:rPr>
                <w:szCs w:val="20"/>
              </w:rPr>
            </w:pPr>
            <w:r w:rsidRPr="009610F2">
              <w:rPr>
                <w:szCs w:val="20"/>
              </w:rPr>
              <w:t xml:space="preserve">PBS/RPBS Split </w:t>
            </w:r>
          </w:p>
        </w:tc>
        <w:tc>
          <w:tcPr>
            <w:tcW w:w="1459" w:type="dxa"/>
            <w:tcBorders>
              <w:bottom w:val="single" w:sz="4" w:space="0" w:color="auto"/>
            </w:tcBorders>
            <w:vAlign w:val="center"/>
          </w:tcPr>
          <w:p w14:paraId="57A3B6A9" w14:textId="77777777" w:rsidR="00FC171B" w:rsidRPr="009610F2" w:rsidRDefault="00FC171B" w:rsidP="009610F2">
            <w:pPr>
              <w:pStyle w:val="TableText0"/>
              <w:keepNext w:val="0"/>
              <w:rPr>
                <w:szCs w:val="20"/>
              </w:rPr>
            </w:pPr>
            <w:r w:rsidRPr="009610F2">
              <w:rPr>
                <w:szCs w:val="20"/>
              </w:rPr>
              <w:t>PBS: 97.01%</w:t>
            </w:r>
          </w:p>
          <w:p w14:paraId="3EA34E15" w14:textId="77777777" w:rsidR="00FC171B" w:rsidRPr="009610F2" w:rsidRDefault="00FC171B" w:rsidP="009610F2">
            <w:pPr>
              <w:pStyle w:val="TableText0"/>
              <w:keepNext w:val="0"/>
              <w:rPr>
                <w:szCs w:val="20"/>
              </w:rPr>
            </w:pPr>
            <w:r w:rsidRPr="009610F2">
              <w:rPr>
                <w:szCs w:val="20"/>
              </w:rPr>
              <w:t xml:space="preserve">RPBS: 2.99% </w:t>
            </w:r>
          </w:p>
        </w:tc>
        <w:tc>
          <w:tcPr>
            <w:tcW w:w="2935" w:type="dxa"/>
            <w:tcBorders>
              <w:bottom w:val="single" w:sz="4" w:space="0" w:color="auto"/>
            </w:tcBorders>
            <w:vAlign w:val="center"/>
          </w:tcPr>
          <w:p w14:paraId="19F7498F" w14:textId="77777777" w:rsidR="00FC171B" w:rsidRPr="009610F2" w:rsidRDefault="00FC171B" w:rsidP="009610F2">
            <w:pPr>
              <w:pStyle w:val="TableText0"/>
              <w:keepNext w:val="0"/>
              <w:rPr>
                <w:szCs w:val="20"/>
              </w:rPr>
            </w:pPr>
            <w:r w:rsidRPr="009610F2">
              <w:rPr>
                <w:szCs w:val="20"/>
              </w:rPr>
              <w:t>Services Australia PBS item statistics</w:t>
            </w:r>
          </w:p>
          <w:p w14:paraId="3ECDA2D4" w14:textId="77777777" w:rsidR="00FC171B" w:rsidRPr="009610F2" w:rsidRDefault="00FC171B" w:rsidP="009610F2">
            <w:pPr>
              <w:pStyle w:val="TableText0"/>
              <w:keepNext w:val="0"/>
              <w:rPr>
                <w:szCs w:val="20"/>
              </w:rPr>
            </w:pPr>
            <w:r w:rsidRPr="009610F2">
              <w:rPr>
                <w:szCs w:val="20"/>
              </w:rPr>
              <w:t>PBS item numbers: 11492W, 11494Y, 12119W, 12121Y</w:t>
            </w:r>
          </w:p>
        </w:tc>
        <w:tc>
          <w:tcPr>
            <w:tcW w:w="3260" w:type="dxa"/>
            <w:tcBorders>
              <w:bottom w:val="single" w:sz="4" w:space="0" w:color="auto"/>
            </w:tcBorders>
            <w:vAlign w:val="center"/>
          </w:tcPr>
          <w:p w14:paraId="71EC7B79" w14:textId="7EE1844E" w:rsidR="00FC171B" w:rsidRPr="009610F2" w:rsidRDefault="000C152A" w:rsidP="009610F2">
            <w:pPr>
              <w:pStyle w:val="TableText0"/>
              <w:keepNext w:val="0"/>
              <w:rPr>
                <w:iCs/>
                <w:szCs w:val="20"/>
              </w:rPr>
            </w:pPr>
            <w:r w:rsidRPr="009610F2">
              <w:rPr>
                <w:iCs/>
                <w:szCs w:val="20"/>
              </w:rPr>
              <w:t>DUSC agreed with the evaluation that this was reasonable</w:t>
            </w:r>
          </w:p>
        </w:tc>
      </w:tr>
      <w:tr w:rsidR="00FC171B" w:rsidRPr="008D56E6" w14:paraId="165AE269" w14:textId="77777777" w:rsidTr="00816BFB">
        <w:tc>
          <w:tcPr>
            <w:tcW w:w="1526" w:type="dxa"/>
            <w:tcBorders>
              <w:right w:val="nil"/>
            </w:tcBorders>
            <w:vAlign w:val="center"/>
          </w:tcPr>
          <w:p w14:paraId="63BE9A12" w14:textId="77777777" w:rsidR="00FC171B" w:rsidRPr="009610F2" w:rsidRDefault="00FC171B" w:rsidP="009610F2">
            <w:pPr>
              <w:pStyle w:val="TableText0"/>
              <w:keepNext w:val="0"/>
              <w:rPr>
                <w:szCs w:val="20"/>
              </w:rPr>
            </w:pPr>
            <w:r w:rsidRPr="009610F2">
              <w:rPr>
                <w:szCs w:val="20"/>
              </w:rPr>
              <w:t>MBS costs</w:t>
            </w:r>
          </w:p>
        </w:tc>
        <w:tc>
          <w:tcPr>
            <w:tcW w:w="1459" w:type="dxa"/>
            <w:tcBorders>
              <w:left w:val="nil"/>
              <w:right w:val="nil"/>
            </w:tcBorders>
            <w:vAlign w:val="center"/>
          </w:tcPr>
          <w:p w14:paraId="222986D9" w14:textId="77777777" w:rsidR="00FC171B" w:rsidRPr="009610F2" w:rsidRDefault="00FC171B" w:rsidP="009610F2">
            <w:pPr>
              <w:pStyle w:val="TableText0"/>
              <w:keepNext w:val="0"/>
              <w:rPr>
                <w:szCs w:val="20"/>
              </w:rPr>
            </w:pPr>
          </w:p>
        </w:tc>
        <w:tc>
          <w:tcPr>
            <w:tcW w:w="2935" w:type="dxa"/>
            <w:tcBorders>
              <w:left w:val="nil"/>
              <w:right w:val="nil"/>
            </w:tcBorders>
            <w:vAlign w:val="center"/>
          </w:tcPr>
          <w:p w14:paraId="2E26F24C" w14:textId="77777777" w:rsidR="00FC171B" w:rsidRPr="009610F2" w:rsidRDefault="00FC171B" w:rsidP="009610F2">
            <w:pPr>
              <w:pStyle w:val="TableText0"/>
              <w:keepNext w:val="0"/>
              <w:rPr>
                <w:szCs w:val="20"/>
              </w:rPr>
            </w:pPr>
          </w:p>
        </w:tc>
        <w:tc>
          <w:tcPr>
            <w:tcW w:w="3260" w:type="dxa"/>
            <w:tcBorders>
              <w:left w:val="nil"/>
            </w:tcBorders>
            <w:vAlign w:val="center"/>
          </w:tcPr>
          <w:p w14:paraId="272A21AE" w14:textId="77777777" w:rsidR="00FC171B" w:rsidRPr="009610F2" w:rsidRDefault="00FC171B" w:rsidP="009610F2">
            <w:pPr>
              <w:pStyle w:val="TableText0"/>
              <w:keepNext w:val="0"/>
              <w:rPr>
                <w:iCs/>
                <w:szCs w:val="20"/>
              </w:rPr>
            </w:pPr>
          </w:p>
        </w:tc>
      </w:tr>
      <w:tr w:rsidR="00FC171B" w:rsidRPr="008D56E6" w14:paraId="5C854653" w14:textId="77777777" w:rsidTr="00816BFB">
        <w:tc>
          <w:tcPr>
            <w:tcW w:w="1526" w:type="dxa"/>
            <w:vAlign w:val="center"/>
          </w:tcPr>
          <w:p w14:paraId="37AC9396" w14:textId="77777777" w:rsidR="00FC171B" w:rsidRPr="009610F2" w:rsidRDefault="00FC171B" w:rsidP="009610F2">
            <w:pPr>
              <w:pStyle w:val="TableText0"/>
              <w:keepNext w:val="0"/>
              <w:rPr>
                <w:szCs w:val="20"/>
              </w:rPr>
            </w:pPr>
            <w:r w:rsidRPr="009610F2">
              <w:rPr>
                <w:i/>
                <w:szCs w:val="20"/>
              </w:rPr>
              <w:t>RET</w:t>
            </w:r>
            <w:r w:rsidRPr="009610F2">
              <w:rPr>
                <w:szCs w:val="20"/>
              </w:rPr>
              <w:t xml:space="preserve"> fusion testing</w:t>
            </w:r>
          </w:p>
        </w:tc>
        <w:tc>
          <w:tcPr>
            <w:tcW w:w="1459" w:type="dxa"/>
            <w:vAlign w:val="center"/>
          </w:tcPr>
          <w:p w14:paraId="72A6B93B" w14:textId="77777777" w:rsidR="00FC171B" w:rsidRPr="009610F2" w:rsidRDefault="00FC171B" w:rsidP="009610F2">
            <w:pPr>
              <w:pStyle w:val="TableText0"/>
              <w:keepNext w:val="0"/>
              <w:rPr>
                <w:szCs w:val="20"/>
              </w:rPr>
            </w:pPr>
            <w:r w:rsidRPr="009610F2">
              <w:rPr>
                <w:szCs w:val="20"/>
              </w:rPr>
              <w:t xml:space="preserve">$317.88 per service </w:t>
            </w:r>
          </w:p>
        </w:tc>
        <w:tc>
          <w:tcPr>
            <w:tcW w:w="2935" w:type="dxa"/>
            <w:vAlign w:val="center"/>
          </w:tcPr>
          <w:p w14:paraId="011D012D" w14:textId="77777777" w:rsidR="00FC171B" w:rsidRPr="009610F2" w:rsidRDefault="00FC171B" w:rsidP="009610F2">
            <w:pPr>
              <w:pStyle w:val="TableText0"/>
              <w:keepNext w:val="0"/>
              <w:rPr>
                <w:szCs w:val="20"/>
              </w:rPr>
            </w:pPr>
            <w:r w:rsidRPr="009610F2">
              <w:rPr>
                <w:szCs w:val="20"/>
              </w:rPr>
              <w:t xml:space="preserve">Proposed MBS item fee for </w:t>
            </w:r>
            <w:r w:rsidRPr="009610F2">
              <w:rPr>
                <w:bCs w:val="0"/>
                <w:i/>
                <w:szCs w:val="20"/>
              </w:rPr>
              <w:t>RET</w:t>
            </w:r>
            <w:r w:rsidRPr="009610F2">
              <w:rPr>
                <w:szCs w:val="20"/>
              </w:rPr>
              <w:t xml:space="preserve"> Fusion testing, 80% rebate</w:t>
            </w:r>
          </w:p>
        </w:tc>
        <w:tc>
          <w:tcPr>
            <w:tcW w:w="3260" w:type="dxa"/>
            <w:vAlign w:val="center"/>
          </w:tcPr>
          <w:p w14:paraId="0CB239BA" w14:textId="77777777" w:rsidR="00FC171B" w:rsidRPr="009610F2" w:rsidRDefault="00FC171B" w:rsidP="009610F2">
            <w:pPr>
              <w:pStyle w:val="TableText0"/>
              <w:keepNext w:val="0"/>
              <w:rPr>
                <w:iCs/>
                <w:szCs w:val="20"/>
              </w:rPr>
            </w:pPr>
            <w:r w:rsidRPr="009610F2">
              <w:rPr>
                <w:iCs/>
                <w:szCs w:val="20"/>
              </w:rPr>
              <w:t xml:space="preserve">As </w:t>
            </w:r>
            <w:r w:rsidRPr="009610F2">
              <w:rPr>
                <w:i/>
                <w:szCs w:val="20"/>
              </w:rPr>
              <w:t>RET</w:t>
            </w:r>
            <w:r w:rsidRPr="009610F2">
              <w:rPr>
                <w:iCs/>
                <w:szCs w:val="20"/>
              </w:rPr>
              <w:t xml:space="preserve"> fusion testing has been supported by the MSAC as part of MSAC Application 1721, it may only be necessary to apply testing costs to 34% of prevalent patients (assuming the proposed fee from the MSAC Application 1721 for fusion testing i.e. item CCCC) </w:t>
            </w:r>
          </w:p>
          <w:p w14:paraId="50C2CED3" w14:textId="75C88652" w:rsidR="000C152A" w:rsidRPr="009610F2" w:rsidRDefault="000C152A" w:rsidP="009610F2">
            <w:pPr>
              <w:pStyle w:val="TableText0"/>
              <w:keepNext w:val="0"/>
              <w:rPr>
                <w:iCs/>
                <w:szCs w:val="20"/>
              </w:rPr>
            </w:pPr>
            <w:r w:rsidRPr="009610F2">
              <w:rPr>
                <w:rFonts w:eastAsia="MS Gothic" w:cs="Times New Roman"/>
                <w:iCs/>
                <w:szCs w:val="20"/>
              </w:rPr>
              <w:t xml:space="preserve">In its PSCR (p4) the sponsor agreed that it is not necessary to include the cost of </w:t>
            </w:r>
            <w:r w:rsidRPr="009610F2">
              <w:rPr>
                <w:rFonts w:eastAsia="MS Gothic" w:cs="Times New Roman"/>
                <w:i/>
                <w:szCs w:val="20"/>
              </w:rPr>
              <w:t>RET</w:t>
            </w:r>
            <w:r w:rsidRPr="009610F2">
              <w:rPr>
                <w:rFonts w:eastAsia="MS Gothic" w:cs="Times New Roman"/>
                <w:iCs/>
                <w:szCs w:val="20"/>
              </w:rPr>
              <w:t xml:space="preserve"> fusion testing in the estimates of the financial impact of listing selpercatinib due to the recent MSAC recommendation for listing of a small gene panel in NSCLC which would include testing for </w:t>
            </w:r>
            <w:r w:rsidRPr="009610F2">
              <w:rPr>
                <w:rFonts w:eastAsia="MS Gothic" w:cs="Times New Roman"/>
                <w:i/>
                <w:szCs w:val="20"/>
              </w:rPr>
              <w:t>RET</w:t>
            </w:r>
            <w:r w:rsidRPr="009610F2">
              <w:rPr>
                <w:rFonts w:eastAsia="MS Gothic" w:cs="Times New Roman"/>
                <w:iCs/>
                <w:szCs w:val="20"/>
              </w:rPr>
              <w:t xml:space="preserve"> fusions</w:t>
            </w:r>
            <w:r w:rsidRPr="009610F2">
              <w:rPr>
                <w:rFonts w:eastAsia="MS Gothic" w:cs="Times New Roman"/>
                <w:i/>
                <w:szCs w:val="20"/>
              </w:rPr>
              <w:t>.</w:t>
            </w:r>
          </w:p>
        </w:tc>
      </w:tr>
      <w:tr w:rsidR="00FC171B" w:rsidRPr="008D56E6" w14:paraId="52EDAC11" w14:textId="77777777" w:rsidTr="00816BFB">
        <w:tc>
          <w:tcPr>
            <w:tcW w:w="1526" w:type="dxa"/>
            <w:vAlign w:val="center"/>
          </w:tcPr>
          <w:p w14:paraId="7FE7C301" w14:textId="77777777" w:rsidR="00FC171B" w:rsidRPr="009610F2" w:rsidRDefault="00FC171B" w:rsidP="009610F2">
            <w:pPr>
              <w:pStyle w:val="TableText0"/>
              <w:keepNext w:val="0"/>
              <w:rPr>
                <w:szCs w:val="20"/>
              </w:rPr>
            </w:pPr>
            <w:r w:rsidRPr="009610F2">
              <w:rPr>
                <w:szCs w:val="20"/>
              </w:rPr>
              <w:t>ECG</w:t>
            </w:r>
          </w:p>
        </w:tc>
        <w:tc>
          <w:tcPr>
            <w:tcW w:w="1459" w:type="dxa"/>
            <w:vAlign w:val="center"/>
          </w:tcPr>
          <w:p w14:paraId="7930E9EE" w14:textId="77777777" w:rsidR="00FC171B" w:rsidRPr="009610F2" w:rsidRDefault="00FC171B" w:rsidP="009610F2">
            <w:pPr>
              <w:pStyle w:val="TableText0"/>
              <w:keepNext w:val="0"/>
              <w:rPr>
                <w:szCs w:val="20"/>
              </w:rPr>
            </w:pPr>
            <w:r w:rsidRPr="009610F2">
              <w:rPr>
                <w:szCs w:val="20"/>
              </w:rPr>
              <w:t xml:space="preserve">$20.50 per service </w:t>
            </w:r>
          </w:p>
        </w:tc>
        <w:tc>
          <w:tcPr>
            <w:tcW w:w="2935" w:type="dxa"/>
            <w:vAlign w:val="center"/>
          </w:tcPr>
          <w:p w14:paraId="648B574E" w14:textId="77777777" w:rsidR="00FC171B" w:rsidRPr="009610F2" w:rsidRDefault="00FC171B" w:rsidP="009610F2">
            <w:pPr>
              <w:pStyle w:val="TableText0"/>
              <w:keepNext w:val="0"/>
              <w:rPr>
                <w:szCs w:val="20"/>
              </w:rPr>
            </w:pPr>
            <w:r w:rsidRPr="009610F2">
              <w:rPr>
                <w:szCs w:val="20"/>
              </w:rPr>
              <w:t>MBS item 11714, 80% rebate</w:t>
            </w:r>
          </w:p>
        </w:tc>
        <w:tc>
          <w:tcPr>
            <w:tcW w:w="3260" w:type="dxa"/>
            <w:vAlign w:val="center"/>
          </w:tcPr>
          <w:p w14:paraId="709B03D5" w14:textId="77777777" w:rsidR="00FC171B" w:rsidRPr="009610F2" w:rsidRDefault="00FC171B" w:rsidP="009610F2">
            <w:pPr>
              <w:pStyle w:val="TableText0"/>
              <w:keepNext w:val="0"/>
              <w:rPr>
                <w:iCs/>
                <w:szCs w:val="20"/>
              </w:rPr>
            </w:pPr>
            <w:r w:rsidRPr="009610F2">
              <w:rPr>
                <w:iCs/>
                <w:szCs w:val="20"/>
              </w:rPr>
              <w:t>While the source of unit cost per ECG service was reasonable, the extent of use applied (2.4 services per patient per year) was not, as patients would only require ECG in the first year of treatment</w:t>
            </w:r>
            <w:r w:rsidR="007E23A3" w:rsidRPr="009610F2">
              <w:rPr>
                <w:iCs/>
                <w:szCs w:val="20"/>
              </w:rPr>
              <w:t>.</w:t>
            </w:r>
          </w:p>
          <w:p w14:paraId="50A13150" w14:textId="56E55EB7" w:rsidR="007E23A3" w:rsidRPr="009610F2" w:rsidRDefault="007E23A3" w:rsidP="009610F2">
            <w:pPr>
              <w:pStyle w:val="TableText0"/>
              <w:keepNext w:val="0"/>
              <w:rPr>
                <w:iCs/>
                <w:szCs w:val="20"/>
              </w:rPr>
            </w:pPr>
            <w:r w:rsidRPr="009610F2">
              <w:rPr>
                <w:rFonts w:eastAsia="MS Gothic" w:cs="Times New Roman"/>
                <w:iCs/>
                <w:szCs w:val="20"/>
              </w:rPr>
              <w:t xml:space="preserve">DUSC noted that in the trial patients received two ECGs in the first cycle of treatment and then monthly </w:t>
            </w:r>
            <w:r w:rsidR="00FB229F" w:rsidRPr="009610F2">
              <w:rPr>
                <w:rFonts w:eastAsia="MS Gothic" w:cs="Times New Roman"/>
                <w:iCs/>
                <w:szCs w:val="20"/>
              </w:rPr>
              <w:t>ECGs and</w:t>
            </w:r>
            <w:r w:rsidRPr="009610F2">
              <w:rPr>
                <w:rFonts w:eastAsia="MS Gothic" w:cs="Times New Roman"/>
                <w:iCs/>
                <w:szCs w:val="20"/>
              </w:rPr>
              <w:t xml:space="preserve"> agreed with the suggestion in the evaluation that it would be more appropriate to cost for seven ECG services per patient in their first year of treatment.</w:t>
            </w:r>
          </w:p>
        </w:tc>
      </w:tr>
    </w:tbl>
    <w:p w14:paraId="02EEF87F" w14:textId="77777777" w:rsidR="00FC171B" w:rsidRPr="00FB229F" w:rsidRDefault="00FC171B" w:rsidP="00FC171B">
      <w:pPr>
        <w:pStyle w:val="FooterTableFigure"/>
        <w:rPr>
          <w:szCs w:val="18"/>
        </w:rPr>
      </w:pPr>
      <w:r w:rsidRPr="00FB229F">
        <w:rPr>
          <w:szCs w:val="18"/>
        </w:rPr>
        <w:t xml:space="preserve">Source: tabulated during evaluation from Tables 4-1, 4-3 of the submission. </w:t>
      </w:r>
    </w:p>
    <w:p w14:paraId="24BFDE54" w14:textId="5301EDE3" w:rsidR="00FC171B" w:rsidRDefault="00FC171B" w:rsidP="00816BFB">
      <w:pPr>
        <w:pStyle w:val="FooterTableFigure"/>
        <w:spacing w:after="0"/>
      </w:pPr>
      <w:r w:rsidRPr="00FB229F">
        <w:t>ECOG=eastern cooperative oncology group; MBS=Medicare Benefits Schedule; NSCLC=non-small cell lung cancer; NSQ/NOS=non-squamous/not otherwise specified; PS=performance status; PBS=Pharmaceuticals Benefits Scheme; RET=rearranged during transfection; RPBS=Repatriation Pharmaceuticals Benefits Scheme</w:t>
      </w:r>
    </w:p>
    <w:p w14:paraId="1D11DACA" w14:textId="77777777" w:rsidR="003A69C8" w:rsidRPr="009A6D58" w:rsidRDefault="003A69C8" w:rsidP="003A69C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10348E7" w14:textId="28199ECB" w:rsidR="003A69C8" w:rsidRPr="009A6D58" w:rsidRDefault="003A69C8" w:rsidP="003A69C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A69C8">
        <w:rPr>
          <w:rFonts w:ascii="Arial Narrow" w:hAnsi="Arial Narrow"/>
          <w:i/>
          <w:sz w:val="18"/>
          <w:szCs w:val="18"/>
        </w:rPr>
        <w:t>&lt; 500</w:t>
      </w:r>
    </w:p>
    <w:p w14:paraId="0610B7BD" w14:textId="7B13E579" w:rsidR="003A69C8" w:rsidRPr="009A6D58" w:rsidRDefault="003A69C8" w:rsidP="003A69C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A69C8">
        <w:rPr>
          <w:rFonts w:ascii="Arial Narrow" w:hAnsi="Arial Narrow"/>
          <w:i/>
          <w:sz w:val="18"/>
          <w:szCs w:val="18"/>
        </w:rPr>
        <w:t>500 to &lt; 5,000</w:t>
      </w:r>
    </w:p>
    <w:p w14:paraId="0C1002EC" w14:textId="4C8134B0" w:rsidR="003A69C8" w:rsidRPr="00FB229F" w:rsidRDefault="003A69C8" w:rsidP="00816BFB">
      <w:pPr>
        <w:spacing w:after="120"/>
      </w:pPr>
      <w:r w:rsidRPr="009A6D58">
        <w:rPr>
          <w:rFonts w:ascii="Arial Narrow" w:hAnsi="Arial Narrow"/>
          <w:i/>
          <w:sz w:val="18"/>
          <w:szCs w:val="18"/>
          <w:vertAlign w:val="superscript"/>
        </w:rPr>
        <w:t>3</w:t>
      </w:r>
      <w:r>
        <w:rPr>
          <w:rFonts w:ascii="Arial Narrow" w:hAnsi="Arial Narrow"/>
          <w:i/>
          <w:sz w:val="18"/>
          <w:szCs w:val="18"/>
        </w:rPr>
        <w:t xml:space="preserve"> </w:t>
      </w:r>
      <w:r w:rsidRPr="003A69C8">
        <w:rPr>
          <w:rFonts w:ascii="Arial Narrow" w:hAnsi="Arial Narrow"/>
          <w:i/>
          <w:sz w:val="18"/>
          <w:szCs w:val="18"/>
        </w:rPr>
        <w:t>5,000 to &lt; 10,000</w:t>
      </w:r>
    </w:p>
    <w:p w14:paraId="6FC10D37" w14:textId="5A398FAA" w:rsidR="00FC171B" w:rsidRPr="00FB229F" w:rsidRDefault="00FC171B" w:rsidP="00FC171B">
      <w:pPr>
        <w:pStyle w:val="3-BodyText"/>
        <w:ind w:left="709" w:hanging="709"/>
        <w:rPr>
          <w:iCs/>
        </w:rPr>
      </w:pPr>
      <w:r w:rsidRPr="00FB229F">
        <w:t xml:space="preserve">Incident patients were estimated based on AIHW lung cancer incidence projections from 2024-2029. The submission assumed that of incident cases, 86.6% would have </w:t>
      </w:r>
      <w:r w:rsidRPr="00FB229F">
        <w:lastRenderedPageBreak/>
        <w:t xml:space="preserve">NSCLC, based on Mitchell </w:t>
      </w:r>
      <w:r w:rsidRPr="00FB229F">
        <w:rPr>
          <w:i/>
        </w:rPr>
        <w:t>et al</w:t>
      </w:r>
      <w:r w:rsidRPr="00FB229F">
        <w:t xml:space="preserve"> (2013)</w:t>
      </w:r>
      <w:r w:rsidRPr="00FB229F">
        <w:rPr>
          <w:rStyle w:val="FootnoteReference"/>
        </w:rPr>
        <w:footnoteReference w:id="25"/>
      </w:r>
      <w:r w:rsidRPr="00FB229F">
        <w:t xml:space="preserve">, of which 74.2% were of non-squamous or NOS histology. </w:t>
      </w:r>
      <w:r w:rsidRPr="00FB229F">
        <w:rPr>
          <w:iCs/>
        </w:rPr>
        <w:t xml:space="preserve">While this latter estimate has previously been presented to the PBAC (paragraph 6.46, Nivolumab </w:t>
      </w:r>
      <w:r w:rsidR="00445C44">
        <w:rPr>
          <w:iCs/>
        </w:rPr>
        <w:t>PSD</w:t>
      </w:r>
      <w:r w:rsidRPr="00FB229F">
        <w:rPr>
          <w:iCs/>
        </w:rPr>
        <w:t>, March 2016 PBAC meeting</w:t>
      </w:r>
      <w:r w:rsidR="007E23A3" w:rsidRPr="00FB229F">
        <w:rPr>
          <w:iCs/>
        </w:rPr>
        <w:t>)</w:t>
      </w:r>
      <w:r w:rsidRPr="00FB229F">
        <w:rPr>
          <w:iCs/>
        </w:rPr>
        <w:t xml:space="preserve">, the proposed restriction for selpercatinib does not restrict by histology (noting that the prevalence of </w:t>
      </w:r>
      <w:r w:rsidRPr="00FB229F">
        <w:rPr>
          <w:i/>
        </w:rPr>
        <w:t>RET</w:t>
      </w:r>
      <w:r w:rsidRPr="00FB229F">
        <w:rPr>
          <w:iCs/>
        </w:rPr>
        <w:t xml:space="preserve"> fusions in squamous histology is low). The eligible population was further limited to those estimated to have a performance status of 0−2 (96.8%</w:t>
      </w:r>
      <w:r w:rsidRPr="00FB229F">
        <w:rPr>
          <w:rStyle w:val="FootnoteReference"/>
          <w:iCs/>
        </w:rPr>
        <w:footnoteReference w:id="26"/>
      </w:r>
      <w:r w:rsidRPr="00FB229F">
        <w:rPr>
          <w:iCs/>
        </w:rPr>
        <w:t xml:space="preserve">), those with </w:t>
      </w:r>
      <w:r w:rsidRPr="00FB229F">
        <w:rPr>
          <w:i/>
        </w:rPr>
        <w:t>RET</w:t>
      </w:r>
      <w:r w:rsidRPr="00FB229F">
        <w:rPr>
          <w:iCs/>
        </w:rPr>
        <w:t xml:space="preserve"> fusions (1.5%) and those with Stage IIIB/IV disease (assuming 65.5% Stage IIIB/IV at diagnosis and 30% of the remaining 34.5% progress to Stage IIIB/IV disease within the same year, based on Mitchell et al 2013</w:t>
      </w:r>
      <w:r w:rsidR="006A4E61" w:rsidRPr="00FB229F">
        <w:rPr>
          <w:iCs/>
        </w:rPr>
        <w:t>)</w:t>
      </w:r>
      <w:r w:rsidRPr="00FB229F">
        <w:rPr>
          <w:iCs/>
        </w:rPr>
        <w:t>. Th</w:t>
      </w:r>
      <w:r w:rsidR="006A4E61" w:rsidRPr="00FB229F">
        <w:rPr>
          <w:iCs/>
        </w:rPr>
        <w:t>e evaluation considered this</w:t>
      </w:r>
      <w:r w:rsidRPr="00FB229F">
        <w:rPr>
          <w:iCs/>
        </w:rPr>
        <w:t xml:space="preserve"> was reasonable, noting that estimates of performance status and proportion with advanced disease were consistent with previous submissions presented to the PBAC (paragraph 6.81, </w:t>
      </w:r>
      <w:proofErr w:type="spellStart"/>
      <w:r w:rsidRPr="00FB229F">
        <w:rPr>
          <w:iCs/>
        </w:rPr>
        <w:t>Sotorasib</w:t>
      </w:r>
      <w:proofErr w:type="spellEnd"/>
      <w:r w:rsidRPr="00FB229F">
        <w:rPr>
          <w:iCs/>
        </w:rPr>
        <w:t xml:space="preserve"> </w:t>
      </w:r>
      <w:r w:rsidR="00445C44">
        <w:rPr>
          <w:iCs/>
        </w:rPr>
        <w:t>PSD</w:t>
      </w:r>
      <w:r w:rsidRPr="00FB229F">
        <w:rPr>
          <w:iCs/>
        </w:rPr>
        <w:t xml:space="preserve">, March 2022 PBAC meeting). The prevalence of </w:t>
      </w:r>
      <w:r w:rsidRPr="00FB229F">
        <w:rPr>
          <w:i/>
        </w:rPr>
        <w:t>RET</w:t>
      </w:r>
      <w:r w:rsidRPr="00FB229F">
        <w:rPr>
          <w:iCs/>
        </w:rPr>
        <w:t xml:space="preserve"> fusions in this population was based on literature and </w:t>
      </w:r>
      <w:r w:rsidR="006A4E61" w:rsidRPr="00FB229F">
        <w:rPr>
          <w:iCs/>
        </w:rPr>
        <w:t xml:space="preserve">the evaluation considered this </w:t>
      </w:r>
      <w:r w:rsidRPr="00FB229F">
        <w:rPr>
          <w:iCs/>
        </w:rPr>
        <w:t xml:space="preserve">is a reasonable approach to determine the number of eligible patients, however, the estimate is highly uncertain. The submission additionally presented a sensitivity analysis to analyse the net cost to the PBS/RPBS for a </w:t>
      </w:r>
      <w:r w:rsidRPr="00FB229F">
        <w:rPr>
          <w:i/>
        </w:rPr>
        <w:t>RET</w:t>
      </w:r>
      <w:r w:rsidRPr="00FB229F">
        <w:rPr>
          <w:iCs/>
        </w:rPr>
        <w:t xml:space="preserve"> fusion prevalence of 1% and 3.2%. Given the low absolute percentage estimate, even a small increase (1-2%) in the estimated prevalence of </w:t>
      </w:r>
      <w:r w:rsidRPr="00FB229F">
        <w:rPr>
          <w:i/>
        </w:rPr>
        <w:t>RET</w:t>
      </w:r>
      <w:r w:rsidRPr="00FB229F">
        <w:rPr>
          <w:iCs/>
        </w:rPr>
        <w:t xml:space="preserve"> fusions leads to a very large increase in the net cost to the PBS/RPBS.</w:t>
      </w:r>
    </w:p>
    <w:p w14:paraId="5C24D983" w14:textId="6D495BCD" w:rsidR="00FC171B" w:rsidRPr="00FB229F" w:rsidRDefault="00FC171B" w:rsidP="00FC171B">
      <w:pPr>
        <w:pStyle w:val="3-BodyText"/>
        <w:ind w:left="709" w:hanging="709"/>
        <w:rPr>
          <w:color w:val="0066FF"/>
        </w:rPr>
      </w:pPr>
      <w:r w:rsidRPr="00FB229F">
        <w:t xml:space="preserve">The submission assumed that some prevalent cases would receive selpercatinib in the later-line setting. The total number of prevalent patients in Year 1 was estimated to be 28,250 based on the number of incident lung cancer cases, projected by the AIHW, in the two years prior to listing. The submission then applied the same estimates detailed for incident patients to derive the number of prevalent patients who would be eligible for treatment. </w:t>
      </w:r>
      <w:r w:rsidRPr="00FB229F">
        <w:rPr>
          <w:iCs/>
        </w:rPr>
        <w:t>Th</w:t>
      </w:r>
      <w:r w:rsidR="006A4E61" w:rsidRPr="00FB229F">
        <w:rPr>
          <w:iCs/>
        </w:rPr>
        <w:t xml:space="preserve">e evaluation considered this </w:t>
      </w:r>
      <w:r w:rsidRPr="00FB229F">
        <w:rPr>
          <w:iCs/>
        </w:rPr>
        <w:t xml:space="preserve">was not likely to be a reasonable approach to estimate the size of the prevalent population as the submission effectively assumed that all incident non-squamous or NOS NSCLC cases diagnosed at or who progress to Stage IIIB/IV disease who have </w:t>
      </w:r>
      <w:r w:rsidRPr="00FB229F">
        <w:rPr>
          <w:i/>
        </w:rPr>
        <w:t>RET</w:t>
      </w:r>
      <w:r w:rsidRPr="00FB229F">
        <w:rPr>
          <w:iCs/>
        </w:rPr>
        <w:t xml:space="preserve"> fusions in the two years prior to listing would be able to tolerate selpercatinib treatment. Previous submissions to the PBAC had estimated that only 50% of those able to tolerate first-line therapy could receive subsequent treatment (paragraph 6.81, </w:t>
      </w:r>
      <w:proofErr w:type="spellStart"/>
      <w:r w:rsidRPr="00FB229F">
        <w:rPr>
          <w:iCs/>
        </w:rPr>
        <w:t>Sotorasib</w:t>
      </w:r>
      <w:proofErr w:type="spellEnd"/>
      <w:r w:rsidRPr="00FB229F">
        <w:rPr>
          <w:iCs/>
        </w:rPr>
        <w:t xml:space="preserve"> </w:t>
      </w:r>
      <w:r w:rsidR="00445C44">
        <w:rPr>
          <w:iCs/>
        </w:rPr>
        <w:t xml:space="preserve">PSD </w:t>
      </w:r>
      <w:r w:rsidRPr="00FB229F">
        <w:rPr>
          <w:iCs/>
        </w:rPr>
        <w:t>March 2022 PBAC meeting). Furthermore, given that patients diagnosed at Stage IIIB/IV currently treated with first-line pembrolizumab + PC would progress on average after approximately 13.7 months (</w:t>
      </w:r>
      <w:r w:rsidRPr="00FB229F">
        <w:rPr>
          <w:iCs/>
        </w:rPr>
        <w:fldChar w:fldCharType="begin" w:fldLock="1"/>
      </w:r>
      <w:r w:rsidRPr="00FB229F">
        <w:rPr>
          <w:iCs/>
        </w:rPr>
        <w:instrText xml:space="preserve"> REF _Ref131777839 \h  \* MERGEFORMAT </w:instrText>
      </w:r>
      <w:r w:rsidRPr="00FB229F">
        <w:rPr>
          <w:iCs/>
        </w:rPr>
      </w:r>
      <w:r w:rsidRPr="00FB229F">
        <w:rPr>
          <w:iCs/>
        </w:rPr>
        <w:fldChar w:fldCharType="separate"/>
      </w:r>
      <w:r w:rsidR="006A4E61" w:rsidRPr="00FB229F">
        <w:rPr>
          <w:iCs/>
        </w:rPr>
        <w:t xml:space="preserve">Table </w:t>
      </w:r>
      <w:r w:rsidR="006A4E61" w:rsidRPr="0012315B">
        <w:rPr>
          <w:iCs/>
        </w:rPr>
        <w:t>22</w:t>
      </w:r>
      <w:r w:rsidRPr="00FB229F">
        <w:rPr>
          <w:iCs/>
        </w:rPr>
        <w:fldChar w:fldCharType="end"/>
      </w:r>
      <w:r w:rsidRPr="00FB229F">
        <w:rPr>
          <w:iCs/>
        </w:rPr>
        <w:t xml:space="preserve">), it may be optimistic to assume any incident cases diagnosed two years prior to the listing of selpercatinib would be able to tolerate treatment. </w:t>
      </w:r>
    </w:p>
    <w:p w14:paraId="0CB94B0A" w14:textId="32CE78F8" w:rsidR="00FC171B" w:rsidRPr="00FB229F" w:rsidRDefault="00FC171B" w:rsidP="00FC171B">
      <w:pPr>
        <w:pStyle w:val="3-BodyText"/>
        <w:ind w:left="709" w:hanging="709"/>
        <w:rPr>
          <w:color w:val="0066FF"/>
        </w:rPr>
      </w:pPr>
      <w:r w:rsidRPr="00FB229F">
        <w:t xml:space="preserve">All patients estimated to be eligible for selpercatinib were assumed to uptake treatment. Given the oral formulation and the targeted nature of the treatment, </w:t>
      </w:r>
      <w:r w:rsidR="006A4E61" w:rsidRPr="00FB229F">
        <w:t xml:space="preserve">the </w:t>
      </w:r>
      <w:r w:rsidR="006A4E61" w:rsidRPr="00FB229F">
        <w:lastRenderedPageBreak/>
        <w:t xml:space="preserve">evaluation considered </w:t>
      </w:r>
      <w:r w:rsidRPr="00FB229F">
        <w:t xml:space="preserve">this may be reasonable. Each patient was assumed to receive selpercatinib for 34.71 months (equivalent to 37.73 28-day cycles), based on TTD data extrapolated from the LIBRETTO-001 trial, and was applied irrespective of whether treatment was received in the first- or later-line. </w:t>
      </w:r>
      <w:r w:rsidR="006A4E61" w:rsidRPr="00FB229F">
        <w:t>T</w:t>
      </w:r>
      <w:r w:rsidRPr="00FB229F">
        <w:t xml:space="preserve">he same number of </w:t>
      </w:r>
      <w:r w:rsidR="00166045">
        <w:t>prescription</w:t>
      </w:r>
      <w:r w:rsidRPr="00FB229F">
        <w:t>s was also applied per grandfathered patient. No information was provided in the submission regarding how long these patients would be treated for prior to the PBS listing of selpercatinib.</w:t>
      </w:r>
    </w:p>
    <w:p w14:paraId="3B8066F2" w14:textId="563301CA" w:rsidR="00FC171B" w:rsidRPr="00FB229F" w:rsidRDefault="00FC171B" w:rsidP="00FC171B">
      <w:pPr>
        <w:pStyle w:val="3-BodyText"/>
        <w:ind w:left="709" w:hanging="709"/>
      </w:pPr>
      <w:r w:rsidRPr="00FB229F">
        <w:t>The cost of selpercatinib applied per 28-day cycle was estimated to be $</w:t>
      </w:r>
      <w:r w:rsidR="00816BFB" w:rsidRPr="00816BFB">
        <w:rPr>
          <w:w w:val="60"/>
          <w:highlight w:val="black"/>
          <w:fitText w:val="465" w:id="-1167880956"/>
        </w:rPr>
        <w:t>|||  ||</w:t>
      </w:r>
      <w:r w:rsidR="00816BFB" w:rsidRPr="00816BFB">
        <w:rPr>
          <w:spacing w:val="1"/>
          <w:w w:val="60"/>
          <w:highlight w:val="black"/>
          <w:fitText w:val="465" w:id="-1167880956"/>
        </w:rPr>
        <w:t>|</w:t>
      </w:r>
      <w:r w:rsidRPr="00FB229F">
        <w:t>for the 80 mg x 112 pack; $</w:t>
      </w:r>
      <w:r w:rsidR="00816BFB" w:rsidRPr="00BF0AEB">
        <w:rPr>
          <w:w w:val="15"/>
          <w:highlight w:val="black"/>
          <w:fitText w:val="-20" w:id="-1167880955"/>
        </w:rPr>
        <w:t xml:space="preserve">|  </w:t>
      </w:r>
      <w:r w:rsidR="00816BFB" w:rsidRPr="00BF0AEB">
        <w:rPr>
          <w:spacing w:val="-69"/>
          <w:w w:val="15"/>
          <w:highlight w:val="black"/>
          <w:fitText w:val="-20" w:id="-1167880955"/>
        </w:rPr>
        <w:t>|</w:t>
      </w:r>
      <w:r w:rsidRPr="00FB229F">
        <w:t>for the 80 mg x 56 pack and $</w:t>
      </w:r>
      <w:r w:rsidR="00816BFB" w:rsidRPr="00BF0AEB">
        <w:rPr>
          <w:w w:val="15"/>
          <w:highlight w:val="black"/>
          <w:fitText w:val="-20" w:id="-1167880954"/>
        </w:rPr>
        <w:t xml:space="preserve">|  </w:t>
      </w:r>
      <w:r w:rsidR="00816BFB" w:rsidRPr="00BF0AEB">
        <w:rPr>
          <w:spacing w:val="-69"/>
          <w:w w:val="15"/>
          <w:highlight w:val="black"/>
          <w:fitText w:val="-20" w:id="-1167880954"/>
        </w:rPr>
        <w:t>|</w:t>
      </w:r>
      <w:r w:rsidRPr="00FB229F">
        <w:t>for the 40 mg x 5</w:t>
      </w:r>
      <w:r w:rsidR="00445C44">
        <w:t>6</w:t>
      </w:r>
      <w:r w:rsidRPr="00FB229F">
        <w:t xml:space="preserve"> pack. This was based on the distribution of doses, as used in the LIBRETTO-001 trial, following dose modifications, considering the number and cost of packs required for each dose (as two packs are required to fill the 120 mg dose). </w:t>
      </w:r>
    </w:p>
    <w:p w14:paraId="47FA211D" w14:textId="3B60F360" w:rsidR="00FC171B" w:rsidRPr="00FB229F" w:rsidRDefault="00FC171B" w:rsidP="00FC171B">
      <w:pPr>
        <w:pStyle w:val="3-BodyText"/>
        <w:ind w:left="709" w:hanging="709"/>
      </w:pPr>
      <w:r w:rsidRPr="00FB229F">
        <w:t xml:space="preserve">The total cost to the PBS/RPBS of listing selpercatinib increased from </w:t>
      </w:r>
      <w:r w:rsidR="005D7076" w:rsidRPr="005D7076">
        <w:t>$20 million to &lt; $30 million</w:t>
      </w:r>
      <w:r w:rsidR="005D7076" w:rsidRPr="005D7076" w:rsidDel="005D7076">
        <w:t xml:space="preserve"> </w:t>
      </w:r>
      <w:r w:rsidRPr="00FB229F">
        <w:t xml:space="preserve">in Year 1 to </w:t>
      </w:r>
      <w:r w:rsidR="005D7076" w:rsidRPr="005D7076">
        <w:t>$30 million to &lt; $40 million</w:t>
      </w:r>
      <w:r w:rsidR="005D7076" w:rsidRPr="005D7076" w:rsidDel="005D7076">
        <w:t xml:space="preserve"> </w:t>
      </w:r>
      <w:r w:rsidRPr="00FB229F">
        <w:t xml:space="preserve">in Year 3, before reducing to </w:t>
      </w:r>
      <w:r w:rsidR="005D7076" w:rsidRPr="005D7076">
        <w:t>$20 million to &lt; $30 million</w:t>
      </w:r>
      <w:r w:rsidR="005D7076" w:rsidRPr="005D7076" w:rsidDel="005D7076">
        <w:t xml:space="preserve"> </w:t>
      </w:r>
      <w:r w:rsidRPr="00FB229F">
        <w:t>in Year 6 (</w:t>
      </w:r>
      <w:r w:rsidRPr="00FB229F">
        <w:fldChar w:fldCharType="begin" w:fldLock="1"/>
      </w:r>
      <w:r w:rsidRPr="00FB229F">
        <w:instrText xml:space="preserve"> REF _Ref132635365 \h </w:instrText>
      </w:r>
      <w:r w:rsidRPr="00FB229F">
        <w:fldChar w:fldCharType="separate"/>
      </w:r>
      <w:r w:rsidRPr="00FB229F">
        <w:t xml:space="preserve">Table </w:t>
      </w:r>
      <w:r w:rsidRPr="0012315B">
        <w:t>27</w:t>
      </w:r>
      <w:r w:rsidRPr="00FB229F">
        <w:fldChar w:fldCharType="end"/>
      </w:r>
      <w:r w:rsidRPr="00FB229F">
        <w:t xml:space="preserve">). The total cost was estimated to be </w:t>
      </w:r>
      <w:r w:rsidR="005D7076" w:rsidRPr="005D7076">
        <w:t>$100 million to &lt; $200 million</w:t>
      </w:r>
      <w:r w:rsidR="005D7076" w:rsidRPr="005D7076" w:rsidDel="005D7076">
        <w:t xml:space="preserve"> </w:t>
      </w:r>
      <w:r w:rsidRPr="00FB229F">
        <w:t xml:space="preserve">over the first 6 years of listing. No cost offsets were assumed as the submission considered that selpercatinib would displace rather than replace current use of pembrolizumab + PC. </w:t>
      </w:r>
      <w:r w:rsidR="004650E6" w:rsidRPr="00FB229F">
        <w:rPr>
          <w:iCs/>
        </w:rPr>
        <w:t xml:space="preserve">The evaluation considered this </w:t>
      </w:r>
      <w:r w:rsidR="00A94A3C" w:rsidRPr="00FB229F">
        <w:rPr>
          <w:iCs/>
        </w:rPr>
        <w:t xml:space="preserve">assumption </w:t>
      </w:r>
      <w:r w:rsidR="004650E6" w:rsidRPr="00FB229F">
        <w:rPr>
          <w:iCs/>
        </w:rPr>
        <w:t>was</w:t>
      </w:r>
      <w:r w:rsidR="00E5337E" w:rsidRPr="00FB229F">
        <w:rPr>
          <w:iCs/>
        </w:rPr>
        <w:t xml:space="preserve"> reasonable. </w:t>
      </w:r>
    </w:p>
    <w:p w14:paraId="61D52F26" w14:textId="77777777" w:rsidR="00FC171B" w:rsidRPr="00FB229F" w:rsidRDefault="00FC171B" w:rsidP="00FC171B">
      <w:pPr>
        <w:pStyle w:val="Caption"/>
      </w:pPr>
      <w:bookmarkStart w:id="100" w:name="_Ref132635365"/>
      <w:r w:rsidRPr="00FB229F">
        <w:lastRenderedPageBreak/>
        <w:t xml:space="preserve">Table </w:t>
      </w:r>
      <w:r w:rsidR="00BF0AEB">
        <w:fldChar w:fldCharType="begin" w:fldLock="1"/>
      </w:r>
      <w:r w:rsidR="00BF0AEB">
        <w:instrText xml:space="preserve"> SEQ Table \* ARABIC </w:instrText>
      </w:r>
      <w:r w:rsidR="00BF0AEB">
        <w:fldChar w:fldCharType="separate"/>
      </w:r>
      <w:r w:rsidRPr="0012315B">
        <w:t>27</w:t>
      </w:r>
      <w:r w:rsidR="00BF0AEB">
        <w:fldChar w:fldCharType="end"/>
      </w:r>
      <w:bookmarkEnd w:id="100"/>
      <w:r w:rsidRPr="00FB229F">
        <w:t>: Estimated use and financial implications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0"/>
        <w:gridCol w:w="1184"/>
        <w:gridCol w:w="1184"/>
        <w:gridCol w:w="1184"/>
        <w:gridCol w:w="1184"/>
        <w:gridCol w:w="1184"/>
        <w:gridCol w:w="1188"/>
      </w:tblGrid>
      <w:tr w:rsidR="00FC171B" w:rsidRPr="008D56E6" w14:paraId="2B00B5C7" w14:textId="77777777" w:rsidTr="00DA2BF8">
        <w:trPr>
          <w:tblHeader/>
        </w:trPr>
        <w:tc>
          <w:tcPr>
            <w:tcW w:w="1140" w:type="pct"/>
            <w:shd w:val="clear" w:color="auto" w:fill="auto"/>
            <w:vAlign w:val="center"/>
          </w:tcPr>
          <w:p w14:paraId="4A7EA7EF" w14:textId="77777777" w:rsidR="00FC171B" w:rsidRPr="00816BFB" w:rsidRDefault="00FC171B" w:rsidP="00DA2BF8">
            <w:pPr>
              <w:pStyle w:val="In-tableHeading"/>
              <w:jc w:val="center"/>
              <w:rPr>
                <w:szCs w:val="20"/>
                <w:lang w:val="en-AU"/>
              </w:rPr>
            </w:pPr>
          </w:p>
        </w:tc>
        <w:tc>
          <w:tcPr>
            <w:tcW w:w="643" w:type="pct"/>
            <w:shd w:val="clear" w:color="auto" w:fill="auto"/>
            <w:vAlign w:val="center"/>
          </w:tcPr>
          <w:p w14:paraId="77FD6193" w14:textId="77777777" w:rsidR="00FC171B" w:rsidRPr="00816BFB" w:rsidRDefault="00FC171B" w:rsidP="00DA2BF8">
            <w:pPr>
              <w:pStyle w:val="In-tableHeading"/>
              <w:jc w:val="center"/>
              <w:rPr>
                <w:szCs w:val="20"/>
                <w:lang w:val="en-AU"/>
              </w:rPr>
            </w:pPr>
            <w:r w:rsidRPr="00816BFB">
              <w:rPr>
                <w:szCs w:val="20"/>
                <w:lang w:val="en-AU"/>
              </w:rPr>
              <w:t>Year 1</w:t>
            </w:r>
          </w:p>
        </w:tc>
        <w:tc>
          <w:tcPr>
            <w:tcW w:w="643" w:type="pct"/>
            <w:shd w:val="clear" w:color="auto" w:fill="auto"/>
            <w:vAlign w:val="center"/>
          </w:tcPr>
          <w:p w14:paraId="4E9537DE" w14:textId="77777777" w:rsidR="00FC171B" w:rsidRPr="00816BFB" w:rsidRDefault="00FC171B" w:rsidP="00DA2BF8">
            <w:pPr>
              <w:pStyle w:val="In-tableHeading"/>
              <w:jc w:val="center"/>
              <w:rPr>
                <w:szCs w:val="20"/>
                <w:lang w:val="en-AU"/>
              </w:rPr>
            </w:pPr>
            <w:r w:rsidRPr="00816BFB">
              <w:rPr>
                <w:szCs w:val="20"/>
                <w:lang w:val="en-AU"/>
              </w:rPr>
              <w:t>Year 2</w:t>
            </w:r>
          </w:p>
        </w:tc>
        <w:tc>
          <w:tcPr>
            <w:tcW w:w="643" w:type="pct"/>
            <w:shd w:val="clear" w:color="auto" w:fill="auto"/>
            <w:vAlign w:val="center"/>
          </w:tcPr>
          <w:p w14:paraId="4D8D160A" w14:textId="77777777" w:rsidR="00FC171B" w:rsidRPr="00816BFB" w:rsidRDefault="00FC171B" w:rsidP="00DA2BF8">
            <w:pPr>
              <w:pStyle w:val="In-tableHeading"/>
              <w:jc w:val="center"/>
              <w:rPr>
                <w:szCs w:val="20"/>
                <w:lang w:val="en-AU"/>
              </w:rPr>
            </w:pPr>
            <w:r w:rsidRPr="00816BFB">
              <w:rPr>
                <w:szCs w:val="20"/>
                <w:lang w:val="en-AU"/>
              </w:rPr>
              <w:t>Year 3</w:t>
            </w:r>
          </w:p>
        </w:tc>
        <w:tc>
          <w:tcPr>
            <w:tcW w:w="643" w:type="pct"/>
            <w:shd w:val="clear" w:color="auto" w:fill="auto"/>
            <w:vAlign w:val="center"/>
          </w:tcPr>
          <w:p w14:paraId="38936808" w14:textId="77777777" w:rsidR="00FC171B" w:rsidRPr="00816BFB" w:rsidRDefault="00FC171B" w:rsidP="00DA2BF8">
            <w:pPr>
              <w:pStyle w:val="In-tableHeading"/>
              <w:jc w:val="center"/>
              <w:rPr>
                <w:szCs w:val="20"/>
                <w:lang w:val="en-AU"/>
              </w:rPr>
            </w:pPr>
            <w:r w:rsidRPr="00816BFB">
              <w:rPr>
                <w:szCs w:val="20"/>
                <w:lang w:val="en-AU"/>
              </w:rPr>
              <w:t>Year 4</w:t>
            </w:r>
          </w:p>
        </w:tc>
        <w:tc>
          <w:tcPr>
            <w:tcW w:w="643" w:type="pct"/>
            <w:shd w:val="clear" w:color="auto" w:fill="auto"/>
            <w:vAlign w:val="center"/>
          </w:tcPr>
          <w:p w14:paraId="0A0AD20D" w14:textId="77777777" w:rsidR="00FC171B" w:rsidRPr="00816BFB" w:rsidRDefault="00FC171B" w:rsidP="00DA2BF8">
            <w:pPr>
              <w:pStyle w:val="In-tableHeading"/>
              <w:jc w:val="center"/>
              <w:rPr>
                <w:szCs w:val="20"/>
                <w:lang w:val="en-AU"/>
              </w:rPr>
            </w:pPr>
            <w:r w:rsidRPr="00816BFB">
              <w:rPr>
                <w:szCs w:val="20"/>
                <w:lang w:val="en-AU"/>
              </w:rPr>
              <w:t>Year 5</w:t>
            </w:r>
          </w:p>
        </w:tc>
        <w:tc>
          <w:tcPr>
            <w:tcW w:w="645" w:type="pct"/>
          </w:tcPr>
          <w:p w14:paraId="5C28F9B7" w14:textId="77777777" w:rsidR="00FC171B" w:rsidRPr="00816BFB" w:rsidRDefault="00FC171B" w:rsidP="00DA2BF8">
            <w:pPr>
              <w:pStyle w:val="In-tableHeading"/>
              <w:jc w:val="center"/>
              <w:rPr>
                <w:szCs w:val="20"/>
                <w:lang w:val="en-AU"/>
              </w:rPr>
            </w:pPr>
            <w:r w:rsidRPr="00816BFB">
              <w:rPr>
                <w:szCs w:val="20"/>
                <w:lang w:val="en-AU"/>
              </w:rPr>
              <w:t>Year 6</w:t>
            </w:r>
          </w:p>
        </w:tc>
      </w:tr>
      <w:tr w:rsidR="00FC171B" w:rsidRPr="008D56E6" w14:paraId="1F868E5A" w14:textId="77777777" w:rsidTr="00DA2BF8">
        <w:tc>
          <w:tcPr>
            <w:tcW w:w="5000" w:type="pct"/>
            <w:gridSpan w:val="7"/>
            <w:shd w:val="clear" w:color="auto" w:fill="auto"/>
            <w:vAlign w:val="center"/>
          </w:tcPr>
          <w:p w14:paraId="554A5408" w14:textId="77777777" w:rsidR="00FC171B" w:rsidRPr="00816BFB" w:rsidRDefault="00FC171B" w:rsidP="00DA2BF8">
            <w:pPr>
              <w:pStyle w:val="TableText0"/>
              <w:rPr>
                <w:b/>
                <w:color w:val="000000"/>
                <w:szCs w:val="20"/>
              </w:rPr>
            </w:pPr>
            <w:r w:rsidRPr="00816BFB">
              <w:rPr>
                <w:b/>
                <w:bCs w:val="0"/>
                <w:color w:val="000000"/>
                <w:szCs w:val="20"/>
              </w:rPr>
              <w:t>Estimated extent of use</w:t>
            </w:r>
          </w:p>
        </w:tc>
      </w:tr>
      <w:tr w:rsidR="00FC171B" w:rsidRPr="008D56E6" w14:paraId="36E38B38" w14:textId="77777777" w:rsidTr="00DA2BF8">
        <w:tc>
          <w:tcPr>
            <w:tcW w:w="1140" w:type="pct"/>
            <w:shd w:val="clear" w:color="auto" w:fill="auto"/>
            <w:vAlign w:val="center"/>
          </w:tcPr>
          <w:p w14:paraId="080FC533" w14:textId="77777777" w:rsidR="00FC171B" w:rsidRPr="00816BFB" w:rsidRDefault="00FC171B" w:rsidP="00DA2BF8">
            <w:pPr>
              <w:pStyle w:val="TableText0"/>
              <w:rPr>
                <w:szCs w:val="20"/>
              </w:rPr>
            </w:pPr>
            <w:r w:rsidRPr="00816BFB">
              <w:rPr>
                <w:szCs w:val="20"/>
              </w:rPr>
              <w:t>Number of incident patients eligible for treatment</w:t>
            </w:r>
          </w:p>
        </w:tc>
        <w:tc>
          <w:tcPr>
            <w:tcW w:w="643" w:type="pct"/>
            <w:shd w:val="clear" w:color="auto" w:fill="auto"/>
            <w:vAlign w:val="center"/>
          </w:tcPr>
          <w:p w14:paraId="600CF956" w14:textId="694399A5"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53"/>
              </w:rPr>
              <w:t xml:space="preserve">　</w:t>
            </w:r>
            <w:r w:rsidRPr="00BF0AEB">
              <w:rPr>
                <w:color w:val="000000"/>
                <w:w w:val="15"/>
                <w:szCs w:val="20"/>
                <w:highlight w:val="black"/>
                <w:fitText w:val="16" w:id="-1167880953"/>
              </w:rPr>
              <w:t>|</w:t>
            </w:r>
            <w:r w:rsidRPr="00BF0AEB">
              <w:rPr>
                <w:rFonts w:hint="eastAsia"/>
                <w:color w:val="000000"/>
                <w:spacing w:val="-49"/>
                <w:w w:val="15"/>
                <w:szCs w:val="20"/>
                <w:highlight w:val="black"/>
                <w:fitText w:val="16" w:id="-1167880953"/>
              </w:rPr>
              <w:t xml:space="preserve">　</w:t>
            </w:r>
            <w:r w:rsidR="005D7076">
              <w:rPr>
                <w:color w:val="000000"/>
                <w:szCs w:val="20"/>
                <w:vertAlign w:val="superscript"/>
              </w:rPr>
              <w:t xml:space="preserve"> 1</w:t>
            </w:r>
          </w:p>
        </w:tc>
        <w:tc>
          <w:tcPr>
            <w:tcW w:w="643" w:type="pct"/>
            <w:shd w:val="clear" w:color="auto" w:fill="auto"/>
            <w:vAlign w:val="center"/>
          </w:tcPr>
          <w:p w14:paraId="6CC640D7" w14:textId="62850496"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7" w:id="-1167880952"/>
              </w:rPr>
              <w:t xml:space="preserve">　</w:t>
            </w:r>
            <w:r w:rsidRPr="00BF0AEB">
              <w:rPr>
                <w:color w:val="000000"/>
                <w:w w:val="15"/>
                <w:szCs w:val="20"/>
                <w:highlight w:val="black"/>
                <w:fitText w:val="17" w:id="-1167880952"/>
              </w:rPr>
              <w:t>|</w:t>
            </w:r>
            <w:r w:rsidRPr="00BF0AEB">
              <w:rPr>
                <w:rFonts w:hint="eastAsia"/>
                <w:color w:val="000000"/>
                <w:spacing w:val="-48"/>
                <w:w w:val="15"/>
                <w:szCs w:val="20"/>
                <w:highlight w:val="black"/>
                <w:fitText w:val="17" w:id="-1167880952"/>
              </w:rPr>
              <w:t xml:space="preserve">　</w:t>
            </w:r>
            <w:r w:rsidR="005D7076">
              <w:rPr>
                <w:color w:val="000000"/>
                <w:szCs w:val="20"/>
                <w:vertAlign w:val="superscript"/>
              </w:rPr>
              <w:t xml:space="preserve"> 1</w:t>
            </w:r>
          </w:p>
        </w:tc>
        <w:tc>
          <w:tcPr>
            <w:tcW w:w="643" w:type="pct"/>
            <w:shd w:val="clear" w:color="auto" w:fill="auto"/>
            <w:vAlign w:val="center"/>
          </w:tcPr>
          <w:p w14:paraId="0CB267D4" w14:textId="4106C63C"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7" w:id="-1167880951"/>
              </w:rPr>
              <w:t xml:space="preserve">　</w:t>
            </w:r>
            <w:r w:rsidRPr="00BF0AEB">
              <w:rPr>
                <w:color w:val="000000"/>
                <w:w w:val="15"/>
                <w:szCs w:val="20"/>
                <w:highlight w:val="black"/>
                <w:fitText w:val="17" w:id="-1167880951"/>
              </w:rPr>
              <w:t>|</w:t>
            </w:r>
            <w:r w:rsidRPr="00BF0AEB">
              <w:rPr>
                <w:rFonts w:hint="eastAsia"/>
                <w:color w:val="000000"/>
                <w:spacing w:val="-48"/>
                <w:w w:val="15"/>
                <w:szCs w:val="20"/>
                <w:highlight w:val="black"/>
                <w:fitText w:val="17" w:id="-1167880951"/>
              </w:rPr>
              <w:t xml:space="preserve">　</w:t>
            </w:r>
            <w:r w:rsidR="005D7076">
              <w:rPr>
                <w:color w:val="000000"/>
                <w:szCs w:val="20"/>
                <w:vertAlign w:val="superscript"/>
              </w:rPr>
              <w:t xml:space="preserve"> 1</w:t>
            </w:r>
          </w:p>
        </w:tc>
        <w:tc>
          <w:tcPr>
            <w:tcW w:w="643" w:type="pct"/>
            <w:shd w:val="clear" w:color="auto" w:fill="auto"/>
            <w:vAlign w:val="center"/>
          </w:tcPr>
          <w:p w14:paraId="3345DCE6" w14:textId="67BDE9FA"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50"/>
              </w:rPr>
              <w:t xml:space="preserve">　</w:t>
            </w:r>
            <w:r w:rsidRPr="00BF0AEB">
              <w:rPr>
                <w:color w:val="000000"/>
                <w:w w:val="15"/>
                <w:szCs w:val="20"/>
                <w:highlight w:val="black"/>
                <w:fitText w:val="16" w:id="-1167880950"/>
              </w:rPr>
              <w:t>|</w:t>
            </w:r>
            <w:r w:rsidRPr="00BF0AEB">
              <w:rPr>
                <w:rFonts w:hint="eastAsia"/>
                <w:color w:val="000000"/>
                <w:spacing w:val="-49"/>
                <w:w w:val="15"/>
                <w:szCs w:val="20"/>
                <w:highlight w:val="black"/>
                <w:fitText w:val="16" w:id="-1167880950"/>
              </w:rPr>
              <w:t xml:space="preserve">　</w:t>
            </w:r>
            <w:r w:rsidR="005D7076">
              <w:rPr>
                <w:color w:val="000000"/>
                <w:szCs w:val="20"/>
                <w:vertAlign w:val="superscript"/>
              </w:rPr>
              <w:t xml:space="preserve"> 1</w:t>
            </w:r>
          </w:p>
        </w:tc>
        <w:tc>
          <w:tcPr>
            <w:tcW w:w="643" w:type="pct"/>
            <w:shd w:val="clear" w:color="auto" w:fill="auto"/>
            <w:vAlign w:val="center"/>
          </w:tcPr>
          <w:p w14:paraId="1A3835D4" w14:textId="64EAF186"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49"/>
              </w:rPr>
              <w:t xml:space="preserve">　</w:t>
            </w:r>
            <w:r w:rsidRPr="00BF0AEB">
              <w:rPr>
                <w:color w:val="000000"/>
                <w:w w:val="15"/>
                <w:szCs w:val="20"/>
                <w:highlight w:val="black"/>
                <w:fitText w:val="16" w:id="-1167880949"/>
              </w:rPr>
              <w:t>|</w:t>
            </w:r>
            <w:r w:rsidRPr="00BF0AEB">
              <w:rPr>
                <w:rFonts w:hint="eastAsia"/>
                <w:color w:val="000000"/>
                <w:spacing w:val="-49"/>
                <w:w w:val="15"/>
                <w:szCs w:val="20"/>
                <w:highlight w:val="black"/>
                <w:fitText w:val="16" w:id="-1167880949"/>
              </w:rPr>
              <w:t xml:space="preserve">　</w:t>
            </w:r>
            <w:r w:rsidR="005D7076">
              <w:rPr>
                <w:color w:val="000000"/>
                <w:szCs w:val="20"/>
                <w:vertAlign w:val="superscript"/>
              </w:rPr>
              <w:t xml:space="preserve"> 1</w:t>
            </w:r>
          </w:p>
        </w:tc>
        <w:tc>
          <w:tcPr>
            <w:tcW w:w="645" w:type="pct"/>
            <w:vAlign w:val="center"/>
          </w:tcPr>
          <w:p w14:paraId="7975CA6C" w14:textId="4FBF14CA"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7" w:id="-1167880948"/>
              </w:rPr>
              <w:t xml:space="preserve">　</w:t>
            </w:r>
            <w:r w:rsidRPr="00BF0AEB">
              <w:rPr>
                <w:color w:val="000000"/>
                <w:w w:val="15"/>
                <w:szCs w:val="20"/>
                <w:highlight w:val="black"/>
                <w:fitText w:val="17" w:id="-1167880948"/>
              </w:rPr>
              <w:t>|</w:t>
            </w:r>
            <w:r w:rsidRPr="00BF0AEB">
              <w:rPr>
                <w:rFonts w:hint="eastAsia"/>
                <w:color w:val="000000"/>
                <w:spacing w:val="-48"/>
                <w:w w:val="15"/>
                <w:szCs w:val="20"/>
                <w:highlight w:val="black"/>
                <w:fitText w:val="17" w:id="-1167880948"/>
              </w:rPr>
              <w:t xml:space="preserve">　</w:t>
            </w:r>
            <w:r w:rsidR="005D7076">
              <w:rPr>
                <w:color w:val="000000"/>
                <w:szCs w:val="20"/>
                <w:vertAlign w:val="superscript"/>
              </w:rPr>
              <w:t xml:space="preserve"> 1</w:t>
            </w:r>
          </w:p>
        </w:tc>
      </w:tr>
      <w:tr w:rsidR="00FC171B" w:rsidRPr="008D56E6" w14:paraId="2FB13AA5" w14:textId="77777777" w:rsidTr="00DA2BF8">
        <w:tc>
          <w:tcPr>
            <w:tcW w:w="1140" w:type="pct"/>
            <w:shd w:val="clear" w:color="auto" w:fill="auto"/>
            <w:vAlign w:val="center"/>
          </w:tcPr>
          <w:p w14:paraId="5260B218" w14:textId="77777777" w:rsidR="00FC171B" w:rsidRPr="00816BFB" w:rsidRDefault="00FC171B" w:rsidP="00DA2BF8">
            <w:pPr>
              <w:pStyle w:val="TableText0"/>
              <w:rPr>
                <w:szCs w:val="20"/>
              </w:rPr>
            </w:pPr>
            <w:r w:rsidRPr="00816BFB">
              <w:rPr>
                <w:szCs w:val="20"/>
              </w:rPr>
              <w:t>Number of prevalent patients eligible for treatment</w:t>
            </w:r>
          </w:p>
        </w:tc>
        <w:tc>
          <w:tcPr>
            <w:tcW w:w="643" w:type="pct"/>
            <w:shd w:val="clear" w:color="auto" w:fill="auto"/>
            <w:vAlign w:val="center"/>
          </w:tcPr>
          <w:p w14:paraId="629D18E2" w14:textId="65B1C8FE"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47"/>
              </w:rPr>
              <w:t xml:space="preserve">　</w:t>
            </w:r>
            <w:r w:rsidRPr="00BF0AEB">
              <w:rPr>
                <w:color w:val="000000"/>
                <w:w w:val="15"/>
                <w:szCs w:val="20"/>
                <w:highlight w:val="black"/>
                <w:fitText w:val="16" w:id="-1167880947"/>
              </w:rPr>
              <w:t>|</w:t>
            </w:r>
            <w:r w:rsidRPr="00BF0AEB">
              <w:rPr>
                <w:rFonts w:hint="eastAsia"/>
                <w:color w:val="000000"/>
                <w:spacing w:val="-49"/>
                <w:w w:val="15"/>
                <w:szCs w:val="20"/>
                <w:highlight w:val="black"/>
                <w:fitText w:val="16" w:id="-1167880947"/>
              </w:rPr>
              <w:t xml:space="preserve">　</w:t>
            </w:r>
            <w:r w:rsidR="005D7076">
              <w:rPr>
                <w:color w:val="000000"/>
                <w:szCs w:val="20"/>
                <w:vertAlign w:val="superscript"/>
              </w:rPr>
              <w:t xml:space="preserve"> 1</w:t>
            </w:r>
          </w:p>
        </w:tc>
        <w:tc>
          <w:tcPr>
            <w:tcW w:w="643" w:type="pct"/>
            <w:shd w:val="clear" w:color="auto" w:fill="auto"/>
            <w:vAlign w:val="center"/>
          </w:tcPr>
          <w:p w14:paraId="3FD091F5" w14:textId="77777777" w:rsidR="00FC171B" w:rsidRPr="00816BFB" w:rsidRDefault="00FC171B" w:rsidP="00DA2BF8">
            <w:pPr>
              <w:pStyle w:val="TableText0"/>
              <w:jc w:val="center"/>
              <w:rPr>
                <w:color w:val="000000"/>
                <w:szCs w:val="20"/>
              </w:rPr>
            </w:pPr>
          </w:p>
        </w:tc>
        <w:tc>
          <w:tcPr>
            <w:tcW w:w="643" w:type="pct"/>
            <w:shd w:val="clear" w:color="auto" w:fill="auto"/>
            <w:vAlign w:val="center"/>
          </w:tcPr>
          <w:p w14:paraId="3F7C4782" w14:textId="77777777" w:rsidR="00FC171B" w:rsidRPr="00816BFB" w:rsidRDefault="00FC171B" w:rsidP="00DA2BF8">
            <w:pPr>
              <w:pStyle w:val="TableText0"/>
              <w:jc w:val="center"/>
              <w:rPr>
                <w:color w:val="000000"/>
                <w:szCs w:val="20"/>
              </w:rPr>
            </w:pPr>
          </w:p>
        </w:tc>
        <w:tc>
          <w:tcPr>
            <w:tcW w:w="643" w:type="pct"/>
            <w:shd w:val="clear" w:color="auto" w:fill="auto"/>
            <w:vAlign w:val="center"/>
          </w:tcPr>
          <w:p w14:paraId="1DD02876" w14:textId="77777777" w:rsidR="00FC171B" w:rsidRPr="00816BFB" w:rsidRDefault="00FC171B" w:rsidP="00DA2BF8">
            <w:pPr>
              <w:pStyle w:val="TableText0"/>
              <w:jc w:val="center"/>
              <w:rPr>
                <w:color w:val="000000"/>
                <w:szCs w:val="20"/>
              </w:rPr>
            </w:pPr>
          </w:p>
        </w:tc>
        <w:tc>
          <w:tcPr>
            <w:tcW w:w="643" w:type="pct"/>
            <w:shd w:val="clear" w:color="auto" w:fill="auto"/>
            <w:vAlign w:val="center"/>
          </w:tcPr>
          <w:p w14:paraId="55ACEF5D" w14:textId="77777777" w:rsidR="00FC171B" w:rsidRPr="00816BFB" w:rsidRDefault="00FC171B" w:rsidP="00DA2BF8">
            <w:pPr>
              <w:pStyle w:val="TableText0"/>
              <w:jc w:val="center"/>
              <w:rPr>
                <w:color w:val="000000"/>
                <w:szCs w:val="20"/>
              </w:rPr>
            </w:pPr>
          </w:p>
        </w:tc>
        <w:tc>
          <w:tcPr>
            <w:tcW w:w="645" w:type="pct"/>
            <w:vAlign w:val="center"/>
          </w:tcPr>
          <w:p w14:paraId="66679AF9" w14:textId="77777777" w:rsidR="00FC171B" w:rsidRPr="00816BFB" w:rsidRDefault="00FC171B" w:rsidP="00DA2BF8">
            <w:pPr>
              <w:pStyle w:val="TableText0"/>
              <w:jc w:val="center"/>
              <w:rPr>
                <w:color w:val="000000"/>
                <w:szCs w:val="20"/>
              </w:rPr>
            </w:pPr>
          </w:p>
        </w:tc>
      </w:tr>
      <w:tr w:rsidR="00FC171B" w:rsidRPr="008D56E6" w14:paraId="71B13C57" w14:textId="77777777" w:rsidTr="00DA2BF8">
        <w:tc>
          <w:tcPr>
            <w:tcW w:w="1140" w:type="pct"/>
            <w:shd w:val="clear" w:color="auto" w:fill="auto"/>
            <w:vAlign w:val="center"/>
          </w:tcPr>
          <w:p w14:paraId="3D238CE8" w14:textId="77777777" w:rsidR="00FC171B" w:rsidRPr="00816BFB" w:rsidRDefault="00FC171B" w:rsidP="00DA2BF8">
            <w:pPr>
              <w:pStyle w:val="TableText0"/>
              <w:rPr>
                <w:szCs w:val="20"/>
              </w:rPr>
            </w:pPr>
            <w:r w:rsidRPr="00816BFB">
              <w:rPr>
                <w:szCs w:val="20"/>
              </w:rPr>
              <w:t>Number of grandfathered patients</w:t>
            </w:r>
          </w:p>
        </w:tc>
        <w:tc>
          <w:tcPr>
            <w:tcW w:w="643" w:type="pct"/>
            <w:shd w:val="clear" w:color="auto" w:fill="auto"/>
            <w:vAlign w:val="center"/>
          </w:tcPr>
          <w:p w14:paraId="17E16644" w14:textId="4123A788" w:rsidR="00FC171B" w:rsidRPr="00816BFB" w:rsidRDefault="00816BFB" w:rsidP="00DA2BF8">
            <w:pPr>
              <w:pStyle w:val="TableText0"/>
              <w:jc w:val="center"/>
              <w:rPr>
                <w:color w:val="000000"/>
                <w:szCs w:val="20"/>
                <w:vertAlign w:val="superscript"/>
              </w:rPr>
            </w:pPr>
            <w:r w:rsidRPr="00BF0AEB">
              <w:rPr>
                <w:rFonts w:hint="eastAsia"/>
                <w:color w:val="000000"/>
                <w:w w:val="15"/>
                <w:szCs w:val="20"/>
                <w:highlight w:val="black"/>
                <w:fitText w:val="16" w:id="-1167880946"/>
              </w:rPr>
              <w:t xml:space="preserve">　</w:t>
            </w:r>
            <w:r w:rsidRPr="00BF0AEB">
              <w:rPr>
                <w:color w:val="000000"/>
                <w:w w:val="15"/>
                <w:szCs w:val="20"/>
                <w:highlight w:val="black"/>
                <w:fitText w:val="16" w:id="-1167880946"/>
              </w:rPr>
              <w:t>|</w:t>
            </w:r>
            <w:r w:rsidRPr="00BF0AEB">
              <w:rPr>
                <w:rFonts w:hint="eastAsia"/>
                <w:color w:val="000000"/>
                <w:spacing w:val="-49"/>
                <w:w w:val="15"/>
                <w:szCs w:val="20"/>
                <w:highlight w:val="black"/>
                <w:fitText w:val="16" w:id="-1167880946"/>
              </w:rPr>
              <w:t xml:space="preserve">　</w:t>
            </w:r>
            <w:r w:rsidR="005D7076">
              <w:rPr>
                <w:color w:val="000000"/>
                <w:szCs w:val="20"/>
                <w:vertAlign w:val="superscript"/>
              </w:rPr>
              <w:t xml:space="preserve"> 1</w:t>
            </w:r>
          </w:p>
        </w:tc>
        <w:tc>
          <w:tcPr>
            <w:tcW w:w="643" w:type="pct"/>
            <w:shd w:val="clear" w:color="auto" w:fill="auto"/>
            <w:vAlign w:val="center"/>
          </w:tcPr>
          <w:p w14:paraId="3D1D0B35" w14:textId="77777777" w:rsidR="00FC171B" w:rsidRPr="00816BFB" w:rsidRDefault="00FC171B" w:rsidP="00DA2BF8">
            <w:pPr>
              <w:pStyle w:val="TableText0"/>
              <w:jc w:val="center"/>
              <w:rPr>
                <w:color w:val="000000"/>
                <w:szCs w:val="20"/>
              </w:rPr>
            </w:pPr>
          </w:p>
        </w:tc>
        <w:tc>
          <w:tcPr>
            <w:tcW w:w="643" w:type="pct"/>
            <w:shd w:val="clear" w:color="auto" w:fill="auto"/>
            <w:vAlign w:val="center"/>
          </w:tcPr>
          <w:p w14:paraId="1E43B531" w14:textId="77777777" w:rsidR="00FC171B" w:rsidRPr="00816BFB" w:rsidRDefault="00FC171B" w:rsidP="00DA2BF8">
            <w:pPr>
              <w:pStyle w:val="TableText0"/>
              <w:jc w:val="center"/>
              <w:rPr>
                <w:color w:val="000000"/>
                <w:szCs w:val="20"/>
              </w:rPr>
            </w:pPr>
          </w:p>
        </w:tc>
        <w:tc>
          <w:tcPr>
            <w:tcW w:w="643" w:type="pct"/>
            <w:shd w:val="clear" w:color="auto" w:fill="auto"/>
            <w:vAlign w:val="center"/>
          </w:tcPr>
          <w:p w14:paraId="268AD079" w14:textId="77777777" w:rsidR="00FC171B" w:rsidRPr="00816BFB" w:rsidRDefault="00FC171B" w:rsidP="00DA2BF8">
            <w:pPr>
              <w:pStyle w:val="TableText0"/>
              <w:jc w:val="center"/>
              <w:rPr>
                <w:color w:val="000000"/>
                <w:szCs w:val="20"/>
              </w:rPr>
            </w:pPr>
          </w:p>
        </w:tc>
        <w:tc>
          <w:tcPr>
            <w:tcW w:w="643" w:type="pct"/>
            <w:shd w:val="clear" w:color="auto" w:fill="auto"/>
            <w:vAlign w:val="center"/>
          </w:tcPr>
          <w:p w14:paraId="366C8A39" w14:textId="77777777" w:rsidR="00FC171B" w:rsidRPr="00816BFB" w:rsidRDefault="00FC171B" w:rsidP="00DA2BF8">
            <w:pPr>
              <w:pStyle w:val="TableText0"/>
              <w:jc w:val="center"/>
              <w:rPr>
                <w:color w:val="000000"/>
                <w:szCs w:val="20"/>
              </w:rPr>
            </w:pPr>
          </w:p>
        </w:tc>
        <w:tc>
          <w:tcPr>
            <w:tcW w:w="645" w:type="pct"/>
            <w:vAlign w:val="center"/>
          </w:tcPr>
          <w:p w14:paraId="7CFF857E" w14:textId="77777777" w:rsidR="00FC171B" w:rsidRPr="00816BFB" w:rsidRDefault="00FC171B" w:rsidP="00DA2BF8">
            <w:pPr>
              <w:pStyle w:val="TableText0"/>
              <w:jc w:val="center"/>
              <w:rPr>
                <w:color w:val="000000"/>
                <w:szCs w:val="20"/>
              </w:rPr>
            </w:pPr>
          </w:p>
        </w:tc>
      </w:tr>
      <w:tr w:rsidR="00FC171B" w:rsidRPr="008D56E6" w14:paraId="50D9B888" w14:textId="77777777" w:rsidTr="00DA2BF8">
        <w:tc>
          <w:tcPr>
            <w:tcW w:w="1140" w:type="pct"/>
            <w:shd w:val="clear" w:color="auto" w:fill="auto"/>
            <w:vAlign w:val="center"/>
          </w:tcPr>
          <w:p w14:paraId="3764C254" w14:textId="77777777" w:rsidR="00FC171B" w:rsidRPr="00816BFB" w:rsidRDefault="00FC171B" w:rsidP="00DA2BF8">
            <w:pPr>
              <w:pStyle w:val="TableText0"/>
              <w:rPr>
                <w:szCs w:val="20"/>
              </w:rPr>
            </w:pPr>
            <w:r w:rsidRPr="00816BFB">
              <w:rPr>
                <w:szCs w:val="20"/>
              </w:rPr>
              <w:t>Number of eligible patients (100% uptake)</w:t>
            </w:r>
          </w:p>
        </w:tc>
        <w:tc>
          <w:tcPr>
            <w:tcW w:w="643" w:type="pct"/>
            <w:shd w:val="clear" w:color="auto" w:fill="auto"/>
            <w:vAlign w:val="center"/>
          </w:tcPr>
          <w:p w14:paraId="2F7FD992" w14:textId="2567BDDF"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45"/>
              </w:rPr>
              <w:t xml:space="preserve">　</w:t>
            </w:r>
            <w:r w:rsidRPr="00BF0AEB">
              <w:rPr>
                <w:color w:val="000000"/>
                <w:w w:val="15"/>
                <w:szCs w:val="20"/>
                <w:highlight w:val="black"/>
                <w:fitText w:val="16" w:id="-1167880945"/>
              </w:rPr>
              <w:t>|</w:t>
            </w:r>
            <w:r w:rsidRPr="00BF0AEB">
              <w:rPr>
                <w:rFonts w:hint="eastAsia"/>
                <w:color w:val="000000"/>
                <w:spacing w:val="-49"/>
                <w:w w:val="15"/>
                <w:szCs w:val="20"/>
                <w:highlight w:val="black"/>
                <w:fitText w:val="16" w:id="-1167880945"/>
              </w:rPr>
              <w:t xml:space="preserve">　</w:t>
            </w:r>
            <w:r w:rsidR="005D7076">
              <w:rPr>
                <w:color w:val="000000"/>
                <w:szCs w:val="20"/>
                <w:vertAlign w:val="superscript"/>
              </w:rPr>
              <w:t xml:space="preserve"> 1</w:t>
            </w:r>
          </w:p>
        </w:tc>
        <w:tc>
          <w:tcPr>
            <w:tcW w:w="643" w:type="pct"/>
            <w:shd w:val="clear" w:color="auto" w:fill="auto"/>
            <w:vAlign w:val="center"/>
          </w:tcPr>
          <w:p w14:paraId="56CA93B3" w14:textId="1D1586B5"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7" w:id="-1167880944"/>
              </w:rPr>
              <w:t xml:space="preserve">　</w:t>
            </w:r>
            <w:r w:rsidRPr="00BF0AEB">
              <w:rPr>
                <w:color w:val="000000"/>
                <w:w w:val="15"/>
                <w:szCs w:val="20"/>
                <w:highlight w:val="black"/>
                <w:fitText w:val="17" w:id="-1167880944"/>
              </w:rPr>
              <w:t>|</w:t>
            </w:r>
            <w:r w:rsidRPr="00BF0AEB">
              <w:rPr>
                <w:rFonts w:hint="eastAsia"/>
                <w:color w:val="000000"/>
                <w:spacing w:val="-48"/>
                <w:w w:val="15"/>
                <w:szCs w:val="20"/>
                <w:highlight w:val="black"/>
                <w:fitText w:val="17" w:id="-1167880944"/>
              </w:rPr>
              <w:t xml:space="preserve">　</w:t>
            </w:r>
            <w:r w:rsidR="005D7076">
              <w:rPr>
                <w:color w:val="000000"/>
                <w:szCs w:val="20"/>
                <w:vertAlign w:val="superscript"/>
              </w:rPr>
              <w:t xml:space="preserve"> 1</w:t>
            </w:r>
          </w:p>
        </w:tc>
        <w:tc>
          <w:tcPr>
            <w:tcW w:w="643" w:type="pct"/>
            <w:shd w:val="clear" w:color="auto" w:fill="auto"/>
            <w:vAlign w:val="center"/>
          </w:tcPr>
          <w:p w14:paraId="349115D1" w14:textId="1B69ACBC"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7" w:id="-1167880960"/>
              </w:rPr>
              <w:t xml:space="preserve">　</w:t>
            </w:r>
            <w:r w:rsidRPr="00BF0AEB">
              <w:rPr>
                <w:color w:val="000000"/>
                <w:w w:val="15"/>
                <w:szCs w:val="20"/>
                <w:highlight w:val="black"/>
                <w:fitText w:val="17" w:id="-1167880960"/>
              </w:rPr>
              <w:t>|</w:t>
            </w:r>
            <w:r w:rsidRPr="00BF0AEB">
              <w:rPr>
                <w:rFonts w:hint="eastAsia"/>
                <w:color w:val="000000"/>
                <w:spacing w:val="-48"/>
                <w:w w:val="15"/>
                <w:szCs w:val="20"/>
                <w:highlight w:val="black"/>
                <w:fitText w:val="17" w:id="-1167880960"/>
              </w:rPr>
              <w:t xml:space="preserve">　</w:t>
            </w:r>
            <w:r w:rsidR="005D7076">
              <w:rPr>
                <w:color w:val="000000"/>
                <w:szCs w:val="20"/>
                <w:vertAlign w:val="superscript"/>
              </w:rPr>
              <w:t xml:space="preserve"> 1</w:t>
            </w:r>
          </w:p>
        </w:tc>
        <w:tc>
          <w:tcPr>
            <w:tcW w:w="643" w:type="pct"/>
            <w:shd w:val="clear" w:color="auto" w:fill="auto"/>
            <w:vAlign w:val="center"/>
          </w:tcPr>
          <w:p w14:paraId="3CFEB9F5" w14:textId="33F147DB"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59"/>
              </w:rPr>
              <w:t xml:space="preserve">　</w:t>
            </w:r>
            <w:r w:rsidRPr="00BF0AEB">
              <w:rPr>
                <w:color w:val="000000"/>
                <w:w w:val="15"/>
                <w:szCs w:val="20"/>
                <w:highlight w:val="black"/>
                <w:fitText w:val="16" w:id="-1167880959"/>
              </w:rPr>
              <w:t>|</w:t>
            </w:r>
            <w:r w:rsidRPr="00BF0AEB">
              <w:rPr>
                <w:rFonts w:hint="eastAsia"/>
                <w:color w:val="000000"/>
                <w:spacing w:val="-49"/>
                <w:w w:val="15"/>
                <w:szCs w:val="20"/>
                <w:highlight w:val="black"/>
                <w:fitText w:val="16" w:id="-1167880959"/>
              </w:rPr>
              <w:t xml:space="preserve">　</w:t>
            </w:r>
            <w:r w:rsidR="005D7076">
              <w:rPr>
                <w:color w:val="000000"/>
                <w:szCs w:val="20"/>
                <w:vertAlign w:val="superscript"/>
              </w:rPr>
              <w:t xml:space="preserve"> 1</w:t>
            </w:r>
          </w:p>
        </w:tc>
        <w:tc>
          <w:tcPr>
            <w:tcW w:w="643" w:type="pct"/>
            <w:shd w:val="clear" w:color="auto" w:fill="auto"/>
            <w:vAlign w:val="center"/>
          </w:tcPr>
          <w:p w14:paraId="1330CD57" w14:textId="0AF834D1"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58"/>
              </w:rPr>
              <w:t xml:space="preserve">　</w:t>
            </w:r>
            <w:r w:rsidRPr="00BF0AEB">
              <w:rPr>
                <w:color w:val="000000"/>
                <w:w w:val="15"/>
                <w:szCs w:val="20"/>
                <w:highlight w:val="black"/>
                <w:fitText w:val="16" w:id="-1167880958"/>
              </w:rPr>
              <w:t>|</w:t>
            </w:r>
            <w:r w:rsidRPr="00BF0AEB">
              <w:rPr>
                <w:rFonts w:hint="eastAsia"/>
                <w:color w:val="000000"/>
                <w:spacing w:val="-49"/>
                <w:w w:val="15"/>
                <w:szCs w:val="20"/>
                <w:highlight w:val="black"/>
                <w:fitText w:val="16" w:id="-1167880958"/>
              </w:rPr>
              <w:t xml:space="preserve">　</w:t>
            </w:r>
            <w:r w:rsidR="005D7076">
              <w:rPr>
                <w:color w:val="000000"/>
                <w:szCs w:val="20"/>
                <w:vertAlign w:val="superscript"/>
              </w:rPr>
              <w:t xml:space="preserve"> 1</w:t>
            </w:r>
          </w:p>
        </w:tc>
        <w:tc>
          <w:tcPr>
            <w:tcW w:w="645" w:type="pct"/>
            <w:vAlign w:val="center"/>
          </w:tcPr>
          <w:p w14:paraId="52423435" w14:textId="3E505F62"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7" w:id="-1167880957"/>
              </w:rPr>
              <w:t xml:space="preserve">　</w:t>
            </w:r>
            <w:r w:rsidRPr="00BF0AEB">
              <w:rPr>
                <w:color w:val="000000"/>
                <w:w w:val="15"/>
                <w:szCs w:val="20"/>
                <w:highlight w:val="black"/>
                <w:fitText w:val="17" w:id="-1167880957"/>
              </w:rPr>
              <w:t>|</w:t>
            </w:r>
            <w:r w:rsidRPr="00BF0AEB">
              <w:rPr>
                <w:rFonts w:hint="eastAsia"/>
                <w:color w:val="000000"/>
                <w:spacing w:val="-48"/>
                <w:w w:val="15"/>
                <w:szCs w:val="20"/>
                <w:highlight w:val="black"/>
                <w:fitText w:val="17" w:id="-1167880957"/>
              </w:rPr>
              <w:t xml:space="preserve">　</w:t>
            </w:r>
            <w:r w:rsidR="005D7076">
              <w:rPr>
                <w:color w:val="000000"/>
                <w:szCs w:val="20"/>
                <w:vertAlign w:val="superscript"/>
              </w:rPr>
              <w:t xml:space="preserve"> 1</w:t>
            </w:r>
          </w:p>
        </w:tc>
      </w:tr>
      <w:tr w:rsidR="00FC171B" w:rsidRPr="008D56E6" w14:paraId="37BF3D0C" w14:textId="77777777" w:rsidTr="00DA2BF8">
        <w:tc>
          <w:tcPr>
            <w:tcW w:w="1140" w:type="pct"/>
            <w:shd w:val="clear" w:color="auto" w:fill="auto"/>
            <w:vAlign w:val="center"/>
          </w:tcPr>
          <w:p w14:paraId="4B892D18" w14:textId="52E69F4D" w:rsidR="00FC171B" w:rsidRPr="00816BFB" w:rsidRDefault="00FC171B" w:rsidP="00DA2BF8">
            <w:pPr>
              <w:pStyle w:val="TableText0"/>
              <w:rPr>
                <w:szCs w:val="20"/>
                <w:vertAlign w:val="superscript"/>
              </w:rPr>
            </w:pPr>
            <w:r w:rsidRPr="00816BFB">
              <w:rPr>
                <w:szCs w:val="20"/>
              </w:rPr>
              <w:t xml:space="preserve">Number of patients </w:t>
            </w:r>
            <w:proofErr w:type="spellStart"/>
            <w:r w:rsidRPr="00816BFB">
              <w:rPr>
                <w:szCs w:val="20"/>
              </w:rPr>
              <w:t>treated</w:t>
            </w:r>
            <w:r w:rsidRPr="00816BFB">
              <w:rPr>
                <w:szCs w:val="20"/>
                <w:vertAlign w:val="superscript"/>
              </w:rPr>
              <w:t>a</w:t>
            </w:r>
            <w:proofErr w:type="spellEnd"/>
          </w:p>
        </w:tc>
        <w:tc>
          <w:tcPr>
            <w:tcW w:w="643" w:type="pct"/>
            <w:shd w:val="clear" w:color="auto" w:fill="auto"/>
            <w:vAlign w:val="center"/>
          </w:tcPr>
          <w:p w14:paraId="6893DCF0" w14:textId="68DBE978"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56"/>
              </w:rPr>
              <w:t xml:space="preserve">　</w:t>
            </w:r>
            <w:r w:rsidRPr="00BF0AEB">
              <w:rPr>
                <w:color w:val="000000"/>
                <w:w w:val="15"/>
                <w:szCs w:val="20"/>
                <w:highlight w:val="black"/>
                <w:fitText w:val="16" w:id="-1167880956"/>
              </w:rPr>
              <w:t>|</w:t>
            </w:r>
            <w:r w:rsidRPr="00BF0AEB">
              <w:rPr>
                <w:rFonts w:hint="eastAsia"/>
                <w:color w:val="000000"/>
                <w:spacing w:val="-49"/>
                <w:w w:val="15"/>
                <w:szCs w:val="20"/>
                <w:highlight w:val="black"/>
                <w:fitText w:val="16" w:id="-1167880956"/>
              </w:rPr>
              <w:t xml:space="preserve">　</w:t>
            </w:r>
            <w:r w:rsidR="005D7076">
              <w:rPr>
                <w:color w:val="000000"/>
                <w:szCs w:val="20"/>
                <w:vertAlign w:val="superscript"/>
              </w:rPr>
              <w:t xml:space="preserve"> 1</w:t>
            </w:r>
          </w:p>
        </w:tc>
        <w:tc>
          <w:tcPr>
            <w:tcW w:w="643" w:type="pct"/>
            <w:shd w:val="clear" w:color="auto" w:fill="auto"/>
            <w:vAlign w:val="center"/>
          </w:tcPr>
          <w:p w14:paraId="0B8FE09F" w14:textId="43300367"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7" w:id="-1167880955"/>
              </w:rPr>
              <w:t xml:space="preserve">　</w:t>
            </w:r>
            <w:r w:rsidRPr="00BF0AEB">
              <w:rPr>
                <w:color w:val="000000"/>
                <w:w w:val="15"/>
                <w:szCs w:val="20"/>
                <w:highlight w:val="black"/>
                <w:fitText w:val="17" w:id="-1167880955"/>
              </w:rPr>
              <w:t>|</w:t>
            </w:r>
            <w:r w:rsidRPr="00BF0AEB">
              <w:rPr>
                <w:rFonts w:hint="eastAsia"/>
                <w:color w:val="000000"/>
                <w:spacing w:val="-48"/>
                <w:w w:val="15"/>
                <w:szCs w:val="20"/>
                <w:highlight w:val="black"/>
                <w:fitText w:val="17" w:id="-1167880955"/>
              </w:rPr>
              <w:t xml:space="preserve">　</w:t>
            </w:r>
            <w:r w:rsidR="005D7076">
              <w:rPr>
                <w:color w:val="000000"/>
                <w:szCs w:val="20"/>
                <w:vertAlign w:val="superscript"/>
              </w:rPr>
              <w:t xml:space="preserve"> 1</w:t>
            </w:r>
          </w:p>
        </w:tc>
        <w:tc>
          <w:tcPr>
            <w:tcW w:w="643" w:type="pct"/>
            <w:shd w:val="clear" w:color="auto" w:fill="auto"/>
            <w:vAlign w:val="center"/>
          </w:tcPr>
          <w:p w14:paraId="29A8E9C9" w14:textId="228073C6"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7" w:id="-1167880954"/>
              </w:rPr>
              <w:t xml:space="preserve">　</w:t>
            </w:r>
            <w:r w:rsidRPr="00BF0AEB">
              <w:rPr>
                <w:color w:val="000000"/>
                <w:w w:val="15"/>
                <w:szCs w:val="20"/>
                <w:highlight w:val="black"/>
                <w:fitText w:val="17" w:id="-1167880954"/>
              </w:rPr>
              <w:t>|</w:t>
            </w:r>
            <w:r w:rsidRPr="00BF0AEB">
              <w:rPr>
                <w:rFonts w:hint="eastAsia"/>
                <w:color w:val="000000"/>
                <w:spacing w:val="-48"/>
                <w:w w:val="15"/>
                <w:szCs w:val="20"/>
                <w:highlight w:val="black"/>
                <w:fitText w:val="17" w:id="-1167880954"/>
              </w:rPr>
              <w:t xml:space="preserve">　</w:t>
            </w:r>
            <w:r w:rsidR="005D7076">
              <w:rPr>
                <w:color w:val="000000"/>
                <w:szCs w:val="20"/>
                <w:vertAlign w:val="superscript"/>
              </w:rPr>
              <w:t xml:space="preserve"> 1</w:t>
            </w:r>
          </w:p>
        </w:tc>
        <w:tc>
          <w:tcPr>
            <w:tcW w:w="643" w:type="pct"/>
            <w:shd w:val="clear" w:color="auto" w:fill="auto"/>
            <w:vAlign w:val="center"/>
          </w:tcPr>
          <w:p w14:paraId="501D9C6F" w14:textId="26BF5367"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53"/>
              </w:rPr>
              <w:t xml:space="preserve">　</w:t>
            </w:r>
            <w:r w:rsidRPr="00BF0AEB">
              <w:rPr>
                <w:color w:val="000000"/>
                <w:w w:val="15"/>
                <w:szCs w:val="20"/>
                <w:highlight w:val="black"/>
                <w:fitText w:val="16" w:id="-1167880953"/>
              </w:rPr>
              <w:t>|</w:t>
            </w:r>
            <w:r w:rsidRPr="00BF0AEB">
              <w:rPr>
                <w:rFonts w:hint="eastAsia"/>
                <w:color w:val="000000"/>
                <w:spacing w:val="-49"/>
                <w:w w:val="15"/>
                <w:szCs w:val="20"/>
                <w:highlight w:val="black"/>
                <w:fitText w:val="16" w:id="-1167880953"/>
              </w:rPr>
              <w:t xml:space="preserve">　</w:t>
            </w:r>
            <w:r w:rsidR="005D7076">
              <w:rPr>
                <w:color w:val="000000"/>
                <w:szCs w:val="20"/>
                <w:vertAlign w:val="superscript"/>
              </w:rPr>
              <w:t xml:space="preserve"> 1</w:t>
            </w:r>
          </w:p>
        </w:tc>
        <w:tc>
          <w:tcPr>
            <w:tcW w:w="643" w:type="pct"/>
            <w:shd w:val="clear" w:color="auto" w:fill="auto"/>
            <w:vAlign w:val="center"/>
          </w:tcPr>
          <w:p w14:paraId="1B07350E" w14:textId="6EB57794"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6" w:id="-1167880952"/>
              </w:rPr>
              <w:t xml:space="preserve">　</w:t>
            </w:r>
            <w:r w:rsidRPr="00BF0AEB">
              <w:rPr>
                <w:color w:val="000000"/>
                <w:w w:val="15"/>
                <w:szCs w:val="20"/>
                <w:highlight w:val="black"/>
                <w:fitText w:val="16" w:id="-1167880952"/>
              </w:rPr>
              <w:t>|</w:t>
            </w:r>
            <w:r w:rsidRPr="00BF0AEB">
              <w:rPr>
                <w:rFonts w:hint="eastAsia"/>
                <w:color w:val="000000"/>
                <w:spacing w:val="-49"/>
                <w:w w:val="15"/>
                <w:szCs w:val="20"/>
                <w:highlight w:val="black"/>
                <w:fitText w:val="16" w:id="-1167880952"/>
              </w:rPr>
              <w:t xml:space="preserve">　</w:t>
            </w:r>
            <w:r w:rsidR="005D7076">
              <w:rPr>
                <w:color w:val="000000"/>
                <w:szCs w:val="20"/>
                <w:vertAlign w:val="superscript"/>
              </w:rPr>
              <w:t xml:space="preserve"> 1</w:t>
            </w:r>
          </w:p>
        </w:tc>
        <w:tc>
          <w:tcPr>
            <w:tcW w:w="645" w:type="pct"/>
          </w:tcPr>
          <w:p w14:paraId="7E8B0EAF" w14:textId="03654884" w:rsidR="00FC171B" w:rsidRPr="00816BFB" w:rsidRDefault="00816BFB" w:rsidP="00DA2BF8">
            <w:pPr>
              <w:pStyle w:val="TableText0"/>
              <w:jc w:val="center"/>
              <w:rPr>
                <w:color w:val="000000"/>
                <w:szCs w:val="20"/>
              </w:rPr>
            </w:pPr>
            <w:r w:rsidRPr="00BF0AEB">
              <w:rPr>
                <w:rFonts w:hint="eastAsia"/>
                <w:color w:val="000000"/>
                <w:w w:val="15"/>
                <w:szCs w:val="20"/>
                <w:highlight w:val="black"/>
                <w:fitText w:val="17" w:id="-1167880951"/>
              </w:rPr>
              <w:t xml:space="preserve">　</w:t>
            </w:r>
            <w:r w:rsidRPr="00BF0AEB">
              <w:rPr>
                <w:color w:val="000000"/>
                <w:w w:val="15"/>
                <w:szCs w:val="20"/>
                <w:highlight w:val="black"/>
                <w:fitText w:val="17" w:id="-1167880951"/>
              </w:rPr>
              <w:t>|</w:t>
            </w:r>
            <w:r w:rsidRPr="00BF0AEB">
              <w:rPr>
                <w:rFonts w:hint="eastAsia"/>
                <w:color w:val="000000"/>
                <w:spacing w:val="-48"/>
                <w:w w:val="15"/>
                <w:szCs w:val="20"/>
                <w:highlight w:val="black"/>
                <w:fitText w:val="17" w:id="-1167880951"/>
              </w:rPr>
              <w:t xml:space="preserve">　</w:t>
            </w:r>
            <w:r w:rsidR="005D7076">
              <w:rPr>
                <w:color w:val="000000"/>
                <w:szCs w:val="20"/>
                <w:vertAlign w:val="superscript"/>
              </w:rPr>
              <w:t xml:space="preserve"> 1</w:t>
            </w:r>
          </w:p>
        </w:tc>
      </w:tr>
      <w:tr w:rsidR="00FC171B" w:rsidRPr="008D56E6" w14:paraId="236AA7CB" w14:textId="77777777" w:rsidTr="00DA2BF8">
        <w:tc>
          <w:tcPr>
            <w:tcW w:w="1140" w:type="pct"/>
            <w:shd w:val="clear" w:color="auto" w:fill="auto"/>
            <w:vAlign w:val="center"/>
          </w:tcPr>
          <w:p w14:paraId="3E95B75F" w14:textId="77777777" w:rsidR="00FC171B" w:rsidRPr="00816BFB" w:rsidRDefault="00FC171B" w:rsidP="00DA2BF8">
            <w:pPr>
              <w:pStyle w:val="TableText0"/>
              <w:rPr>
                <w:szCs w:val="20"/>
              </w:rPr>
            </w:pPr>
            <w:r w:rsidRPr="00816BFB">
              <w:rPr>
                <w:szCs w:val="20"/>
              </w:rPr>
              <w:t xml:space="preserve">Number of scripts dispensed </w:t>
            </w:r>
          </w:p>
          <w:p w14:paraId="10A89254" w14:textId="77777777" w:rsidR="00FC171B" w:rsidRPr="00816BFB" w:rsidRDefault="00FC171B" w:rsidP="00DA2BF8">
            <w:pPr>
              <w:pStyle w:val="TableText0"/>
              <w:rPr>
                <w:szCs w:val="20"/>
              </w:rPr>
            </w:pPr>
            <w:r w:rsidRPr="00816BFB">
              <w:rPr>
                <w:szCs w:val="20"/>
              </w:rPr>
              <w:t>80 mg x 112 pack</w:t>
            </w:r>
          </w:p>
        </w:tc>
        <w:tc>
          <w:tcPr>
            <w:tcW w:w="643" w:type="pct"/>
            <w:shd w:val="clear" w:color="auto" w:fill="auto"/>
            <w:vAlign w:val="center"/>
          </w:tcPr>
          <w:p w14:paraId="2E0259B0" w14:textId="32BA2ECE" w:rsidR="00FC171B" w:rsidRPr="00816BFB" w:rsidRDefault="00816BFB" w:rsidP="00DA2BF8">
            <w:pPr>
              <w:pStyle w:val="TableText0"/>
              <w:jc w:val="center"/>
              <w:rPr>
                <w:color w:val="000000"/>
                <w:szCs w:val="20"/>
                <w:highlight w:val="darkGray"/>
                <w:vertAlign w:val="superscript"/>
              </w:rPr>
            </w:pPr>
            <w:r w:rsidRPr="00816BFB">
              <w:rPr>
                <w:rFonts w:cs="Arial" w:hint="eastAsia"/>
                <w:color w:val="000000"/>
                <w:w w:val="15"/>
                <w:szCs w:val="20"/>
                <w:highlight w:val="black"/>
                <w:fitText w:val="32" w:id="-1167880950"/>
              </w:rPr>
              <w:t xml:space="preserve">　</w:t>
            </w:r>
            <w:r w:rsidRPr="00816BFB">
              <w:rPr>
                <w:rFonts w:cs="Arial"/>
                <w:color w:val="000000"/>
                <w:w w:val="15"/>
                <w:szCs w:val="20"/>
                <w:highlight w:val="black"/>
                <w:fitText w:val="32" w:id="-1167880950"/>
              </w:rPr>
              <w:t>|</w:t>
            </w:r>
            <w:r w:rsidRPr="00816BFB">
              <w:rPr>
                <w:rFonts w:cs="Arial" w:hint="eastAsia"/>
                <w:color w:val="000000"/>
                <w:spacing w:val="-33"/>
                <w:w w:val="15"/>
                <w:szCs w:val="20"/>
                <w:highlight w:val="black"/>
                <w:fitText w:val="32" w:id="-1167880950"/>
              </w:rPr>
              <w:t xml:space="preserve">　</w:t>
            </w:r>
            <w:r w:rsidR="00FC171B" w:rsidRPr="00816BFB">
              <w:rPr>
                <w:rFonts w:cs="Arial"/>
                <w:color w:val="000000"/>
                <w:szCs w:val="20"/>
              </w:rPr>
              <w:t xml:space="preserve"> </w:t>
            </w:r>
            <w:r w:rsidR="005D7076" w:rsidRPr="00877009">
              <w:rPr>
                <w:rFonts w:cs="Arial"/>
                <w:color w:val="000000"/>
                <w:szCs w:val="20"/>
                <w:vertAlign w:val="superscript"/>
              </w:rPr>
              <w:t>2</w:t>
            </w:r>
          </w:p>
        </w:tc>
        <w:tc>
          <w:tcPr>
            <w:tcW w:w="643" w:type="pct"/>
            <w:shd w:val="clear" w:color="auto" w:fill="auto"/>
            <w:vAlign w:val="center"/>
          </w:tcPr>
          <w:p w14:paraId="2B377F1E" w14:textId="5EDA2DD1" w:rsidR="00FC171B" w:rsidRPr="00816BFB" w:rsidRDefault="00816BFB" w:rsidP="00DA2BF8">
            <w:pPr>
              <w:pStyle w:val="TableText0"/>
              <w:jc w:val="center"/>
              <w:rPr>
                <w:color w:val="000000"/>
                <w:szCs w:val="20"/>
              </w:rPr>
            </w:pPr>
            <w:r w:rsidRPr="00816BFB">
              <w:rPr>
                <w:rFonts w:cs="Arial" w:hint="eastAsia"/>
                <w:color w:val="000000"/>
                <w:w w:val="15"/>
                <w:szCs w:val="20"/>
                <w:highlight w:val="black"/>
                <w:fitText w:val="49" w:id="-1167880949"/>
              </w:rPr>
              <w:t xml:space="preserve">　</w:t>
            </w:r>
            <w:r w:rsidRPr="00816BFB">
              <w:rPr>
                <w:rFonts w:cs="Arial"/>
                <w:color w:val="000000"/>
                <w:w w:val="15"/>
                <w:szCs w:val="20"/>
                <w:highlight w:val="black"/>
                <w:fitText w:val="49" w:id="-1167880949"/>
              </w:rPr>
              <w:t>|</w:t>
            </w:r>
            <w:r w:rsidRPr="00816BFB">
              <w:rPr>
                <w:rFonts w:cs="Arial" w:hint="eastAsia"/>
                <w:color w:val="000000"/>
                <w:spacing w:val="-16"/>
                <w:w w:val="15"/>
                <w:szCs w:val="20"/>
                <w:highlight w:val="black"/>
                <w:fitText w:val="49" w:id="-1167880949"/>
              </w:rPr>
              <w:t xml:space="preserve">　</w:t>
            </w:r>
            <w:r w:rsidR="00FC171B" w:rsidRPr="00816BFB">
              <w:rPr>
                <w:rFonts w:cs="Arial"/>
                <w:color w:val="000000"/>
                <w:szCs w:val="20"/>
              </w:rPr>
              <w:t xml:space="preserve"> </w:t>
            </w:r>
            <w:r w:rsidR="005D7076" w:rsidRPr="00DF6E70">
              <w:rPr>
                <w:rFonts w:cs="Arial"/>
                <w:color w:val="000000"/>
                <w:szCs w:val="20"/>
              </w:rPr>
              <w:t xml:space="preserve"> </w:t>
            </w:r>
            <w:r w:rsidR="005D7076">
              <w:rPr>
                <w:rFonts w:cs="Arial"/>
                <w:color w:val="000000"/>
                <w:szCs w:val="20"/>
                <w:vertAlign w:val="superscript"/>
              </w:rPr>
              <w:t>2</w:t>
            </w:r>
          </w:p>
        </w:tc>
        <w:tc>
          <w:tcPr>
            <w:tcW w:w="643" w:type="pct"/>
            <w:shd w:val="clear" w:color="auto" w:fill="auto"/>
            <w:vAlign w:val="center"/>
          </w:tcPr>
          <w:p w14:paraId="0B1474FF" w14:textId="67B38CD8" w:rsidR="00FC171B" w:rsidRPr="00816BFB" w:rsidRDefault="00816BFB" w:rsidP="00DA2BF8">
            <w:pPr>
              <w:pStyle w:val="TableText0"/>
              <w:jc w:val="center"/>
              <w:rPr>
                <w:color w:val="000000"/>
                <w:szCs w:val="20"/>
                <w:highlight w:val="darkGray"/>
              </w:rPr>
            </w:pPr>
            <w:r w:rsidRPr="00816BFB">
              <w:rPr>
                <w:rFonts w:cs="Arial" w:hint="eastAsia"/>
                <w:color w:val="000000"/>
                <w:w w:val="15"/>
                <w:szCs w:val="20"/>
                <w:highlight w:val="black"/>
                <w:fitText w:val="49" w:id="-1167880948"/>
              </w:rPr>
              <w:t xml:space="preserve">　</w:t>
            </w:r>
            <w:r w:rsidRPr="00816BFB">
              <w:rPr>
                <w:rFonts w:cs="Arial"/>
                <w:color w:val="000000"/>
                <w:w w:val="15"/>
                <w:szCs w:val="20"/>
                <w:highlight w:val="black"/>
                <w:fitText w:val="49" w:id="-1167880948"/>
              </w:rPr>
              <w:t>|</w:t>
            </w:r>
            <w:r w:rsidRPr="00816BFB">
              <w:rPr>
                <w:rFonts w:cs="Arial" w:hint="eastAsia"/>
                <w:color w:val="000000"/>
                <w:spacing w:val="-16"/>
                <w:w w:val="15"/>
                <w:szCs w:val="20"/>
                <w:highlight w:val="black"/>
                <w:fitText w:val="49" w:id="-1167880948"/>
              </w:rPr>
              <w:t xml:space="preserve">　</w:t>
            </w:r>
            <w:r w:rsidR="00FC171B" w:rsidRPr="00816BFB">
              <w:rPr>
                <w:rFonts w:cs="Arial"/>
                <w:color w:val="000000"/>
                <w:szCs w:val="20"/>
              </w:rPr>
              <w:t xml:space="preserve"> </w:t>
            </w:r>
            <w:r w:rsidR="005D7076" w:rsidRPr="00877009">
              <w:rPr>
                <w:rFonts w:cs="Arial"/>
                <w:color w:val="000000"/>
                <w:szCs w:val="20"/>
                <w:vertAlign w:val="superscript"/>
              </w:rPr>
              <w:t>2</w:t>
            </w:r>
          </w:p>
        </w:tc>
        <w:tc>
          <w:tcPr>
            <w:tcW w:w="643" w:type="pct"/>
            <w:shd w:val="clear" w:color="auto" w:fill="auto"/>
            <w:vAlign w:val="center"/>
          </w:tcPr>
          <w:p w14:paraId="2AD91EF9" w14:textId="176A650E" w:rsidR="00FC171B" w:rsidRPr="00816BFB" w:rsidRDefault="00816BFB" w:rsidP="00DA2BF8">
            <w:pPr>
              <w:pStyle w:val="TableText0"/>
              <w:jc w:val="center"/>
              <w:rPr>
                <w:color w:val="000000"/>
                <w:szCs w:val="20"/>
              </w:rPr>
            </w:pPr>
            <w:r w:rsidRPr="00816BFB">
              <w:rPr>
                <w:rFonts w:cs="Arial" w:hint="eastAsia"/>
                <w:color w:val="000000"/>
                <w:w w:val="15"/>
                <w:szCs w:val="20"/>
                <w:highlight w:val="black"/>
                <w:fitText w:val="49" w:id="-1167880947"/>
              </w:rPr>
              <w:t xml:space="preserve">　</w:t>
            </w:r>
            <w:r w:rsidRPr="00816BFB">
              <w:rPr>
                <w:rFonts w:cs="Arial"/>
                <w:color w:val="000000"/>
                <w:w w:val="15"/>
                <w:szCs w:val="20"/>
                <w:highlight w:val="black"/>
                <w:fitText w:val="49" w:id="-1167880947"/>
              </w:rPr>
              <w:t>|</w:t>
            </w:r>
            <w:r w:rsidRPr="00816BFB">
              <w:rPr>
                <w:rFonts w:cs="Arial" w:hint="eastAsia"/>
                <w:color w:val="000000"/>
                <w:spacing w:val="-16"/>
                <w:w w:val="15"/>
                <w:szCs w:val="20"/>
                <w:highlight w:val="black"/>
                <w:fitText w:val="49" w:id="-1167880947"/>
              </w:rPr>
              <w:t xml:space="preserve">　</w:t>
            </w:r>
            <w:r w:rsidR="00FC171B" w:rsidRPr="00816BFB">
              <w:rPr>
                <w:rFonts w:cs="Arial"/>
                <w:color w:val="000000"/>
                <w:szCs w:val="20"/>
              </w:rPr>
              <w:t xml:space="preserve"> </w:t>
            </w:r>
            <w:r w:rsidR="005D7076">
              <w:rPr>
                <w:rFonts w:cs="Arial"/>
                <w:color w:val="000000"/>
                <w:szCs w:val="20"/>
                <w:vertAlign w:val="superscript"/>
              </w:rPr>
              <w:t>2</w:t>
            </w:r>
          </w:p>
        </w:tc>
        <w:tc>
          <w:tcPr>
            <w:tcW w:w="643" w:type="pct"/>
            <w:shd w:val="clear" w:color="auto" w:fill="auto"/>
            <w:vAlign w:val="center"/>
          </w:tcPr>
          <w:p w14:paraId="6686031B" w14:textId="6E2F3499" w:rsidR="00FC171B" w:rsidRPr="00816BFB" w:rsidRDefault="00816BFB" w:rsidP="00DA2BF8">
            <w:pPr>
              <w:pStyle w:val="TableText0"/>
              <w:jc w:val="center"/>
              <w:rPr>
                <w:color w:val="000000"/>
                <w:szCs w:val="20"/>
              </w:rPr>
            </w:pPr>
            <w:r w:rsidRPr="00816BFB">
              <w:rPr>
                <w:rFonts w:cs="Arial" w:hint="eastAsia"/>
                <w:color w:val="000000"/>
                <w:w w:val="15"/>
                <w:szCs w:val="20"/>
                <w:highlight w:val="black"/>
                <w:fitText w:val="48" w:id="-1167880704"/>
              </w:rPr>
              <w:t xml:space="preserve">　</w:t>
            </w:r>
            <w:r w:rsidRPr="00816BFB">
              <w:rPr>
                <w:rFonts w:cs="Arial"/>
                <w:color w:val="000000"/>
                <w:w w:val="15"/>
                <w:szCs w:val="20"/>
                <w:highlight w:val="black"/>
                <w:fitText w:val="48" w:id="-1167880704"/>
              </w:rPr>
              <w:t>|</w:t>
            </w:r>
            <w:r w:rsidRPr="00816BFB">
              <w:rPr>
                <w:rFonts w:cs="Arial" w:hint="eastAsia"/>
                <w:color w:val="000000"/>
                <w:spacing w:val="-17"/>
                <w:w w:val="15"/>
                <w:szCs w:val="20"/>
                <w:highlight w:val="black"/>
                <w:fitText w:val="48" w:id="-1167880704"/>
              </w:rPr>
              <w:t xml:space="preserve">　</w:t>
            </w:r>
            <w:r w:rsidR="00FC171B" w:rsidRPr="00816BFB">
              <w:rPr>
                <w:rFonts w:cs="Arial"/>
                <w:color w:val="000000"/>
                <w:szCs w:val="20"/>
              </w:rPr>
              <w:t xml:space="preserve"> </w:t>
            </w:r>
            <w:r w:rsidR="005D7076">
              <w:rPr>
                <w:rFonts w:cs="Arial"/>
                <w:color w:val="000000"/>
                <w:szCs w:val="20"/>
                <w:vertAlign w:val="superscript"/>
              </w:rPr>
              <w:t>2</w:t>
            </w:r>
          </w:p>
        </w:tc>
        <w:tc>
          <w:tcPr>
            <w:tcW w:w="645" w:type="pct"/>
            <w:vAlign w:val="center"/>
          </w:tcPr>
          <w:p w14:paraId="3E321C0B" w14:textId="2401D4A2" w:rsidR="00FC171B" w:rsidRPr="00816BFB" w:rsidRDefault="00816BFB" w:rsidP="00DA2BF8">
            <w:pPr>
              <w:pStyle w:val="TableText0"/>
              <w:jc w:val="center"/>
              <w:rPr>
                <w:color w:val="000000"/>
                <w:szCs w:val="20"/>
              </w:rPr>
            </w:pPr>
            <w:r w:rsidRPr="00816BFB">
              <w:rPr>
                <w:rFonts w:cs="Arial" w:hint="eastAsia"/>
                <w:color w:val="000000"/>
                <w:w w:val="15"/>
                <w:szCs w:val="20"/>
                <w:highlight w:val="black"/>
                <w:fitText w:val="49" w:id="-1167880703"/>
              </w:rPr>
              <w:t xml:space="preserve">　</w:t>
            </w:r>
            <w:r w:rsidRPr="00816BFB">
              <w:rPr>
                <w:rFonts w:cs="Arial"/>
                <w:color w:val="000000"/>
                <w:w w:val="15"/>
                <w:szCs w:val="20"/>
                <w:highlight w:val="black"/>
                <w:fitText w:val="49" w:id="-1167880703"/>
              </w:rPr>
              <w:t>|</w:t>
            </w:r>
            <w:r w:rsidRPr="00816BFB">
              <w:rPr>
                <w:rFonts w:cs="Arial" w:hint="eastAsia"/>
                <w:color w:val="000000"/>
                <w:spacing w:val="-16"/>
                <w:w w:val="15"/>
                <w:szCs w:val="20"/>
                <w:highlight w:val="black"/>
                <w:fitText w:val="49" w:id="-1167880703"/>
              </w:rPr>
              <w:t xml:space="preserve">　</w:t>
            </w:r>
            <w:r w:rsidR="00FC171B" w:rsidRPr="00816BFB">
              <w:rPr>
                <w:rFonts w:cs="Arial"/>
                <w:color w:val="000000"/>
                <w:szCs w:val="20"/>
              </w:rPr>
              <w:t xml:space="preserve"> </w:t>
            </w:r>
            <w:r w:rsidR="005D7076">
              <w:rPr>
                <w:rFonts w:cs="Arial"/>
                <w:color w:val="000000"/>
                <w:szCs w:val="20"/>
                <w:vertAlign w:val="superscript"/>
              </w:rPr>
              <w:t>2</w:t>
            </w:r>
          </w:p>
        </w:tc>
      </w:tr>
      <w:tr w:rsidR="00FC171B" w:rsidRPr="008D56E6" w14:paraId="27902A7F" w14:textId="77777777" w:rsidTr="00DA2BF8">
        <w:tc>
          <w:tcPr>
            <w:tcW w:w="1140" w:type="pct"/>
            <w:shd w:val="clear" w:color="auto" w:fill="auto"/>
            <w:vAlign w:val="center"/>
          </w:tcPr>
          <w:p w14:paraId="4DB3C966" w14:textId="77777777" w:rsidR="00FC171B" w:rsidRPr="00816BFB" w:rsidRDefault="00FC171B" w:rsidP="00DA2BF8">
            <w:pPr>
              <w:pStyle w:val="TableText0"/>
              <w:rPr>
                <w:szCs w:val="20"/>
              </w:rPr>
            </w:pPr>
            <w:r w:rsidRPr="00816BFB">
              <w:rPr>
                <w:szCs w:val="20"/>
              </w:rPr>
              <w:t xml:space="preserve">Number of scripts dispensed </w:t>
            </w:r>
          </w:p>
          <w:p w14:paraId="05421FCE" w14:textId="77777777" w:rsidR="00FC171B" w:rsidRPr="00816BFB" w:rsidRDefault="00FC171B" w:rsidP="00DA2BF8">
            <w:pPr>
              <w:pStyle w:val="TableText0"/>
              <w:rPr>
                <w:szCs w:val="20"/>
              </w:rPr>
            </w:pPr>
            <w:r w:rsidRPr="00816BFB">
              <w:rPr>
                <w:szCs w:val="20"/>
              </w:rPr>
              <w:t>80 mg x 56 pack</w:t>
            </w:r>
          </w:p>
        </w:tc>
        <w:tc>
          <w:tcPr>
            <w:tcW w:w="643" w:type="pct"/>
            <w:shd w:val="clear" w:color="auto" w:fill="auto"/>
            <w:vAlign w:val="center"/>
          </w:tcPr>
          <w:p w14:paraId="54CADBD4" w14:textId="187EC595" w:rsidR="00FC171B" w:rsidRPr="00816BFB" w:rsidRDefault="00816BFB" w:rsidP="00DA2BF8">
            <w:pPr>
              <w:pStyle w:val="TableText0"/>
              <w:jc w:val="center"/>
              <w:rPr>
                <w:color w:val="000000"/>
                <w:szCs w:val="20"/>
              </w:rPr>
            </w:pPr>
            <w:r w:rsidRPr="00816BFB">
              <w:rPr>
                <w:rFonts w:cs="Arial" w:hint="eastAsia"/>
                <w:w w:val="15"/>
                <w:szCs w:val="20"/>
                <w:highlight w:val="black"/>
                <w:fitText w:val="32" w:id="-1167880702"/>
              </w:rPr>
              <w:t xml:space="preserve">　</w:t>
            </w:r>
            <w:r w:rsidRPr="00816BFB">
              <w:rPr>
                <w:rFonts w:cs="Arial"/>
                <w:w w:val="15"/>
                <w:szCs w:val="20"/>
                <w:highlight w:val="black"/>
                <w:fitText w:val="32" w:id="-1167880702"/>
              </w:rPr>
              <w:t>|</w:t>
            </w:r>
            <w:r w:rsidRPr="00816BFB">
              <w:rPr>
                <w:rFonts w:cs="Arial" w:hint="eastAsia"/>
                <w:spacing w:val="-33"/>
                <w:w w:val="15"/>
                <w:szCs w:val="20"/>
                <w:highlight w:val="black"/>
                <w:fitText w:val="32" w:id="-1167880702"/>
              </w:rPr>
              <w:t xml:space="preserve">　</w:t>
            </w:r>
            <w:r w:rsidR="005D7076" w:rsidRPr="00DF6E70">
              <w:rPr>
                <w:rFonts w:cs="Arial"/>
                <w:color w:val="000000"/>
                <w:szCs w:val="20"/>
              </w:rPr>
              <w:t xml:space="preserve"> </w:t>
            </w:r>
            <w:r w:rsidR="005D7076">
              <w:rPr>
                <w:rFonts w:cs="Arial"/>
                <w:color w:val="000000"/>
                <w:szCs w:val="20"/>
                <w:vertAlign w:val="superscript"/>
              </w:rPr>
              <w:t>2</w:t>
            </w:r>
            <w:r w:rsidR="00FC171B" w:rsidRPr="00816BFB">
              <w:rPr>
                <w:rFonts w:cs="Arial"/>
                <w:szCs w:val="20"/>
              </w:rPr>
              <w:t xml:space="preserve"> </w:t>
            </w:r>
          </w:p>
        </w:tc>
        <w:tc>
          <w:tcPr>
            <w:tcW w:w="643" w:type="pct"/>
            <w:shd w:val="clear" w:color="auto" w:fill="auto"/>
            <w:vAlign w:val="center"/>
          </w:tcPr>
          <w:p w14:paraId="0560447D" w14:textId="3604BB05" w:rsidR="00FC171B" w:rsidRPr="00816BFB" w:rsidRDefault="00816BFB" w:rsidP="00DA2BF8">
            <w:pPr>
              <w:pStyle w:val="TableText0"/>
              <w:jc w:val="center"/>
              <w:rPr>
                <w:color w:val="000000"/>
                <w:szCs w:val="20"/>
              </w:rPr>
            </w:pPr>
            <w:r w:rsidRPr="00816BFB">
              <w:rPr>
                <w:rFonts w:cs="Arial" w:hint="eastAsia"/>
                <w:w w:val="15"/>
                <w:szCs w:val="20"/>
                <w:highlight w:val="black"/>
                <w:fitText w:val="49" w:id="-1167880701"/>
              </w:rPr>
              <w:t xml:space="preserve">　</w:t>
            </w:r>
            <w:r w:rsidRPr="00816BFB">
              <w:rPr>
                <w:rFonts w:cs="Arial"/>
                <w:w w:val="15"/>
                <w:szCs w:val="20"/>
                <w:highlight w:val="black"/>
                <w:fitText w:val="49" w:id="-1167880701"/>
              </w:rPr>
              <w:t>|</w:t>
            </w:r>
            <w:r w:rsidRPr="00816BFB">
              <w:rPr>
                <w:rFonts w:cs="Arial" w:hint="eastAsia"/>
                <w:spacing w:val="-16"/>
                <w:w w:val="15"/>
                <w:szCs w:val="20"/>
                <w:highlight w:val="black"/>
                <w:fitText w:val="49" w:id="-1167880701"/>
              </w:rPr>
              <w:t xml:space="preserve">　</w:t>
            </w:r>
            <w:r w:rsidR="00FC171B" w:rsidRPr="00816BFB">
              <w:rPr>
                <w:rFonts w:cs="Arial"/>
                <w:szCs w:val="20"/>
              </w:rPr>
              <w:t xml:space="preserve"> </w:t>
            </w:r>
            <w:r w:rsidR="005D7076">
              <w:rPr>
                <w:rFonts w:cs="Arial"/>
                <w:color w:val="000000"/>
                <w:szCs w:val="20"/>
                <w:vertAlign w:val="superscript"/>
              </w:rPr>
              <w:t>2</w:t>
            </w:r>
          </w:p>
        </w:tc>
        <w:tc>
          <w:tcPr>
            <w:tcW w:w="643" w:type="pct"/>
            <w:shd w:val="clear" w:color="auto" w:fill="auto"/>
            <w:vAlign w:val="center"/>
          </w:tcPr>
          <w:p w14:paraId="5930152C" w14:textId="3660AE1F" w:rsidR="00FC171B" w:rsidRPr="00816BFB" w:rsidRDefault="00816BFB" w:rsidP="00DA2BF8">
            <w:pPr>
              <w:pStyle w:val="TableText0"/>
              <w:jc w:val="center"/>
              <w:rPr>
                <w:color w:val="000000"/>
                <w:szCs w:val="20"/>
              </w:rPr>
            </w:pPr>
            <w:r w:rsidRPr="00816BFB">
              <w:rPr>
                <w:rFonts w:cs="Arial" w:hint="eastAsia"/>
                <w:w w:val="15"/>
                <w:szCs w:val="20"/>
                <w:highlight w:val="black"/>
                <w:fitText w:val="49" w:id="-1167880700"/>
              </w:rPr>
              <w:t xml:space="preserve">　</w:t>
            </w:r>
            <w:r w:rsidRPr="00816BFB">
              <w:rPr>
                <w:rFonts w:cs="Arial"/>
                <w:w w:val="15"/>
                <w:szCs w:val="20"/>
                <w:highlight w:val="black"/>
                <w:fitText w:val="49" w:id="-1167880700"/>
              </w:rPr>
              <w:t>|</w:t>
            </w:r>
            <w:r w:rsidRPr="00816BFB">
              <w:rPr>
                <w:rFonts w:cs="Arial" w:hint="eastAsia"/>
                <w:spacing w:val="-16"/>
                <w:w w:val="15"/>
                <w:szCs w:val="20"/>
                <w:highlight w:val="black"/>
                <w:fitText w:val="49" w:id="-1167880700"/>
              </w:rPr>
              <w:t xml:space="preserve">　</w:t>
            </w:r>
            <w:r w:rsidR="005D7076" w:rsidRPr="00DF6E70">
              <w:rPr>
                <w:rFonts w:cs="Arial"/>
                <w:color w:val="000000"/>
                <w:szCs w:val="20"/>
              </w:rPr>
              <w:t xml:space="preserve"> </w:t>
            </w:r>
            <w:r w:rsidR="005D7076">
              <w:rPr>
                <w:rFonts w:cs="Arial"/>
                <w:color w:val="000000"/>
                <w:szCs w:val="20"/>
                <w:vertAlign w:val="superscript"/>
              </w:rPr>
              <w:t>2</w:t>
            </w:r>
          </w:p>
        </w:tc>
        <w:tc>
          <w:tcPr>
            <w:tcW w:w="643" w:type="pct"/>
            <w:shd w:val="clear" w:color="auto" w:fill="auto"/>
            <w:vAlign w:val="center"/>
          </w:tcPr>
          <w:p w14:paraId="24A927CE" w14:textId="6E878DE6" w:rsidR="00FC171B" w:rsidRPr="00816BFB" w:rsidRDefault="00816BFB" w:rsidP="00DA2BF8">
            <w:pPr>
              <w:pStyle w:val="TableText0"/>
              <w:jc w:val="center"/>
              <w:rPr>
                <w:color w:val="000000"/>
                <w:szCs w:val="20"/>
              </w:rPr>
            </w:pPr>
            <w:r w:rsidRPr="00816BFB">
              <w:rPr>
                <w:rFonts w:cs="Arial" w:hint="eastAsia"/>
                <w:w w:val="15"/>
                <w:szCs w:val="20"/>
                <w:highlight w:val="black"/>
                <w:fitText w:val="49" w:id="-1167880699"/>
              </w:rPr>
              <w:t xml:space="preserve">　</w:t>
            </w:r>
            <w:r w:rsidRPr="00816BFB">
              <w:rPr>
                <w:rFonts w:cs="Arial"/>
                <w:w w:val="15"/>
                <w:szCs w:val="20"/>
                <w:highlight w:val="black"/>
                <w:fitText w:val="49" w:id="-1167880699"/>
              </w:rPr>
              <w:t>|</w:t>
            </w:r>
            <w:r w:rsidRPr="00816BFB">
              <w:rPr>
                <w:rFonts w:cs="Arial" w:hint="eastAsia"/>
                <w:spacing w:val="-16"/>
                <w:w w:val="15"/>
                <w:szCs w:val="20"/>
                <w:highlight w:val="black"/>
                <w:fitText w:val="49" w:id="-1167880699"/>
              </w:rPr>
              <w:t xml:space="preserve">　</w:t>
            </w:r>
            <w:r w:rsidR="00FC171B" w:rsidRPr="00816BFB">
              <w:rPr>
                <w:rFonts w:cs="Arial"/>
                <w:szCs w:val="20"/>
              </w:rPr>
              <w:t xml:space="preserve"> </w:t>
            </w:r>
            <w:r w:rsidR="005D7076">
              <w:rPr>
                <w:rFonts w:cs="Arial"/>
                <w:color w:val="000000"/>
                <w:szCs w:val="20"/>
                <w:vertAlign w:val="superscript"/>
              </w:rPr>
              <w:t>2</w:t>
            </w:r>
          </w:p>
        </w:tc>
        <w:tc>
          <w:tcPr>
            <w:tcW w:w="643" w:type="pct"/>
            <w:shd w:val="clear" w:color="auto" w:fill="auto"/>
            <w:vAlign w:val="center"/>
          </w:tcPr>
          <w:p w14:paraId="0868D61E" w14:textId="43914068" w:rsidR="00FC171B" w:rsidRPr="00816BFB" w:rsidRDefault="00816BFB" w:rsidP="00DA2BF8">
            <w:pPr>
              <w:pStyle w:val="TableText0"/>
              <w:jc w:val="center"/>
              <w:rPr>
                <w:color w:val="000000"/>
                <w:szCs w:val="20"/>
              </w:rPr>
            </w:pPr>
            <w:r w:rsidRPr="00816BFB">
              <w:rPr>
                <w:rFonts w:cs="Arial" w:hint="eastAsia"/>
                <w:w w:val="15"/>
                <w:szCs w:val="20"/>
                <w:highlight w:val="black"/>
                <w:fitText w:val="48" w:id="-1167880698"/>
              </w:rPr>
              <w:t xml:space="preserve">　</w:t>
            </w:r>
            <w:r w:rsidRPr="00816BFB">
              <w:rPr>
                <w:rFonts w:cs="Arial"/>
                <w:w w:val="15"/>
                <w:szCs w:val="20"/>
                <w:highlight w:val="black"/>
                <w:fitText w:val="48" w:id="-1167880698"/>
              </w:rPr>
              <w:t>|</w:t>
            </w:r>
            <w:r w:rsidRPr="00816BFB">
              <w:rPr>
                <w:rFonts w:cs="Arial" w:hint="eastAsia"/>
                <w:spacing w:val="-17"/>
                <w:w w:val="15"/>
                <w:szCs w:val="20"/>
                <w:highlight w:val="black"/>
                <w:fitText w:val="48" w:id="-1167880698"/>
              </w:rPr>
              <w:t xml:space="preserve">　</w:t>
            </w:r>
            <w:r w:rsidR="005D7076" w:rsidRPr="00DF6E70">
              <w:rPr>
                <w:rFonts w:cs="Arial"/>
                <w:color w:val="000000"/>
                <w:szCs w:val="20"/>
              </w:rPr>
              <w:t xml:space="preserve"> </w:t>
            </w:r>
            <w:r w:rsidR="005D7076">
              <w:rPr>
                <w:rFonts w:cs="Arial"/>
                <w:color w:val="000000"/>
                <w:szCs w:val="20"/>
                <w:vertAlign w:val="superscript"/>
              </w:rPr>
              <w:t>2</w:t>
            </w:r>
          </w:p>
        </w:tc>
        <w:tc>
          <w:tcPr>
            <w:tcW w:w="645" w:type="pct"/>
            <w:vAlign w:val="center"/>
          </w:tcPr>
          <w:p w14:paraId="38EAECEE" w14:textId="754718D9" w:rsidR="00FC171B" w:rsidRPr="00816BFB" w:rsidRDefault="00816BFB" w:rsidP="00DA2BF8">
            <w:pPr>
              <w:pStyle w:val="TableText0"/>
              <w:jc w:val="center"/>
              <w:rPr>
                <w:color w:val="000000"/>
                <w:szCs w:val="20"/>
              </w:rPr>
            </w:pPr>
            <w:r w:rsidRPr="00816BFB">
              <w:rPr>
                <w:rFonts w:cs="Arial" w:hint="eastAsia"/>
                <w:w w:val="15"/>
                <w:szCs w:val="20"/>
                <w:highlight w:val="black"/>
                <w:fitText w:val="49" w:id="-1167880697"/>
              </w:rPr>
              <w:t xml:space="preserve">　</w:t>
            </w:r>
            <w:r w:rsidRPr="00816BFB">
              <w:rPr>
                <w:rFonts w:cs="Arial"/>
                <w:w w:val="15"/>
                <w:szCs w:val="20"/>
                <w:highlight w:val="black"/>
                <w:fitText w:val="49" w:id="-1167880697"/>
              </w:rPr>
              <w:t>|</w:t>
            </w:r>
            <w:r w:rsidRPr="00816BFB">
              <w:rPr>
                <w:rFonts w:cs="Arial" w:hint="eastAsia"/>
                <w:spacing w:val="-16"/>
                <w:w w:val="15"/>
                <w:szCs w:val="20"/>
                <w:highlight w:val="black"/>
                <w:fitText w:val="49" w:id="-1167880697"/>
              </w:rPr>
              <w:t xml:space="preserve">　</w:t>
            </w:r>
            <w:r w:rsidR="00FC171B" w:rsidRPr="00816BFB">
              <w:rPr>
                <w:rFonts w:cs="Arial"/>
                <w:szCs w:val="20"/>
              </w:rPr>
              <w:t xml:space="preserve"> </w:t>
            </w:r>
            <w:r w:rsidR="005D7076">
              <w:rPr>
                <w:rFonts w:cs="Arial"/>
                <w:color w:val="000000"/>
                <w:szCs w:val="20"/>
                <w:vertAlign w:val="superscript"/>
              </w:rPr>
              <w:t>2</w:t>
            </w:r>
          </w:p>
        </w:tc>
      </w:tr>
      <w:tr w:rsidR="00FC171B" w:rsidRPr="008D56E6" w14:paraId="04F103EF" w14:textId="77777777" w:rsidTr="00DA2BF8">
        <w:tc>
          <w:tcPr>
            <w:tcW w:w="1140" w:type="pct"/>
            <w:shd w:val="clear" w:color="auto" w:fill="auto"/>
            <w:vAlign w:val="center"/>
          </w:tcPr>
          <w:p w14:paraId="60BB2147" w14:textId="77777777" w:rsidR="00FC171B" w:rsidRPr="00816BFB" w:rsidRDefault="00FC171B" w:rsidP="00DA2BF8">
            <w:pPr>
              <w:pStyle w:val="TableText0"/>
              <w:rPr>
                <w:szCs w:val="20"/>
              </w:rPr>
            </w:pPr>
            <w:r w:rsidRPr="00816BFB">
              <w:rPr>
                <w:szCs w:val="20"/>
              </w:rPr>
              <w:t xml:space="preserve">Number of scripts dispensed </w:t>
            </w:r>
          </w:p>
          <w:p w14:paraId="05F88427" w14:textId="77777777" w:rsidR="00FC171B" w:rsidRPr="00816BFB" w:rsidRDefault="00FC171B" w:rsidP="00DA2BF8">
            <w:pPr>
              <w:pStyle w:val="TableText0"/>
              <w:rPr>
                <w:szCs w:val="20"/>
              </w:rPr>
            </w:pPr>
            <w:r w:rsidRPr="00816BFB">
              <w:rPr>
                <w:szCs w:val="20"/>
              </w:rPr>
              <w:t>40 mg x 56 pack</w:t>
            </w:r>
          </w:p>
        </w:tc>
        <w:tc>
          <w:tcPr>
            <w:tcW w:w="643" w:type="pct"/>
            <w:shd w:val="clear" w:color="auto" w:fill="auto"/>
            <w:vAlign w:val="center"/>
          </w:tcPr>
          <w:p w14:paraId="29F27A1A" w14:textId="31701890" w:rsidR="00FC171B" w:rsidRPr="00816BFB" w:rsidRDefault="00816BFB" w:rsidP="00DA2BF8">
            <w:pPr>
              <w:pStyle w:val="TableText0"/>
              <w:jc w:val="center"/>
              <w:rPr>
                <w:color w:val="000000"/>
                <w:szCs w:val="20"/>
              </w:rPr>
            </w:pPr>
            <w:r w:rsidRPr="00816BFB">
              <w:rPr>
                <w:rFonts w:cs="Arial" w:hint="eastAsia"/>
                <w:w w:val="15"/>
                <w:szCs w:val="20"/>
                <w:highlight w:val="black"/>
                <w:fitText w:val="32" w:id="-1167880696"/>
              </w:rPr>
              <w:t xml:space="preserve">　</w:t>
            </w:r>
            <w:r w:rsidRPr="00816BFB">
              <w:rPr>
                <w:rFonts w:cs="Arial"/>
                <w:w w:val="15"/>
                <w:szCs w:val="20"/>
                <w:highlight w:val="black"/>
                <w:fitText w:val="32" w:id="-1167880696"/>
              </w:rPr>
              <w:t>|</w:t>
            </w:r>
            <w:r w:rsidRPr="00816BFB">
              <w:rPr>
                <w:rFonts w:cs="Arial" w:hint="eastAsia"/>
                <w:spacing w:val="-33"/>
                <w:w w:val="15"/>
                <w:szCs w:val="20"/>
                <w:highlight w:val="black"/>
                <w:fitText w:val="32" w:id="-1167880696"/>
              </w:rPr>
              <w:t xml:space="preserve">　</w:t>
            </w:r>
            <w:r w:rsidR="005D7076" w:rsidRPr="00DF6E70">
              <w:rPr>
                <w:rFonts w:cs="Arial"/>
                <w:color w:val="000000"/>
                <w:szCs w:val="20"/>
              </w:rPr>
              <w:t xml:space="preserve"> </w:t>
            </w:r>
            <w:r w:rsidR="005D7076">
              <w:rPr>
                <w:rFonts w:cs="Arial"/>
                <w:color w:val="000000"/>
                <w:szCs w:val="20"/>
                <w:vertAlign w:val="superscript"/>
              </w:rPr>
              <w:t>2</w:t>
            </w:r>
            <w:r w:rsidR="00FC171B" w:rsidRPr="00816BFB">
              <w:rPr>
                <w:rFonts w:cs="Arial"/>
                <w:szCs w:val="20"/>
              </w:rPr>
              <w:t xml:space="preserve"> </w:t>
            </w:r>
          </w:p>
        </w:tc>
        <w:tc>
          <w:tcPr>
            <w:tcW w:w="643" w:type="pct"/>
            <w:shd w:val="clear" w:color="auto" w:fill="auto"/>
            <w:vAlign w:val="center"/>
          </w:tcPr>
          <w:p w14:paraId="5642F82F" w14:textId="77FFA6FA" w:rsidR="00FC171B" w:rsidRPr="00816BFB" w:rsidRDefault="00816BFB" w:rsidP="00DA2BF8">
            <w:pPr>
              <w:pStyle w:val="TableText0"/>
              <w:jc w:val="center"/>
              <w:rPr>
                <w:color w:val="000000"/>
                <w:szCs w:val="20"/>
              </w:rPr>
            </w:pPr>
            <w:r w:rsidRPr="00816BFB">
              <w:rPr>
                <w:rFonts w:cs="Arial" w:hint="eastAsia"/>
                <w:w w:val="15"/>
                <w:szCs w:val="20"/>
                <w:highlight w:val="black"/>
                <w:fitText w:val="33" w:id="-1167880695"/>
              </w:rPr>
              <w:t xml:space="preserve">　</w:t>
            </w:r>
            <w:r w:rsidRPr="00816BFB">
              <w:rPr>
                <w:rFonts w:cs="Arial"/>
                <w:w w:val="15"/>
                <w:szCs w:val="20"/>
                <w:highlight w:val="black"/>
                <w:fitText w:val="33" w:id="-1167880695"/>
              </w:rPr>
              <w:t>|</w:t>
            </w:r>
            <w:r w:rsidRPr="00816BFB">
              <w:rPr>
                <w:rFonts w:cs="Arial" w:hint="eastAsia"/>
                <w:spacing w:val="-32"/>
                <w:w w:val="15"/>
                <w:szCs w:val="20"/>
                <w:highlight w:val="black"/>
                <w:fitText w:val="33" w:id="-1167880695"/>
              </w:rPr>
              <w:t xml:space="preserve">　</w:t>
            </w:r>
            <w:r w:rsidR="005D7076" w:rsidRPr="00DF6E70">
              <w:rPr>
                <w:rFonts w:cs="Arial"/>
                <w:color w:val="000000"/>
                <w:szCs w:val="20"/>
              </w:rPr>
              <w:t xml:space="preserve"> </w:t>
            </w:r>
            <w:r w:rsidR="005D7076">
              <w:rPr>
                <w:rFonts w:cs="Arial"/>
                <w:color w:val="000000"/>
                <w:szCs w:val="20"/>
                <w:vertAlign w:val="superscript"/>
              </w:rPr>
              <w:t>2</w:t>
            </w:r>
            <w:r w:rsidR="00FC171B" w:rsidRPr="00816BFB">
              <w:rPr>
                <w:rFonts w:cs="Arial"/>
                <w:szCs w:val="20"/>
              </w:rPr>
              <w:t xml:space="preserve"> </w:t>
            </w:r>
          </w:p>
        </w:tc>
        <w:tc>
          <w:tcPr>
            <w:tcW w:w="643" w:type="pct"/>
            <w:shd w:val="clear" w:color="auto" w:fill="auto"/>
            <w:vAlign w:val="center"/>
          </w:tcPr>
          <w:p w14:paraId="6237FA84" w14:textId="7EB0AC97" w:rsidR="00FC171B" w:rsidRPr="00816BFB" w:rsidRDefault="00816BFB" w:rsidP="00DA2BF8">
            <w:pPr>
              <w:pStyle w:val="TableText0"/>
              <w:jc w:val="center"/>
              <w:rPr>
                <w:color w:val="000000"/>
                <w:szCs w:val="20"/>
              </w:rPr>
            </w:pPr>
            <w:r w:rsidRPr="00816BFB">
              <w:rPr>
                <w:rFonts w:cs="Arial" w:hint="eastAsia"/>
                <w:w w:val="15"/>
                <w:szCs w:val="20"/>
                <w:highlight w:val="black"/>
                <w:fitText w:val="33" w:id="-1167880694"/>
              </w:rPr>
              <w:t xml:space="preserve">　</w:t>
            </w:r>
            <w:r w:rsidRPr="00816BFB">
              <w:rPr>
                <w:rFonts w:cs="Arial"/>
                <w:w w:val="15"/>
                <w:szCs w:val="20"/>
                <w:highlight w:val="black"/>
                <w:fitText w:val="33" w:id="-1167880694"/>
              </w:rPr>
              <w:t>|</w:t>
            </w:r>
            <w:r w:rsidRPr="00816BFB">
              <w:rPr>
                <w:rFonts w:cs="Arial" w:hint="eastAsia"/>
                <w:spacing w:val="-32"/>
                <w:w w:val="15"/>
                <w:szCs w:val="20"/>
                <w:highlight w:val="black"/>
                <w:fitText w:val="33" w:id="-1167880694"/>
              </w:rPr>
              <w:t xml:space="preserve">　</w:t>
            </w:r>
            <w:r w:rsidR="005D7076" w:rsidRPr="00DF6E70">
              <w:rPr>
                <w:rFonts w:cs="Arial"/>
                <w:color w:val="000000"/>
                <w:szCs w:val="20"/>
              </w:rPr>
              <w:t xml:space="preserve"> </w:t>
            </w:r>
            <w:r w:rsidR="005D7076">
              <w:rPr>
                <w:rFonts w:cs="Arial"/>
                <w:color w:val="000000"/>
                <w:szCs w:val="20"/>
                <w:vertAlign w:val="superscript"/>
              </w:rPr>
              <w:t>2</w:t>
            </w:r>
            <w:r w:rsidR="00FC171B" w:rsidRPr="00816BFB">
              <w:rPr>
                <w:rFonts w:cs="Arial"/>
                <w:szCs w:val="20"/>
              </w:rPr>
              <w:t xml:space="preserve"> </w:t>
            </w:r>
          </w:p>
        </w:tc>
        <w:tc>
          <w:tcPr>
            <w:tcW w:w="643" w:type="pct"/>
            <w:shd w:val="clear" w:color="auto" w:fill="auto"/>
            <w:vAlign w:val="center"/>
          </w:tcPr>
          <w:p w14:paraId="189272D2" w14:textId="4AEC1513" w:rsidR="00FC171B" w:rsidRPr="00816BFB" w:rsidRDefault="00816BFB" w:rsidP="00DA2BF8">
            <w:pPr>
              <w:pStyle w:val="TableText0"/>
              <w:jc w:val="center"/>
              <w:rPr>
                <w:color w:val="000000"/>
                <w:szCs w:val="20"/>
              </w:rPr>
            </w:pPr>
            <w:r w:rsidRPr="00816BFB">
              <w:rPr>
                <w:rFonts w:cs="Arial" w:hint="eastAsia"/>
                <w:w w:val="15"/>
                <w:szCs w:val="20"/>
                <w:highlight w:val="black"/>
                <w:fitText w:val="49" w:id="-1167880693"/>
              </w:rPr>
              <w:t xml:space="preserve">　</w:t>
            </w:r>
            <w:r w:rsidRPr="00816BFB">
              <w:rPr>
                <w:rFonts w:cs="Arial"/>
                <w:w w:val="15"/>
                <w:szCs w:val="20"/>
                <w:highlight w:val="black"/>
                <w:fitText w:val="49" w:id="-1167880693"/>
              </w:rPr>
              <w:t>|</w:t>
            </w:r>
            <w:r w:rsidRPr="00816BFB">
              <w:rPr>
                <w:rFonts w:cs="Arial" w:hint="eastAsia"/>
                <w:spacing w:val="-16"/>
                <w:w w:val="15"/>
                <w:szCs w:val="20"/>
                <w:highlight w:val="black"/>
                <w:fitText w:val="49" w:id="-1167880693"/>
              </w:rPr>
              <w:t xml:space="preserve">　</w:t>
            </w:r>
            <w:r w:rsidR="00FC171B" w:rsidRPr="00816BFB">
              <w:rPr>
                <w:rFonts w:cs="Arial"/>
                <w:szCs w:val="20"/>
              </w:rPr>
              <w:t xml:space="preserve"> </w:t>
            </w:r>
            <w:r w:rsidR="005D7076">
              <w:rPr>
                <w:rFonts w:cs="Arial"/>
                <w:color w:val="000000"/>
                <w:szCs w:val="20"/>
                <w:vertAlign w:val="superscript"/>
              </w:rPr>
              <w:t>2</w:t>
            </w:r>
          </w:p>
        </w:tc>
        <w:tc>
          <w:tcPr>
            <w:tcW w:w="643" w:type="pct"/>
            <w:shd w:val="clear" w:color="auto" w:fill="auto"/>
            <w:vAlign w:val="center"/>
          </w:tcPr>
          <w:p w14:paraId="454BA619" w14:textId="12BBD521" w:rsidR="00FC171B" w:rsidRPr="00816BFB" w:rsidRDefault="00816BFB" w:rsidP="00DA2BF8">
            <w:pPr>
              <w:pStyle w:val="TableText0"/>
              <w:jc w:val="center"/>
              <w:rPr>
                <w:color w:val="000000"/>
                <w:szCs w:val="20"/>
              </w:rPr>
            </w:pPr>
            <w:r w:rsidRPr="00816BFB">
              <w:rPr>
                <w:rFonts w:cs="Arial" w:hint="eastAsia"/>
                <w:w w:val="15"/>
                <w:szCs w:val="20"/>
                <w:highlight w:val="black"/>
                <w:fitText w:val="48" w:id="-1167880692"/>
              </w:rPr>
              <w:t xml:space="preserve">　</w:t>
            </w:r>
            <w:r w:rsidRPr="00816BFB">
              <w:rPr>
                <w:rFonts w:cs="Arial"/>
                <w:w w:val="15"/>
                <w:szCs w:val="20"/>
                <w:highlight w:val="black"/>
                <w:fitText w:val="48" w:id="-1167880692"/>
              </w:rPr>
              <w:t>|</w:t>
            </w:r>
            <w:r w:rsidRPr="00816BFB">
              <w:rPr>
                <w:rFonts w:cs="Arial" w:hint="eastAsia"/>
                <w:spacing w:val="-17"/>
                <w:w w:val="15"/>
                <w:szCs w:val="20"/>
                <w:highlight w:val="black"/>
                <w:fitText w:val="48" w:id="-1167880692"/>
              </w:rPr>
              <w:t xml:space="preserve">　</w:t>
            </w:r>
            <w:r w:rsidR="00FC171B" w:rsidRPr="00816BFB">
              <w:rPr>
                <w:rFonts w:cs="Arial"/>
                <w:szCs w:val="20"/>
              </w:rPr>
              <w:t xml:space="preserve"> </w:t>
            </w:r>
            <w:r w:rsidR="005D7076">
              <w:rPr>
                <w:rFonts w:cs="Arial"/>
                <w:color w:val="000000"/>
                <w:szCs w:val="20"/>
                <w:vertAlign w:val="superscript"/>
              </w:rPr>
              <w:t>2</w:t>
            </w:r>
          </w:p>
        </w:tc>
        <w:tc>
          <w:tcPr>
            <w:tcW w:w="645" w:type="pct"/>
            <w:vAlign w:val="center"/>
          </w:tcPr>
          <w:p w14:paraId="022FF5B0" w14:textId="615B9DA6" w:rsidR="00FC171B" w:rsidRPr="00816BFB" w:rsidRDefault="00816BFB" w:rsidP="00DA2BF8">
            <w:pPr>
              <w:pStyle w:val="TableText0"/>
              <w:jc w:val="center"/>
              <w:rPr>
                <w:color w:val="000000"/>
                <w:szCs w:val="20"/>
              </w:rPr>
            </w:pPr>
            <w:r w:rsidRPr="00816BFB">
              <w:rPr>
                <w:rFonts w:cs="Arial" w:hint="eastAsia"/>
                <w:w w:val="15"/>
                <w:szCs w:val="20"/>
                <w:highlight w:val="black"/>
                <w:fitText w:val="49" w:id="-1167880691"/>
              </w:rPr>
              <w:t xml:space="preserve">　</w:t>
            </w:r>
            <w:r w:rsidRPr="00816BFB">
              <w:rPr>
                <w:rFonts w:cs="Arial"/>
                <w:w w:val="15"/>
                <w:szCs w:val="20"/>
                <w:highlight w:val="black"/>
                <w:fitText w:val="49" w:id="-1167880691"/>
              </w:rPr>
              <w:t>|</w:t>
            </w:r>
            <w:r w:rsidRPr="00816BFB">
              <w:rPr>
                <w:rFonts w:cs="Arial" w:hint="eastAsia"/>
                <w:spacing w:val="-16"/>
                <w:w w:val="15"/>
                <w:szCs w:val="20"/>
                <w:highlight w:val="black"/>
                <w:fitText w:val="49" w:id="-1167880691"/>
              </w:rPr>
              <w:t xml:space="preserve">　</w:t>
            </w:r>
            <w:r w:rsidR="00FC171B" w:rsidRPr="00816BFB">
              <w:rPr>
                <w:rFonts w:cs="Arial"/>
                <w:szCs w:val="20"/>
              </w:rPr>
              <w:t xml:space="preserve"> </w:t>
            </w:r>
            <w:r w:rsidR="005D7076">
              <w:rPr>
                <w:rFonts w:cs="Arial"/>
                <w:color w:val="000000"/>
                <w:szCs w:val="20"/>
                <w:vertAlign w:val="superscript"/>
              </w:rPr>
              <w:t>2</w:t>
            </w:r>
          </w:p>
        </w:tc>
      </w:tr>
      <w:tr w:rsidR="00FC171B" w:rsidRPr="008D56E6" w14:paraId="6222C3A5" w14:textId="77777777" w:rsidTr="00816BFB">
        <w:tc>
          <w:tcPr>
            <w:tcW w:w="1140" w:type="pct"/>
            <w:shd w:val="clear" w:color="auto" w:fill="auto"/>
            <w:vAlign w:val="center"/>
          </w:tcPr>
          <w:p w14:paraId="2D3094A3" w14:textId="77777777" w:rsidR="00FC171B" w:rsidRPr="00816BFB" w:rsidRDefault="00FC171B" w:rsidP="00DA2BF8">
            <w:pPr>
              <w:pStyle w:val="TableText0"/>
              <w:rPr>
                <w:szCs w:val="20"/>
                <w:vertAlign w:val="superscript"/>
              </w:rPr>
            </w:pPr>
            <w:r w:rsidRPr="00816BFB">
              <w:rPr>
                <w:szCs w:val="20"/>
              </w:rPr>
              <w:t xml:space="preserve">Number of scripts dispensed </w:t>
            </w:r>
            <w:r w:rsidRPr="00816BFB">
              <w:rPr>
                <w:szCs w:val="20"/>
                <w:vertAlign w:val="superscript"/>
              </w:rPr>
              <w:t>b</w:t>
            </w:r>
          </w:p>
        </w:tc>
        <w:tc>
          <w:tcPr>
            <w:tcW w:w="643" w:type="pct"/>
            <w:shd w:val="clear" w:color="auto" w:fill="auto"/>
            <w:vAlign w:val="center"/>
          </w:tcPr>
          <w:p w14:paraId="3BC2ED26" w14:textId="26415F14" w:rsidR="00FC171B" w:rsidRPr="00816BFB" w:rsidRDefault="00816BFB" w:rsidP="00DA2BF8">
            <w:pPr>
              <w:pStyle w:val="TableText0"/>
              <w:jc w:val="center"/>
              <w:rPr>
                <w:color w:val="000000"/>
                <w:szCs w:val="20"/>
              </w:rPr>
            </w:pPr>
            <w:r w:rsidRPr="00816BFB">
              <w:rPr>
                <w:rFonts w:hint="eastAsia"/>
                <w:color w:val="000000"/>
                <w:w w:val="15"/>
                <w:szCs w:val="20"/>
                <w:highlight w:val="black"/>
                <w:fitText w:val="32" w:id="-1167880690"/>
              </w:rPr>
              <w:t xml:space="preserve">　</w:t>
            </w:r>
            <w:r w:rsidRPr="00816BFB">
              <w:rPr>
                <w:color w:val="000000"/>
                <w:w w:val="15"/>
                <w:szCs w:val="20"/>
                <w:highlight w:val="black"/>
                <w:fitText w:val="32" w:id="-1167880690"/>
              </w:rPr>
              <w:t>|</w:t>
            </w:r>
            <w:r w:rsidRPr="00816BFB">
              <w:rPr>
                <w:rFonts w:hint="eastAsia"/>
                <w:color w:val="000000"/>
                <w:spacing w:val="-33"/>
                <w:w w:val="15"/>
                <w:szCs w:val="20"/>
                <w:highlight w:val="black"/>
                <w:fitText w:val="32" w:id="-1167880690"/>
              </w:rPr>
              <w:t xml:space="preserve">　</w:t>
            </w:r>
            <w:r w:rsidR="005D7076" w:rsidRPr="00DF6E70">
              <w:rPr>
                <w:rFonts w:cs="Arial"/>
                <w:color w:val="000000"/>
                <w:szCs w:val="20"/>
              </w:rPr>
              <w:t xml:space="preserve"> </w:t>
            </w:r>
            <w:r w:rsidR="005D7076">
              <w:rPr>
                <w:rFonts w:cs="Arial"/>
                <w:color w:val="000000"/>
                <w:szCs w:val="20"/>
                <w:vertAlign w:val="superscript"/>
              </w:rPr>
              <w:t>2</w:t>
            </w:r>
          </w:p>
        </w:tc>
        <w:tc>
          <w:tcPr>
            <w:tcW w:w="643" w:type="pct"/>
            <w:shd w:val="clear" w:color="auto" w:fill="auto"/>
            <w:vAlign w:val="center"/>
          </w:tcPr>
          <w:p w14:paraId="4010A162" w14:textId="0ED243DD" w:rsidR="00FC171B" w:rsidRPr="00816BFB" w:rsidRDefault="00816BFB" w:rsidP="00DA2BF8">
            <w:pPr>
              <w:pStyle w:val="TableText0"/>
              <w:jc w:val="center"/>
              <w:rPr>
                <w:color w:val="000000"/>
                <w:szCs w:val="20"/>
              </w:rPr>
            </w:pPr>
            <w:r w:rsidRPr="00816BFB">
              <w:rPr>
                <w:rFonts w:hint="eastAsia"/>
                <w:color w:val="000000"/>
                <w:w w:val="15"/>
                <w:szCs w:val="20"/>
                <w:highlight w:val="black"/>
                <w:fitText w:val="33" w:id="-1167880689"/>
              </w:rPr>
              <w:t xml:space="preserve">　</w:t>
            </w:r>
            <w:r w:rsidRPr="00816BFB">
              <w:rPr>
                <w:color w:val="000000"/>
                <w:w w:val="15"/>
                <w:szCs w:val="20"/>
                <w:highlight w:val="black"/>
                <w:fitText w:val="33" w:id="-1167880689"/>
              </w:rPr>
              <w:t>|</w:t>
            </w:r>
            <w:r w:rsidRPr="00816BFB">
              <w:rPr>
                <w:rFonts w:hint="eastAsia"/>
                <w:color w:val="000000"/>
                <w:spacing w:val="-32"/>
                <w:w w:val="15"/>
                <w:szCs w:val="20"/>
                <w:highlight w:val="black"/>
                <w:fitText w:val="33" w:id="-1167880689"/>
              </w:rPr>
              <w:t xml:space="preserve">　</w:t>
            </w:r>
            <w:r w:rsidR="005D7076" w:rsidRPr="00DF6E70">
              <w:rPr>
                <w:rFonts w:cs="Arial"/>
                <w:color w:val="000000"/>
                <w:szCs w:val="20"/>
              </w:rPr>
              <w:t xml:space="preserve"> </w:t>
            </w:r>
            <w:r w:rsidR="005D7076">
              <w:rPr>
                <w:rFonts w:cs="Arial"/>
                <w:color w:val="000000"/>
                <w:szCs w:val="20"/>
                <w:vertAlign w:val="superscript"/>
              </w:rPr>
              <w:t>3</w:t>
            </w:r>
          </w:p>
        </w:tc>
        <w:tc>
          <w:tcPr>
            <w:tcW w:w="643" w:type="pct"/>
            <w:shd w:val="clear" w:color="auto" w:fill="auto"/>
            <w:vAlign w:val="center"/>
          </w:tcPr>
          <w:p w14:paraId="590C1533" w14:textId="6DA21EC9" w:rsidR="00FC171B" w:rsidRPr="00816BFB" w:rsidRDefault="00816BFB" w:rsidP="00DA2BF8">
            <w:pPr>
              <w:pStyle w:val="TableText0"/>
              <w:jc w:val="center"/>
              <w:rPr>
                <w:color w:val="000000"/>
                <w:szCs w:val="20"/>
                <w:highlight w:val="darkGray"/>
              </w:rPr>
            </w:pPr>
            <w:r w:rsidRPr="00816BFB">
              <w:rPr>
                <w:rFonts w:hint="eastAsia"/>
                <w:color w:val="000000"/>
                <w:w w:val="15"/>
                <w:szCs w:val="20"/>
                <w:highlight w:val="black"/>
                <w:fitText w:val="33" w:id="-1167880688"/>
              </w:rPr>
              <w:t xml:space="preserve">　</w:t>
            </w:r>
            <w:r w:rsidRPr="00816BFB">
              <w:rPr>
                <w:color w:val="000000"/>
                <w:w w:val="15"/>
                <w:szCs w:val="20"/>
                <w:highlight w:val="black"/>
                <w:fitText w:val="33" w:id="-1167880688"/>
              </w:rPr>
              <w:t>|</w:t>
            </w:r>
            <w:r w:rsidRPr="00816BFB">
              <w:rPr>
                <w:rFonts w:hint="eastAsia"/>
                <w:color w:val="000000"/>
                <w:spacing w:val="-32"/>
                <w:w w:val="15"/>
                <w:szCs w:val="20"/>
                <w:highlight w:val="black"/>
                <w:fitText w:val="33" w:id="-1167880688"/>
              </w:rPr>
              <w:t xml:space="preserve">　</w:t>
            </w:r>
            <w:r w:rsidR="005D7076" w:rsidRPr="00877009">
              <w:rPr>
                <w:rFonts w:cs="Arial"/>
                <w:color w:val="000000"/>
                <w:szCs w:val="20"/>
              </w:rPr>
              <w:t xml:space="preserve"> </w:t>
            </w:r>
            <w:r w:rsidR="005D7076" w:rsidRPr="00877009">
              <w:rPr>
                <w:rFonts w:cs="Arial"/>
                <w:color w:val="000000"/>
                <w:szCs w:val="20"/>
                <w:vertAlign w:val="superscript"/>
              </w:rPr>
              <w:t>3</w:t>
            </w:r>
          </w:p>
        </w:tc>
        <w:tc>
          <w:tcPr>
            <w:tcW w:w="643" w:type="pct"/>
            <w:shd w:val="clear" w:color="auto" w:fill="auto"/>
            <w:vAlign w:val="center"/>
          </w:tcPr>
          <w:p w14:paraId="3F96353F" w14:textId="4638EF2A" w:rsidR="00FC171B" w:rsidRPr="00816BFB" w:rsidRDefault="00816BFB" w:rsidP="00DA2BF8">
            <w:pPr>
              <w:pStyle w:val="TableText0"/>
              <w:jc w:val="center"/>
              <w:rPr>
                <w:color w:val="000000"/>
                <w:szCs w:val="20"/>
              </w:rPr>
            </w:pPr>
            <w:r w:rsidRPr="00816BFB">
              <w:rPr>
                <w:rFonts w:hint="eastAsia"/>
                <w:color w:val="000000"/>
                <w:w w:val="15"/>
                <w:szCs w:val="20"/>
                <w:highlight w:val="black"/>
                <w:fitText w:val="32" w:id="-1167880704"/>
              </w:rPr>
              <w:t xml:space="preserve">　</w:t>
            </w:r>
            <w:r w:rsidRPr="00816BFB">
              <w:rPr>
                <w:color w:val="000000"/>
                <w:w w:val="15"/>
                <w:szCs w:val="20"/>
                <w:highlight w:val="black"/>
                <w:fitText w:val="32" w:id="-1167880704"/>
              </w:rPr>
              <w:t>|</w:t>
            </w:r>
            <w:r w:rsidRPr="00816BFB">
              <w:rPr>
                <w:rFonts w:hint="eastAsia"/>
                <w:color w:val="000000"/>
                <w:spacing w:val="-33"/>
                <w:w w:val="15"/>
                <w:szCs w:val="20"/>
                <w:highlight w:val="black"/>
                <w:fitText w:val="32" w:id="-1167880704"/>
              </w:rPr>
              <w:t xml:space="preserve">　</w:t>
            </w:r>
            <w:r w:rsidR="005D7076" w:rsidRPr="00DF6E70">
              <w:rPr>
                <w:rFonts w:cs="Arial"/>
                <w:color w:val="000000"/>
                <w:szCs w:val="20"/>
              </w:rPr>
              <w:t xml:space="preserve"> </w:t>
            </w:r>
            <w:r w:rsidR="005D7076">
              <w:rPr>
                <w:rFonts w:cs="Arial"/>
                <w:color w:val="000000"/>
                <w:szCs w:val="20"/>
                <w:vertAlign w:val="superscript"/>
              </w:rPr>
              <w:t>2</w:t>
            </w:r>
          </w:p>
        </w:tc>
        <w:tc>
          <w:tcPr>
            <w:tcW w:w="643" w:type="pct"/>
            <w:shd w:val="clear" w:color="auto" w:fill="auto"/>
            <w:vAlign w:val="center"/>
          </w:tcPr>
          <w:p w14:paraId="00858510" w14:textId="4FA7BE76" w:rsidR="00FC171B" w:rsidRPr="00816BFB" w:rsidRDefault="00816BFB" w:rsidP="00DA2BF8">
            <w:pPr>
              <w:pStyle w:val="TableText0"/>
              <w:jc w:val="center"/>
              <w:rPr>
                <w:color w:val="000000"/>
                <w:szCs w:val="20"/>
              </w:rPr>
            </w:pPr>
            <w:r w:rsidRPr="00816BFB">
              <w:rPr>
                <w:rFonts w:hint="eastAsia"/>
                <w:color w:val="000000"/>
                <w:w w:val="15"/>
                <w:szCs w:val="20"/>
                <w:highlight w:val="black"/>
                <w:fitText w:val="32" w:id="-1167880703"/>
              </w:rPr>
              <w:t xml:space="preserve">　</w:t>
            </w:r>
            <w:r w:rsidRPr="00816BFB">
              <w:rPr>
                <w:color w:val="000000"/>
                <w:w w:val="15"/>
                <w:szCs w:val="20"/>
                <w:highlight w:val="black"/>
                <w:fitText w:val="32" w:id="-1167880703"/>
              </w:rPr>
              <w:t>|</w:t>
            </w:r>
            <w:r w:rsidRPr="00816BFB">
              <w:rPr>
                <w:rFonts w:hint="eastAsia"/>
                <w:color w:val="000000"/>
                <w:spacing w:val="-33"/>
                <w:w w:val="15"/>
                <w:szCs w:val="20"/>
                <w:highlight w:val="black"/>
                <w:fitText w:val="32" w:id="-1167880703"/>
              </w:rPr>
              <w:t xml:space="preserve">　</w:t>
            </w:r>
            <w:r w:rsidR="005D7076" w:rsidRPr="00DF6E70">
              <w:rPr>
                <w:rFonts w:cs="Arial"/>
                <w:color w:val="000000"/>
                <w:szCs w:val="20"/>
              </w:rPr>
              <w:t xml:space="preserve"> </w:t>
            </w:r>
            <w:r w:rsidR="005D7076">
              <w:rPr>
                <w:rFonts w:cs="Arial"/>
                <w:color w:val="000000"/>
                <w:szCs w:val="20"/>
                <w:vertAlign w:val="superscript"/>
              </w:rPr>
              <w:t>2</w:t>
            </w:r>
          </w:p>
        </w:tc>
        <w:tc>
          <w:tcPr>
            <w:tcW w:w="645" w:type="pct"/>
            <w:vAlign w:val="center"/>
          </w:tcPr>
          <w:p w14:paraId="1D4E5BC1" w14:textId="280AEF61" w:rsidR="00FC171B" w:rsidRPr="00816BFB" w:rsidRDefault="00816BFB" w:rsidP="005D7076">
            <w:pPr>
              <w:pStyle w:val="TableText0"/>
              <w:jc w:val="center"/>
              <w:rPr>
                <w:color w:val="000000"/>
                <w:szCs w:val="20"/>
              </w:rPr>
            </w:pPr>
            <w:r w:rsidRPr="00816BFB">
              <w:rPr>
                <w:rFonts w:hint="eastAsia"/>
                <w:color w:val="000000"/>
                <w:w w:val="15"/>
                <w:szCs w:val="20"/>
                <w:highlight w:val="black"/>
                <w:fitText w:val="49" w:id="-1167880702"/>
              </w:rPr>
              <w:t xml:space="preserve">　</w:t>
            </w:r>
            <w:r w:rsidRPr="00816BFB">
              <w:rPr>
                <w:color w:val="000000"/>
                <w:w w:val="15"/>
                <w:szCs w:val="20"/>
                <w:highlight w:val="black"/>
                <w:fitText w:val="49" w:id="-1167880702"/>
              </w:rPr>
              <w:t>|</w:t>
            </w:r>
            <w:r w:rsidRPr="00816BFB">
              <w:rPr>
                <w:rFonts w:hint="eastAsia"/>
                <w:color w:val="000000"/>
                <w:spacing w:val="-16"/>
                <w:w w:val="15"/>
                <w:szCs w:val="20"/>
                <w:highlight w:val="black"/>
                <w:fitText w:val="49" w:id="-1167880702"/>
              </w:rPr>
              <w:t xml:space="preserve">　</w:t>
            </w:r>
            <w:r w:rsidR="005D7076" w:rsidRPr="00DF6E70">
              <w:rPr>
                <w:rFonts w:cs="Arial"/>
                <w:color w:val="000000"/>
                <w:szCs w:val="20"/>
              </w:rPr>
              <w:t xml:space="preserve"> </w:t>
            </w:r>
            <w:r w:rsidR="005D7076">
              <w:rPr>
                <w:rFonts w:cs="Arial"/>
                <w:color w:val="000000"/>
                <w:szCs w:val="20"/>
                <w:vertAlign w:val="superscript"/>
              </w:rPr>
              <w:t>2</w:t>
            </w:r>
          </w:p>
        </w:tc>
      </w:tr>
      <w:tr w:rsidR="00FC171B" w:rsidRPr="008D56E6" w14:paraId="40A193E5" w14:textId="77777777" w:rsidTr="00DA2BF8">
        <w:tc>
          <w:tcPr>
            <w:tcW w:w="5000" w:type="pct"/>
            <w:gridSpan w:val="7"/>
            <w:shd w:val="clear" w:color="auto" w:fill="auto"/>
            <w:vAlign w:val="center"/>
          </w:tcPr>
          <w:p w14:paraId="6AB86FB0" w14:textId="77777777" w:rsidR="00FC171B" w:rsidRPr="00816BFB" w:rsidRDefault="00FC171B" w:rsidP="00DA2BF8">
            <w:pPr>
              <w:pStyle w:val="TableText0"/>
              <w:rPr>
                <w:rFonts w:cs="Times New Roman"/>
                <w:b/>
                <w:bCs w:val="0"/>
                <w:szCs w:val="20"/>
              </w:rPr>
            </w:pPr>
            <w:r w:rsidRPr="00816BFB">
              <w:rPr>
                <w:b/>
                <w:szCs w:val="20"/>
              </w:rPr>
              <w:t>Net financial implications</w:t>
            </w:r>
          </w:p>
        </w:tc>
      </w:tr>
      <w:tr w:rsidR="00FC171B" w:rsidRPr="008D56E6" w14:paraId="655AE642" w14:textId="77777777" w:rsidTr="00DA2BF8">
        <w:tc>
          <w:tcPr>
            <w:tcW w:w="1140" w:type="pct"/>
            <w:shd w:val="clear" w:color="auto" w:fill="auto"/>
            <w:vAlign w:val="center"/>
          </w:tcPr>
          <w:p w14:paraId="11B393AF" w14:textId="77777777" w:rsidR="00FC171B" w:rsidRPr="00816BFB" w:rsidRDefault="00FC171B" w:rsidP="00DA2BF8">
            <w:pPr>
              <w:pStyle w:val="TableText0"/>
              <w:rPr>
                <w:szCs w:val="20"/>
                <w:vertAlign w:val="superscript"/>
              </w:rPr>
            </w:pPr>
            <w:r w:rsidRPr="00816BFB">
              <w:rPr>
                <w:szCs w:val="20"/>
              </w:rPr>
              <w:t xml:space="preserve">Net cost to PBS/RPBS </w:t>
            </w:r>
            <w:r w:rsidRPr="00816BFB">
              <w:rPr>
                <w:szCs w:val="20"/>
                <w:vertAlign w:val="superscript"/>
              </w:rPr>
              <w:t>c</w:t>
            </w:r>
          </w:p>
        </w:tc>
        <w:tc>
          <w:tcPr>
            <w:tcW w:w="643" w:type="pct"/>
            <w:shd w:val="clear" w:color="auto" w:fill="auto"/>
            <w:vAlign w:val="center"/>
          </w:tcPr>
          <w:p w14:paraId="31354BBC" w14:textId="038E7B82" w:rsidR="00FC171B" w:rsidRPr="00816BFB" w:rsidRDefault="00816BFB" w:rsidP="00DA2BF8">
            <w:pPr>
              <w:pStyle w:val="TableText0"/>
              <w:jc w:val="center"/>
              <w:rPr>
                <w:szCs w:val="20"/>
              </w:rPr>
            </w:pPr>
            <w:r w:rsidRPr="00816BFB">
              <w:rPr>
                <w:rFonts w:cs="Times New Roman" w:hint="eastAsia"/>
                <w:bCs w:val="0"/>
                <w:w w:val="15"/>
                <w:szCs w:val="20"/>
                <w:highlight w:val="black"/>
                <w:fitText w:val="32" w:id="-1167880701"/>
              </w:rPr>
              <w:t xml:space="preserve">　</w:t>
            </w:r>
            <w:r w:rsidRPr="00816BFB">
              <w:rPr>
                <w:rFonts w:cs="Times New Roman"/>
                <w:bCs w:val="0"/>
                <w:w w:val="15"/>
                <w:szCs w:val="20"/>
                <w:highlight w:val="black"/>
                <w:fitText w:val="32" w:id="-1167880701"/>
              </w:rPr>
              <w:t>|</w:t>
            </w:r>
            <w:r w:rsidRPr="00816BFB">
              <w:rPr>
                <w:rFonts w:cs="Times New Roman" w:hint="eastAsia"/>
                <w:bCs w:val="0"/>
                <w:spacing w:val="-33"/>
                <w:w w:val="15"/>
                <w:szCs w:val="20"/>
                <w:highlight w:val="black"/>
                <w:fitText w:val="32" w:id="-1167880701"/>
              </w:rPr>
              <w:t xml:space="preserve">　</w:t>
            </w:r>
            <w:r w:rsidR="005D7076" w:rsidRPr="00DF6E70">
              <w:rPr>
                <w:rFonts w:cs="Arial"/>
                <w:color w:val="000000"/>
                <w:szCs w:val="20"/>
              </w:rPr>
              <w:t xml:space="preserve"> </w:t>
            </w:r>
            <w:r w:rsidR="005D7076">
              <w:rPr>
                <w:rFonts w:cs="Arial"/>
                <w:color w:val="000000"/>
                <w:szCs w:val="20"/>
                <w:vertAlign w:val="superscript"/>
              </w:rPr>
              <w:t>4</w:t>
            </w:r>
          </w:p>
        </w:tc>
        <w:tc>
          <w:tcPr>
            <w:tcW w:w="643" w:type="pct"/>
            <w:shd w:val="clear" w:color="auto" w:fill="auto"/>
            <w:vAlign w:val="center"/>
          </w:tcPr>
          <w:p w14:paraId="64A736BF" w14:textId="156FC6B4" w:rsidR="00FC171B" w:rsidRPr="00816BFB" w:rsidRDefault="00816BFB" w:rsidP="00DA2BF8">
            <w:pPr>
              <w:pStyle w:val="TableText0"/>
              <w:jc w:val="center"/>
              <w:rPr>
                <w:szCs w:val="20"/>
              </w:rPr>
            </w:pPr>
            <w:r w:rsidRPr="00816BFB">
              <w:rPr>
                <w:rFonts w:cs="Times New Roman" w:hint="eastAsia"/>
                <w:bCs w:val="0"/>
                <w:w w:val="15"/>
                <w:szCs w:val="20"/>
                <w:highlight w:val="black"/>
                <w:fitText w:val="33" w:id="-1167880700"/>
              </w:rPr>
              <w:t xml:space="preserve">　</w:t>
            </w:r>
            <w:r w:rsidRPr="00816BFB">
              <w:rPr>
                <w:rFonts w:cs="Times New Roman"/>
                <w:bCs w:val="0"/>
                <w:w w:val="15"/>
                <w:szCs w:val="20"/>
                <w:highlight w:val="black"/>
                <w:fitText w:val="33" w:id="-1167880700"/>
              </w:rPr>
              <w:t>|</w:t>
            </w:r>
            <w:r w:rsidRPr="00816BFB">
              <w:rPr>
                <w:rFonts w:cs="Times New Roman" w:hint="eastAsia"/>
                <w:bCs w:val="0"/>
                <w:spacing w:val="-32"/>
                <w:w w:val="15"/>
                <w:szCs w:val="20"/>
                <w:highlight w:val="black"/>
                <w:fitText w:val="33" w:id="-1167880700"/>
              </w:rPr>
              <w:t xml:space="preserve">　</w:t>
            </w:r>
            <w:r w:rsidR="005D7076" w:rsidRPr="00DF6E70">
              <w:rPr>
                <w:rFonts w:cs="Arial"/>
                <w:color w:val="000000"/>
                <w:szCs w:val="20"/>
              </w:rPr>
              <w:t xml:space="preserve"> </w:t>
            </w:r>
            <w:r w:rsidR="005D7076">
              <w:rPr>
                <w:rFonts w:cs="Arial"/>
                <w:color w:val="000000"/>
                <w:szCs w:val="20"/>
                <w:vertAlign w:val="superscript"/>
              </w:rPr>
              <w:t>5</w:t>
            </w:r>
          </w:p>
        </w:tc>
        <w:tc>
          <w:tcPr>
            <w:tcW w:w="643" w:type="pct"/>
            <w:shd w:val="clear" w:color="auto" w:fill="auto"/>
            <w:vAlign w:val="center"/>
          </w:tcPr>
          <w:p w14:paraId="7DEC3A37" w14:textId="33C3699D" w:rsidR="00FC171B" w:rsidRPr="00816BFB" w:rsidRDefault="00816BFB" w:rsidP="00DA2BF8">
            <w:pPr>
              <w:pStyle w:val="TableText0"/>
              <w:jc w:val="center"/>
              <w:rPr>
                <w:szCs w:val="20"/>
                <w:highlight w:val="darkGray"/>
              </w:rPr>
            </w:pPr>
            <w:r w:rsidRPr="00816BFB">
              <w:rPr>
                <w:rFonts w:cs="Times New Roman" w:hint="eastAsia"/>
                <w:bCs w:val="0"/>
                <w:w w:val="15"/>
                <w:szCs w:val="20"/>
                <w:highlight w:val="black"/>
                <w:fitText w:val="33" w:id="-1167880699"/>
              </w:rPr>
              <w:t xml:space="preserve">　</w:t>
            </w:r>
            <w:r w:rsidRPr="00816BFB">
              <w:rPr>
                <w:rFonts w:cs="Times New Roman"/>
                <w:bCs w:val="0"/>
                <w:w w:val="15"/>
                <w:szCs w:val="20"/>
                <w:highlight w:val="black"/>
                <w:fitText w:val="33" w:id="-1167880699"/>
              </w:rPr>
              <w:t>|</w:t>
            </w:r>
            <w:r w:rsidRPr="00816BFB">
              <w:rPr>
                <w:rFonts w:cs="Times New Roman" w:hint="eastAsia"/>
                <w:bCs w:val="0"/>
                <w:spacing w:val="-32"/>
                <w:w w:val="15"/>
                <w:szCs w:val="20"/>
                <w:highlight w:val="black"/>
                <w:fitText w:val="33" w:id="-1167880699"/>
              </w:rPr>
              <w:t xml:space="preserve">　</w:t>
            </w:r>
            <w:r w:rsidR="005D7076" w:rsidRPr="00877009">
              <w:rPr>
                <w:rFonts w:cs="Arial"/>
                <w:color w:val="000000"/>
                <w:szCs w:val="20"/>
              </w:rPr>
              <w:t xml:space="preserve"> </w:t>
            </w:r>
            <w:r w:rsidR="005D7076" w:rsidRPr="00877009">
              <w:rPr>
                <w:rFonts w:cs="Arial"/>
                <w:color w:val="000000"/>
                <w:szCs w:val="20"/>
                <w:vertAlign w:val="superscript"/>
              </w:rPr>
              <w:t>5</w:t>
            </w:r>
          </w:p>
        </w:tc>
        <w:tc>
          <w:tcPr>
            <w:tcW w:w="643" w:type="pct"/>
            <w:shd w:val="clear" w:color="auto" w:fill="auto"/>
            <w:vAlign w:val="center"/>
          </w:tcPr>
          <w:p w14:paraId="6A824158" w14:textId="29B6EB3F" w:rsidR="00FC171B" w:rsidRPr="00816BFB" w:rsidRDefault="00816BFB" w:rsidP="00DA2BF8">
            <w:pPr>
              <w:pStyle w:val="TableText0"/>
              <w:jc w:val="center"/>
              <w:rPr>
                <w:szCs w:val="20"/>
              </w:rPr>
            </w:pPr>
            <w:r w:rsidRPr="00816BFB">
              <w:rPr>
                <w:rFonts w:cs="Times New Roman" w:hint="eastAsia"/>
                <w:bCs w:val="0"/>
                <w:w w:val="15"/>
                <w:szCs w:val="20"/>
                <w:highlight w:val="black"/>
                <w:fitText w:val="32" w:id="-1167880698"/>
              </w:rPr>
              <w:t xml:space="preserve">　</w:t>
            </w:r>
            <w:r w:rsidRPr="00816BFB">
              <w:rPr>
                <w:rFonts w:cs="Times New Roman"/>
                <w:bCs w:val="0"/>
                <w:w w:val="15"/>
                <w:szCs w:val="20"/>
                <w:highlight w:val="black"/>
                <w:fitText w:val="32" w:id="-1167880698"/>
              </w:rPr>
              <w:t>|</w:t>
            </w:r>
            <w:r w:rsidRPr="00816BFB">
              <w:rPr>
                <w:rFonts w:cs="Times New Roman" w:hint="eastAsia"/>
                <w:bCs w:val="0"/>
                <w:spacing w:val="-33"/>
                <w:w w:val="15"/>
                <w:szCs w:val="20"/>
                <w:highlight w:val="black"/>
                <w:fitText w:val="32" w:id="-1167880698"/>
              </w:rPr>
              <w:t xml:space="preserve">　</w:t>
            </w:r>
            <w:r w:rsidR="005D7076" w:rsidRPr="00DF6E70">
              <w:rPr>
                <w:rFonts w:cs="Arial"/>
                <w:color w:val="000000"/>
                <w:szCs w:val="20"/>
              </w:rPr>
              <w:t xml:space="preserve"> </w:t>
            </w:r>
            <w:r w:rsidR="005D7076">
              <w:rPr>
                <w:rFonts w:cs="Arial"/>
                <w:color w:val="000000"/>
                <w:szCs w:val="20"/>
                <w:vertAlign w:val="superscript"/>
              </w:rPr>
              <w:t>4</w:t>
            </w:r>
          </w:p>
        </w:tc>
        <w:tc>
          <w:tcPr>
            <w:tcW w:w="643" w:type="pct"/>
            <w:shd w:val="clear" w:color="auto" w:fill="auto"/>
            <w:vAlign w:val="center"/>
          </w:tcPr>
          <w:p w14:paraId="2211C66E" w14:textId="0173621F" w:rsidR="00FC171B" w:rsidRPr="00816BFB" w:rsidRDefault="00816BFB" w:rsidP="00DA2BF8">
            <w:pPr>
              <w:pStyle w:val="TableText0"/>
              <w:jc w:val="center"/>
              <w:rPr>
                <w:szCs w:val="20"/>
                <w:highlight w:val="darkGray"/>
              </w:rPr>
            </w:pPr>
            <w:r w:rsidRPr="00816BFB">
              <w:rPr>
                <w:rFonts w:cs="Times New Roman" w:hint="eastAsia"/>
                <w:bCs w:val="0"/>
                <w:w w:val="15"/>
                <w:szCs w:val="20"/>
                <w:highlight w:val="black"/>
                <w:fitText w:val="32" w:id="-1167880697"/>
              </w:rPr>
              <w:t xml:space="preserve">　</w:t>
            </w:r>
            <w:r w:rsidRPr="00816BFB">
              <w:rPr>
                <w:rFonts w:cs="Times New Roman"/>
                <w:bCs w:val="0"/>
                <w:w w:val="15"/>
                <w:szCs w:val="20"/>
                <w:highlight w:val="black"/>
                <w:fitText w:val="32" w:id="-1167880697"/>
              </w:rPr>
              <w:t>|</w:t>
            </w:r>
            <w:r w:rsidRPr="00816BFB">
              <w:rPr>
                <w:rFonts w:cs="Times New Roman" w:hint="eastAsia"/>
                <w:bCs w:val="0"/>
                <w:spacing w:val="-33"/>
                <w:w w:val="15"/>
                <w:szCs w:val="20"/>
                <w:highlight w:val="black"/>
                <w:fitText w:val="32" w:id="-1167880697"/>
              </w:rPr>
              <w:t xml:space="preserve">　</w:t>
            </w:r>
            <w:r w:rsidR="005D7076" w:rsidRPr="00877009">
              <w:rPr>
                <w:rFonts w:cs="Arial"/>
                <w:color w:val="000000"/>
                <w:szCs w:val="20"/>
              </w:rPr>
              <w:t xml:space="preserve"> </w:t>
            </w:r>
            <w:r w:rsidR="005D7076" w:rsidRPr="00877009">
              <w:rPr>
                <w:rFonts w:cs="Arial"/>
                <w:color w:val="000000"/>
                <w:szCs w:val="20"/>
                <w:vertAlign w:val="superscript"/>
              </w:rPr>
              <w:t>4</w:t>
            </w:r>
          </w:p>
        </w:tc>
        <w:tc>
          <w:tcPr>
            <w:tcW w:w="645" w:type="pct"/>
            <w:vAlign w:val="center"/>
          </w:tcPr>
          <w:p w14:paraId="1EF62E4C" w14:textId="0E18FCBA" w:rsidR="00FC171B" w:rsidRPr="00816BFB" w:rsidRDefault="00816BFB" w:rsidP="00DA2BF8">
            <w:pPr>
              <w:pStyle w:val="TableText0"/>
              <w:jc w:val="center"/>
              <w:rPr>
                <w:szCs w:val="20"/>
              </w:rPr>
            </w:pPr>
            <w:r w:rsidRPr="00816BFB">
              <w:rPr>
                <w:rFonts w:cs="Times New Roman" w:hint="eastAsia"/>
                <w:bCs w:val="0"/>
                <w:w w:val="15"/>
                <w:szCs w:val="20"/>
                <w:highlight w:val="black"/>
                <w:fitText w:val="49" w:id="-1167880696"/>
              </w:rPr>
              <w:t xml:space="preserve">　</w:t>
            </w:r>
            <w:r w:rsidRPr="00816BFB">
              <w:rPr>
                <w:rFonts w:cs="Times New Roman"/>
                <w:bCs w:val="0"/>
                <w:w w:val="15"/>
                <w:szCs w:val="20"/>
                <w:highlight w:val="black"/>
                <w:fitText w:val="49" w:id="-1167880696"/>
              </w:rPr>
              <w:t>|</w:t>
            </w:r>
            <w:r w:rsidRPr="00816BFB">
              <w:rPr>
                <w:rFonts w:cs="Times New Roman" w:hint="eastAsia"/>
                <w:bCs w:val="0"/>
                <w:spacing w:val="-16"/>
                <w:w w:val="15"/>
                <w:szCs w:val="20"/>
                <w:highlight w:val="black"/>
                <w:fitText w:val="49" w:id="-1167880696"/>
              </w:rPr>
              <w:t xml:space="preserve">　</w:t>
            </w:r>
            <w:r w:rsidR="005D7076" w:rsidRPr="00DF6E70">
              <w:rPr>
                <w:rFonts w:cs="Arial"/>
                <w:color w:val="000000"/>
                <w:szCs w:val="20"/>
              </w:rPr>
              <w:t xml:space="preserve"> </w:t>
            </w:r>
            <w:r w:rsidR="005D7076">
              <w:rPr>
                <w:rFonts w:cs="Arial"/>
                <w:color w:val="000000"/>
                <w:szCs w:val="20"/>
                <w:vertAlign w:val="superscript"/>
              </w:rPr>
              <w:t>4</w:t>
            </w:r>
          </w:p>
        </w:tc>
      </w:tr>
      <w:tr w:rsidR="00FC171B" w:rsidRPr="008D56E6" w14:paraId="022A2E51" w14:textId="77777777" w:rsidTr="00DA2BF8">
        <w:tc>
          <w:tcPr>
            <w:tcW w:w="1140" w:type="pct"/>
            <w:shd w:val="clear" w:color="auto" w:fill="auto"/>
            <w:vAlign w:val="center"/>
          </w:tcPr>
          <w:p w14:paraId="6B406B35" w14:textId="77777777" w:rsidR="00FC171B" w:rsidRPr="00816BFB" w:rsidRDefault="00FC171B" w:rsidP="00DA2BF8">
            <w:pPr>
              <w:pStyle w:val="TableText0"/>
              <w:rPr>
                <w:szCs w:val="20"/>
              </w:rPr>
            </w:pPr>
            <w:r w:rsidRPr="00816BFB">
              <w:rPr>
                <w:szCs w:val="20"/>
              </w:rPr>
              <w:t>Net cost to MBS</w:t>
            </w:r>
          </w:p>
        </w:tc>
        <w:tc>
          <w:tcPr>
            <w:tcW w:w="643" w:type="pct"/>
            <w:shd w:val="clear" w:color="auto" w:fill="auto"/>
          </w:tcPr>
          <w:p w14:paraId="215DCC6A" w14:textId="41EEF712" w:rsidR="00FC171B" w:rsidRPr="00816BFB" w:rsidRDefault="00816BFB" w:rsidP="00DA2BF8">
            <w:pPr>
              <w:pStyle w:val="TableText0"/>
              <w:jc w:val="center"/>
              <w:rPr>
                <w:szCs w:val="20"/>
              </w:rPr>
            </w:pPr>
            <w:r w:rsidRPr="00816BFB">
              <w:rPr>
                <w:rFonts w:hint="eastAsia"/>
                <w:w w:val="15"/>
                <w:szCs w:val="20"/>
                <w:highlight w:val="black"/>
                <w:fitText w:val="32" w:id="-1167880695"/>
              </w:rPr>
              <w:t xml:space="preserve">　</w:t>
            </w:r>
            <w:r w:rsidRPr="00816BFB">
              <w:rPr>
                <w:w w:val="15"/>
                <w:szCs w:val="20"/>
                <w:highlight w:val="black"/>
                <w:fitText w:val="32" w:id="-1167880695"/>
              </w:rPr>
              <w:t>|</w:t>
            </w:r>
            <w:r w:rsidRPr="00816BFB">
              <w:rPr>
                <w:rFonts w:hint="eastAsia"/>
                <w:spacing w:val="-33"/>
                <w:w w:val="15"/>
                <w:szCs w:val="20"/>
                <w:highlight w:val="black"/>
                <w:fitText w:val="32" w:id="-1167880695"/>
              </w:rPr>
              <w:t xml:space="preserve">　</w:t>
            </w:r>
            <w:r w:rsidR="005D7076" w:rsidRPr="00DF6E70">
              <w:rPr>
                <w:rFonts w:cs="Arial"/>
                <w:color w:val="000000"/>
                <w:szCs w:val="20"/>
              </w:rPr>
              <w:t xml:space="preserve"> </w:t>
            </w:r>
            <w:r w:rsidR="005D7076">
              <w:rPr>
                <w:rFonts w:cs="Arial"/>
                <w:color w:val="000000"/>
                <w:szCs w:val="20"/>
                <w:vertAlign w:val="superscript"/>
              </w:rPr>
              <w:t>6</w:t>
            </w:r>
          </w:p>
        </w:tc>
        <w:tc>
          <w:tcPr>
            <w:tcW w:w="643" w:type="pct"/>
            <w:shd w:val="clear" w:color="auto" w:fill="auto"/>
          </w:tcPr>
          <w:p w14:paraId="2677B13C" w14:textId="65BEC3AA" w:rsidR="00FC171B" w:rsidRPr="00816BFB" w:rsidRDefault="00816BFB" w:rsidP="00DA2BF8">
            <w:pPr>
              <w:pStyle w:val="TableText0"/>
              <w:jc w:val="center"/>
              <w:rPr>
                <w:szCs w:val="20"/>
              </w:rPr>
            </w:pPr>
            <w:r w:rsidRPr="00816BFB">
              <w:rPr>
                <w:rFonts w:hint="eastAsia"/>
                <w:w w:val="15"/>
                <w:szCs w:val="20"/>
                <w:highlight w:val="black"/>
                <w:fitText w:val="33" w:id="-1167880694"/>
              </w:rPr>
              <w:t xml:space="preserve">　</w:t>
            </w:r>
            <w:r w:rsidRPr="00816BFB">
              <w:rPr>
                <w:w w:val="15"/>
                <w:szCs w:val="20"/>
                <w:highlight w:val="black"/>
                <w:fitText w:val="33" w:id="-1167880694"/>
              </w:rPr>
              <w:t>|</w:t>
            </w:r>
            <w:r w:rsidRPr="00816BFB">
              <w:rPr>
                <w:rFonts w:hint="eastAsia"/>
                <w:spacing w:val="-32"/>
                <w:w w:val="15"/>
                <w:szCs w:val="20"/>
                <w:highlight w:val="black"/>
                <w:fitText w:val="33" w:id="-1167880694"/>
              </w:rPr>
              <w:t xml:space="preserve">　</w:t>
            </w:r>
            <w:r w:rsidR="005D7076" w:rsidRPr="00DF6E70">
              <w:rPr>
                <w:rFonts w:cs="Arial"/>
                <w:color w:val="000000"/>
                <w:szCs w:val="20"/>
              </w:rPr>
              <w:t xml:space="preserve"> </w:t>
            </w:r>
            <w:r w:rsidR="005D7076">
              <w:rPr>
                <w:rFonts w:cs="Arial"/>
                <w:color w:val="000000"/>
                <w:szCs w:val="20"/>
                <w:vertAlign w:val="superscript"/>
              </w:rPr>
              <w:t>6</w:t>
            </w:r>
          </w:p>
        </w:tc>
        <w:tc>
          <w:tcPr>
            <w:tcW w:w="643" w:type="pct"/>
            <w:shd w:val="clear" w:color="auto" w:fill="auto"/>
          </w:tcPr>
          <w:p w14:paraId="58D72383" w14:textId="74FC3E09" w:rsidR="00FC171B" w:rsidRPr="00816BFB" w:rsidRDefault="00816BFB" w:rsidP="00DA2BF8">
            <w:pPr>
              <w:pStyle w:val="TableText0"/>
              <w:jc w:val="center"/>
              <w:rPr>
                <w:szCs w:val="20"/>
              </w:rPr>
            </w:pPr>
            <w:r w:rsidRPr="00816BFB">
              <w:rPr>
                <w:rFonts w:hint="eastAsia"/>
                <w:w w:val="15"/>
                <w:szCs w:val="20"/>
                <w:highlight w:val="black"/>
                <w:fitText w:val="33" w:id="-1167880693"/>
              </w:rPr>
              <w:t xml:space="preserve">　</w:t>
            </w:r>
            <w:r w:rsidRPr="00816BFB">
              <w:rPr>
                <w:w w:val="15"/>
                <w:szCs w:val="20"/>
                <w:highlight w:val="black"/>
                <w:fitText w:val="33" w:id="-1167880693"/>
              </w:rPr>
              <w:t>|</w:t>
            </w:r>
            <w:r w:rsidRPr="00816BFB">
              <w:rPr>
                <w:rFonts w:hint="eastAsia"/>
                <w:spacing w:val="-32"/>
                <w:w w:val="15"/>
                <w:szCs w:val="20"/>
                <w:highlight w:val="black"/>
                <w:fitText w:val="33" w:id="-1167880693"/>
              </w:rPr>
              <w:t xml:space="preserve">　</w:t>
            </w:r>
            <w:r w:rsidR="005D7076" w:rsidRPr="00DF6E70">
              <w:rPr>
                <w:rFonts w:cs="Arial"/>
                <w:color w:val="000000"/>
                <w:szCs w:val="20"/>
              </w:rPr>
              <w:t xml:space="preserve"> </w:t>
            </w:r>
            <w:r w:rsidR="005D7076">
              <w:rPr>
                <w:rFonts w:cs="Arial"/>
                <w:color w:val="000000"/>
                <w:szCs w:val="20"/>
                <w:vertAlign w:val="superscript"/>
              </w:rPr>
              <w:t>6</w:t>
            </w:r>
          </w:p>
        </w:tc>
        <w:tc>
          <w:tcPr>
            <w:tcW w:w="643" w:type="pct"/>
            <w:shd w:val="clear" w:color="auto" w:fill="auto"/>
          </w:tcPr>
          <w:p w14:paraId="507A34D3" w14:textId="0D6ABE8E" w:rsidR="00FC171B" w:rsidRPr="00816BFB" w:rsidRDefault="00816BFB" w:rsidP="00DA2BF8">
            <w:pPr>
              <w:pStyle w:val="TableText0"/>
              <w:jc w:val="center"/>
              <w:rPr>
                <w:szCs w:val="20"/>
              </w:rPr>
            </w:pPr>
            <w:r w:rsidRPr="00816BFB">
              <w:rPr>
                <w:rFonts w:hint="eastAsia"/>
                <w:w w:val="15"/>
                <w:szCs w:val="20"/>
                <w:highlight w:val="black"/>
                <w:fitText w:val="32" w:id="-1167880692"/>
              </w:rPr>
              <w:t xml:space="preserve">　</w:t>
            </w:r>
            <w:r w:rsidRPr="00816BFB">
              <w:rPr>
                <w:w w:val="15"/>
                <w:szCs w:val="20"/>
                <w:highlight w:val="black"/>
                <w:fitText w:val="32" w:id="-1167880692"/>
              </w:rPr>
              <w:t>|</w:t>
            </w:r>
            <w:r w:rsidRPr="00816BFB">
              <w:rPr>
                <w:rFonts w:hint="eastAsia"/>
                <w:spacing w:val="-33"/>
                <w:w w:val="15"/>
                <w:szCs w:val="20"/>
                <w:highlight w:val="black"/>
                <w:fitText w:val="32" w:id="-1167880692"/>
              </w:rPr>
              <w:t xml:space="preserve">　</w:t>
            </w:r>
            <w:r w:rsidR="005D7076" w:rsidRPr="00DF6E70">
              <w:rPr>
                <w:rFonts w:cs="Arial"/>
                <w:color w:val="000000"/>
                <w:szCs w:val="20"/>
              </w:rPr>
              <w:t xml:space="preserve"> </w:t>
            </w:r>
            <w:r w:rsidR="005D7076">
              <w:rPr>
                <w:rFonts w:cs="Arial"/>
                <w:color w:val="000000"/>
                <w:szCs w:val="20"/>
                <w:vertAlign w:val="superscript"/>
              </w:rPr>
              <w:t>6</w:t>
            </w:r>
          </w:p>
        </w:tc>
        <w:tc>
          <w:tcPr>
            <w:tcW w:w="643" w:type="pct"/>
            <w:shd w:val="clear" w:color="auto" w:fill="auto"/>
          </w:tcPr>
          <w:p w14:paraId="7B49737E" w14:textId="04E3CE2F" w:rsidR="00FC171B" w:rsidRPr="00816BFB" w:rsidRDefault="00816BFB" w:rsidP="00DA2BF8">
            <w:pPr>
              <w:pStyle w:val="TableText0"/>
              <w:jc w:val="center"/>
              <w:rPr>
                <w:szCs w:val="20"/>
                <w:highlight w:val="darkGray"/>
              </w:rPr>
            </w:pPr>
            <w:r w:rsidRPr="00816BFB">
              <w:rPr>
                <w:rFonts w:hint="eastAsia"/>
                <w:w w:val="15"/>
                <w:szCs w:val="20"/>
                <w:highlight w:val="black"/>
                <w:fitText w:val="32" w:id="-1167880691"/>
              </w:rPr>
              <w:t xml:space="preserve">　</w:t>
            </w:r>
            <w:r w:rsidRPr="00816BFB">
              <w:rPr>
                <w:w w:val="15"/>
                <w:szCs w:val="20"/>
                <w:highlight w:val="black"/>
                <w:fitText w:val="32" w:id="-1167880691"/>
              </w:rPr>
              <w:t>|</w:t>
            </w:r>
            <w:r w:rsidRPr="00816BFB">
              <w:rPr>
                <w:rFonts w:hint="eastAsia"/>
                <w:spacing w:val="-33"/>
                <w:w w:val="15"/>
                <w:szCs w:val="20"/>
                <w:highlight w:val="black"/>
                <w:fitText w:val="32" w:id="-1167880691"/>
              </w:rPr>
              <w:t xml:space="preserve">　</w:t>
            </w:r>
            <w:r w:rsidR="005D7076" w:rsidRPr="00877009">
              <w:rPr>
                <w:rFonts w:cs="Arial"/>
                <w:color w:val="000000"/>
                <w:szCs w:val="20"/>
              </w:rPr>
              <w:t xml:space="preserve"> </w:t>
            </w:r>
            <w:r w:rsidR="005D7076" w:rsidRPr="00877009">
              <w:rPr>
                <w:rFonts w:cs="Arial"/>
                <w:color w:val="000000"/>
                <w:szCs w:val="20"/>
                <w:vertAlign w:val="superscript"/>
              </w:rPr>
              <w:t>6</w:t>
            </w:r>
          </w:p>
        </w:tc>
        <w:tc>
          <w:tcPr>
            <w:tcW w:w="645" w:type="pct"/>
          </w:tcPr>
          <w:p w14:paraId="4BE097BE" w14:textId="6DCC0932" w:rsidR="00FC171B" w:rsidRPr="00816BFB" w:rsidRDefault="00816BFB" w:rsidP="00DA2BF8">
            <w:pPr>
              <w:pStyle w:val="TableText0"/>
              <w:jc w:val="center"/>
              <w:rPr>
                <w:szCs w:val="20"/>
              </w:rPr>
            </w:pPr>
            <w:r w:rsidRPr="00816BFB">
              <w:rPr>
                <w:rFonts w:hint="eastAsia"/>
                <w:w w:val="15"/>
                <w:szCs w:val="20"/>
                <w:highlight w:val="black"/>
                <w:fitText w:val="49" w:id="-1167880690"/>
              </w:rPr>
              <w:t xml:space="preserve">　</w:t>
            </w:r>
            <w:r w:rsidRPr="00816BFB">
              <w:rPr>
                <w:w w:val="15"/>
                <w:szCs w:val="20"/>
                <w:highlight w:val="black"/>
                <w:fitText w:val="49" w:id="-1167880690"/>
              </w:rPr>
              <w:t>|</w:t>
            </w:r>
            <w:r w:rsidRPr="00816BFB">
              <w:rPr>
                <w:rFonts w:hint="eastAsia"/>
                <w:spacing w:val="-16"/>
                <w:w w:val="15"/>
                <w:szCs w:val="20"/>
                <w:highlight w:val="black"/>
                <w:fitText w:val="49" w:id="-1167880690"/>
              </w:rPr>
              <w:t xml:space="preserve">　</w:t>
            </w:r>
            <w:r w:rsidR="005D7076" w:rsidRPr="00DF6E70">
              <w:rPr>
                <w:rFonts w:cs="Arial"/>
                <w:color w:val="000000"/>
                <w:szCs w:val="20"/>
              </w:rPr>
              <w:t xml:space="preserve"> </w:t>
            </w:r>
            <w:r w:rsidR="005D7076">
              <w:rPr>
                <w:rFonts w:cs="Arial"/>
                <w:color w:val="000000"/>
                <w:szCs w:val="20"/>
                <w:vertAlign w:val="superscript"/>
              </w:rPr>
              <w:t>6</w:t>
            </w:r>
          </w:p>
        </w:tc>
      </w:tr>
      <w:tr w:rsidR="00FC171B" w:rsidRPr="008D56E6" w14:paraId="073A0FBD" w14:textId="77777777" w:rsidTr="00DA2BF8">
        <w:tc>
          <w:tcPr>
            <w:tcW w:w="1140" w:type="pct"/>
            <w:shd w:val="clear" w:color="auto" w:fill="auto"/>
          </w:tcPr>
          <w:p w14:paraId="363BA7A2" w14:textId="11658045" w:rsidR="005D7076" w:rsidRDefault="00FC171B" w:rsidP="005D7076">
            <w:pPr>
              <w:pStyle w:val="TableText0"/>
              <w:rPr>
                <w:iCs/>
                <w:szCs w:val="20"/>
              </w:rPr>
            </w:pPr>
            <w:r w:rsidRPr="00816BFB">
              <w:rPr>
                <w:bCs w:val="0"/>
                <w:iCs/>
                <w:szCs w:val="20"/>
              </w:rPr>
              <w:t>Net cost to MBS</w:t>
            </w:r>
            <w:r w:rsidR="005D7076">
              <w:rPr>
                <w:iCs/>
                <w:szCs w:val="20"/>
              </w:rPr>
              <w:t xml:space="preserve"> </w:t>
            </w:r>
          </w:p>
          <w:p w14:paraId="4B5833BD" w14:textId="4A0ED62F" w:rsidR="00FC171B" w:rsidRPr="00816BFB" w:rsidRDefault="00FC171B" w:rsidP="005D7076">
            <w:pPr>
              <w:pStyle w:val="TableText0"/>
              <w:rPr>
                <w:iCs/>
                <w:szCs w:val="20"/>
                <w:vertAlign w:val="superscript"/>
              </w:rPr>
            </w:pPr>
            <w:r w:rsidRPr="00816BFB">
              <w:rPr>
                <w:iCs/>
                <w:szCs w:val="20"/>
              </w:rPr>
              <w:t xml:space="preserve">Revised </w:t>
            </w:r>
            <w:r w:rsidRPr="00816BFB">
              <w:rPr>
                <w:iCs/>
                <w:szCs w:val="20"/>
                <w:vertAlign w:val="superscript"/>
              </w:rPr>
              <w:t>d</w:t>
            </w:r>
          </w:p>
        </w:tc>
        <w:tc>
          <w:tcPr>
            <w:tcW w:w="643" w:type="pct"/>
            <w:shd w:val="clear" w:color="auto" w:fill="auto"/>
            <w:vAlign w:val="center"/>
          </w:tcPr>
          <w:p w14:paraId="6A8F2FA2" w14:textId="01D04782" w:rsidR="00FC171B" w:rsidRPr="00816BFB" w:rsidRDefault="00816BFB" w:rsidP="00DA2BF8">
            <w:pPr>
              <w:pStyle w:val="TableText0"/>
              <w:jc w:val="center"/>
              <w:rPr>
                <w:iCs/>
                <w:szCs w:val="20"/>
              </w:rPr>
            </w:pPr>
            <w:r w:rsidRPr="00816BFB">
              <w:rPr>
                <w:rFonts w:cs="Arial" w:hint="eastAsia"/>
                <w:iCs/>
                <w:color w:val="000000"/>
                <w:w w:val="15"/>
                <w:szCs w:val="20"/>
                <w:highlight w:val="black"/>
                <w:fitText w:val="32" w:id="-1167880689"/>
              </w:rPr>
              <w:t xml:space="preserve">　</w:t>
            </w:r>
            <w:r w:rsidRPr="00816BFB">
              <w:rPr>
                <w:rFonts w:cs="Arial"/>
                <w:iCs/>
                <w:color w:val="000000"/>
                <w:w w:val="15"/>
                <w:szCs w:val="20"/>
                <w:highlight w:val="black"/>
                <w:fitText w:val="32" w:id="-1167880689"/>
              </w:rPr>
              <w:t>|</w:t>
            </w:r>
            <w:r w:rsidRPr="00816BFB">
              <w:rPr>
                <w:rFonts w:cs="Arial" w:hint="eastAsia"/>
                <w:iCs/>
                <w:color w:val="000000"/>
                <w:spacing w:val="-33"/>
                <w:w w:val="15"/>
                <w:szCs w:val="20"/>
                <w:highlight w:val="black"/>
                <w:fitText w:val="32" w:id="-1167880689"/>
              </w:rPr>
              <w:t xml:space="preserve">　</w:t>
            </w:r>
            <w:r w:rsidR="005D7076" w:rsidRPr="00DF6E70">
              <w:rPr>
                <w:rFonts w:cs="Arial"/>
                <w:color w:val="000000"/>
                <w:szCs w:val="20"/>
              </w:rPr>
              <w:t xml:space="preserve"> </w:t>
            </w:r>
            <w:r w:rsidR="005D7076">
              <w:rPr>
                <w:rFonts w:cs="Arial"/>
                <w:color w:val="000000"/>
                <w:szCs w:val="20"/>
                <w:vertAlign w:val="superscript"/>
              </w:rPr>
              <w:t>6</w:t>
            </w:r>
          </w:p>
        </w:tc>
        <w:tc>
          <w:tcPr>
            <w:tcW w:w="643" w:type="pct"/>
            <w:shd w:val="clear" w:color="auto" w:fill="auto"/>
            <w:vAlign w:val="center"/>
          </w:tcPr>
          <w:p w14:paraId="6E06C200" w14:textId="4304121B" w:rsidR="00FC171B" w:rsidRPr="00816BFB" w:rsidRDefault="00816BFB" w:rsidP="00DA2BF8">
            <w:pPr>
              <w:pStyle w:val="TableText0"/>
              <w:jc w:val="center"/>
              <w:rPr>
                <w:iCs/>
                <w:szCs w:val="20"/>
              </w:rPr>
            </w:pPr>
            <w:r w:rsidRPr="00816BFB">
              <w:rPr>
                <w:rFonts w:cs="Arial" w:hint="eastAsia"/>
                <w:iCs/>
                <w:color w:val="000000"/>
                <w:w w:val="15"/>
                <w:szCs w:val="20"/>
                <w:highlight w:val="black"/>
                <w:fitText w:val="33" w:id="-1167880688"/>
              </w:rPr>
              <w:t xml:space="preserve">　</w:t>
            </w:r>
            <w:r w:rsidRPr="00816BFB">
              <w:rPr>
                <w:rFonts w:cs="Arial"/>
                <w:iCs/>
                <w:color w:val="000000"/>
                <w:w w:val="15"/>
                <w:szCs w:val="20"/>
                <w:highlight w:val="black"/>
                <w:fitText w:val="33" w:id="-1167880688"/>
              </w:rPr>
              <w:t>|</w:t>
            </w:r>
            <w:r w:rsidRPr="00816BFB">
              <w:rPr>
                <w:rFonts w:cs="Arial" w:hint="eastAsia"/>
                <w:iCs/>
                <w:color w:val="000000"/>
                <w:spacing w:val="-32"/>
                <w:w w:val="15"/>
                <w:szCs w:val="20"/>
                <w:highlight w:val="black"/>
                <w:fitText w:val="33" w:id="-1167880688"/>
              </w:rPr>
              <w:t xml:space="preserve">　</w:t>
            </w:r>
            <w:r w:rsidR="005D7076" w:rsidRPr="00DF6E70">
              <w:rPr>
                <w:rFonts w:cs="Arial"/>
                <w:color w:val="000000"/>
                <w:szCs w:val="20"/>
              </w:rPr>
              <w:t xml:space="preserve"> </w:t>
            </w:r>
            <w:r w:rsidR="005D7076">
              <w:rPr>
                <w:rFonts w:cs="Arial"/>
                <w:color w:val="000000"/>
                <w:szCs w:val="20"/>
                <w:vertAlign w:val="superscript"/>
              </w:rPr>
              <w:t>6</w:t>
            </w:r>
          </w:p>
        </w:tc>
        <w:tc>
          <w:tcPr>
            <w:tcW w:w="643" w:type="pct"/>
            <w:shd w:val="clear" w:color="auto" w:fill="auto"/>
            <w:vAlign w:val="center"/>
          </w:tcPr>
          <w:p w14:paraId="7AE8B38C" w14:textId="0DCB4555" w:rsidR="00FC171B" w:rsidRPr="00816BFB" w:rsidRDefault="00816BFB" w:rsidP="00DA2BF8">
            <w:pPr>
              <w:pStyle w:val="TableText0"/>
              <w:jc w:val="center"/>
              <w:rPr>
                <w:iCs/>
                <w:szCs w:val="20"/>
              </w:rPr>
            </w:pPr>
            <w:r w:rsidRPr="00816BFB">
              <w:rPr>
                <w:rFonts w:cs="Arial" w:hint="eastAsia"/>
                <w:iCs/>
                <w:color w:val="000000"/>
                <w:w w:val="15"/>
                <w:szCs w:val="20"/>
                <w:highlight w:val="black"/>
                <w:fitText w:val="33" w:id="-1167880704"/>
              </w:rPr>
              <w:t xml:space="preserve">　</w:t>
            </w:r>
            <w:r w:rsidRPr="00816BFB">
              <w:rPr>
                <w:rFonts w:cs="Arial"/>
                <w:iCs/>
                <w:color w:val="000000"/>
                <w:w w:val="15"/>
                <w:szCs w:val="20"/>
                <w:highlight w:val="black"/>
                <w:fitText w:val="33" w:id="-1167880704"/>
              </w:rPr>
              <w:t>|</w:t>
            </w:r>
            <w:r w:rsidRPr="00816BFB">
              <w:rPr>
                <w:rFonts w:cs="Arial" w:hint="eastAsia"/>
                <w:iCs/>
                <w:color w:val="000000"/>
                <w:spacing w:val="-32"/>
                <w:w w:val="15"/>
                <w:szCs w:val="20"/>
                <w:highlight w:val="black"/>
                <w:fitText w:val="33" w:id="-1167880704"/>
              </w:rPr>
              <w:t xml:space="preserve">　</w:t>
            </w:r>
            <w:r w:rsidR="005D7076" w:rsidRPr="00DF6E70">
              <w:rPr>
                <w:rFonts w:cs="Arial"/>
                <w:color w:val="000000"/>
                <w:szCs w:val="20"/>
              </w:rPr>
              <w:t xml:space="preserve"> </w:t>
            </w:r>
            <w:r w:rsidR="005D7076">
              <w:rPr>
                <w:rFonts w:cs="Arial"/>
                <w:color w:val="000000"/>
                <w:szCs w:val="20"/>
                <w:vertAlign w:val="superscript"/>
              </w:rPr>
              <w:t>6</w:t>
            </w:r>
          </w:p>
        </w:tc>
        <w:tc>
          <w:tcPr>
            <w:tcW w:w="643" w:type="pct"/>
            <w:shd w:val="clear" w:color="auto" w:fill="auto"/>
            <w:vAlign w:val="center"/>
          </w:tcPr>
          <w:p w14:paraId="5CF7C0CD" w14:textId="58B1FD0A" w:rsidR="00FC171B" w:rsidRPr="00816BFB" w:rsidRDefault="00816BFB" w:rsidP="00DA2BF8">
            <w:pPr>
              <w:pStyle w:val="TableText0"/>
              <w:jc w:val="center"/>
              <w:rPr>
                <w:iCs/>
                <w:szCs w:val="20"/>
              </w:rPr>
            </w:pPr>
            <w:r w:rsidRPr="00816BFB">
              <w:rPr>
                <w:rFonts w:cs="Arial" w:hint="eastAsia"/>
                <w:iCs/>
                <w:color w:val="000000"/>
                <w:w w:val="15"/>
                <w:szCs w:val="20"/>
                <w:highlight w:val="black"/>
                <w:fitText w:val="32" w:id="-1167880703"/>
              </w:rPr>
              <w:t xml:space="preserve">　</w:t>
            </w:r>
            <w:r w:rsidRPr="00816BFB">
              <w:rPr>
                <w:rFonts w:cs="Arial"/>
                <w:iCs/>
                <w:color w:val="000000"/>
                <w:w w:val="15"/>
                <w:szCs w:val="20"/>
                <w:highlight w:val="black"/>
                <w:fitText w:val="32" w:id="-1167880703"/>
              </w:rPr>
              <w:t>|</w:t>
            </w:r>
            <w:r w:rsidRPr="00816BFB">
              <w:rPr>
                <w:rFonts w:cs="Arial" w:hint="eastAsia"/>
                <w:iCs/>
                <w:color w:val="000000"/>
                <w:spacing w:val="-33"/>
                <w:w w:val="15"/>
                <w:szCs w:val="20"/>
                <w:highlight w:val="black"/>
                <w:fitText w:val="32" w:id="-1167880703"/>
              </w:rPr>
              <w:t xml:space="preserve">　</w:t>
            </w:r>
            <w:r w:rsidR="005D7076" w:rsidRPr="00DF6E70">
              <w:rPr>
                <w:rFonts w:cs="Arial"/>
                <w:color w:val="000000"/>
                <w:szCs w:val="20"/>
              </w:rPr>
              <w:t xml:space="preserve"> </w:t>
            </w:r>
            <w:r w:rsidR="005D7076">
              <w:rPr>
                <w:rFonts w:cs="Arial"/>
                <w:color w:val="000000"/>
                <w:szCs w:val="20"/>
                <w:vertAlign w:val="superscript"/>
              </w:rPr>
              <w:t>6</w:t>
            </w:r>
          </w:p>
        </w:tc>
        <w:tc>
          <w:tcPr>
            <w:tcW w:w="643" w:type="pct"/>
            <w:shd w:val="clear" w:color="auto" w:fill="auto"/>
            <w:vAlign w:val="center"/>
          </w:tcPr>
          <w:p w14:paraId="199F3012" w14:textId="13766600" w:rsidR="00FC171B" w:rsidRPr="00816BFB" w:rsidRDefault="00816BFB" w:rsidP="00DA2BF8">
            <w:pPr>
              <w:pStyle w:val="TableText0"/>
              <w:jc w:val="center"/>
              <w:rPr>
                <w:iCs/>
                <w:szCs w:val="20"/>
              </w:rPr>
            </w:pPr>
            <w:r w:rsidRPr="00816BFB">
              <w:rPr>
                <w:rFonts w:cs="Arial" w:hint="eastAsia"/>
                <w:iCs/>
                <w:color w:val="000000"/>
                <w:w w:val="15"/>
                <w:szCs w:val="20"/>
                <w:highlight w:val="black"/>
                <w:fitText w:val="32" w:id="-1167880702"/>
              </w:rPr>
              <w:t xml:space="preserve">　</w:t>
            </w:r>
            <w:r w:rsidRPr="00816BFB">
              <w:rPr>
                <w:rFonts w:cs="Arial"/>
                <w:iCs/>
                <w:color w:val="000000"/>
                <w:w w:val="15"/>
                <w:szCs w:val="20"/>
                <w:highlight w:val="black"/>
                <w:fitText w:val="32" w:id="-1167880702"/>
              </w:rPr>
              <w:t>|</w:t>
            </w:r>
            <w:r w:rsidRPr="00816BFB">
              <w:rPr>
                <w:rFonts w:cs="Arial" w:hint="eastAsia"/>
                <w:iCs/>
                <w:color w:val="000000"/>
                <w:spacing w:val="-33"/>
                <w:w w:val="15"/>
                <w:szCs w:val="20"/>
                <w:highlight w:val="black"/>
                <w:fitText w:val="32" w:id="-1167880702"/>
              </w:rPr>
              <w:t xml:space="preserve">　</w:t>
            </w:r>
            <w:r w:rsidR="005D7076" w:rsidRPr="00DF6E70">
              <w:rPr>
                <w:rFonts w:cs="Arial"/>
                <w:color w:val="000000"/>
                <w:szCs w:val="20"/>
              </w:rPr>
              <w:t xml:space="preserve"> </w:t>
            </w:r>
            <w:r w:rsidR="005D7076">
              <w:rPr>
                <w:rFonts w:cs="Arial"/>
                <w:color w:val="000000"/>
                <w:szCs w:val="20"/>
                <w:vertAlign w:val="superscript"/>
              </w:rPr>
              <w:t>6</w:t>
            </w:r>
          </w:p>
        </w:tc>
        <w:tc>
          <w:tcPr>
            <w:tcW w:w="645" w:type="pct"/>
            <w:vAlign w:val="center"/>
          </w:tcPr>
          <w:p w14:paraId="31C254C0" w14:textId="04768F59" w:rsidR="00FC171B" w:rsidRPr="00816BFB" w:rsidRDefault="00816BFB" w:rsidP="00DA2BF8">
            <w:pPr>
              <w:pStyle w:val="TableText0"/>
              <w:jc w:val="center"/>
              <w:rPr>
                <w:iCs/>
                <w:szCs w:val="20"/>
              </w:rPr>
            </w:pPr>
            <w:r w:rsidRPr="00816BFB">
              <w:rPr>
                <w:rFonts w:cs="Arial" w:hint="eastAsia"/>
                <w:iCs/>
                <w:color w:val="000000"/>
                <w:w w:val="15"/>
                <w:szCs w:val="20"/>
                <w:highlight w:val="black"/>
                <w:fitText w:val="49" w:id="-1167880701"/>
              </w:rPr>
              <w:t xml:space="preserve">　</w:t>
            </w:r>
            <w:r w:rsidRPr="00816BFB">
              <w:rPr>
                <w:rFonts w:cs="Arial"/>
                <w:iCs/>
                <w:color w:val="000000"/>
                <w:w w:val="15"/>
                <w:szCs w:val="20"/>
                <w:highlight w:val="black"/>
                <w:fitText w:val="49" w:id="-1167880701"/>
              </w:rPr>
              <w:t>|</w:t>
            </w:r>
            <w:r w:rsidRPr="00816BFB">
              <w:rPr>
                <w:rFonts w:cs="Arial" w:hint="eastAsia"/>
                <w:iCs/>
                <w:color w:val="000000"/>
                <w:spacing w:val="-16"/>
                <w:w w:val="15"/>
                <w:szCs w:val="20"/>
                <w:highlight w:val="black"/>
                <w:fitText w:val="49" w:id="-1167880701"/>
              </w:rPr>
              <w:t xml:space="preserve">　</w:t>
            </w:r>
            <w:r w:rsidR="005D7076" w:rsidRPr="00DF6E70">
              <w:rPr>
                <w:rFonts w:cs="Arial"/>
                <w:color w:val="000000"/>
                <w:szCs w:val="20"/>
              </w:rPr>
              <w:t xml:space="preserve"> </w:t>
            </w:r>
            <w:r w:rsidR="005D7076">
              <w:rPr>
                <w:rFonts w:cs="Arial"/>
                <w:color w:val="000000"/>
                <w:szCs w:val="20"/>
                <w:vertAlign w:val="superscript"/>
              </w:rPr>
              <w:t>6</w:t>
            </w:r>
          </w:p>
        </w:tc>
      </w:tr>
      <w:tr w:rsidR="00FC171B" w:rsidRPr="008D56E6" w14:paraId="663E17DA" w14:textId="77777777" w:rsidTr="00DA2BF8">
        <w:tc>
          <w:tcPr>
            <w:tcW w:w="1140" w:type="pct"/>
            <w:shd w:val="clear" w:color="auto" w:fill="auto"/>
            <w:vAlign w:val="center"/>
          </w:tcPr>
          <w:p w14:paraId="597A6BCC" w14:textId="77777777" w:rsidR="00FC171B" w:rsidRPr="00816BFB" w:rsidRDefault="00FC171B" w:rsidP="00DA2BF8">
            <w:pPr>
              <w:pStyle w:val="TableText0"/>
              <w:rPr>
                <w:iCs/>
                <w:szCs w:val="20"/>
              </w:rPr>
            </w:pPr>
            <w:r w:rsidRPr="00816BFB">
              <w:rPr>
                <w:iCs/>
                <w:szCs w:val="20"/>
              </w:rPr>
              <w:t>Net cost to PBS/RPBS/MBS</w:t>
            </w:r>
          </w:p>
        </w:tc>
        <w:tc>
          <w:tcPr>
            <w:tcW w:w="643" w:type="pct"/>
            <w:shd w:val="clear" w:color="auto" w:fill="auto"/>
            <w:vAlign w:val="center"/>
          </w:tcPr>
          <w:p w14:paraId="48865C68" w14:textId="0A2DA0E0" w:rsidR="00FC171B" w:rsidRPr="00816BFB" w:rsidRDefault="00816BFB" w:rsidP="00DA2BF8">
            <w:pPr>
              <w:pStyle w:val="TableText0"/>
              <w:jc w:val="center"/>
              <w:rPr>
                <w:b/>
                <w:iCs/>
                <w:szCs w:val="20"/>
              </w:rPr>
            </w:pPr>
            <w:r w:rsidRPr="00816BFB">
              <w:rPr>
                <w:rFonts w:cs="Arial" w:hint="eastAsia"/>
                <w:b/>
                <w:iCs/>
                <w:color w:val="000000"/>
                <w:w w:val="18"/>
                <w:szCs w:val="20"/>
                <w:highlight w:val="black"/>
                <w:fitText w:val="81" w:id="-1167880700"/>
              </w:rPr>
              <w:t xml:space="preserve">　</w:t>
            </w:r>
            <w:r w:rsidRPr="00816BFB">
              <w:rPr>
                <w:rFonts w:cs="Arial"/>
                <w:b/>
                <w:iCs/>
                <w:color w:val="000000"/>
                <w:w w:val="18"/>
                <w:szCs w:val="20"/>
                <w:highlight w:val="black"/>
                <w:fitText w:val="81" w:id="-1167880700"/>
              </w:rPr>
              <w:t>|</w:t>
            </w:r>
            <w:r w:rsidRPr="00816BFB">
              <w:rPr>
                <w:rFonts w:cs="Arial" w:hint="eastAsia"/>
                <w:b/>
                <w:iCs/>
                <w:color w:val="000000"/>
                <w:w w:val="18"/>
                <w:szCs w:val="20"/>
                <w:highlight w:val="black"/>
                <w:fitText w:val="81" w:id="-1167880700"/>
              </w:rPr>
              <w:t xml:space="preserve">　</w:t>
            </w:r>
            <w:r w:rsidR="005D7076" w:rsidRPr="00DF6E70">
              <w:rPr>
                <w:rFonts w:cs="Arial"/>
                <w:color w:val="000000"/>
                <w:szCs w:val="20"/>
              </w:rPr>
              <w:t xml:space="preserve"> </w:t>
            </w:r>
            <w:r w:rsidR="005D7076">
              <w:rPr>
                <w:rFonts w:cs="Arial"/>
                <w:color w:val="000000"/>
                <w:szCs w:val="20"/>
                <w:vertAlign w:val="superscript"/>
              </w:rPr>
              <w:t>4</w:t>
            </w:r>
          </w:p>
        </w:tc>
        <w:tc>
          <w:tcPr>
            <w:tcW w:w="643" w:type="pct"/>
            <w:shd w:val="clear" w:color="auto" w:fill="auto"/>
            <w:vAlign w:val="center"/>
          </w:tcPr>
          <w:p w14:paraId="6593DFD0" w14:textId="68CF3EC6" w:rsidR="00FC171B" w:rsidRPr="00816BFB" w:rsidRDefault="00816BFB" w:rsidP="00DA2BF8">
            <w:pPr>
              <w:pStyle w:val="TableText0"/>
              <w:jc w:val="center"/>
              <w:rPr>
                <w:b/>
                <w:iCs/>
                <w:szCs w:val="20"/>
              </w:rPr>
            </w:pPr>
            <w:r w:rsidRPr="00816BFB">
              <w:rPr>
                <w:rFonts w:cs="Arial" w:hint="eastAsia"/>
                <w:b/>
                <w:iCs/>
                <w:color w:val="000000"/>
                <w:w w:val="18"/>
                <w:szCs w:val="20"/>
                <w:highlight w:val="black"/>
                <w:fitText w:val="81" w:id="-1167880699"/>
              </w:rPr>
              <w:t xml:space="preserve">　</w:t>
            </w:r>
            <w:r w:rsidRPr="00816BFB">
              <w:rPr>
                <w:rFonts w:cs="Arial"/>
                <w:b/>
                <w:iCs/>
                <w:color w:val="000000"/>
                <w:w w:val="18"/>
                <w:szCs w:val="20"/>
                <w:highlight w:val="black"/>
                <w:fitText w:val="81" w:id="-1167880699"/>
              </w:rPr>
              <w:t>|</w:t>
            </w:r>
            <w:r w:rsidRPr="00816BFB">
              <w:rPr>
                <w:rFonts w:cs="Arial" w:hint="eastAsia"/>
                <w:b/>
                <w:iCs/>
                <w:color w:val="000000"/>
                <w:w w:val="18"/>
                <w:szCs w:val="20"/>
                <w:highlight w:val="black"/>
                <w:fitText w:val="81" w:id="-1167880699"/>
              </w:rPr>
              <w:t xml:space="preserve">　</w:t>
            </w:r>
            <w:r w:rsidR="005D7076" w:rsidRPr="00DF6E70">
              <w:rPr>
                <w:rFonts w:cs="Arial"/>
                <w:color w:val="000000"/>
                <w:szCs w:val="20"/>
              </w:rPr>
              <w:t xml:space="preserve"> </w:t>
            </w:r>
            <w:r w:rsidR="005D7076">
              <w:rPr>
                <w:rFonts w:cs="Arial"/>
                <w:color w:val="000000"/>
                <w:szCs w:val="20"/>
                <w:vertAlign w:val="superscript"/>
              </w:rPr>
              <w:t>5</w:t>
            </w:r>
          </w:p>
        </w:tc>
        <w:tc>
          <w:tcPr>
            <w:tcW w:w="643" w:type="pct"/>
            <w:shd w:val="clear" w:color="auto" w:fill="auto"/>
            <w:vAlign w:val="center"/>
          </w:tcPr>
          <w:p w14:paraId="74FE2D30" w14:textId="2E5F2915" w:rsidR="00FC171B" w:rsidRPr="00816BFB" w:rsidRDefault="00816BFB" w:rsidP="00DA2BF8">
            <w:pPr>
              <w:pStyle w:val="TableText0"/>
              <w:jc w:val="center"/>
              <w:rPr>
                <w:b/>
                <w:iCs/>
                <w:szCs w:val="20"/>
              </w:rPr>
            </w:pPr>
            <w:r w:rsidRPr="00816BFB">
              <w:rPr>
                <w:rFonts w:cs="Arial" w:hint="eastAsia"/>
                <w:b/>
                <w:iCs/>
                <w:color w:val="000000"/>
                <w:w w:val="18"/>
                <w:szCs w:val="20"/>
                <w:highlight w:val="black"/>
                <w:fitText w:val="81" w:id="-1167880698"/>
              </w:rPr>
              <w:t xml:space="preserve">　</w:t>
            </w:r>
            <w:r w:rsidRPr="00816BFB">
              <w:rPr>
                <w:rFonts w:cs="Arial"/>
                <w:b/>
                <w:iCs/>
                <w:color w:val="000000"/>
                <w:w w:val="18"/>
                <w:szCs w:val="20"/>
                <w:highlight w:val="black"/>
                <w:fitText w:val="81" w:id="-1167880698"/>
              </w:rPr>
              <w:t>|</w:t>
            </w:r>
            <w:r w:rsidRPr="00816BFB">
              <w:rPr>
                <w:rFonts w:cs="Arial" w:hint="eastAsia"/>
                <w:b/>
                <w:iCs/>
                <w:color w:val="000000"/>
                <w:w w:val="18"/>
                <w:szCs w:val="20"/>
                <w:highlight w:val="black"/>
                <w:fitText w:val="81" w:id="-1167880698"/>
              </w:rPr>
              <w:t xml:space="preserve">　</w:t>
            </w:r>
            <w:r w:rsidR="005D7076" w:rsidRPr="00DF6E70">
              <w:rPr>
                <w:rFonts w:cs="Arial"/>
                <w:color w:val="000000"/>
                <w:szCs w:val="20"/>
              </w:rPr>
              <w:t xml:space="preserve"> </w:t>
            </w:r>
            <w:r w:rsidR="005D7076">
              <w:rPr>
                <w:rFonts w:cs="Arial"/>
                <w:color w:val="000000"/>
                <w:szCs w:val="20"/>
                <w:vertAlign w:val="superscript"/>
              </w:rPr>
              <w:t>5</w:t>
            </w:r>
          </w:p>
        </w:tc>
        <w:tc>
          <w:tcPr>
            <w:tcW w:w="643" w:type="pct"/>
            <w:shd w:val="clear" w:color="auto" w:fill="auto"/>
            <w:vAlign w:val="center"/>
          </w:tcPr>
          <w:p w14:paraId="56188997" w14:textId="775D36F1" w:rsidR="00FC171B" w:rsidRPr="00816BFB" w:rsidRDefault="00816BFB" w:rsidP="00DA2BF8">
            <w:pPr>
              <w:pStyle w:val="TableText0"/>
              <w:jc w:val="center"/>
              <w:rPr>
                <w:b/>
                <w:iCs/>
                <w:szCs w:val="20"/>
              </w:rPr>
            </w:pPr>
            <w:r w:rsidRPr="00816BFB">
              <w:rPr>
                <w:rFonts w:cs="Arial" w:hint="eastAsia"/>
                <w:b/>
                <w:iCs/>
                <w:color w:val="000000"/>
                <w:w w:val="17"/>
                <w:szCs w:val="20"/>
                <w:highlight w:val="black"/>
                <w:fitText w:val="80" w:id="-1167880697"/>
              </w:rPr>
              <w:t xml:space="preserve">　</w:t>
            </w:r>
            <w:r w:rsidRPr="00816BFB">
              <w:rPr>
                <w:rFonts w:cs="Arial"/>
                <w:b/>
                <w:iCs/>
                <w:color w:val="000000"/>
                <w:w w:val="17"/>
                <w:szCs w:val="20"/>
                <w:highlight w:val="black"/>
                <w:fitText w:val="80" w:id="-1167880697"/>
              </w:rPr>
              <w:t>|</w:t>
            </w:r>
            <w:r w:rsidRPr="00816BFB">
              <w:rPr>
                <w:rFonts w:cs="Arial" w:hint="eastAsia"/>
                <w:b/>
                <w:iCs/>
                <w:color w:val="000000"/>
                <w:spacing w:val="6"/>
                <w:w w:val="17"/>
                <w:szCs w:val="20"/>
                <w:highlight w:val="black"/>
                <w:fitText w:val="80" w:id="-1167880697"/>
              </w:rPr>
              <w:t xml:space="preserve">　</w:t>
            </w:r>
            <w:r w:rsidR="005D7076" w:rsidRPr="00DF6E70">
              <w:rPr>
                <w:rFonts w:cs="Arial"/>
                <w:color w:val="000000"/>
                <w:szCs w:val="20"/>
              </w:rPr>
              <w:t xml:space="preserve"> </w:t>
            </w:r>
            <w:r w:rsidR="005D7076">
              <w:rPr>
                <w:rFonts w:cs="Arial"/>
                <w:color w:val="000000"/>
                <w:szCs w:val="20"/>
                <w:vertAlign w:val="superscript"/>
              </w:rPr>
              <w:t>4</w:t>
            </w:r>
          </w:p>
        </w:tc>
        <w:tc>
          <w:tcPr>
            <w:tcW w:w="643" w:type="pct"/>
            <w:shd w:val="clear" w:color="auto" w:fill="auto"/>
            <w:vAlign w:val="center"/>
          </w:tcPr>
          <w:p w14:paraId="06634924" w14:textId="6849DFB9" w:rsidR="00FC171B" w:rsidRPr="00816BFB" w:rsidRDefault="00816BFB" w:rsidP="00DA2BF8">
            <w:pPr>
              <w:pStyle w:val="TableText0"/>
              <w:jc w:val="center"/>
              <w:rPr>
                <w:b/>
                <w:iCs/>
                <w:szCs w:val="20"/>
              </w:rPr>
            </w:pPr>
            <w:r w:rsidRPr="00816BFB">
              <w:rPr>
                <w:rFonts w:cs="Arial" w:hint="eastAsia"/>
                <w:b/>
                <w:iCs/>
                <w:color w:val="000000"/>
                <w:w w:val="18"/>
                <w:szCs w:val="20"/>
                <w:highlight w:val="black"/>
                <w:fitText w:val="81" w:id="-1167880696"/>
              </w:rPr>
              <w:t xml:space="preserve">　</w:t>
            </w:r>
            <w:r w:rsidRPr="00816BFB">
              <w:rPr>
                <w:rFonts w:cs="Arial"/>
                <w:b/>
                <w:iCs/>
                <w:color w:val="000000"/>
                <w:w w:val="18"/>
                <w:szCs w:val="20"/>
                <w:highlight w:val="black"/>
                <w:fitText w:val="81" w:id="-1167880696"/>
              </w:rPr>
              <w:t>|</w:t>
            </w:r>
            <w:r w:rsidRPr="00816BFB">
              <w:rPr>
                <w:rFonts w:cs="Arial" w:hint="eastAsia"/>
                <w:b/>
                <w:iCs/>
                <w:color w:val="000000"/>
                <w:w w:val="18"/>
                <w:szCs w:val="20"/>
                <w:highlight w:val="black"/>
                <w:fitText w:val="81" w:id="-1167880696"/>
              </w:rPr>
              <w:t xml:space="preserve">　</w:t>
            </w:r>
            <w:r w:rsidR="005D7076" w:rsidRPr="00DF6E70">
              <w:rPr>
                <w:rFonts w:cs="Arial"/>
                <w:color w:val="000000"/>
                <w:szCs w:val="20"/>
              </w:rPr>
              <w:t xml:space="preserve"> </w:t>
            </w:r>
            <w:r w:rsidR="005D7076">
              <w:rPr>
                <w:rFonts w:cs="Arial"/>
                <w:color w:val="000000"/>
                <w:szCs w:val="20"/>
                <w:vertAlign w:val="superscript"/>
              </w:rPr>
              <w:t>4</w:t>
            </w:r>
          </w:p>
        </w:tc>
        <w:tc>
          <w:tcPr>
            <w:tcW w:w="645" w:type="pct"/>
            <w:vAlign w:val="center"/>
          </w:tcPr>
          <w:p w14:paraId="29F9910B" w14:textId="20D5FD9A" w:rsidR="00FC171B" w:rsidRPr="00816BFB" w:rsidRDefault="00816BFB" w:rsidP="00DA2BF8">
            <w:pPr>
              <w:pStyle w:val="TableText0"/>
              <w:jc w:val="center"/>
              <w:rPr>
                <w:b/>
                <w:iCs/>
                <w:szCs w:val="20"/>
              </w:rPr>
            </w:pPr>
            <w:r w:rsidRPr="00816BFB">
              <w:rPr>
                <w:rFonts w:cs="Arial" w:hint="eastAsia"/>
                <w:b/>
                <w:iCs/>
                <w:color w:val="000000"/>
                <w:w w:val="18"/>
                <w:szCs w:val="20"/>
                <w:highlight w:val="black"/>
                <w:fitText w:val="81" w:id="-1167880695"/>
              </w:rPr>
              <w:t xml:space="preserve">　</w:t>
            </w:r>
            <w:r w:rsidRPr="00816BFB">
              <w:rPr>
                <w:rFonts w:cs="Arial"/>
                <w:b/>
                <w:iCs/>
                <w:color w:val="000000"/>
                <w:w w:val="18"/>
                <w:szCs w:val="20"/>
                <w:highlight w:val="black"/>
                <w:fitText w:val="81" w:id="-1167880695"/>
              </w:rPr>
              <w:t>|</w:t>
            </w:r>
            <w:r w:rsidRPr="00816BFB">
              <w:rPr>
                <w:rFonts w:cs="Arial" w:hint="eastAsia"/>
                <w:b/>
                <w:iCs/>
                <w:color w:val="000000"/>
                <w:w w:val="18"/>
                <w:szCs w:val="20"/>
                <w:highlight w:val="black"/>
                <w:fitText w:val="81" w:id="-1167880695"/>
              </w:rPr>
              <w:t xml:space="preserve">　</w:t>
            </w:r>
            <w:r w:rsidR="005D7076" w:rsidRPr="00DF6E70">
              <w:rPr>
                <w:rFonts w:cs="Arial"/>
                <w:color w:val="000000"/>
                <w:szCs w:val="20"/>
              </w:rPr>
              <w:t xml:space="preserve"> </w:t>
            </w:r>
            <w:r w:rsidR="005D7076">
              <w:rPr>
                <w:rFonts w:cs="Arial"/>
                <w:color w:val="000000"/>
                <w:szCs w:val="20"/>
                <w:vertAlign w:val="superscript"/>
              </w:rPr>
              <w:t>4</w:t>
            </w:r>
          </w:p>
        </w:tc>
      </w:tr>
      <w:tr w:rsidR="00FC171B" w:rsidRPr="008D56E6" w14:paraId="26BD590C" w14:textId="77777777" w:rsidTr="00DA2BF8">
        <w:tc>
          <w:tcPr>
            <w:tcW w:w="1140" w:type="pct"/>
            <w:shd w:val="clear" w:color="auto" w:fill="auto"/>
            <w:vAlign w:val="center"/>
          </w:tcPr>
          <w:p w14:paraId="7726039F" w14:textId="77777777" w:rsidR="00FC171B" w:rsidRPr="00816BFB" w:rsidRDefault="00FC171B" w:rsidP="00DA2BF8">
            <w:pPr>
              <w:pStyle w:val="TableText0"/>
              <w:rPr>
                <w:iCs/>
                <w:szCs w:val="20"/>
              </w:rPr>
            </w:pPr>
            <w:r w:rsidRPr="00816BFB">
              <w:rPr>
                <w:iCs/>
                <w:szCs w:val="20"/>
              </w:rPr>
              <w:t>Net cost to PBS/RPBS/MBS</w:t>
            </w:r>
          </w:p>
          <w:p w14:paraId="0865ED84" w14:textId="77777777" w:rsidR="00FC171B" w:rsidRPr="00816BFB" w:rsidRDefault="00FC171B" w:rsidP="00DA2BF8">
            <w:pPr>
              <w:pStyle w:val="TableText0"/>
              <w:rPr>
                <w:iCs/>
                <w:szCs w:val="20"/>
                <w:vertAlign w:val="superscript"/>
              </w:rPr>
            </w:pPr>
            <w:r w:rsidRPr="00816BFB">
              <w:rPr>
                <w:iCs/>
                <w:szCs w:val="20"/>
              </w:rPr>
              <w:t>Revised</w:t>
            </w:r>
          </w:p>
        </w:tc>
        <w:tc>
          <w:tcPr>
            <w:tcW w:w="643" w:type="pct"/>
            <w:shd w:val="clear" w:color="auto" w:fill="auto"/>
            <w:vAlign w:val="center"/>
          </w:tcPr>
          <w:p w14:paraId="72F853F5" w14:textId="2B1CC7C7" w:rsidR="00FC171B" w:rsidRPr="00816BFB" w:rsidRDefault="00816BFB" w:rsidP="00DA2BF8">
            <w:pPr>
              <w:pStyle w:val="TableText0"/>
              <w:jc w:val="center"/>
              <w:rPr>
                <w:rFonts w:cs="Arial"/>
                <w:b/>
                <w:iCs/>
                <w:color w:val="000000"/>
                <w:szCs w:val="20"/>
              </w:rPr>
            </w:pPr>
            <w:r w:rsidRPr="00816BFB">
              <w:rPr>
                <w:rFonts w:cs="Arial" w:hint="eastAsia"/>
                <w:b/>
                <w:iCs/>
                <w:color w:val="000000"/>
                <w:w w:val="18"/>
                <w:szCs w:val="20"/>
                <w:highlight w:val="black"/>
                <w:fitText w:val="81" w:id="-1167880694"/>
              </w:rPr>
              <w:t xml:space="preserve">　</w:t>
            </w:r>
            <w:r w:rsidRPr="00816BFB">
              <w:rPr>
                <w:rFonts w:cs="Arial"/>
                <w:b/>
                <w:iCs/>
                <w:color w:val="000000"/>
                <w:w w:val="18"/>
                <w:szCs w:val="20"/>
                <w:highlight w:val="black"/>
                <w:fitText w:val="81" w:id="-1167880694"/>
              </w:rPr>
              <w:t>|</w:t>
            </w:r>
            <w:r w:rsidRPr="00816BFB">
              <w:rPr>
                <w:rFonts w:cs="Arial" w:hint="eastAsia"/>
                <w:b/>
                <w:iCs/>
                <w:color w:val="000000"/>
                <w:w w:val="18"/>
                <w:szCs w:val="20"/>
                <w:highlight w:val="black"/>
                <w:fitText w:val="81" w:id="-1167880694"/>
              </w:rPr>
              <w:t xml:space="preserve">　</w:t>
            </w:r>
            <w:r w:rsidR="005D7076" w:rsidRPr="00DF6E70">
              <w:rPr>
                <w:rFonts w:cs="Arial"/>
                <w:color w:val="000000"/>
                <w:szCs w:val="20"/>
              </w:rPr>
              <w:t xml:space="preserve"> </w:t>
            </w:r>
            <w:r w:rsidR="005D7076">
              <w:rPr>
                <w:rFonts w:cs="Arial"/>
                <w:color w:val="000000"/>
                <w:szCs w:val="20"/>
                <w:vertAlign w:val="superscript"/>
              </w:rPr>
              <w:t>4</w:t>
            </w:r>
          </w:p>
        </w:tc>
        <w:tc>
          <w:tcPr>
            <w:tcW w:w="643" w:type="pct"/>
            <w:shd w:val="clear" w:color="auto" w:fill="auto"/>
            <w:vAlign w:val="center"/>
          </w:tcPr>
          <w:p w14:paraId="641B6E2C" w14:textId="67B16B14" w:rsidR="00FC171B" w:rsidRPr="00816BFB" w:rsidRDefault="00816BFB" w:rsidP="00DA2BF8">
            <w:pPr>
              <w:pStyle w:val="TableText0"/>
              <w:jc w:val="center"/>
              <w:rPr>
                <w:rFonts w:cs="Arial"/>
                <w:b/>
                <w:iCs/>
                <w:color w:val="000000"/>
                <w:szCs w:val="20"/>
              </w:rPr>
            </w:pPr>
            <w:r w:rsidRPr="00816BFB">
              <w:rPr>
                <w:rFonts w:cs="Arial" w:hint="eastAsia"/>
                <w:b/>
                <w:iCs/>
                <w:color w:val="000000"/>
                <w:w w:val="18"/>
                <w:szCs w:val="20"/>
                <w:highlight w:val="black"/>
                <w:fitText w:val="81" w:id="-1167880693"/>
              </w:rPr>
              <w:t xml:space="preserve">　</w:t>
            </w:r>
            <w:r w:rsidRPr="00816BFB">
              <w:rPr>
                <w:rFonts w:cs="Arial"/>
                <w:b/>
                <w:iCs/>
                <w:color w:val="000000"/>
                <w:w w:val="18"/>
                <w:szCs w:val="20"/>
                <w:highlight w:val="black"/>
                <w:fitText w:val="81" w:id="-1167880693"/>
              </w:rPr>
              <w:t>|</w:t>
            </w:r>
            <w:r w:rsidRPr="00816BFB">
              <w:rPr>
                <w:rFonts w:cs="Arial" w:hint="eastAsia"/>
                <w:b/>
                <w:iCs/>
                <w:color w:val="000000"/>
                <w:w w:val="18"/>
                <w:szCs w:val="20"/>
                <w:highlight w:val="black"/>
                <w:fitText w:val="81" w:id="-1167880693"/>
              </w:rPr>
              <w:t xml:space="preserve">　</w:t>
            </w:r>
            <w:r w:rsidR="005D7076" w:rsidRPr="00DF6E70">
              <w:rPr>
                <w:rFonts w:cs="Arial"/>
                <w:color w:val="000000"/>
                <w:szCs w:val="20"/>
              </w:rPr>
              <w:t xml:space="preserve"> </w:t>
            </w:r>
            <w:r w:rsidR="005D7076">
              <w:rPr>
                <w:rFonts w:cs="Arial"/>
                <w:color w:val="000000"/>
                <w:szCs w:val="20"/>
                <w:vertAlign w:val="superscript"/>
              </w:rPr>
              <w:t>5</w:t>
            </w:r>
          </w:p>
        </w:tc>
        <w:tc>
          <w:tcPr>
            <w:tcW w:w="643" w:type="pct"/>
            <w:shd w:val="clear" w:color="auto" w:fill="auto"/>
            <w:vAlign w:val="center"/>
          </w:tcPr>
          <w:p w14:paraId="4270DC6A" w14:textId="4FA8FA2B" w:rsidR="00FC171B" w:rsidRPr="00816BFB" w:rsidRDefault="00816BFB" w:rsidP="00DA2BF8">
            <w:pPr>
              <w:pStyle w:val="TableText0"/>
              <w:jc w:val="center"/>
              <w:rPr>
                <w:rFonts w:cs="Arial"/>
                <w:b/>
                <w:iCs/>
                <w:color w:val="000000"/>
                <w:szCs w:val="20"/>
              </w:rPr>
            </w:pPr>
            <w:r w:rsidRPr="00816BFB">
              <w:rPr>
                <w:rFonts w:cs="Arial" w:hint="eastAsia"/>
                <w:b/>
                <w:iCs/>
                <w:color w:val="000000"/>
                <w:w w:val="18"/>
                <w:szCs w:val="20"/>
                <w:highlight w:val="black"/>
                <w:fitText w:val="81" w:id="-1167880692"/>
              </w:rPr>
              <w:t xml:space="preserve">　</w:t>
            </w:r>
            <w:r w:rsidRPr="00816BFB">
              <w:rPr>
                <w:rFonts w:cs="Arial"/>
                <w:b/>
                <w:iCs/>
                <w:color w:val="000000"/>
                <w:w w:val="18"/>
                <w:szCs w:val="20"/>
                <w:highlight w:val="black"/>
                <w:fitText w:val="81" w:id="-1167880692"/>
              </w:rPr>
              <w:t>|</w:t>
            </w:r>
            <w:r w:rsidRPr="00816BFB">
              <w:rPr>
                <w:rFonts w:cs="Arial" w:hint="eastAsia"/>
                <w:b/>
                <w:iCs/>
                <w:color w:val="000000"/>
                <w:w w:val="18"/>
                <w:szCs w:val="20"/>
                <w:highlight w:val="black"/>
                <w:fitText w:val="81" w:id="-1167880692"/>
              </w:rPr>
              <w:t xml:space="preserve">　</w:t>
            </w:r>
            <w:r w:rsidR="005D7076" w:rsidRPr="00DF6E70">
              <w:rPr>
                <w:rFonts w:cs="Arial"/>
                <w:color w:val="000000"/>
                <w:szCs w:val="20"/>
              </w:rPr>
              <w:t xml:space="preserve"> </w:t>
            </w:r>
            <w:r w:rsidR="005D7076">
              <w:rPr>
                <w:rFonts w:cs="Arial"/>
                <w:color w:val="000000"/>
                <w:szCs w:val="20"/>
                <w:vertAlign w:val="superscript"/>
              </w:rPr>
              <w:t>5</w:t>
            </w:r>
          </w:p>
        </w:tc>
        <w:tc>
          <w:tcPr>
            <w:tcW w:w="643" w:type="pct"/>
            <w:shd w:val="clear" w:color="auto" w:fill="auto"/>
            <w:vAlign w:val="center"/>
          </w:tcPr>
          <w:p w14:paraId="5B49FB2E" w14:textId="1FF99FA1" w:rsidR="00FC171B" w:rsidRPr="00816BFB" w:rsidRDefault="00816BFB" w:rsidP="00DA2BF8">
            <w:pPr>
              <w:pStyle w:val="TableText0"/>
              <w:jc w:val="center"/>
              <w:rPr>
                <w:rFonts w:cs="Arial"/>
                <w:b/>
                <w:iCs/>
                <w:color w:val="000000"/>
                <w:szCs w:val="20"/>
              </w:rPr>
            </w:pPr>
            <w:r w:rsidRPr="00816BFB">
              <w:rPr>
                <w:rFonts w:cs="Arial" w:hint="eastAsia"/>
                <w:b/>
                <w:iCs/>
                <w:color w:val="000000"/>
                <w:w w:val="17"/>
                <w:szCs w:val="20"/>
                <w:highlight w:val="black"/>
                <w:fitText w:val="80" w:id="-1167880691"/>
              </w:rPr>
              <w:t xml:space="preserve">　</w:t>
            </w:r>
            <w:r w:rsidRPr="00816BFB">
              <w:rPr>
                <w:rFonts w:cs="Arial"/>
                <w:b/>
                <w:iCs/>
                <w:color w:val="000000"/>
                <w:w w:val="17"/>
                <w:szCs w:val="20"/>
                <w:highlight w:val="black"/>
                <w:fitText w:val="80" w:id="-1167880691"/>
              </w:rPr>
              <w:t>|</w:t>
            </w:r>
            <w:r w:rsidRPr="00816BFB">
              <w:rPr>
                <w:rFonts w:cs="Arial" w:hint="eastAsia"/>
                <w:b/>
                <w:iCs/>
                <w:color w:val="000000"/>
                <w:spacing w:val="6"/>
                <w:w w:val="17"/>
                <w:szCs w:val="20"/>
                <w:highlight w:val="black"/>
                <w:fitText w:val="80" w:id="-1167880691"/>
              </w:rPr>
              <w:t xml:space="preserve">　</w:t>
            </w:r>
            <w:r w:rsidR="005D7076" w:rsidRPr="00DF6E70">
              <w:rPr>
                <w:rFonts w:cs="Arial"/>
                <w:color w:val="000000"/>
                <w:szCs w:val="20"/>
              </w:rPr>
              <w:t xml:space="preserve"> </w:t>
            </w:r>
            <w:r w:rsidR="005D7076">
              <w:rPr>
                <w:rFonts w:cs="Arial"/>
                <w:color w:val="000000"/>
                <w:szCs w:val="20"/>
                <w:vertAlign w:val="superscript"/>
              </w:rPr>
              <w:t>4</w:t>
            </w:r>
          </w:p>
        </w:tc>
        <w:tc>
          <w:tcPr>
            <w:tcW w:w="643" w:type="pct"/>
            <w:shd w:val="clear" w:color="auto" w:fill="auto"/>
            <w:vAlign w:val="center"/>
          </w:tcPr>
          <w:p w14:paraId="73E65DDA" w14:textId="7A2C69E2" w:rsidR="00FC171B" w:rsidRPr="00816BFB" w:rsidRDefault="00816BFB" w:rsidP="00DA2BF8">
            <w:pPr>
              <w:pStyle w:val="TableText0"/>
              <w:jc w:val="center"/>
              <w:rPr>
                <w:rFonts w:cs="Arial"/>
                <w:b/>
                <w:iCs/>
                <w:color w:val="000000"/>
                <w:szCs w:val="20"/>
              </w:rPr>
            </w:pPr>
            <w:r w:rsidRPr="00816BFB">
              <w:rPr>
                <w:rFonts w:cs="Arial" w:hint="eastAsia"/>
                <w:b/>
                <w:iCs/>
                <w:color w:val="000000"/>
                <w:w w:val="18"/>
                <w:szCs w:val="20"/>
                <w:highlight w:val="black"/>
                <w:fitText w:val="81" w:id="-1167880690"/>
              </w:rPr>
              <w:t xml:space="preserve">　</w:t>
            </w:r>
            <w:r w:rsidRPr="00816BFB">
              <w:rPr>
                <w:rFonts w:cs="Arial"/>
                <w:b/>
                <w:iCs/>
                <w:color w:val="000000"/>
                <w:w w:val="18"/>
                <w:szCs w:val="20"/>
                <w:highlight w:val="black"/>
                <w:fitText w:val="81" w:id="-1167880690"/>
              </w:rPr>
              <w:t>|</w:t>
            </w:r>
            <w:r w:rsidRPr="00816BFB">
              <w:rPr>
                <w:rFonts w:cs="Arial" w:hint="eastAsia"/>
                <w:b/>
                <w:iCs/>
                <w:color w:val="000000"/>
                <w:w w:val="18"/>
                <w:szCs w:val="20"/>
                <w:highlight w:val="black"/>
                <w:fitText w:val="81" w:id="-1167880690"/>
              </w:rPr>
              <w:t xml:space="preserve">　</w:t>
            </w:r>
            <w:r w:rsidR="005D7076" w:rsidRPr="00DF6E70">
              <w:rPr>
                <w:rFonts w:cs="Arial"/>
                <w:color w:val="000000"/>
                <w:szCs w:val="20"/>
              </w:rPr>
              <w:t xml:space="preserve"> </w:t>
            </w:r>
            <w:r w:rsidR="005D7076">
              <w:rPr>
                <w:rFonts w:cs="Arial"/>
                <w:color w:val="000000"/>
                <w:szCs w:val="20"/>
                <w:vertAlign w:val="superscript"/>
              </w:rPr>
              <w:t>4</w:t>
            </w:r>
          </w:p>
        </w:tc>
        <w:tc>
          <w:tcPr>
            <w:tcW w:w="645" w:type="pct"/>
            <w:vAlign w:val="center"/>
          </w:tcPr>
          <w:p w14:paraId="36278F9D" w14:textId="65A19B12" w:rsidR="00FC171B" w:rsidRPr="00816BFB" w:rsidRDefault="00816BFB" w:rsidP="00DA2BF8">
            <w:pPr>
              <w:pStyle w:val="TableText0"/>
              <w:jc w:val="center"/>
              <w:rPr>
                <w:rFonts w:cs="Arial"/>
                <w:b/>
                <w:iCs/>
                <w:color w:val="000000"/>
                <w:szCs w:val="20"/>
              </w:rPr>
            </w:pPr>
            <w:r w:rsidRPr="00816BFB">
              <w:rPr>
                <w:rFonts w:cs="Arial" w:hint="eastAsia"/>
                <w:b/>
                <w:iCs/>
                <w:color w:val="000000"/>
                <w:w w:val="18"/>
                <w:szCs w:val="20"/>
                <w:highlight w:val="black"/>
                <w:fitText w:val="81" w:id="-1167880689"/>
              </w:rPr>
              <w:t xml:space="preserve">　</w:t>
            </w:r>
            <w:r w:rsidRPr="00816BFB">
              <w:rPr>
                <w:rFonts w:cs="Arial"/>
                <w:b/>
                <w:iCs/>
                <w:color w:val="000000"/>
                <w:w w:val="18"/>
                <w:szCs w:val="20"/>
                <w:highlight w:val="black"/>
                <w:fitText w:val="81" w:id="-1167880689"/>
              </w:rPr>
              <w:t>|</w:t>
            </w:r>
            <w:r w:rsidRPr="00816BFB">
              <w:rPr>
                <w:rFonts w:cs="Arial" w:hint="eastAsia"/>
                <w:b/>
                <w:iCs/>
                <w:color w:val="000000"/>
                <w:w w:val="18"/>
                <w:szCs w:val="20"/>
                <w:highlight w:val="black"/>
                <w:fitText w:val="81" w:id="-1167880689"/>
              </w:rPr>
              <w:t xml:space="preserve">　</w:t>
            </w:r>
            <w:r w:rsidR="005D7076" w:rsidRPr="00DF6E70">
              <w:rPr>
                <w:rFonts w:cs="Arial"/>
                <w:color w:val="000000"/>
                <w:szCs w:val="20"/>
              </w:rPr>
              <w:t xml:space="preserve"> </w:t>
            </w:r>
            <w:r w:rsidR="005D7076">
              <w:rPr>
                <w:rFonts w:cs="Arial"/>
                <w:color w:val="000000"/>
                <w:szCs w:val="20"/>
                <w:vertAlign w:val="superscript"/>
              </w:rPr>
              <w:t>4</w:t>
            </w:r>
          </w:p>
        </w:tc>
      </w:tr>
    </w:tbl>
    <w:p w14:paraId="490DE120" w14:textId="77777777" w:rsidR="00FC171B" w:rsidRPr="00FB229F" w:rsidRDefault="00FC171B" w:rsidP="00FC171B">
      <w:pPr>
        <w:pStyle w:val="FooterTableFigure"/>
        <w:rPr>
          <w:rStyle w:val="CommentReference"/>
        </w:rPr>
      </w:pPr>
      <w:r w:rsidRPr="00FB229F">
        <w:t>Source: tabulated during evaluation from Sheets “2d. Patients – DTG”, “3a. Scripts – proposed”, “5. Impact – net” and “6. Net changes – MBS” from the “A6.1_ Selpercatinib Cost and utilisation model” workbook included in the submission.</w:t>
      </w:r>
    </w:p>
    <w:p w14:paraId="34825235" w14:textId="77777777" w:rsidR="00FC171B" w:rsidRPr="00FB229F" w:rsidRDefault="00FC171B" w:rsidP="00FC171B">
      <w:pPr>
        <w:pStyle w:val="FooterTableFigure"/>
      </w:pPr>
      <w:r w:rsidRPr="00FB229F">
        <w:rPr>
          <w:vertAlign w:val="superscript"/>
        </w:rPr>
        <w:t>a</w:t>
      </w:r>
      <w:r w:rsidRPr="00FB229F">
        <w:t xml:space="preserve"> Assuming a treatment duration of 34.71 months; that patients in their third year of treatment receive treatment for only 89.25% of the year (10.71 months)  </w:t>
      </w:r>
    </w:p>
    <w:p w14:paraId="06987CF8" w14:textId="374B8D68" w:rsidR="00FC171B" w:rsidRPr="00FB229F" w:rsidRDefault="00FC171B" w:rsidP="00FC171B">
      <w:pPr>
        <w:pStyle w:val="FooterTableFigure"/>
      </w:pPr>
      <w:r w:rsidRPr="00FB229F">
        <w:rPr>
          <w:vertAlign w:val="superscript"/>
        </w:rPr>
        <w:t xml:space="preserve">b </w:t>
      </w:r>
      <w:r w:rsidRPr="00FB229F">
        <w:t xml:space="preserve">Assuming 13.04 </w:t>
      </w:r>
      <w:r w:rsidR="00166045">
        <w:t>prescriptions</w:t>
      </w:r>
      <w:r w:rsidRPr="00FB229F">
        <w:t xml:space="preserve"> per year per patient as estimated by the submission; population splits of 53%, 43% and 19% for the 80 mg x 112 packs, 80 mg x 56 packs and 40 mg x 56 packs and assuming that one </w:t>
      </w:r>
      <w:r w:rsidR="00166045">
        <w:t>prescription</w:t>
      </w:r>
      <w:r w:rsidRPr="00FB229F">
        <w:t xml:space="preserve"> provides a treatment coverage of 28 days.</w:t>
      </w:r>
    </w:p>
    <w:p w14:paraId="22FEF509" w14:textId="746166D8" w:rsidR="00FC171B" w:rsidRPr="00FB229F" w:rsidRDefault="00FC171B" w:rsidP="00FC171B">
      <w:pPr>
        <w:pStyle w:val="FooterTableFigure"/>
      </w:pPr>
      <w:r w:rsidRPr="00FB229F">
        <w:rPr>
          <w:vertAlign w:val="superscript"/>
        </w:rPr>
        <w:t>c</w:t>
      </w:r>
      <w:r w:rsidRPr="00FB229F">
        <w:t xml:space="preserve"> Cost per </w:t>
      </w:r>
      <w:r w:rsidR="00166045">
        <w:t>prescription</w:t>
      </w:r>
      <w:r w:rsidRPr="00FB229F">
        <w:t>: $</w:t>
      </w:r>
      <w:r w:rsidR="00816BFB" w:rsidRPr="00816BFB">
        <w:rPr>
          <w:spacing w:val="37"/>
          <w:highlight w:val="black"/>
          <w:fitText w:val="271" w:id="-1167880688"/>
        </w:rPr>
        <w:t xml:space="preserve">|  </w:t>
      </w:r>
      <w:r w:rsidR="00816BFB" w:rsidRPr="00816BFB">
        <w:rPr>
          <w:spacing w:val="2"/>
          <w:highlight w:val="black"/>
          <w:fitText w:val="271" w:id="-1167880688"/>
        </w:rPr>
        <w:t>|</w:t>
      </w:r>
      <w:r w:rsidRPr="00FB229F">
        <w:t>per 80 mg x 112 pack, $</w:t>
      </w:r>
      <w:r w:rsidR="00816BFB" w:rsidRPr="00816BFB">
        <w:rPr>
          <w:spacing w:val="37"/>
          <w:highlight w:val="black"/>
          <w:fitText w:val="271" w:id="-1167880704"/>
        </w:rPr>
        <w:t xml:space="preserve">|  </w:t>
      </w:r>
      <w:r w:rsidR="00816BFB" w:rsidRPr="00816BFB">
        <w:rPr>
          <w:spacing w:val="2"/>
          <w:highlight w:val="black"/>
          <w:fitText w:val="271" w:id="-1167880704"/>
        </w:rPr>
        <w:t>|</w:t>
      </w:r>
      <w:r w:rsidRPr="00FB229F">
        <w:t>per 80 mg x 56 pack and $</w:t>
      </w:r>
      <w:r w:rsidR="00816BFB" w:rsidRPr="00480A42">
        <w:rPr>
          <w:spacing w:val="37"/>
          <w:highlight w:val="black"/>
          <w:fitText w:val="271" w:id="-1167880703"/>
        </w:rPr>
        <w:t xml:space="preserve">|  </w:t>
      </w:r>
      <w:r w:rsidR="00816BFB" w:rsidRPr="00480A42">
        <w:rPr>
          <w:spacing w:val="2"/>
          <w:highlight w:val="black"/>
          <w:fitText w:val="271" w:id="-1167880703"/>
        </w:rPr>
        <w:t>|</w:t>
      </w:r>
      <w:r w:rsidRPr="00FB229F">
        <w:t xml:space="preserve">per 40 mg x 56 pack. </w:t>
      </w:r>
    </w:p>
    <w:p w14:paraId="2A0B23ED" w14:textId="1918DA68" w:rsidR="00FC171B" w:rsidRDefault="00FC171B" w:rsidP="00816BFB">
      <w:pPr>
        <w:pStyle w:val="FooterTableFigure"/>
        <w:spacing w:after="0"/>
      </w:pPr>
      <w:r w:rsidRPr="00FB229F">
        <w:rPr>
          <w:vertAlign w:val="superscript"/>
        </w:rPr>
        <w:t xml:space="preserve">d </w:t>
      </w:r>
      <w:r w:rsidRPr="00FB229F">
        <w:t xml:space="preserve">Revised to include </w:t>
      </w:r>
      <w:r w:rsidRPr="00FB229F">
        <w:rPr>
          <w:i/>
          <w:iCs/>
        </w:rPr>
        <w:t>RET</w:t>
      </w:r>
      <w:r w:rsidRPr="00FB229F">
        <w:t xml:space="preserve"> fusion testing costs for only 34% of NSCLC, NSQ/NOS, PS of 0-2, </w:t>
      </w:r>
      <w:r w:rsidRPr="00FB229F">
        <w:rPr>
          <w:i/>
        </w:rPr>
        <w:t xml:space="preserve">RET </w:t>
      </w:r>
      <w:r w:rsidRPr="00FB229F">
        <w:t xml:space="preserve">fusion positive, prevalent patients, assuming a fee of $545.88 per test (based on item CCCC in MSAC Application 1721) and 7 ECG services costs for patients in their first year of treatment </w:t>
      </w:r>
    </w:p>
    <w:p w14:paraId="14AEF82A" w14:textId="77777777" w:rsidR="005D7076" w:rsidRPr="009A6D58" w:rsidRDefault="005D7076" w:rsidP="005D707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BE0D209" w14:textId="77777777" w:rsidR="005D7076" w:rsidRPr="009A6D58" w:rsidRDefault="005D7076" w:rsidP="005D707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3A69C8">
        <w:rPr>
          <w:rFonts w:ascii="Arial Narrow" w:hAnsi="Arial Narrow"/>
          <w:i/>
          <w:sz w:val="18"/>
          <w:szCs w:val="18"/>
        </w:rPr>
        <w:t>&lt; 500</w:t>
      </w:r>
    </w:p>
    <w:p w14:paraId="5AE689EC" w14:textId="77777777" w:rsidR="005D7076" w:rsidRPr="009A6D58" w:rsidRDefault="005D7076" w:rsidP="005D707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3A69C8">
        <w:rPr>
          <w:rFonts w:ascii="Arial Narrow" w:hAnsi="Arial Narrow"/>
          <w:i/>
          <w:sz w:val="18"/>
          <w:szCs w:val="18"/>
        </w:rPr>
        <w:t>500 to &lt; 5,000</w:t>
      </w:r>
    </w:p>
    <w:p w14:paraId="5945F6BA" w14:textId="77777777" w:rsidR="005D7076" w:rsidRPr="00FB229F" w:rsidRDefault="005D7076" w:rsidP="00816BFB">
      <w:r w:rsidRPr="009A6D58">
        <w:rPr>
          <w:rFonts w:ascii="Arial Narrow" w:hAnsi="Arial Narrow"/>
          <w:i/>
          <w:sz w:val="18"/>
          <w:szCs w:val="18"/>
          <w:vertAlign w:val="superscript"/>
        </w:rPr>
        <w:t>3</w:t>
      </w:r>
      <w:r>
        <w:rPr>
          <w:rFonts w:ascii="Arial Narrow" w:hAnsi="Arial Narrow"/>
          <w:i/>
          <w:sz w:val="18"/>
          <w:szCs w:val="18"/>
        </w:rPr>
        <w:t xml:space="preserve"> </w:t>
      </w:r>
      <w:r w:rsidRPr="003A69C8">
        <w:rPr>
          <w:rFonts w:ascii="Arial Narrow" w:hAnsi="Arial Narrow"/>
          <w:i/>
          <w:sz w:val="18"/>
          <w:szCs w:val="18"/>
        </w:rPr>
        <w:t>5,000 to &lt; 10,000</w:t>
      </w:r>
    </w:p>
    <w:p w14:paraId="4890F504" w14:textId="708909BC" w:rsidR="005D7076" w:rsidRDefault="005D7076" w:rsidP="005D7076">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5D7076">
        <w:rPr>
          <w:rFonts w:ascii="Arial Narrow" w:hAnsi="Arial Narrow"/>
          <w:i/>
          <w:sz w:val="18"/>
          <w:szCs w:val="18"/>
        </w:rPr>
        <w:t>$20 million to &lt; $30 million</w:t>
      </w:r>
    </w:p>
    <w:p w14:paraId="7C146681" w14:textId="290CFC85" w:rsidR="005D7076" w:rsidRDefault="005D7076" w:rsidP="005D7076">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5D7076">
        <w:rPr>
          <w:rFonts w:ascii="Arial Narrow" w:hAnsi="Arial Narrow"/>
          <w:i/>
          <w:sz w:val="18"/>
          <w:szCs w:val="18"/>
        </w:rPr>
        <w:t>$30 million to &lt; $40 million</w:t>
      </w:r>
    </w:p>
    <w:p w14:paraId="35AD4AB7" w14:textId="51BF1250" w:rsidR="005D7076" w:rsidRDefault="005D7076" w:rsidP="00816BFB">
      <w:pPr>
        <w:spacing w:after="120"/>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5D7076">
        <w:rPr>
          <w:rFonts w:ascii="Arial Narrow" w:hAnsi="Arial Narrow"/>
          <w:i/>
          <w:sz w:val="18"/>
          <w:szCs w:val="18"/>
        </w:rPr>
        <w:t>$0 to &lt; $</w:t>
      </w:r>
      <w:r>
        <w:rPr>
          <w:rFonts w:ascii="Arial Narrow" w:hAnsi="Arial Narrow"/>
          <w:i/>
          <w:sz w:val="18"/>
          <w:szCs w:val="18"/>
        </w:rPr>
        <w:t>1</w:t>
      </w:r>
      <w:r w:rsidRPr="005D7076">
        <w:rPr>
          <w:rFonts w:ascii="Arial Narrow" w:hAnsi="Arial Narrow"/>
          <w:i/>
          <w:sz w:val="18"/>
          <w:szCs w:val="18"/>
        </w:rPr>
        <w:t>0 million</w:t>
      </w:r>
    </w:p>
    <w:p w14:paraId="086E03C8" w14:textId="77777777" w:rsidR="00FC171B" w:rsidRPr="00FB229F" w:rsidRDefault="00FC171B" w:rsidP="00FC171B">
      <w:pPr>
        <w:pStyle w:val="3-BodyText"/>
        <w:ind w:left="709" w:hanging="709"/>
      </w:pPr>
      <w:r w:rsidRPr="00FB229F">
        <w:t xml:space="preserve">Changes in the use and cost of MBS services were included in the submission. </w:t>
      </w:r>
      <w:r w:rsidRPr="00FB229F">
        <w:rPr>
          <w:i/>
          <w:iCs/>
        </w:rPr>
        <w:t>RET</w:t>
      </w:r>
      <w:r w:rsidRPr="00FB229F">
        <w:t xml:space="preserve"> fusion testing costs (at a proposed fee based on MBS item 73337: $397.35, assuming an 80% rebate) were included for 34% of NSCLC, NSQ/NOS patients with a PS of 0-2. Following the positive MSAC recommendation for the inclusion of </w:t>
      </w:r>
      <w:r w:rsidRPr="00FB229F">
        <w:rPr>
          <w:i/>
          <w:iCs/>
        </w:rPr>
        <w:t>RET</w:t>
      </w:r>
      <w:r w:rsidRPr="00FB229F">
        <w:t xml:space="preserve"> fusion testing </w:t>
      </w:r>
      <w:r w:rsidRPr="00FB229F">
        <w:lastRenderedPageBreak/>
        <w:t xml:space="preserve">in the small gene panel (MSAC Application 1721), patients diagnosed with NSCLC would undergo a multi-gene panel test regardless of the availability of selpercatinib. Therefore, the estimated change in use and cost of testing for </w:t>
      </w:r>
      <w:r w:rsidRPr="00FB229F">
        <w:rPr>
          <w:i/>
          <w:iCs/>
        </w:rPr>
        <w:t>RET</w:t>
      </w:r>
      <w:r w:rsidRPr="00FB229F">
        <w:t xml:space="preserve"> fusions in incident patients was not reasonable. The estimated use of testing (under the supported item for fusion testing, i.e. item CCCC in MSAC Application 1721) in prevalent patients may be reasonable.</w:t>
      </w:r>
    </w:p>
    <w:p w14:paraId="7F93CA79" w14:textId="4000BF41" w:rsidR="00FC171B" w:rsidRPr="00FB229F" w:rsidRDefault="00FC171B" w:rsidP="00FC171B">
      <w:pPr>
        <w:pStyle w:val="3-BodyText"/>
        <w:ind w:left="709" w:hanging="709"/>
      </w:pPr>
      <w:r w:rsidRPr="00FB229F">
        <w:t>Changes in the use and cost to the MBS of ECG services were also included. Each patient treated with selpercatinib was assumed to receive 2.4 ECG services while on treatment.</w:t>
      </w:r>
      <w:r w:rsidRPr="00FB229F">
        <w:rPr>
          <w:iCs/>
        </w:rPr>
        <w:t xml:space="preserve"> Th</w:t>
      </w:r>
      <w:r w:rsidR="00A94A3C" w:rsidRPr="00FB229F">
        <w:rPr>
          <w:iCs/>
        </w:rPr>
        <w:t xml:space="preserve">e evaluation considered this was </w:t>
      </w:r>
      <w:r w:rsidRPr="00FB229F">
        <w:rPr>
          <w:iCs/>
        </w:rPr>
        <w:t xml:space="preserve">not reasonable as the draft selpercatinib PI suggests that ECGs be conducted in the first week following treatment initiation with selpercatinib and then monthly for the first 6 months. Thus, it is more appropriate to cost for 7 ECG services per patient in their first year of treatment. </w:t>
      </w:r>
    </w:p>
    <w:p w14:paraId="0249A333" w14:textId="7D77A58D" w:rsidR="00FC171B" w:rsidRPr="00FB229F" w:rsidRDefault="00FC171B" w:rsidP="006A1FD1">
      <w:pPr>
        <w:pStyle w:val="3-BodyText"/>
        <w:ind w:left="709" w:hanging="709"/>
      </w:pPr>
      <w:r w:rsidRPr="00FB229F">
        <w:t xml:space="preserve">The sponsor noted that pembrolizumab currently has a </w:t>
      </w:r>
      <w:r w:rsidR="00010B2B">
        <w:t>S</w:t>
      </w:r>
      <w:r w:rsidR="00010B2B" w:rsidRPr="00FB229F">
        <w:t xml:space="preserve">pecial </w:t>
      </w:r>
      <w:r w:rsidR="00010B2B">
        <w:t>P</w:t>
      </w:r>
      <w:r w:rsidR="00010B2B" w:rsidRPr="00FB229F">
        <w:t xml:space="preserve">ricing </w:t>
      </w:r>
      <w:r w:rsidR="00010B2B">
        <w:t>A</w:t>
      </w:r>
      <w:r w:rsidR="00010B2B" w:rsidRPr="00FB229F">
        <w:t xml:space="preserve">rrangement </w:t>
      </w:r>
      <w:r w:rsidR="00010B2B">
        <w:t xml:space="preserve">(SPA) </w:t>
      </w:r>
      <w:r w:rsidRPr="00FB229F">
        <w:t>in place and advised that they may seek a</w:t>
      </w:r>
      <w:r w:rsidR="00010B2B">
        <w:t>n</w:t>
      </w:r>
      <w:r w:rsidRPr="00FB229F">
        <w:t xml:space="preserve"> SPA during discussions with the Department of Health if selpercatinib is listed on the PBS. Thus, the submission noted that the financial estimations included in the submission would likely be an overestimation as it is based on the published price. </w:t>
      </w:r>
    </w:p>
    <w:p w14:paraId="4BDB437B" w14:textId="4E872D59" w:rsidR="00003093" w:rsidRPr="00FB229F" w:rsidRDefault="00003093" w:rsidP="007B1BC5">
      <w:pPr>
        <w:pStyle w:val="3-BodyText"/>
        <w:ind w:left="709" w:hanging="709"/>
        <w:rPr>
          <w:iCs/>
        </w:rPr>
      </w:pPr>
      <w:bookmarkStart w:id="101" w:name="_Ref142059435"/>
      <w:r w:rsidRPr="00FB229F">
        <w:rPr>
          <w:iCs/>
        </w:rPr>
        <w:t>DUSC consider</w:t>
      </w:r>
      <w:r w:rsidR="00A94A3C" w:rsidRPr="00FB229F">
        <w:rPr>
          <w:iCs/>
        </w:rPr>
        <w:t>ed</w:t>
      </w:r>
      <w:r w:rsidRPr="00FB229F">
        <w:rPr>
          <w:iCs/>
        </w:rPr>
        <w:t xml:space="preserve"> the utilisation estimates presented in the submission to be overestimated. The main issues </w:t>
      </w:r>
      <w:r w:rsidR="004650E6" w:rsidRPr="00FB229F">
        <w:rPr>
          <w:iCs/>
        </w:rPr>
        <w:t>we</w:t>
      </w:r>
      <w:r w:rsidRPr="00FB229F">
        <w:rPr>
          <w:iCs/>
        </w:rPr>
        <w:t>re:</w:t>
      </w:r>
      <w:bookmarkEnd w:id="101"/>
    </w:p>
    <w:p w14:paraId="35B8A525" w14:textId="3198CAB2" w:rsidR="00003093" w:rsidRPr="00FB229F" w:rsidRDefault="00003093" w:rsidP="00816BFB">
      <w:pPr>
        <w:pStyle w:val="Bulletpoints"/>
      </w:pPr>
      <w:r w:rsidRPr="00FB229F">
        <w:t xml:space="preserve">In estimating the number of previously treated patients eligible for treatment with selpercatinib, the submission assumed that all previously treated patients will be considered for treatment with selpercatinib. This </w:t>
      </w:r>
      <w:r w:rsidR="002A6B26" w:rsidRPr="00FB229F">
        <w:t>wa</w:t>
      </w:r>
      <w:r w:rsidRPr="00FB229F">
        <w:t>s not a reasonable assumption as a proportion of these patients will be deceased or unable to tolerate further treatment. DUSC considered the proportion of prevalent patients who would be eligible for treatment may be between 70% and 80%.</w:t>
      </w:r>
    </w:p>
    <w:p w14:paraId="07A43FA8" w14:textId="053F3679" w:rsidR="00003093" w:rsidRPr="00FB229F" w:rsidRDefault="00003093" w:rsidP="00816BFB">
      <w:pPr>
        <w:pStyle w:val="Bulletpoints"/>
      </w:pPr>
      <w:r w:rsidRPr="00FB229F">
        <w:t>The proposed PBS restriction states that patients must not develop disease progression while receiving PBS-subsidised treatment with this drug for this condition. The duration of treatment is estimated based on the trial, in which 3</w:t>
      </w:r>
      <w:r w:rsidR="00CE456B" w:rsidRPr="00FB229F">
        <w:t>1.9</w:t>
      </w:r>
      <w:r w:rsidRPr="00FB229F">
        <w:t xml:space="preserve">% of patients were treated beyond progression. DUSC commented that it may be more appropriate to apply a duration based on the modelled PFS from the trial, of 32.1 months, but that more mature data from the trial may prove this to be overestimated. </w:t>
      </w:r>
    </w:p>
    <w:p w14:paraId="43D9F894" w14:textId="393B2CA6" w:rsidR="00003093" w:rsidRPr="00FB229F" w:rsidRDefault="00003093" w:rsidP="00816BFB">
      <w:pPr>
        <w:pStyle w:val="Bulletpoints"/>
      </w:pPr>
      <w:r w:rsidRPr="00FB229F">
        <w:t>Eligible prevalent patients were likely to be treated with a shorter treatment duration than incident patients</w:t>
      </w:r>
      <w:r w:rsidR="004650E6" w:rsidRPr="00FB229F">
        <w:t xml:space="preserve">. </w:t>
      </w:r>
    </w:p>
    <w:p w14:paraId="1B89E687" w14:textId="4AED079B" w:rsidR="006A1FD1" w:rsidRPr="00FB229F" w:rsidRDefault="006A1FD1" w:rsidP="006A1FD1">
      <w:pPr>
        <w:pStyle w:val="4-SubsectionHeading"/>
        <w:rPr>
          <w:i w:val="0"/>
        </w:rPr>
      </w:pPr>
      <w:r w:rsidRPr="00FB229F">
        <w:rPr>
          <w:i w:val="0"/>
        </w:rPr>
        <w:t>Financial Management – Risk Sharing Arrangements</w:t>
      </w:r>
      <w:bookmarkEnd w:id="98"/>
    </w:p>
    <w:p w14:paraId="6498739F" w14:textId="213FFED4" w:rsidR="006A1FD1" w:rsidRPr="00FB229F" w:rsidRDefault="006A1FD1" w:rsidP="00DC0F25">
      <w:pPr>
        <w:pStyle w:val="3-BodyText"/>
        <w:ind w:left="709" w:hanging="709"/>
      </w:pPr>
      <w:r w:rsidRPr="00FB229F">
        <w:t xml:space="preserve">No </w:t>
      </w:r>
      <w:r w:rsidR="00010B2B">
        <w:t>R</w:t>
      </w:r>
      <w:r w:rsidR="00010B2B" w:rsidRPr="00FB229F">
        <w:t>isk</w:t>
      </w:r>
      <w:r w:rsidR="00010B2B">
        <w:t xml:space="preserve"> S</w:t>
      </w:r>
      <w:r w:rsidRPr="00FB229F">
        <w:t xml:space="preserve">haring </w:t>
      </w:r>
      <w:r w:rsidR="00010B2B">
        <w:t>A</w:t>
      </w:r>
      <w:r w:rsidR="00010B2B" w:rsidRPr="00FB229F">
        <w:t xml:space="preserve">rrangement </w:t>
      </w:r>
      <w:r w:rsidRPr="00FB229F">
        <w:t xml:space="preserve">was proposed in the submission. </w:t>
      </w:r>
    </w:p>
    <w:p w14:paraId="62735D1E" w14:textId="75791942" w:rsidR="00D64F73" w:rsidRPr="00FB229F" w:rsidRDefault="00D64F73" w:rsidP="00706689">
      <w:pPr>
        <w:pStyle w:val="4-SubsectionHeading"/>
        <w:rPr>
          <w:i w:val="0"/>
        </w:rPr>
      </w:pPr>
      <w:bookmarkStart w:id="102" w:name="_Toc135215245"/>
      <w:bookmarkStart w:id="103" w:name="_Toc22897649"/>
      <w:bookmarkEnd w:id="97"/>
      <w:r w:rsidRPr="00FB229F">
        <w:rPr>
          <w:i w:val="0"/>
        </w:rPr>
        <w:t>Quality Use of Medicines</w:t>
      </w:r>
      <w:bookmarkEnd w:id="102"/>
    </w:p>
    <w:p w14:paraId="7EC84374" w14:textId="3C29A8EE" w:rsidR="00D64F73" w:rsidRPr="00FB229F" w:rsidRDefault="00D64F73" w:rsidP="007F03AD">
      <w:pPr>
        <w:pStyle w:val="3-BodyText"/>
        <w:ind w:left="709" w:hanging="709"/>
        <w:rPr>
          <w:color w:val="0066FF"/>
        </w:rPr>
      </w:pPr>
      <w:r w:rsidRPr="00FB229F">
        <w:t xml:space="preserve">The sponsor noted that selpercatinib is the first targeted therapy for </w:t>
      </w:r>
      <w:r w:rsidRPr="00FB229F">
        <w:rPr>
          <w:i/>
          <w:iCs/>
        </w:rPr>
        <w:t>RET</w:t>
      </w:r>
      <w:r w:rsidRPr="00FB229F">
        <w:t xml:space="preserve"> fusion positive, locally advanced or metastatic NSCLC. The sponsor’s risk management plan </w:t>
      </w:r>
      <w:r w:rsidRPr="00FB229F">
        <w:lastRenderedPageBreak/>
        <w:t>summarised the pharmacovigilance and risk minimisation activities following the listing of selpercatinib. Safety concerns will be addressed in the PI for selpercatinib which will be available via the TGA website. Th</w:t>
      </w:r>
      <w:r w:rsidR="00A94A3C" w:rsidRPr="00FB229F">
        <w:t>e evaluation considered</w:t>
      </w:r>
      <w:r w:rsidRPr="00FB229F">
        <w:t xml:space="preserve"> </w:t>
      </w:r>
      <w:r w:rsidR="00A94A3C" w:rsidRPr="00FB229F">
        <w:t>this was</w:t>
      </w:r>
      <w:r w:rsidRPr="00FB229F">
        <w:t xml:space="preserve"> reasonable and no other issues were identified. </w:t>
      </w:r>
    </w:p>
    <w:p w14:paraId="44A29347" w14:textId="6D72DE80" w:rsidR="00E52F5F" w:rsidRPr="00FB229F" w:rsidRDefault="00A46C19" w:rsidP="00A11912">
      <w:pPr>
        <w:pStyle w:val="3-BodyText"/>
        <w:numPr>
          <w:ilvl w:val="0"/>
          <w:numId w:val="0"/>
        </w:numPr>
        <w:ind w:left="709"/>
        <w:rPr>
          <w:i/>
          <w:iCs/>
        </w:rPr>
      </w:pPr>
      <w:r w:rsidRPr="00FB229F">
        <w:rPr>
          <w:i/>
          <w:iCs/>
        </w:rPr>
        <w:t>For more detail on PBAC’s view, see section 7 PBAC outcome.</w:t>
      </w:r>
    </w:p>
    <w:p w14:paraId="39EA3087" w14:textId="7C31CB19" w:rsidR="00710952" w:rsidRPr="00FB229F" w:rsidRDefault="00E52F5F" w:rsidP="00AB23C7">
      <w:pPr>
        <w:pStyle w:val="2-SectionHeading"/>
      </w:pPr>
      <w:r w:rsidRPr="00FB229F">
        <w:t>PBAC outcome</w:t>
      </w:r>
    </w:p>
    <w:p w14:paraId="000EFD07" w14:textId="416F6CBB" w:rsidR="00710952" w:rsidRPr="00FB229F" w:rsidRDefault="00E52F5F" w:rsidP="00710952">
      <w:pPr>
        <w:pStyle w:val="3-BodyText"/>
        <w:ind w:left="709" w:hanging="709"/>
      </w:pPr>
      <w:bookmarkStart w:id="104" w:name="_Hlk141882209"/>
      <w:r w:rsidRPr="00FB229F">
        <w:t xml:space="preserve">The PBAC did not recommend the listing of selpercatinib for the treatment of </w:t>
      </w:r>
      <w:proofErr w:type="spellStart"/>
      <w:r w:rsidRPr="00FB229F">
        <w:t>REarranged</w:t>
      </w:r>
      <w:proofErr w:type="spellEnd"/>
      <w:r w:rsidRPr="00FB229F">
        <w:t xml:space="preserve"> during Transfection (</w:t>
      </w:r>
      <w:r w:rsidRPr="00FB229F">
        <w:rPr>
          <w:i/>
          <w:iCs/>
        </w:rPr>
        <w:t>RET</w:t>
      </w:r>
      <w:r w:rsidRPr="00FB229F">
        <w:t xml:space="preserve">) fusion-positive, locally advanced or metastatic non-small cell lung cancer (NSCLC), irrespective of line of therapy. </w:t>
      </w:r>
      <w:bookmarkStart w:id="105" w:name="_Hlk141874676"/>
      <w:r w:rsidRPr="00FB229F">
        <w:t xml:space="preserve">The PBAC </w:t>
      </w:r>
      <w:r w:rsidR="00DC0F25" w:rsidRPr="00FB229F">
        <w:t>acknowledged</w:t>
      </w:r>
      <w:r w:rsidRPr="00FB229F">
        <w:t xml:space="preserve"> the</w:t>
      </w:r>
      <w:r w:rsidR="00C6585D" w:rsidRPr="00FB229F">
        <w:t xml:space="preserve"> </w:t>
      </w:r>
      <w:r w:rsidRPr="00FB229F">
        <w:t>clinical need for effective treatment</w:t>
      </w:r>
      <w:r w:rsidR="00C6585D" w:rsidRPr="00FB229F">
        <w:t>s</w:t>
      </w:r>
      <w:r w:rsidRPr="00FB229F">
        <w:t xml:space="preserve"> </w:t>
      </w:r>
      <w:r w:rsidR="00C6585D" w:rsidRPr="00FB229F">
        <w:t xml:space="preserve">for </w:t>
      </w:r>
      <w:r w:rsidRPr="00FB229F">
        <w:t xml:space="preserve">patients </w:t>
      </w:r>
      <w:r w:rsidR="00C6585D" w:rsidRPr="00FB229F">
        <w:t>with</w:t>
      </w:r>
      <w:r w:rsidRPr="00FB229F">
        <w:t xml:space="preserve"> </w:t>
      </w:r>
      <w:r w:rsidR="00C6585D" w:rsidRPr="00FB229F">
        <w:t>this condition</w:t>
      </w:r>
      <w:r w:rsidRPr="00FB229F">
        <w:t>.</w:t>
      </w:r>
      <w:bookmarkEnd w:id="105"/>
      <w:r w:rsidR="00BD30E3" w:rsidRPr="00FB229F">
        <w:t xml:space="preserve"> </w:t>
      </w:r>
      <w:r w:rsidR="00010B2B" w:rsidRPr="00FB229F">
        <w:rPr>
          <w:iCs/>
        </w:rPr>
        <w:t>The Committee considered the results of the single arm LIBRETTO-001 trial</w:t>
      </w:r>
      <w:r w:rsidR="00BD30E3" w:rsidRPr="00FB229F">
        <w:rPr>
          <w:iCs/>
        </w:rPr>
        <w:t xml:space="preserve"> demonstrate</w:t>
      </w:r>
      <w:r w:rsidR="00E40104">
        <w:rPr>
          <w:iCs/>
        </w:rPr>
        <w:t>d</w:t>
      </w:r>
      <w:r w:rsidR="00BD30E3" w:rsidRPr="00FB229F">
        <w:rPr>
          <w:iCs/>
        </w:rPr>
        <w:t xml:space="preserve"> clinical activity for selpercatinib. However, the PBAC </w:t>
      </w:r>
      <w:r w:rsidR="00AD0145" w:rsidRPr="00FB229F">
        <w:rPr>
          <w:iCs/>
        </w:rPr>
        <w:t>advised that</w:t>
      </w:r>
      <w:r w:rsidR="00BD30E3" w:rsidRPr="00FB229F">
        <w:rPr>
          <w:iCs/>
        </w:rPr>
        <w:t xml:space="preserve"> indirect comparisons with pembrolizumab in combination with pemetrexed + platinum-based chemotherapy (pembrolizumab + PC) were associated with a </w:t>
      </w:r>
      <w:r w:rsidR="00AD0145" w:rsidRPr="00FB229F">
        <w:rPr>
          <w:iCs/>
        </w:rPr>
        <w:t xml:space="preserve">high degree of uncertainty and were unable to support a claim of superior comparative effectiveness. Given the limitations of the comparative clinical data, the PBAC considered the estimated incremental cost-effectiveness ratio (ICER) was </w:t>
      </w:r>
      <w:r w:rsidR="006704ED" w:rsidRPr="00FB229F">
        <w:rPr>
          <w:iCs/>
        </w:rPr>
        <w:t>highly</w:t>
      </w:r>
      <w:r w:rsidR="00AD0145" w:rsidRPr="00FB229F">
        <w:rPr>
          <w:iCs/>
        </w:rPr>
        <w:t xml:space="preserve"> uncertain. </w:t>
      </w:r>
    </w:p>
    <w:bookmarkEnd w:id="104"/>
    <w:p w14:paraId="114A9977" w14:textId="11EA5DCD" w:rsidR="0034317E" w:rsidRPr="0012315B" w:rsidRDefault="0034317E" w:rsidP="0034317E">
      <w:pPr>
        <w:widowControl w:val="0"/>
        <w:numPr>
          <w:ilvl w:val="1"/>
          <w:numId w:val="1"/>
        </w:numPr>
        <w:spacing w:after="120"/>
        <w:ind w:left="720" w:hanging="720"/>
        <w:rPr>
          <w:rFonts w:asciiTheme="minorHAnsi" w:hAnsiTheme="minorHAnsi"/>
          <w:snapToGrid w:val="0"/>
          <w:lang w:eastAsia="en-US"/>
        </w:rPr>
      </w:pPr>
      <w:r w:rsidRPr="0012315B">
        <w:rPr>
          <w:rFonts w:asciiTheme="minorHAnsi" w:hAnsiTheme="minorHAnsi"/>
          <w:snapToGrid w:val="0"/>
          <w:lang w:eastAsia="en-US"/>
        </w:rPr>
        <w:t>The PBAC considered the primary reason for this outcome was due to the comparative clinical evidence provided.</w:t>
      </w:r>
    </w:p>
    <w:p w14:paraId="7BAE6A40" w14:textId="3A77116D" w:rsidR="00F54D52" w:rsidRPr="00FB229F" w:rsidRDefault="00E4670E" w:rsidP="0069485B">
      <w:pPr>
        <w:pStyle w:val="3-BodyText"/>
        <w:ind w:left="709" w:hanging="709"/>
      </w:pPr>
      <w:r w:rsidRPr="00FB229F">
        <w:rPr>
          <w:iCs/>
        </w:rPr>
        <w:t>The PBAC</w:t>
      </w:r>
      <w:r w:rsidR="00A8209C" w:rsidRPr="00FB229F">
        <w:rPr>
          <w:iCs/>
        </w:rPr>
        <w:t xml:space="preserve"> </w:t>
      </w:r>
      <w:r w:rsidR="001D305F" w:rsidRPr="00FB229F">
        <w:rPr>
          <w:iCs/>
        </w:rPr>
        <w:t>noted the input from an individual, a health care professional, Lung Foundation Australia and Rare Cancers Australia</w:t>
      </w:r>
      <w:r w:rsidR="0041357F" w:rsidRPr="00FB229F">
        <w:rPr>
          <w:iCs/>
        </w:rPr>
        <w:t xml:space="preserve"> supported the clinical need for effective treatment options for this population given there are currently no listed targeted therapies for </w:t>
      </w:r>
      <w:r w:rsidR="0041357F" w:rsidRPr="00FB229F">
        <w:rPr>
          <w:i/>
        </w:rPr>
        <w:t>RET</w:t>
      </w:r>
      <w:r w:rsidR="00F54D52" w:rsidRPr="00FB229F">
        <w:rPr>
          <w:iCs/>
        </w:rPr>
        <w:t xml:space="preserve"> </w:t>
      </w:r>
      <w:r w:rsidR="0041357F" w:rsidRPr="00FB229F">
        <w:rPr>
          <w:iCs/>
        </w:rPr>
        <w:t>fusion</w:t>
      </w:r>
      <w:r w:rsidR="00F54D52" w:rsidRPr="00FB229F">
        <w:rPr>
          <w:iCs/>
        </w:rPr>
        <w:t>-</w:t>
      </w:r>
      <w:r w:rsidR="0041357F" w:rsidRPr="00FB229F">
        <w:rPr>
          <w:iCs/>
        </w:rPr>
        <w:t xml:space="preserve">positive NSCLC. In addition, the PBAC noted the Medical Oncology Group of Australia’s support for the submission. </w:t>
      </w:r>
      <w:r w:rsidR="00F54D52" w:rsidRPr="00FB229F">
        <w:t>The PBAC acknowledged the clinical need for effective treatments for patients with this condition.</w:t>
      </w:r>
    </w:p>
    <w:p w14:paraId="10E96CA6" w14:textId="16C0EBDA" w:rsidR="00BD4445" w:rsidRPr="00FB229F" w:rsidRDefault="00605688" w:rsidP="0069485B">
      <w:pPr>
        <w:pStyle w:val="3-BodyText"/>
        <w:ind w:left="709" w:hanging="709"/>
      </w:pPr>
      <w:r w:rsidRPr="00FB229F">
        <w:rPr>
          <w:iCs/>
        </w:rPr>
        <w:t>The PBAC</w:t>
      </w:r>
      <w:r w:rsidR="00F33EE7" w:rsidRPr="00FB229F">
        <w:rPr>
          <w:iCs/>
        </w:rPr>
        <w:t xml:space="preserve"> </w:t>
      </w:r>
      <w:r w:rsidR="00F54D52" w:rsidRPr="00FB229F">
        <w:rPr>
          <w:iCs/>
        </w:rPr>
        <w:t xml:space="preserve">noted the requested listing was line-agnostic </w:t>
      </w:r>
      <w:r w:rsidR="00F33EE7" w:rsidRPr="00FB229F">
        <w:rPr>
          <w:iCs/>
        </w:rPr>
        <w:t>and agreed with the ESC</w:t>
      </w:r>
      <w:r w:rsidRPr="00FB229F">
        <w:rPr>
          <w:iCs/>
        </w:rPr>
        <w:t xml:space="preserve"> </w:t>
      </w:r>
      <w:r w:rsidR="00E4670E" w:rsidRPr="00FB229F">
        <w:rPr>
          <w:iCs/>
        </w:rPr>
        <w:t>that</w:t>
      </w:r>
      <w:r w:rsidR="00F33EE7" w:rsidRPr="00FB229F">
        <w:rPr>
          <w:iCs/>
        </w:rPr>
        <w:t xml:space="preserve"> this was appropriate (see paragraph </w:t>
      </w:r>
      <w:r w:rsidR="00F33EE7" w:rsidRPr="00FB229F">
        <w:rPr>
          <w:iCs/>
        </w:rPr>
        <w:fldChar w:fldCharType="begin" w:fldLock="1"/>
      </w:r>
      <w:r w:rsidR="00F33EE7" w:rsidRPr="00FB229F">
        <w:rPr>
          <w:iCs/>
        </w:rPr>
        <w:instrText xml:space="preserve"> REF _Ref141875333 \r \h </w:instrText>
      </w:r>
      <w:r w:rsidR="00F33EE7" w:rsidRPr="00FB229F">
        <w:rPr>
          <w:iCs/>
        </w:rPr>
      </w:r>
      <w:r w:rsidR="00F33EE7" w:rsidRPr="00FB229F">
        <w:rPr>
          <w:iCs/>
        </w:rPr>
        <w:fldChar w:fldCharType="separate"/>
      </w:r>
      <w:r w:rsidR="00CE0B36">
        <w:rPr>
          <w:iCs/>
        </w:rPr>
        <w:t>3.4</w:t>
      </w:r>
      <w:r w:rsidR="00F33EE7" w:rsidRPr="00FB229F">
        <w:rPr>
          <w:iCs/>
        </w:rPr>
        <w:fldChar w:fldCharType="end"/>
      </w:r>
      <w:r w:rsidR="00F33EE7" w:rsidRPr="00FB229F">
        <w:rPr>
          <w:iCs/>
        </w:rPr>
        <w:t>).</w:t>
      </w:r>
      <w:r w:rsidR="00B41310" w:rsidRPr="00FB229F">
        <w:rPr>
          <w:iCs/>
        </w:rPr>
        <w:t xml:space="preserve"> </w:t>
      </w:r>
    </w:p>
    <w:p w14:paraId="702652C3" w14:textId="59506157" w:rsidR="00F54D52" w:rsidRPr="00FB229F" w:rsidRDefault="00F33EE7" w:rsidP="00640248">
      <w:pPr>
        <w:pStyle w:val="3-BodyText"/>
        <w:ind w:left="709" w:hanging="709"/>
      </w:pPr>
      <w:r w:rsidRPr="00FB229F">
        <w:t xml:space="preserve">The PBAC considered the nomination of pembrolizumab + PC (for the first-line treatment setting) as the main comparator and docetaxel (for the refractory setting) as a secondary comparator was appropriate. </w:t>
      </w:r>
      <w:r w:rsidR="00B41310" w:rsidRPr="00FB229F">
        <w:t xml:space="preserve">The PBAC considered that selpercatinib was </w:t>
      </w:r>
      <w:r w:rsidR="00A94A3C" w:rsidRPr="00FB229F">
        <w:t xml:space="preserve">most </w:t>
      </w:r>
      <w:r w:rsidR="00B41310" w:rsidRPr="00FB229F">
        <w:t>likely to be used</w:t>
      </w:r>
      <w:r w:rsidR="00A94A3C" w:rsidRPr="00FB229F">
        <w:t xml:space="preserve"> </w:t>
      </w:r>
      <w:r w:rsidR="00B41310" w:rsidRPr="00FB229F">
        <w:t xml:space="preserve">as first-line therapy </w:t>
      </w:r>
      <w:r w:rsidR="00213041" w:rsidRPr="00FB229F">
        <w:t xml:space="preserve">in keeping with international guidelines </w:t>
      </w:r>
      <w:r w:rsidR="00213041" w:rsidRPr="00FB229F">
        <w:rPr>
          <w:iCs/>
        </w:rPr>
        <w:t xml:space="preserve">(see paragraph </w:t>
      </w:r>
      <w:r w:rsidR="00213041" w:rsidRPr="00FB229F">
        <w:rPr>
          <w:iCs/>
        </w:rPr>
        <w:fldChar w:fldCharType="begin" w:fldLock="1"/>
      </w:r>
      <w:r w:rsidR="00213041" w:rsidRPr="00FB229F">
        <w:rPr>
          <w:iCs/>
        </w:rPr>
        <w:instrText xml:space="preserve"> REF _Ref141875333 \r \h </w:instrText>
      </w:r>
      <w:r w:rsidR="00213041" w:rsidRPr="00FB229F">
        <w:rPr>
          <w:iCs/>
        </w:rPr>
      </w:r>
      <w:r w:rsidR="00213041" w:rsidRPr="00FB229F">
        <w:rPr>
          <w:iCs/>
        </w:rPr>
        <w:fldChar w:fldCharType="separate"/>
      </w:r>
      <w:r w:rsidR="00CE0B36">
        <w:rPr>
          <w:iCs/>
        </w:rPr>
        <w:t>3.4</w:t>
      </w:r>
      <w:r w:rsidR="00213041" w:rsidRPr="00FB229F">
        <w:rPr>
          <w:iCs/>
        </w:rPr>
        <w:fldChar w:fldCharType="end"/>
      </w:r>
      <w:r w:rsidR="00213041" w:rsidRPr="00FB229F">
        <w:rPr>
          <w:iCs/>
        </w:rPr>
        <w:t>).</w:t>
      </w:r>
    </w:p>
    <w:p w14:paraId="03282BB0" w14:textId="4DD762AD" w:rsidR="00CD0893" w:rsidRPr="00FB229F" w:rsidRDefault="00605688" w:rsidP="002658C3">
      <w:pPr>
        <w:pStyle w:val="3-BodyText"/>
        <w:ind w:left="709" w:hanging="709"/>
      </w:pPr>
      <w:r w:rsidRPr="00FB229F">
        <w:rPr>
          <w:iCs/>
        </w:rPr>
        <w:t>T</w:t>
      </w:r>
      <w:r w:rsidR="0034317E" w:rsidRPr="00FB229F">
        <w:rPr>
          <w:iCs/>
        </w:rPr>
        <w:t xml:space="preserve">he pivotal </w:t>
      </w:r>
      <w:r w:rsidR="002658C3" w:rsidRPr="00FB229F">
        <w:rPr>
          <w:iCs/>
        </w:rPr>
        <w:t xml:space="preserve">selpercatinib </w:t>
      </w:r>
      <w:r w:rsidR="0034317E" w:rsidRPr="00FB229F">
        <w:rPr>
          <w:iCs/>
        </w:rPr>
        <w:t xml:space="preserve">trial </w:t>
      </w:r>
      <w:r w:rsidR="002658C3" w:rsidRPr="00FB229F">
        <w:rPr>
          <w:iCs/>
        </w:rPr>
        <w:t>(</w:t>
      </w:r>
      <w:r w:rsidR="0034317E" w:rsidRPr="00FB229F">
        <w:rPr>
          <w:iCs/>
        </w:rPr>
        <w:t>LIBRETTO-001</w:t>
      </w:r>
      <w:r w:rsidR="002658C3" w:rsidRPr="00FB229F">
        <w:rPr>
          <w:iCs/>
        </w:rPr>
        <w:t>)</w:t>
      </w:r>
      <w:r w:rsidR="0034317E" w:rsidRPr="00FB229F">
        <w:rPr>
          <w:iCs/>
        </w:rPr>
        <w:t xml:space="preserve"> was a phase II single-arm study</w:t>
      </w:r>
      <w:r w:rsidR="0039769B" w:rsidRPr="00FB229F">
        <w:rPr>
          <w:iCs/>
        </w:rPr>
        <w:t xml:space="preserve"> </w:t>
      </w:r>
      <w:r w:rsidR="0039769B" w:rsidRPr="00FB229F">
        <w:t>of</w:t>
      </w:r>
      <w:r w:rsidR="0034317E" w:rsidRPr="00FB229F">
        <w:t xml:space="preserve"> patients with </w:t>
      </w:r>
      <w:r w:rsidR="002658C3" w:rsidRPr="00FB229F">
        <w:t>both treatment-naïve (N=69) and pre-treated patients (N=2</w:t>
      </w:r>
      <w:r w:rsidR="00A94A3C" w:rsidRPr="00FB229F">
        <w:t>4</w:t>
      </w:r>
      <w:r w:rsidR="002658C3" w:rsidRPr="00FB229F">
        <w:t xml:space="preserve">7) with </w:t>
      </w:r>
      <w:r w:rsidR="002658C3" w:rsidRPr="00FB229F">
        <w:rPr>
          <w:i/>
        </w:rPr>
        <w:t>RET</w:t>
      </w:r>
      <w:r w:rsidR="002658C3" w:rsidRPr="00FB229F">
        <w:t xml:space="preserve"> fusion-positive advanced NSCLC. The PBAC noted </w:t>
      </w:r>
      <w:r w:rsidR="002A171C" w:rsidRPr="00FB229F">
        <w:rPr>
          <w:iCs/>
        </w:rPr>
        <w:t xml:space="preserve">the </w:t>
      </w:r>
      <w:r w:rsidR="00CA45C9" w:rsidRPr="00FB229F">
        <w:rPr>
          <w:iCs/>
        </w:rPr>
        <w:t>overall response rate (ORR)</w:t>
      </w:r>
      <w:r w:rsidR="002658C3" w:rsidRPr="00FB229F">
        <w:rPr>
          <w:iCs/>
        </w:rPr>
        <w:t>,</w:t>
      </w:r>
      <w:r w:rsidR="00CA45C9" w:rsidRPr="00FB229F">
        <w:rPr>
          <w:iCs/>
        </w:rPr>
        <w:t xml:space="preserve"> </w:t>
      </w:r>
      <w:r w:rsidR="002658C3" w:rsidRPr="00FB229F">
        <w:rPr>
          <w:iCs/>
        </w:rPr>
        <w:t xml:space="preserve">as assessed by an independent review Committee (IRC), </w:t>
      </w:r>
      <w:r w:rsidR="00CA45C9" w:rsidRPr="00FB229F">
        <w:rPr>
          <w:iCs/>
        </w:rPr>
        <w:t xml:space="preserve">in </w:t>
      </w:r>
      <w:r w:rsidRPr="00FB229F">
        <w:t xml:space="preserve">treatment-naïve patients </w:t>
      </w:r>
      <w:r w:rsidR="002A171C" w:rsidRPr="00FB229F">
        <w:t xml:space="preserve">was </w:t>
      </w:r>
      <w:r w:rsidRPr="00FB229F">
        <w:t>84.1%</w:t>
      </w:r>
      <w:r w:rsidR="002A171C" w:rsidRPr="00FB229F">
        <w:t xml:space="preserve"> </w:t>
      </w:r>
      <w:r w:rsidRPr="00FB229F">
        <w:t>and</w:t>
      </w:r>
      <w:r w:rsidR="00CA45C9" w:rsidRPr="00FB229F">
        <w:t xml:space="preserve"> </w:t>
      </w:r>
      <w:r w:rsidR="002A171C" w:rsidRPr="00FB229F">
        <w:t xml:space="preserve">in </w:t>
      </w:r>
      <w:r w:rsidR="00CA45C9" w:rsidRPr="00FB229F">
        <w:t xml:space="preserve">pre-treated patients </w:t>
      </w:r>
      <w:r w:rsidR="002A171C" w:rsidRPr="00FB229F">
        <w:t xml:space="preserve">was </w:t>
      </w:r>
      <w:r w:rsidRPr="00FB229F">
        <w:t>61.1%</w:t>
      </w:r>
      <w:r w:rsidR="002658C3" w:rsidRPr="00FB229F">
        <w:t>. The PBAC noted that</w:t>
      </w:r>
      <w:r w:rsidR="00CD0893" w:rsidRPr="00FB229F">
        <w:t>,</w:t>
      </w:r>
      <w:r w:rsidR="002658C3" w:rsidRPr="00FB229F">
        <w:t xml:space="preserve"> </w:t>
      </w:r>
      <w:r w:rsidR="002A171C" w:rsidRPr="00FB229F">
        <w:t xml:space="preserve">based on </w:t>
      </w:r>
      <w:r w:rsidRPr="00FB229F">
        <w:rPr>
          <w:iCs/>
        </w:rPr>
        <w:t xml:space="preserve">updated </w:t>
      </w:r>
      <w:r w:rsidRPr="00FB229F">
        <w:rPr>
          <w:iCs/>
        </w:rPr>
        <w:lastRenderedPageBreak/>
        <w:t xml:space="preserve">data from the </w:t>
      </w:r>
      <w:r w:rsidRPr="008731AF">
        <w:rPr>
          <w:iCs/>
        </w:rPr>
        <w:t>January 2023 data cut of LIBRETTO-001</w:t>
      </w:r>
      <w:r w:rsidR="002A171C" w:rsidRPr="008731AF">
        <w:rPr>
          <w:iCs/>
        </w:rPr>
        <w:t>,</w:t>
      </w:r>
      <w:r w:rsidRPr="008731AF">
        <w:rPr>
          <w:iCs/>
        </w:rPr>
        <w:t xml:space="preserve"> </w:t>
      </w:r>
      <w:r w:rsidR="002A171C" w:rsidRPr="008731AF">
        <w:rPr>
          <w:iCs/>
        </w:rPr>
        <w:t>the</w:t>
      </w:r>
      <w:r w:rsidRPr="008731AF">
        <w:rPr>
          <w:iCs/>
        </w:rPr>
        <w:t xml:space="preserve"> median </w:t>
      </w:r>
      <w:r w:rsidR="002658C3" w:rsidRPr="008731AF">
        <w:rPr>
          <w:iCs/>
        </w:rPr>
        <w:t>progression-free survival (</w:t>
      </w:r>
      <w:r w:rsidRPr="008731AF">
        <w:rPr>
          <w:iCs/>
        </w:rPr>
        <w:t>PFS</w:t>
      </w:r>
      <w:r w:rsidR="002658C3" w:rsidRPr="008731AF">
        <w:rPr>
          <w:iCs/>
        </w:rPr>
        <w:t>)</w:t>
      </w:r>
      <w:r w:rsidRPr="008731AF">
        <w:rPr>
          <w:iCs/>
        </w:rPr>
        <w:t xml:space="preserve"> </w:t>
      </w:r>
      <w:r w:rsidR="002658C3" w:rsidRPr="008731AF">
        <w:rPr>
          <w:iCs/>
        </w:rPr>
        <w:t xml:space="preserve">by IRC </w:t>
      </w:r>
      <w:r w:rsidR="002A171C" w:rsidRPr="008731AF">
        <w:rPr>
          <w:iCs/>
        </w:rPr>
        <w:t>was</w:t>
      </w:r>
      <w:r w:rsidRPr="008731AF">
        <w:rPr>
          <w:iCs/>
        </w:rPr>
        <w:t xml:space="preserve"> </w:t>
      </w:r>
      <w:r w:rsidR="00543276" w:rsidRPr="00BF0AEB">
        <w:rPr>
          <w:iCs/>
          <w:w w:val="15"/>
          <w:highlight w:val="black"/>
          <w:fitText w:val="-20" w:id="-1163696628"/>
        </w:rPr>
        <w:t xml:space="preserve">|  </w:t>
      </w:r>
      <w:r w:rsidR="00543276" w:rsidRPr="00BF0AEB">
        <w:rPr>
          <w:iCs/>
          <w:spacing w:val="-69"/>
          <w:w w:val="15"/>
          <w:highlight w:val="black"/>
          <w:fitText w:val="-20" w:id="-1163696628"/>
        </w:rPr>
        <w:t>|</w:t>
      </w:r>
      <w:r w:rsidR="009418E2" w:rsidRPr="009418E2">
        <w:rPr>
          <w:rStyle w:val="FootnoteReference"/>
          <w:iCs/>
        </w:rPr>
        <w:footnoteReference w:id="27"/>
      </w:r>
      <w:r w:rsidR="009418E2">
        <w:rPr>
          <w:iCs/>
        </w:rPr>
        <w:t xml:space="preserve"> </w:t>
      </w:r>
      <w:r w:rsidRPr="008731AF">
        <w:rPr>
          <w:iCs/>
        </w:rPr>
        <w:t xml:space="preserve">months (95% CI: </w:t>
      </w:r>
      <w:r w:rsidR="00543276" w:rsidRPr="00BF0AEB">
        <w:rPr>
          <w:iCs/>
          <w:w w:val="15"/>
          <w:highlight w:val="black"/>
          <w:fitText w:val="-20" w:id="-1163696627"/>
        </w:rPr>
        <w:t xml:space="preserve">|  </w:t>
      </w:r>
      <w:r w:rsidR="00543276" w:rsidRPr="00BF0AEB">
        <w:rPr>
          <w:iCs/>
          <w:spacing w:val="-69"/>
          <w:w w:val="15"/>
          <w:highlight w:val="black"/>
          <w:fitText w:val="-20" w:id="-1163696627"/>
        </w:rPr>
        <w:t>|</w:t>
      </w:r>
      <w:r w:rsidR="009418E2">
        <w:rPr>
          <w:iCs/>
          <w:vertAlign w:val="superscript"/>
        </w:rPr>
        <w:t>27</w:t>
      </w:r>
      <w:r w:rsidRPr="008731AF">
        <w:rPr>
          <w:iCs/>
        </w:rPr>
        <w:t xml:space="preserve">) in treatment-naïve NSCLC patients after a median follow-up of </w:t>
      </w:r>
      <w:r w:rsidR="00543276" w:rsidRPr="00BF0AEB">
        <w:rPr>
          <w:iCs/>
          <w:w w:val="15"/>
          <w:highlight w:val="black"/>
          <w:fitText w:val="-20" w:id="-1163696626"/>
        </w:rPr>
        <w:t xml:space="preserve">|  </w:t>
      </w:r>
      <w:r w:rsidR="00543276" w:rsidRPr="00BF0AEB">
        <w:rPr>
          <w:iCs/>
          <w:spacing w:val="-69"/>
          <w:w w:val="15"/>
          <w:highlight w:val="black"/>
          <w:fitText w:val="-20" w:id="-1163696626"/>
        </w:rPr>
        <w:t>|</w:t>
      </w:r>
      <w:r w:rsidR="009418E2">
        <w:rPr>
          <w:iCs/>
          <w:vertAlign w:val="superscript"/>
        </w:rPr>
        <w:t>27</w:t>
      </w:r>
      <w:r w:rsidRPr="008731AF">
        <w:rPr>
          <w:iCs/>
        </w:rPr>
        <w:t>months</w:t>
      </w:r>
      <w:r w:rsidR="00CA45C9" w:rsidRPr="008731AF">
        <w:rPr>
          <w:iCs/>
        </w:rPr>
        <w:t xml:space="preserve"> and </w:t>
      </w:r>
      <w:bookmarkStart w:id="106" w:name="_Hlk148701397"/>
      <w:r w:rsidR="00543276" w:rsidRPr="00BF0AEB">
        <w:rPr>
          <w:iCs/>
          <w:w w:val="15"/>
          <w:highlight w:val="black"/>
          <w:fitText w:val="-20" w:id="-1163696625"/>
        </w:rPr>
        <w:t xml:space="preserve">|  </w:t>
      </w:r>
      <w:r w:rsidR="00543276" w:rsidRPr="00BF0AEB">
        <w:rPr>
          <w:iCs/>
          <w:spacing w:val="-69"/>
          <w:w w:val="15"/>
          <w:highlight w:val="black"/>
          <w:fitText w:val="-20" w:id="-1163696625"/>
        </w:rPr>
        <w:t>|</w:t>
      </w:r>
      <w:r w:rsidR="009418E2">
        <w:rPr>
          <w:iCs/>
          <w:vertAlign w:val="superscript"/>
        </w:rPr>
        <w:t>27</w:t>
      </w:r>
      <w:bookmarkEnd w:id="106"/>
      <w:r w:rsidR="009418E2">
        <w:rPr>
          <w:iCs/>
          <w:vertAlign w:val="superscript"/>
        </w:rPr>
        <w:t xml:space="preserve"> </w:t>
      </w:r>
      <w:r w:rsidR="00CA45C9" w:rsidRPr="008731AF">
        <w:rPr>
          <w:iCs/>
        </w:rPr>
        <w:t xml:space="preserve">months (95% CI: </w:t>
      </w:r>
      <w:r w:rsidR="00543276" w:rsidRPr="00BF0AEB">
        <w:rPr>
          <w:iCs/>
          <w:w w:val="15"/>
          <w:highlight w:val="black"/>
          <w:fitText w:val="-20" w:id="-1163696624"/>
        </w:rPr>
        <w:t xml:space="preserve">|  </w:t>
      </w:r>
      <w:r w:rsidR="00543276" w:rsidRPr="00BF0AEB">
        <w:rPr>
          <w:iCs/>
          <w:spacing w:val="-69"/>
          <w:w w:val="15"/>
          <w:highlight w:val="black"/>
          <w:fitText w:val="-20" w:id="-1163696624"/>
        </w:rPr>
        <w:t>|</w:t>
      </w:r>
      <w:r w:rsidR="009418E2">
        <w:rPr>
          <w:iCs/>
          <w:vertAlign w:val="superscript"/>
        </w:rPr>
        <w:t>27</w:t>
      </w:r>
      <w:r w:rsidR="00CA45C9" w:rsidRPr="008731AF">
        <w:rPr>
          <w:iCs/>
        </w:rPr>
        <w:t xml:space="preserve">) </w:t>
      </w:r>
      <w:r w:rsidRPr="008731AF">
        <w:rPr>
          <w:iCs/>
        </w:rPr>
        <w:t xml:space="preserve">in the pre-treated cohort after a median follow-up of </w:t>
      </w:r>
      <w:r w:rsidR="00543276" w:rsidRPr="00BF0AEB">
        <w:rPr>
          <w:iCs/>
          <w:w w:val="15"/>
          <w:highlight w:val="black"/>
          <w:fitText w:val="-20" w:id="-1163696640"/>
        </w:rPr>
        <w:t xml:space="preserve">|  </w:t>
      </w:r>
      <w:r w:rsidR="00543276" w:rsidRPr="00BF0AEB">
        <w:rPr>
          <w:iCs/>
          <w:spacing w:val="-69"/>
          <w:w w:val="15"/>
          <w:highlight w:val="black"/>
          <w:fitText w:val="-20" w:id="-1163696640"/>
        </w:rPr>
        <w:t>|</w:t>
      </w:r>
      <w:r w:rsidR="009418E2">
        <w:rPr>
          <w:iCs/>
          <w:vertAlign w:val="superscript"/>
        </w:rPr>
        <w:t>27</w:t>
      </w:r>
      <w:r w:rsidRPr="008731AF">
        <w:rPr>
          <w:iCs/>
        </w:rPr>
        <w:t>months</w:t>
      </w:r>
      <w:r w:rsidR="002658C3" w:rsidRPr="008731AF">
        <w:rPr>
          <w:iCs/>
        </w:rPr>
        <w:t xml:space="preserve">. </w:t>
      </w:r>
      <w:r w:rsidR="0039769B" w:rsidRPr="008731AF">
        <w:rPr>
          <w:iCs/>
        </w:rPr>
        <w:t>The PBAC noted the January 2023 data cut of LIBRETTO-001 showed that</w:t>
      </w:r>
      <w:r w:rsidRPr="008731AF">
        <w:rPr>
          <w:iCs/>
        </w:rPr>
        <w:t xml:space="preserve"> </w:t>
      </w:r>
      <w:r w:rsidR="00543276" w:rsidRPr="00BF0AEB">
        <w:rPr>
          <w:iCs/>
          <w:w w:val="15"/>
          <w:highlight w:val="black"/>
          <w:fitText w:val="-20" w:id="-1163696639"/>
        </w:rPr>
        <w:t xml:space="preserve">|  </w:t>
      </w:r>
      <w:r w:rsidR="00543276" w:rsidRPr="00BF0AEB">
        <w:rPr>
          <w:iCs/>
          <w:spacing w:val="-69"/>
          <w:w w:val="15"/>
          <w:highlight w:val="black"/>
          <w:fitText w:val="-20" w:id="-1163696639"/>
        </w:rPr>
        <w:t>|</w:t>
      </w:r>
      <w:r w:rsidR="009418E2">
        <w:rPr>
          <w:iCs/>
          <w:vertAlign w:val="superscript"/>
        </w:rPr>
        <w:t xml:space="preserve">27 </w:t>
      </w:r>
      <w:r w:rsidRPr="008731AF">
        <w:rPr>
          <w:iCs/>
        </w:rPr>
        <w:t>in the treatment-naïve cohort</w:t>
      </w:r>
      <w:r w:rsidR="0039769B" w:rsidRPr="008731AF">
        <w:rPr>
          <w:iCs/>
        </w:rPr>
        <w:t>, with</w:t>
      </w:r>
      <w:r w:rsidRPr="008731AF">
        <w:rPr>
          <w:iCs/>
        </w:rPr>
        <w:t xml:space="preserve"> </w:t>
      </w:r>
      <w:r w:rsidR="00543276" w:rsidRPr="00BF0AEB">
        <w:rPr>
          <w:iCs/>
          <w:w w:val="15"/>
          <w:highlight w:val="black"/>
          <w:fitText w:val="-20" w:id="-1163696638"/>
        </w:rPr>
        <w:t xml:space="preserve">|  </w:t>
      </w:r>
      <w:r w:rsidR="00543276" w:rsidRPr="00BF0AEB">
        <w:rPr>
          <w:iCs/>
          <w:spacing w:val="-69"/>
          <w:w w:val="15"/>
          <w:highlight w:val="black"/>
          <w:fitText w:val="-20" w:id="-1163696638"/>
        </w:rPr>
        <w:t>|</w:t>
      </w:r>
      <w:r w:rsidRPr="008731AF">
        <w:rPr>
          <w:iCs/>
        </w:rPr>
        <w:t>%</w:t>
      </w:r>
      <w:r w:rsidR="009418E2">
        <w:rPr>
          <w:iCs/>
          <w:vertAlign w:val="superscript"/>
        </w:rPr>
        <w:t>27</w:t>
      </w:r>
      <w:r w:rsidRPr="008731AF">
        <w:rPr>
          <w:iCs/>
        </w:rPr>
        <w:t xml:space="preserve"> patients</w:t>
      </w:r>
      <w:r w:rsidR="00A73073" w:rsidRPr="008731AF">
        <w:rPr>
          <w:iCs/>
        </w:rPr>
        <w:t xml:space="preserve"> </w:t>
      </w:r>
      <w:r w:rsidRPr="008731AF">
        <w:rPr>
          <w:iCs/>
        </w:rPr>
        <w:t xml:space="preserve">alive at a median follow up of </w:t>
      </w:r>
      <w:r w:rsidR="00543276" w:rsidRPr="00BF0AEB">
        <w:rPr>
          <w:iCs/>
          <w:w w:val="15"/>
          <w:highlight w:val="black"/>
          <w:fitText w:val="-20" w:id="-1163696637"/>
        </w:rPr>
        <w:t xml:space="preserve">|  </w:t>
      </w:r>
      <w:r w:rsidR="00543276" w:rsidRPr="00BF0AEB">
        <w:rPr>
          <w:iCs/>
          <w:spacing w:val="-69"/>
          <w:w w:val="15"/>
          <w:highlight w:val="black"/>
          <w:fitText w:val="-20" w:id="-1163696637"/>
        </w:rPr>
        <w:t>|</w:t>
      </w:r>
      <w:r w:rsidR="009418E2">
        <w:rPr>
          <w:iCs/>
          <w:vertAlign w:val="superscript"/>
        </w:rPr>
        <w:t>27</w:t>
      </w:r>
      <w:r w:rsidRPr="008731AF">
        <w:rPr>
          <w:iCs/>
        </w:rPr>
        <w:t>months</w:t>
      </w:r>
      <w:r w:rsidR="0039769B" w:rsidRPr="00FB229F">
        <w:rPr>
          <w:iCs/>
        </w:rPr>
        <w:t xml:space="preserve">. </w:t>
      </w:r>
      <w:r w:rsidR="00BA14E8" w:rsidRPr="00FB229F">
        <w:rPr>
          <w:iCs/>
        </w:rPr>
        <w:t xml:space="preserve">Overall, the PBAC </w:t>
      </w:r>
      <w:r w:rsidR="0039769B" w:rsidRPr="00FB229F">
        <w:rPr>
          <w:iCs/>
        </w:rPr>
        <w:t xml:space="preserve">considered the </w:t>
      </w:r>
      <w:r w:rsidR="00B41310" w:rsidRPr="00FB229F">
        <w:rPr>
          <w:iCs/>
        </w:rPr>
        <w:t xml:space="preserve">ORR and PFS </w:t>
      </w:r>
      <w:r w:rsidR="0039769B" w:rsidRPr="00FB229F">
        <w:rPr>
          <w:iCs/>
        </w:rPr>
        <w:t xml:space="preserve">results of the </w:t>
      </w:r>
      <w:r w:rsidR="00BA14E8" w:rsidRPr="00FB229F">
        <w:rPr>
          <w:iCs/>
        </w:rPr>
        <w:t xml:space="preserve">LIBRETTO-001 </w:t>
      </w:r>
      <w:r w:rsidR="0039769B" w:rsidRPr="00FB229F">
        <w:rPr>
          <w:iCs/>
        </w:rPr>
        <w:t xml:space="preserve">trial </w:t>
      </w:r>
      <w:r w:rsidR="00BA14E8" w:rsidRPr="00FB229F">
        <w:rPr>
          <w:iCs/>
        </w:rPr>
        <w:t xml:space="preserve">demonstrated </w:t>
      </w:r>
      <w:r w:rsidR="0039769B" w:rsidRPr="00FB229F">
        <w:rPr>
          <w:iCs/>
        </w:rPr>
        <w:t xml:space="preserve">clinical activity for selpercatinib </w:t>
      </w:r>
      <w:r w:rsidR="00CD0893" w:rsidRPr="00FB229F">
        <w:rPr>
          <w:iCs/>
        </w:rPr>
        <w:t xml:space="preserve">and </w:t>
      </w:r>
      <w:r w:rsidR="0039769B" w:rsidRPr="00FB229F">
        <w:rPr>
          <w:iCs/>
        </w:rPr>
        <w:t>indicat</w:t>
      </w:r>
      <w:r w:rsidR="00CD0893" w:rsidRPr="00FB229F">
        <w:rPr>
          <w:iCs/>
        </w:rPr>
        <w:t>ed</w:t>
      </w:r>
      <w:r w:rsidR="0039769B" w:rsidRPr="00FB229F">
        <w:rPr>
          <w:iCs/>
        </w:rPr>
        <w:t xml:space="preserve"> </w:t>
      </w:r>
      <w:r w:rsidR="00CD0893" w:rsidRPr="00FB229F">
        <w:rPr>
          <w:iCs/>
        </w:rPr>
        <w:t xml:space="preserve">it was a </w:t>
      </w:r>
      <w:r w:rsidR="00BA14E8" w:rsidRPr="00FB229F">
        <w:rPr>
          <w:iCs/>
        </w:rPr>
        <w:t xml:space="preserve">promising </w:t>
      </w:r>
      <w:r w:rsidR="00CD0893" w:rsidRPr="00FB229F">
        <w:rPr>
          <w:iCs/>
        </w:rPr>
        <w:t xml:space="preserve">treatment option for patients with </w:t>
      </w:r>
      <w:r w:rsidR="00CD0893" w:rsidRPr="00FB229F">
        <w:rPr>
          <w:i/>
        </w:rPr>
        <w:t>RET</w:t>
      </w:r>
      <w:r w:rsidR="00CD0893" w:rsidRPr="00FB229F">
        <w:rPr>
          <w:iCs/>
        </w:rPr>
        <w:t xml:space="preserve"> fusion-positive NSCLC. </w:t>
      </w:r>
    </w:p>
    <w:p w14:paraId="000D10AF" w14:textId="0F8529FC" w:rsidR="0039760A" w:rsidRPr="00FB229F" w:rsidRDefault="00213041" w:rsidP="00E61F4B">
      <w:pPr>
        <w:pStyle w:val="3-BodyText"/>
        <w:ind w:left="709" w:hanging="709"/>
      </w:pPr>
      <w:bookmarkStart w:id="107" w:name="_Ref141962978"/>
      <w:r w:rsidRPr="00FB229F">
        <w:t xml:space="preserve">The claim that selpercatinib had superior effectiveness relative to pembrolizumab + PC was based on indirect comparisons which included a network meta-analysis (NMA), an anchored indirect comparison, and an unanchored matching adjusted indirect comparison (MAIC). </w:t>
      </w:r>
      <w:r w:rsidR="00BD4CDD" w:rsidRPr="00FB229F">
        <w:t xml:space="preserve">The PBAC noted the indirect comparisons were not conducted exclusively in the </w:t>
      </w:r>
      <w:r w:rsidR="00BD4CDD" w:rsidRPr="00FB229F">
        <w:rPr>
          <w:i/>
        </w:rPr>
        <w:t>RET</w:t>
      </w:r>
      <w:r w:rsidR="00BD4CDD" w:rsidRPr="00FB229F">
        <w:t xml:space="preserve"> fusion-positive NSCLC population because the comparator studies did not assess patients for </w:t>
      </w:r>
      <w:r w:rsidR="00BD4CDD" w:rsidRPr="00FB229F">
        <w:rPr>
          <w:i/>
        </w:rPr>
        <w:t>RET</w:t>
      </w:r>
      <w:r w:rsidR="00BD4CDD" w:rsidRPr="00FB229F">
        <w:t xml:space="preserve"> fusion status. The PBAC noted the submission argument that </w:t>
      </w:r>
      <w:r w:rsidR="00BD4CDD" w:rsidRPr="00FB229F">
        <w:rPr>
          <w:i/>
          <w:iCs/>
        </w:rPr>
        <w:t>RET</w:t>
      </w:r>
      <w:r w:rsidR="00BD4CDD" w:rsidRPr="00FB229F">
        <w:t xml:space="preserve"> fusion status was not an independent prognostic characteristic for PFS or OS after adjustment for age and smoking status</w:t>
      </w:r>
      <w:r w:rsidR="0039760A" w:rsidRPr="00FB229F">
        <w:t xml:space="preserve"> but considered this issue remained a source of significant uncertainty.</w:t>
      </w:r>
      <w:bookmarkEnd w:id="107"/>
      <w:r w:rsidR="0039760A" w:rsidRPr="00FB229F">
        <w:t xml:space="preserve"> </w:t>
      </w:r>
    </w:p>
    <w:p w14:paraId="02A86A1D" w14:textId="4EE60535" w:rsidR="00177746" w:rsidRPr="00FB229F" w:rsidRDefault="00177746" w:rsidP="00E61F4B">
      <w:pPr>
        <w:pStyle w:val="3-BodyText"/>
        <w:ind w:left="709" w:hanging="709"/>
      </w:pPr>
      <w:r w:rsidRPr="00FB229F">
        <w:t>The NMA and anchored indirect comparisons were based on the generation of a synthetic (pseudo-control) PC arm for LIBRETTO-001 using propensity score matching (PSM).</w:t>
      </w:r>
      <w:r w:rsidR="00EB6974" w:rsidRPr="00FB229F">
        <w:t xml:space="preserve"> The PBAC noted that PSM was applied to the individual patient data (IPD) of the PC arm of the KN-189 trial which compared pembrolizumab + PC versus PC as IPD were not available for the pembrolizumab + PC arm.</w:t>
      </w:r>
      <w:r w:rsidRPr="00FB229F">
        <w:t xml:space="preserve"> Th</w:t>
      </w:r>
      <w:r w:rsidR="00EB6974" w:rsidRPr="00FB229F">
        <w:t xml:space="preserve">e </w:t>
      </w:r>
      <w:r w:rsidRPr="00FB229F">
        <w:t xml:space="preserve">common reference PC arm was used to link LIBRETTO-001 to the KN-189 and KN-021 comparator studies. </w:t>
      </w:r>
      <w:r w:rsidR="00EB6974" w:rsidRPr="00FB229F">
        <w:t xml:space="preserve">The PBAC considered </w:t>
      </w:r>
      <w:r w:rsidR="006A12C8" w:rsidRPr="00FB229F">
        <w:t xml:space="preserve">a limitation of use of the </w:t>
      </w:r>
      <w:r w:rsidRPr="00FB229F">
        <w:t>pseudo-PC arm was</w:t>
      </w:r>
      <w:r w:rsidR="006A12C8" w:rsidRPr="00FB229F">
        <w:t xml:space="preserve"> that</w:t>
      </w:r>
      <w:r w:rsidRPr="00FB229F">
        <w:t xml:space="preserve"> there were residual imbalances, despite the matching, which may favour selpercatinib. </w:t>
      </w:r>
      <w:r w:rsidR="00EB6974" w:rsidRPr="00FB229F">
        <w:t>In addition, the PBAC noted that a</w:t>
      </w:r>
      <w:r w:rsidRPr="00FB229F">
        <w:t>s a consequence of the matching, the original sample size of the KN-189 PC arm was reduced from 206 patients to an effective sample size (ESS) of 64 patients</w:t>
      </w:r>
      <w:r w:rsidR="00EB6974" w:rsidRPr="00FB229F">
        <w:t>. The PBAC considered this</w:t>
      </w:r>
      <w:r w:rsidRPr="00FB229F">
        <w:t xml:space="preserve"> limit</w:t>
      </w:r>
      <w:r w:rsidR="00EB6974" w:rsidRPr="00FB229F">
        <w:t>ed</w:t>
      </w:r>
      <w:r w:rsidRPr="00FB229F">
        <w:t xml:space="preserve"> the reliability and applicability of the indirect comparison results.</w:t>
      </w:r>
      <w:r w:rsidR="00EB6974" w:rsidRPr="00FB229F">
        <w:t xml:space="preserve"> </w:t>
      </w:r>
    </w:p>
    <w:p w14:paraId="5A6CB37A" w14:textId="2C91288C" w:rsidR="00177746" w:rsidRPr="00FB229F" w:rsidRDefault="00177746" w:rsidP="00177746">
      <w:pPr>
        <w:pStyle w:val="3-BodyText"/>
        <w:ind w:left="709" w:hanging="709"/>
        <w:rPr>
          <w:iCs/>
        </w:rPr>
      </w:pPr>
      <w:r w:rsidRPr="00FB229F">
        <w:rPr>
          <w:iCs/>
        </w:rPr>
        <w:t xml:space="preserve">In the unanchored MAIC, </w:t>
      </w:r>
      <w:r w:rsidR="00EB6974" w:rsidRPr="00FB229F">
        <w:t>individual patient data</w:t>
      </w:r>
      <w:r w:rsidRPr="00FB229F">
        <w:rPr>
          <w:iCs/>
        </w:rPr>
        <w:t xml:space="preserve"> from LIBRETTO-001 were re-weighted to </w:t>
      </w:r>
      <w:r w:rsidR="006A12C8" w:rsidRPr="00FB229F">
        <w:rPr>
          <w:iCs/>
        </w:rPr>
        <w:t xml:space="preserve">match </w:t>
      </w:r>
      <w:r w:rsidRPr="00FB229F">
        <w:rPr>
          <w:iCs/>
        </w:rPr>
        <w:t xml:space="preserve">published summary data of the pembrolizumab + PC arm in KN-189. </w:t>
      </w:r>
      <w:r w:rsidR="00EB6974" w:rsidRPr="00FB229F">
        <w:rPr>
          <w:iCs/>
        </w:rPr>
        <w:t>The PBAC noted that r</w:t>
      </w:r>
      <w:r w:rsidRPr="00FB229F">
        <w:rPr>
          <w:iCs/>
        </w:rPr>
        <w:t xml:space="preserve">e-weighting reduced the LIBRETTO-001 selpercatinib cohort sample size from 69 patients to an ESS of 46.5 in Model 1 (not adjusted for ‘never smokers’) and to an ESS of 21.8 in Model 2 (adjusted for ‘never smokers’). The </w:t>
      </w:r>
      <w:r w:rsidR="00EB6974" w:rsidRPr="00FB229F">
        <w:rPr>
          <w:iCs/>
        </w:rPr>
        <w:t xml:space="preserve">PBAC considered the </w:t>
      </w:r>
      <w:r w:rsidRPr="00FB229F">
        <w:rPr>
          <w:iCs/>
        </w:rPr>
        <w:t>small ESS limited the reliability and applicability of the indirect comparison results.</w:t>
      </w:r>
    </w:p>
    <w:p w14:paraId="2A06427A" w14:textId="596DBC49" w:rsidR="00134FAF" w:rsidRPr="00FB229F" w:rsidRDefault="006A12C8" w:rsidP="00134FAF">
      <w:pPr>
        <w:pStyle w:val="3-BodyText"/>
        <w:ind w:left="709" w:hanging="709"/>
        <w:rPr>
          <w:iCs/>
        </w:rPr>
      </w:pPr>
      <w:bookmarkStart w:id="108" w:name="_Ref141962986"/>
      <w:r w:rsidRPr="00FB229F">
        <w:rPr>
          <w:iCs/>
        </w:rPr>
        <w:t>Overall, the PBAC considered the</w:t>
      </w:r>
      <w:r w:rsidR="00177746" w:rsidRPr="00FB229F">
        <w:rPr>
          <w:iCs/>
        </w:rPr>
        <w:t xml:space="preserve"> indirect comparisons were associated with a high degree of uncertainty with several transitivity, applicability and reliability issues. </w:t>
      </w:r>
      <w:r w:rsidRPr="00FB229F">
        <w:rPr>
          <w:iCs/>
        </w:rPr>
        <w:t>The PBAC advised that</w:t>
      </w:r>
      <w:r w:rsidR="00177746" w:rsidRPr="00FB229F">
        <w:rPr>
          <w:iCs/>
        </w:rPr>
        <w:t xml:space="preserve"> the true extent of confounding and the magnitude of the comparative treatment effect of selpercatinib compared with pembrolizumab + PC </w:t>
      </w:r>
      <w:r w:rsidR="00177746" w:rsidRPr="00FB229F">
        <w:rPr>
          <w:iCs/>
        </w:rPr>
        <w:lastRenderedPageBreak/>
        <w:t xml:space="preserve">remained unknown. </w:t>
      </w:r>
      <w:r w:rsidR="00237374" w:rsidRPr="00FB229F">
        <w:rPr>
          <w:iCs/>
        </w:rPr>
        <w:t xml:space="preserve">As such, the PBAC considered </w:t>
      </w:r>
      <w:r w:rsidR="00237374" w:rsidRPr="00FB229F">
        <w:rPr>
          <w:szCs w:val="20"/>
        </w:rPr>
        <w:t>that the claim of superior comparative effectiveness was not adequately supported by the data</w:t>
      </w:r>
      <w:r w:rsidR="00902F63" w:rsidRPr="00FB229F">
        <w:rPr>
          <w:szCs w:val="20"/>
        </w:rPr>
        <w:t xml:space="preserve"> provided</w:t>
      </w:r>
      <w:r w:rsidR="00237374" w:rsidRPr="00FB229F">
        <w:rPr>
          <w:szCs w:val="20"/>
        </w:rPr>
        <w:t>.</w:t>
      </w:r>
      <w:bookmarkEnd w:id="108"/>
    </w:p>
    <w:p w14:paraId="621E9E44" w14:textId="18DFD471" w:rsidR="00E52F5F" w:rsidRPr="00FB229F" w:rsidRDefault="003D0DDA" w:rsidP="00237374">
      <w:pPr>
        <w:pStyle w:val="3-BodyText"/>
        <w:ind w:left="709" w:hanging="709"/>
        <w:rPr>
          <w:iCs/>
        </w:rPr>
      </w:pPr>
      <w:r w:rsidRPr="00FB229F">
        <w:t xml:space="preserve">The </w:t>
      </w:r>
      <w:r w:rsidR="002A171C" w:rsidRPr="00FB229F">
        <w:t xml:space="preserve">PBAC </w:t>
      </w:r>
      <w:r w:rsidR="00902F63" w:rsidRPr="00FB229F">
        <w:t xml:space="preserve">noted the treatment emergent adverse events (TEAEs) in LIBRETTO-001, in particular the incidence of QT prolongation (16%) of any grade. The PBAC </w:t>
      </w:r>
      <w:r w:rsidR="00F73D0A" w:rsidRPr="00FB229F">
        <w:t xml:space="preserve">agreed with the evaluation that comparing the safety profiles of </w:t>
      </w:r>
      <w:r w:rsidR="00E9674B" w:rsidRPr="00FB229F">
        <w:t>selpercatinib</w:t>
      </w:r>
      <w:r w:rsidR="00DC5351" w:rsidRPr="00FB229F">
        <w:t xml:space="preserve"> a</w:t>
      </w:r>
      <w:r w:rsidR="00F73D0A" w:rsidRPr="00FB229F">
        <w:t>nd</w:t>
      </w:r>
      <w:r w:rsidR="00DC5351" w:rsidRPr="00FB229F">
        <w:t xml:space="preserve"> </w:t>
      </w:r>
      <w:r w:rsidR="0026483B" w:rsidRPr="00FB229F">
        <w:t>pembrolizumab</w:t>
      </w:r>
      <w:r w:rsidR="00DC5351" w:rsidRPr="00FB229F">
        <w:t xml:space="preserve"> + PC</w:t>
      </w:r>
      <w:r w:rsidR="00E9674B" w:rsidRPr="00FB229F">
        <w:t xml:space="preserve"> was difficult </w:t>
      </w:r>
      <w:r w:rsidR="00DC5351" w:rsidRPr="00FB229F">
        <w:t xml:space="preserve">due to </w:t>
      </w:r>
      <w:r w:rsidR="00F73D0A" w:rsidRPr="00FB229F">
        <w:t xml:space="preserve">differences in the </w:t>
      </w:r>
      <w:r w:rsidR="00DC5351" w:rsidRPr="00FB229F">
        <w:t>mechanism of action</w:t>
      </w:r>
      <w:r w:rsidR="00F73D0A" w:rsidRPr="00FB229F">
        <w:t xml:space="preserve"> and trial populations</w:t>
      </w:r>
      <w:r w:rsidR="00FB229F">
        <w:t xml:space="preserve">. </w:t>
      </w:r>
      <w:r w:rsidR="00F73D0A" w:rsidRPr="00FB229F">
        <w:t>However</w:t>
      </w:r>
      <w:r w:rsidR="00DC5351" w:rsidRPr="00FB229F">
        <w:t xml:space="preserve">, the PBAC </w:t>
      </w:r>
      <w:r w:rsidR="00F73D0A" w:rsidRPr="00FB229F">
        <w:t>considered</w:t>
      </w:r>
      <w:r w:rsidR="00DC5351" w:rsidRPr="00FB229F">
        <w:t xml:space="preserve"> that the toxicity of selpercatinib would </w:t>
      </w:r>
      <w:r w:rsidR="00E9674B" w:rsidRPr="00FB229F">
        <w:t>be likely manageable in clinical practice, with some advantages as an oral therapy.</w:t>
      </w:r>
    </w:p>
    <w:p w14:paraId="2BBA3B2E" w14:textId="78A90B95" w:rsidR="00477BC5" w:rsidRPr="00FB229F" w:rsidRDefault="00477BC5" w:rsidP="00134FAF">
      <w:pPr>
        <w:pStyle w:val="3-BodyText"/>
        <w:ind w:left="709" w:hanging="709"/>
      </w:pPr>
      <w:bookmarkStart w:id="109" w:name="_Ref141963867"/>
      <w:r w:rsidRPr="00FB229F">
        <w:t xml:space="preserve">The PBAC considered the economic model was unreliable due to the uncertainties in the clinical data from the indirect comparison with pembrolizumab + PC. </w:t>
      </w:r>
      <w:r w:rsidR="00F45740" w:rsidRPr="00FB229F">
        <w:t>In addition, t</w:t>
      </w:r>
      <w:r w:rsidRPr="00FB229F">
        <w:t xml:space="preserve">he PBAC </w:t>
      </w:r>
      <w:r w:rsidR="00E26507" w:rsidRPr="00FB229F">
        <w:t xml:space="preserve">agreed with the evaluation that the </w:t>
      </w:r>
      <w:r w:rsidRPr="00FB229F">
        <w:t>submission made a number of unreasonable or unjustified assumptions and errors in the base case analysis</w:t>
      </w:r>
      <w:r w:rsidR="00F45740" w:rsidRPr="00FB229F">
        <w:t xml:space="preserve"> and noted that a re-specified base case was proposed during the evaluation (see paragraph </w:t>
      </w:r>
      <w:r w:rsidR="00E26507" w:rsidRPr="00FB229F">
        <w:fldChar w:fldCharType="begin" w:fldLock="1"/>
      </w:r>
      <w:r w:rsidR="00E26507" w:rsidRPr="00FB229F">
        <w:instrText xml:space="preserve"> REF _Ref141947548 \r \h </w:instrText>
      </w:r>
      <w:r w:rsidR="00E26507" w:rsidRPr="00FB229F">
        <w:fldChar w:fldCharType="separate"/>
      </w:r>
      <w:r w:rsidR="00CE0B36">
        <w:t>6.82</w:t>
      </w:r>
      <w:r w:rsidR="00E26507" w:rsidRPr="00FB229F">
        <w:fldChar w:fldCharType="end"/>
      </w:r>
      <w:r w:rsidR="00E26507" w:rsidRPr="00FB229F">
        <w:t>)</w:t>
      </w:r>
      <w:r w:rsidRPr="00FB229F">
        <w:t>. The</w:t>
      </w:r>
      <w:r w:rsidR="00E26507" w:rsidRPr="00FB229F">
        <w:t xml:space="preserve"> pre-PBAC response provided a re-specified base case </w:t>
      </w:r>
      <w:r w:rsidR="00134FAF" w:rsidRPr="00FB229F">
        <w:t>that differed from that provided during the evaluation in three ways: application of the selpercatinib treatment effect derived from the MAIC Model 2; use of a 10 year rather than a 7.5 year time horizon (submission base case time horizon was 20</w:t>
      </w:r>
      <w:r w:rsidR="00FB5B5E">
        <w:t> </w:t>
      </w:r>
      <w:r w:rsidR="00134FAF" w:rsidRPr="00FB229F">
        <w:t>years); and incorporation of a 1.5% price reduction for selpercatinib</w:t>
      </w:r>
      <w:r w:rsidR="006704ED" w:rsidRPr="00FB229F">
        <w:t xml:space="preserve"> (see paragraph</w:t>
      </w:r>
      <w:r w:rsidR="002040DC" w:rsidRPr="00FB229F">
        <w:t xml:space="preserve"> </w:t>
      </w:r>
      <w:r w:rsidR="002040DC" w:rsidRPr="00FB229F">
        <w:fldChar w:fldCharType="begin" w:fldLock="1"/>
      </w:r>
      <w:r w:rsidR="002040DC" w:rsidRPr="00FB229F">
        <w:instrText xml:space="preserve"> REF _Ref141951511 \r \h </w:instrText>
      </w:r>
      <w:r w:rsidR="002040DC" w:rsidRPr="00FB229F">
        <w:fldChar w:fldCharType="separate"/>
      </w:r>
      <w:r w:rsidR="00CE0B36">
        <w:t>6.88</w:t>
      </w:r>
      <w:r w:rsidR="002040DC" w:rsidRPr="00FB229F">
        <w:fldChar w:fldCharType="end"/>
      </w:r>
      <w:r w:rsidR="006704ED" w:rsidRPr="00FB229F">
        <w:t>)</w:t>
      </w:r>
      <w:r w:rsidR="00134FAF" w:rsidRPr="00FB229F">
        <w:t xml:space="preserve">. The PBAC noted the re-specified base case and </w:t>
      </w:r>
      <w:r w:rsidR="006704ED" w:rsidRPr="00FB229F">
        <w:t xml:space="preserve">the </w:t>
      </w:r>
      <w:r w:rsidR="00134FAF" w:rsidRPr="00FB229F">
        <w:t xml:space="preserve">price reduction proposed in the pre-PBAC response. However, the PBAC considered </w:t>
      </w:r>
      <w:r w:rsidRPr="00FB229F">
        <w:t>the fundamental uncertainty associated with the indirect comparison between poorly transitive studies that formed the basis of the model cannot be resolved by re-specification</w:t>
      </w:r>
      <w:r w:rsidR="00134FAF" w:rsidRPr="00FB229F">
        <w:t>. As such, the PBAC considered</w:t>
      </w:r>
      <w:r w:rsidRPr="00FB229F">
        <w:t xml:space="preserve"> the ICER remained highly uncertain.</w:t>
      </w:r>
      <w:bookmarkEnd w:id="109"/>
    </w:p>
    <w:p w14:paraId="2824CFAC" w14:textId="56BA9215" w:rsidR="005E6867" w:rsidRPr="00FB229F" w:rsidRDefault="00036F2F" w:rsidP="005E6867">
      <w:pPr>
        <w:pStyle w:val="3-BodyText"/>
        <w:ind w:left="709" w:hanging="709"/>
        <w:rPr>
          <w:rFonts w:ascii="Calibri" w:hAnsi="Calibri" w:cs="Calibri"/>
          <w:sz w:val="22"/>
          <w:szCs w:val="22"/>
        </w:rPr>
      </w:pPr>
      <w:bookmarkStart w:id="110" w:name="_Ref141963945"/>
      <w:r w:rsidRPr="00FB229F">
        <w:t xml:space="preserve">The PBAC agreed with </w:t>
      </w:r>
      <w:r w:rsidR="003100A6" w:rsidRPr="00FB229F">
        <w:t xml:space="preserve">the </w:t>
      </w:r>
      <w:r w:rsidRPr="00FB229F">
        <w:t xml:space="preserve">DUSC that </w:t>
      </w:r>
      <w:r w:rsidR="00D9173C" w:rsidRPr="00FB229F">
        <w:t xml:space="preserve">the overall financial estimates </w:t>
      </w:r>
      <w:r w:rsidR="002A6B26" w:rsidRPr="00FB229F">
        <w:t xml:space="preserve">presented </w:t>
      </w:r>
      <w:r w:rsidR="00D9173C" w:rsidRPr="00FB229F">
        <w:t>were overestimated</w:t>
      </w:r>
      <w:r w:rsidR="003D39FE" w:rsidRPr="00FB229F">
        <w:t>.</w:t>
      </w:r>
      <w:r w:rsidR="00CE456B" w:rsidRPr="00FB229F">
        <w:t xml:space="preserve"> </w:t>
      </w:r>
      <w:r w:rsidR="003D39FE" w:rsidRPr="00FB229F">
        <w:t>The PBAC considered that the prevalent population was overestimated</w:t>
      </w:r>
      <w:r w:rsidR="003100A6" w:rsidRPr="00FB229F">
        <w:t xml:space="preserve"> as </w:t>
      </w:r>
      <w:r w:rsidR="003D39FE" w:rsidRPr="00FB229F">
        <w:t xml:space="preserve">a proportion of previously treated patients would be deceased or unable to tolerate further treatment by the time they became eligible for selpercatinib. The PBAC </w:t>
      </w:r>
      <w:r w:rsidR="005E6867" w:rsidRPr="00FB229F">
        <w:t xml:space="preserve">agreed with DUSC that the proportion of </w:t>
      </w:r>
      <w:r w:rsidR="003D39FE" w:rsidRPr="00FB229F">
        <w:t xml:space="preserve">prevalent patients eligible for treatment would be between 70% and 80%. The PBAC </w:t>
      </w:r>
      <w:r w:rsidR="005E6867" w:rsidRPr="00FB229F">
        <w:t xml:space="preserve">also </w:t>
      </w:r>
      <w:r w:rsidR="003D39FE" w:rsidRPr="00FB229F">
        <w:t xml:space="preserve">noted that in the </w:t>
      </w:r>
      <w:r w:rsidR="005E6867" w:rsidRPr="00FB229F">
        <w:t xml:space="preserve">LIBRETTO-001 </w:t>
      </w:r>
      <w:r w:rsidR="003D39FE" w:rsidRPr="00FB229F">
        <w:t>trial, 3</w:t>
      </w:r>
      <w:r w:rsidR="00CE456B" w:rsidRPr="00FB229F">
        <w:t>1.9</w:t>
      </w:r>
      <w:r w:rsidR="003D39FE" w:rsidRPr="00FB229F">
        <w:t xml:space="preserve">% </w:t>
      </w:r>
      <w:r w:rsidR="00CE456B" w:rsidRPr="00FB229F">
        <w:t xml:space="preserve">of </w:t>
      </w:r>
      <w:r w:rsidR="003D39FE" w:rsidRPr="00FB229F">
        <w:t xml:space="preserve">patients were treated beyond disease progression, while the proposed restriction stated that patients must not develop disease progression while receiving selpercatinib. The PBAC </w:t>
      </w:r>
      <w:r w:rsidR="005E6867" w:rsidRPr="00FB229F">
        <w:t>agreed with</w:t>
      </w:r>
      <w:r w:rsidR="003D39FE" w:rsidRPr="00FB229F">
        <w:t xml:space="preserve"> DUSC that </w:t>
      </w:r>
      <w:r w:rsidR="005E6867" w:rsidRPr="00FB229F">
        <w:t xml:space="preserve">it may be more appropriate to apply a duration based on the modelled PFS from the trial (32.1 months) </w:t>
      </w:r>
      <w:r w:rsidR="00A14FE2">
        <w:t xml:space="preserve">(see paragraph </w:t>
      </w:r>
      <w:r w:rsidR="00A14FE2">
        <w:fldChar w:fldCharType="begin" w:fldLock="1"/>
      </w:r>
      <w:r w:rsidR="00A14FE2">
        <w:instrText xml:space="preserve"> REF _Ref142059435 \r \h </w:instrText>
      </w:r>
      <w:r w:rsidR="00A14FE2">
        <w:fldChar w:fldCharType="separate"/>
      </w:r>
      <w:r w:rsidR="00CE0B36">
        <w:t>6.99</w:t>
      </w:r>
      <w:r w:rsidR="00A14FE2">
        <w:fldChar w:fldCharType="end"/>
      </w:r>
      <w:r w:rsidR="00A14FE2">
        <w:t>)</w:t>
      </w:r>
      <w:r w:rsidR="005E6867" w:rsidRPr="00FB229F">
        <w:t>.</w:t>
      </w:r>
      <w:bookmarkEnd w:id="110"/>
      <w:r w:rsidR="005E6867" w:rsidRPr="00FB229F">
        <w:t xml:space="preserve"> </w:t>
      </w:r>
      <w:r w:rsidR="00167AEF">
        <w:rPr>
          <w:rFonts w:eastAsia="MS Gothic" w:cs="Times New Roman"/>
          <w:iCs/>
          <w:szCs w:val="20"/>
        </w:rPr>
        <w:t>The PBAC</w:t>
      </w:r>
      <w:r w:rsidR="00167AEF" w:rsidRPr="00FB229F">
        <w:rPr>
          <w:rFonts w:eastAsia="MS Gothic" w:cs="Times New Roman"/>
          <w:iCs/>
          <w:szCs w:val="20"/>
        </w:rPr>
        <w:t xml:space="preserve"> noted the submission estimated high uptake of 100% in eligible patients but agreed </w:t>
      </w:r>
      <w:r w:rsidR="00167AEF">
        <w:rPr>
          <w:rFonts w:eastAsia="MS Gothic" w:cs="Times New Roman"/>
          <w:iCs/>
          <w:szCs w:val="20"/>
        </w:rPr>
        <w:t xml:space="preserve">with the DUSC </w:t>
      </w:r>
      <w:r w:rsidR="00167AEF" w:rsidRPr="00FB229F">
        <w:rPr>
          <w:rFonts w:eastAsia="MS Gothic" w:cs="Times New Roman"/>
          <w:iCs/>
          <w:szCs w:val="20"/>
        </w:rPr>
        <w:t>that uptake will likely be close to 100%</w:t>
      </w:r>
      <w:r w:rsidR="00167AEF">
        <w:rPr>
          <w:rFonts w:eastAsia="MS Gothic" w:cs="Times New Roman"/>
          <w:iCs/>
          <w:szCs w:val="20"/>
        </w:rPr>
        <w:t xml:space="preserve"> due to selpercatinib being a targeted therapy in an oral dose form.</w:t>
      </w:r>
    </w:p>
    <w:p w14:paraId="48E03340" w14:textId="46BF8F85" w:rsidR="00F15DC0" w:rsidRPr="00FB229F" w:rsidRDefault="00145085" w:rsidP="00F15DC0">
      <w:pPr>
        <w:pStyle w:val="3-BodyText"/>
        <w:ind w:left="709" w:hanging="709"/>
      </w:pPr>
      <w:r w:rsidRPr="00FB229F">
        <w:t>The PBAC noted that the</w:t>
      </w:r>
      <w:r w:rsidR="00F15DC0" w:rsidRPr="00FB229F">
        <w:t xml:space="preserve"> efficacy of selpercatinib was being further evaluated through a confirmatory Phase III randomised controlled trial (LIBRETTO-431) comparing selpercatinib to platinum-based and pemetrexed therapy with or without pembrolizumab as initial treatment of advanced </w:t>
      </w:r>
      <w:r w:rsidR="00F15DC0" w:rsidRPr="00FB229F">
        <w:rPr>
          <w:i/>
        </w:rPr>
        <w:t>RET</w:t>
      </w:r>
      <w:r w:rsidR="00F15DC0" w:rsidRPr="00FB229F">
        <w:t xml:space="preserve"> fusion-positive non-squamous NSCLC. The PBAC noted the estimated</w:t>
      </w:r>
      <w:r w:rsidRPr="00FB229F">
        <w:t xml:space="preserve"> primary completion date of LIBRETTO-431 was December 2023</w:t>
      </w:r>
      <w:r w:rsidR="00FB229F">
        <w:t xml:space="preserve">. </w:t>
      </w:r>
      <w:r w:rsidRPr="00FB229F">
        <w:t xml:space="preserve">The </w:t>
      </w:r>
      <w:r w:rsidR="0060498C" w:rsidRPr="00FB229F">
        <w:t xml:space="preserve">PBAC </w:t>
      </w:r>
      <w:r w:rsidR="00F15DC0" w:rsidRPr="00FB229F">
        <w:t>anticipated</w:t>
      </w:r>
      <w:r w:rsidR="0060498C" w:rsidRPr="00FB229F">
        <w:t xml:space="preserve"> that </w:t>
      </w:r>
      <w:r w:rsidR="00F15DC0" w:rsidRPr="00FB229F">
        <w:t xml:space="preserve">the results of </w:t>
      </w:r>
      <w:r w:rsidR="0060498C" w:rsidRPr="00FB229F">
        <w:t xml:space="preserve">LIBRETTO-431 may address </w:t>
      </w:r>
      <w:r w:rsidR="0060498C" w:rsidRPr="00FB229F">
        <w:lastRenderedPageBreak/>
        <w:t xml:space="preserve">much of the uncertainty associated with the indirect comparison </w:t>
      </w:r>
      <w:r w:rsidR="00F15DC0" w:rsidRPr="00FB229F">
        <w:t xml:space="preserve">used to inform estimates of comparative effectiveness in this submission. </w:t>
      </w:r>
    </w:p>
    <w:p w14:paraId="49731950" w14:textId="5CEE39C9" w:rsidR="00A42B41" w:rsidRPr="00FB229F" w:rsidRDefault="00F80278" w:rsidP="007B1BC5">
      <w:pPr>
        <w:pStyle w:val="3-BodyText"/>
        <w:ind w:left="720" w:hanging="720"/>
      </w:pPr>
      <w:r w:rsidRPr="00FB229F">
        <w:t>The</w:t>
      </w:r>
      <w:r w:rsidR="0055253E" w:rsidRPr="00FB229F">
        <w:t xml:space="preserve"> PBAC</w:t>
      </w:r>
      <w:r w:rsidR="003D39FE" w:rsidRPr="00FB229F">
        <w:t xml:space="preserve"> </w:t>
      </w:r>
      <w:r w:rsidRPr="00FB229F">
        <w:t>considered a</w:t>
      </w:r>
      <w:r w:rsidR="003D39FE" w:rsidRPr="00FB229F">
        <w:t xml:space="preserve"> resubmission </w:t>
      </w:r>
      <w:r w:rsidRPr="00FB229F">
        <w:t xml:space="preserve">for selpercatinib </w:t>
      </w:r>
      <w:r w:rsidR="003D39FE" w:rsidRPr="00FB229F">
        <w:t>should</w:t>
      </w:r>
      <w:r w:rsidR="00A42B41" w:rsidRPr="00FB229F">
        <w:t xml:space="preserve"> address the following issues:</w:t>
      </w:r>
    </w:p>
    <w:p w14:paraId="0F3172FB" w14:textId="118F0E90" w:rsidR="00D1784B" w:rsidRPr="00FB229F" w:rsidRDefault="00D1784B" w:rsidP="00816BFB">
      <w:pPr>
        <w:pStyle w:val="Bulletpoints"/>
      </w:pPr>
      <w:r w:rsidRPr="00FB229F">
        <w:t xml:space="preserve">The indirect comparisons presented in the submission were associated with a high degree of uncertainty (see paragraphs </w:t>
      </w:r>
      <w:r w:rsidRPr="00FB229F">
        <w:fldChar w:fldCharType="begin" w:fldLock="1"/>
      </w:r>
      <w:r w:rsidRPr="00FB229F">
        <w:instrText xml:space="preserve"> REF _Ref141962978 \r \h </w:instrText>
      </w:r>
      <w:r w:rsidR="00FB5B5E">
        <w:instrText xml:space="preserve"> \* MERGEFORMAT </w:instrText>
      </w:r>
      <w:r w:rsidRPr="00FB229F">
        <w:fldChar w:fldCharType="separate"/>
      </w:r>
      <w:r w:rsidR="00CE0B36">
        <w:t>7.7</w:t>
      </w:r>
      <w:r w:rsidRPr="00FB229F">
        <w:fldChar w:fldCharType="end"/>
      </w:r>
      <w:r w:rsidRPr="00FB229F">
        <w:t xml:space="preserve"> to </w:t>
      </w:r>
      <w:r w:rsidRPr="00FB229F">
        <w:fldChar w:fldCharType="begin" w:fldLock="1"/>
      </w:r>
      <w:r w:rsidRPr="00FB229F">
        <w:instrText xml:space="preserve"> REF _Ref141962986 \r \h </w:instrText>
      </w:r>
      <w:r w:rsidR="00FB5B5E">
        <w:instrText xml:space="preserve"> \* MERGEFORMAT </w:instrText>
      </w:r>
      <w:r w:rsidRPr="00FB229F">
        <w:fldChar w:fldCharType="separate"/>
      </w:r>
      <w:r w:rsidR="00CE0B36">
        <w:t>7.10</w:t>
      </w:r>
      <w:r w:rsidRPr="00FB229F">
        <w:fldChar w:fldCharType="end"/>
      </w:r>
      <w:r w:rsidRPr="00FB229F">
        <w:t xml:space="preserve">). Inclusion of the results from the LIBRETTO-431 trial may </w:t>
      </w:r>
      <w:r w:rsidR="0026483B" w:rsidRPr="00FB229F">
        <w:t>address</w:t>
      </w:r>
      <w:r w:rsidRPr="00FB229F">
        <w:t xml:space="preserve"> much of the uncertainty that resulted in the PBAC advising that the claim of superior comparative effectiveness was not adequately supported by the data provided in the submission. </w:t>
      </w:r>
    </w:p>
    <w:p w14:paraId="199E9DFE" w14:textId="382E7312" w:rsidR="004A15A7" w:rsidRPr="00FB229F" w:rsidRDefault="00120FC1" w:rsidP="00816BFB">
      <w:pPr>
        <w:pStyle w:val="Bulletpoints"/>
      </w:pPr>
      <w:r w:rsidRPr="00FB229F">
        <w:t xml:space="preserve">Provide an economic model that incorporates revised data pertaining to the magnitude of comparative treatment effectiveness (as outlined in the point above) and which addresses the issues raised in paragraph </w:t>
      </w:r>
      <w:r w:rsidRPr="00FB229F">
        <w:fldChar w:fldCharType="begin" w:fldLock="1"/>
      </w:r>
      <w:r w:rsidRPr="00FB229F">
        <w:instrText xml:space="preserve"> REF _Ref141963867 \r \h </w:instrText>
      </w:r>
      <w:r w:rsidR="00FB5B5E">
        <w:instrText xml:space="preserve"> \* MERGEFORMAT </w:instrText>
      </w:r>
      <w:r w:rsidRPr="00FB229F">
        <w:fldChar w:fldCharType="separate"/>
      </w:r>
      <w:r w:rsidR="00CE0B36">
        <w:t>7.12</w:t>
      </w:r>
      <w:r w:rsidRPr="00FB229F">
        <w:fldChar w:fldCharType="end"/>
      </w:r>
      <w:r w:rsidRPr="00FB229F">
        <w:t>.</w:t>
      </w:r>
    </w:p>
    <w:p w14:paraId="53F70376" w14:textId="69013B53" w:rsidR="00A42B41" w:rsidRPr="00FB229F" w:rsidRDefault="00120FC1" w:rsidP="00816BFB">
      <w:pPr>
        <w:pStyle w:val="Bulletpoints"/>
      </w:pPr>
      <w:r w:rsidRPr="00FB229F">
        <w:t xml:space="preserve">Provide </w:t>
      </w:r>
      <w:r w:rsidR="00A42B41" w:rsidRPr="00FB229F">
        <w:t xml:space="preserve">revised financial estimates that </w:t>
      </w:r>
      <w:r w:rsidRPr="00FB229F">
        <w:t xml:space="preserve">address the issues outlined in paragraph </w:t>
      </w:r>
      <w:r w:rsidRPr="00FB229F">
        <w:fldChar w:fldCharType="begin" w:fldLock="1"/>
      </w:r>
      <w:r w:rsidRPr="00FB229F">
        <w:instrText xml:space="preserve"> REF _Ref141963945 \r \h </w:instrText>
      </w:r>
      <w:r w:rsidR="00FB5B5E">
        <w:instrText xml:space="preserve"> \* MERGEFORMAT </w:instrText>
      </w:r>
      <w:r w:rsidRPr="00FB229F">
        <w:fldChar w:fldCharType="separate"/>
      </w:r>
      <w:r w:rsidR="00CE0B36">
        <w:t>7.13</w:t>
      </w:r>
      <w:r w:rsidRPr="00FB229F">
        <w:fldChar w:fldCharType="end"/>
      </w:r>
      <w:r w:rsidR="00A42B41" w:rsidRPr="00FB229F">
        <w:t>.</w:t>
      </w:r>
    </w:p>
    <w:p w14:paraId="501E737C" w14:textId="08A8F5FE" w:rsidR="00E52F5F" w:rsidRPr="00FB229F" w:rsidRDefault="003D39FE" w:rsidP="00120FC1">
      <w:pPr>
        <w:pStyle w:val="3-BodyText"/>
        <w:ind w:left="720" w:hanging="720"/>
      </w:pPr>
      <w:r w:rsidRPr="00A14FE2">
        <w:rPr>
          <w:bCs/>
        </w:rPr>
        <w:t>The PBAC noted that this submission is eligible for an Independent Review</w:t>
      </w:r>
      <w:r w:rsidR="005043BC" w:rsidRPr="00A14FE2">
        <w:rPr>
          <w:bCs/>
        </w:rPr>
        <w:t>.</w:t>
      </w:r>
    </w:p>
    <w:p w14:paraId="3292E852" w14:textId="77777777" w:rsidR="005043BC" w:rsidRPr="00FB229F" w:rsidRDefault="005043BC" w:rsidP="005043BC">
      <w:pPr>
        <w:pStyle w:val="3-BodyText"/>
        <w:numPr>
          <w:ilvl w:val="0"/>
          <w:numId w:val="0"/>
        </w:numPr>
        <w:rPr>
          <w:b/>
          <w:bCs/>
          <w:sz w:val="28"/>
          <w:szCs w:val="28"/>
        </w:rPr>
      </w:pPr>
      <w:r w:rsidRPr="00FB229F">
        <w:rPr>
          <w:b/>
          <w:bCs/>
          <w:sz w:val="28"/>
          <w:szCs w:val="28"/>
        </w:rPr>
        <w:t>Outcome:</w:t>
      </w:r>
    </w:p>
    <w:p w14:paraId="012EB5DA" w14:textId="10C527E9" w:rsidR="008D01CD" w:rsidRPr="00FB229F" w:rsidRDefault="005043BC" w:rsidP="00626EE2">
      <w:pPr>
        <w:pStyle w:val="3-BodyText"/>
        <w:numPr>
          <w:ilvl w:val="0"/>
          <w:numId w:val="0"/>
        </w:numPr>
        <w:spacing w:after="0"/>
        <w:ind w:left="720" w:hanging="720"/>
      </w:pPr>
      <w:r w:rsidRPr="00FB229F">
        <w:t>Not recommended.</w:t>
      </w:r>
    </w:p>
    <w:bookmarkEnd w:id="103"/>
    <w:p w14:paraId="777ED126" w14:textId="582F604E" w:rsidR="00655973" w:rsidRPr="00655973" w:rsidRDefault="00655973" w:rsidP="00655973">
      <w:pPr>
        <w:pStyle w:val="2-SectionHeading"/>
      </w:pPr>
      <w:r w:rsidRPr="00C07617">
        <w:t>Context for Decision</w:t>
      </w:r>
    </w:p>
    <w:p w14:paraId="572A9557" w14:textId="77777777" w:rsidR="00655973" w:rsidRPr="007129F2" w:rsidRDefault="00655973" w:rsidP="00655973">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7B0123C" w14:textId="61316929" w:rsidR="00655973" w:rsidRPr="00655973" w:rsidRDefault="00655973" w:rsidP="00655973">
      <w:pPr>
        <w:pStyle w:val="2-SectionHeading"/>
      </w:pPr>
      <w:r>
        <w:t>Sponsor’s Comment</w:t>
      </w:r>
    </w:p>
    <w:p w14:paraId="2FFA5044" w14:textId="77777777" w:rsidR="00655973" w:rsidRPr="001179AC" w:rsidRDefault="00655973" w:rsidP="00655973">
      <w:pPr>
        <w:spacing w:after="120"/>
        <w:ind w:left="426" w:firstLine="294"/>
        <w:rPr>
          <w:rFonts w:asciiTheme="minorHAnsi" w:hAnsiTheme="minorHAnsi"/>
          <w:bCs/>
        </w:rPr>
      </w:pPr>
      <w:r w:rsidRPr="00C07617">
        <w:rPr>
          <w:rFonts w:asciiTheme="minorHAnsi" w:hAnsiTheme="minorHAnsi"/>
          <w:bCs/>
        </w:rPr>
        <w:t>The sponsor had no comment.</w:t>
      </w:r>
    </w:p>
    <w:p w14:paraId="2A280391" w14:textId="645EF050" w:rsidR="008D01CD" w:rsidRPr="00EE7A1F" w:rsidRDefault="008D01CD" w:rsidP="00EE7A1F">
      <w:pPr>
        <w:widowControl w:val="0"/>
        <w:rPr>
          <w:rFonts w:asciiTheme="minorHAnsi" w:hAnsiTheme="minorHAnsi"/>
          <w:b/>
          <w:bCs/>
          <w:snapToGrid w:val="0"/>
          <w:sz w:val="28"/>
          <w:szCs w:val="28"/>
        </w:rPr>
      </w:pPr>
    </w:p>
    <w:sectPr w:rsidR="008D01CD" w:rsidRPr="00EE7A1F" w:rsidSect="00C66C16">
      <w:headerReference w:type="default" r:id="rId18"/>
      <w:footerReference w:type="default" r:id="rId19"/>
      <w:pgSz w:w="11907" w:h="16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F390" w14:textId="77777777" w:rsidR="00757582" w:rsidRDefault="00757582" w:rsidP="00124A51">
      <w:r>
        <w:separator/>
      </w:r>
    </w:p>
    <w:p w14:paraId="7AA99EAB" w14:textId="77777777" w:rsidR="00757582" w:rsidRDefault="00757582"/>
  </w:endnote>
  <w:endnote w:type="continuationSeparator" w:id="0">
    <w:p w14:paraId="20667C73" w14:textId="77777777" w:rsidR="00757582" w:rsidRDefault="00757582" w:rsidP="00124A51">
      <w:r>
        <w:continuationSeparator/>
      </w:r>
    </w:p>
    <w:p w14:paraId="16C10047" w14:textId="77777777" w:rsidR="00757582" w:rsidRDefault="00757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71CC" w14:textId="77777777" w:rsidR="00E35B70" w:rsidRDefault="00E35B70" w:rsidP="00753B29">
    <w:pPr>
      <w:pStyle w:val="Footer"/>
      <w:jc w:val="center"/>
    </w:pPr>
  </w:p>
  <w:p w14:paraId="08628790" w14:textId="57AF5F2B" w:rsidR="00E35B70" w:rsidRPr="006A48D9" w:rsidRDefault="00BF0AEB" w:rsidP="00753B29">
    <w:pPr>
      <w:pStyle w:val="Footer"/>
      <w:jc w:val="center"/>
      <w:rPr>
        <w:b/>
        <w:bCs/>
      </w:rPr>
    </w:pPr>
    <w:sdt>
      <w:sdtPr>
        <w:id w:val="1036156457"/>
        <w:docPartObj>
          <w:docPartGallery w:val="Page Numbers (Bottom of Page)"/>
          <w:docPartUnique/>
        </w:docPartObj>
      </w:sdtPr>
      <w:sdtEndPr>
        <w:rPr>
          <w:b/>
          <w:bCs/>
          <w:noProof/>
        </w:rPr>
      </w:sdtEndPr>
      <w:sdtContent>
        <w:r w:rsidR="00E35B70" w:rsidRPr="006A48D9">
          <w:rPr>
            <w:b/>
            <w:bCs/>
          </w:rPr>
          <w:fldChar w:fldCharType="begin"/>
        </w:r>
        <w:r w:rsidR="00E35B70" w:rsidRPr="006A48D9">
          <w:rPr>
            <w:b/>
            <w:bCs/>
          </w:rPr>
          <w:instrText xml:space="preserve"> PAGE   \* MERGEFORMAT </w:instrText>
        </w:r>
        <w:r w:rsidR="00E35B70" w:rsidRPr="006A48D9">
          <w:rPr>
            <w:b/>
            <w:bCs/>
          </w:rPr>
          <w:fldChar w:fldCharType="separate"/>
        </w:r>
        <w:r w:rsidR="00C62D47" w:rsidRPr="006A48D9">
          <w:rPr>
            <w:b/>
            <w:bCs/>
            <w:noProof/>
          </w:rPr>
          <w:t>58</w:t>
        </w:r>
        <w:r w:rsidR="00E35B70" w:rsidRPr="006A48D9">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2B58" w14:textId="77777777" w:rsidR="00757582" w:rsidRDefault="00757582" w:rsidP="00124A51">
      <w:r>
        <w:separator/>
      </w:r>
    </w:p>
  </w:footnote>
  <w:footnote w:type="continuationSeparator" w:id="0">
    <w:p w14:paraId="770D5401" w14:textId="77777777" w:rsidR="00757582" w:rsidRDefault="00757582" w:rsidP="00124A51">
      <w:r>
        <w:continuationSeparator/>
      </w:r>
    </w:p>
    <w:p w14:paraId="555CA937" w14:textId="77777777" w:rsidR="00757582" w:rsidRDefault="00757582"/>
  </w:footnote>
  <w:footnote w:id="1">
    <w:p w14:paraId="30D50F9B" w14:textId="77777777" w:rsidR="00992A96" w:rsidRDefault="00992A96" w:rsidP="00992A96">
      <w:pPr>
        <w:pStyle w:val="FootnoteText"/>
      </w:pPr>
      <w:r>
        <w:rPr>
          <w:rStyle w:val="FootnoteReference"/>
        </w:rPr>
        <w:footnoteRef/>
      </w:r>
      <w:r>
        <w:t xml:space="preserve"> </w:t>
      </w:r>
      <w:r w:rsidRPr="00F00DB4">
        <w:t>NCCN Guidelines Version 2.2023, Non-Small Cell Lung Cancer. Accessed 16 March 2023</w:t>
      </w:r>
    </w:p>
  </w:footnote>
  <w:footnote w:id="2">
    <w:p w14:paraId="686341AB" w14:textId="77777777" w:rsidR="00E35B70" w:rsidRPr="00FD0BD5" w:rsidRDefault="00E35B70" w:rsidP="00B3692D">
      <w:pPr>
        <w:pStyle w:val="FootnoteText"/>
        <w:rPr>
          <w:color w:val="auto"/>
        </w:rPr>
      </w:pPr>
      <w:r>
        <w:rPr>
          <w:rStyle w:val="FootnoteReference"/>
        </w:rPr>
        <w:footnoteRef/>
      </w:r>
      <w:r w:rsidRPr="00FD0BD5">
        <w:t xml:space="preserve"> </w:t>
      </w:r>
      <w:hyperlink r:id="rId1" w:history="1">
        <w:r w:rsidRPr="00FD0BD5">
          <w:rPr>
            <w:rStyle w:val="Hyperlink"/>
            <w:color w:val="auto"/>
          </w:rPr>
          <w:t>https://www.aihw.gov.au/reports/cancer/cancer-data-in-australia/contents/cancer-summary-data-visualisation</w:t>
        </w:r>
      </w:hyperlink>
    </w:p>
  </w:footnote>
  <w:footnote w:id="3">
    <w:p w14:paraId="42DB37A1" w14:textId="77777777" w:rsidR="00E35B70" w:rsidRDefault="00E35B70" w:rsidP="00B3692D">
      <w:pPr>
        <w:pStyle w:val="FootnoteText"/>
      </w:pPr>
      <w:r w:rsidRPr="00FD0BD5">
        <w:rPr>
          <w:rStyle w:val="FootnoteReference"/>
          <w:color w:val="auto"/>
        </w:rPr>
        <w:footnoteRef/>
      </w:r>
      <w:r w:rsidRPr="00FD0BD5">
        <w:rPr>
          <w:color w:val="auto"/>
        </w:rPr>
        <w:t xml:space="preserve"> https://www.cancercouncil.com.au/lung-cancer</w:t>
      </w:r>
    </w:p>
  </w:footnote>
  <w:footnote w:id="4">
    <w:p w14:paraId="6EF1F4A7" w14:textId="77777777" w:rsidR="00E35B70" w:rsidRDefault="00E35B70" w:rsidP="00B3692D">
      <w:pPr>
        <w:pStyle w:val="FootnoteText"/>
      </w:pPr>
      <w:r>
        <w:rPr>
          <w:rStyle w:val="FootnoteReference"/>
        </w:rPr>
        <w:footnoteRef/>
      </w:r>
      <w:r>
        <w:t>C</w:t>
      </w:r>
      <w:r w:rsidRPr="00625344">
        <w:t>ancer Australia. 2019. Relative survival by stage of diagnosis (lung cancer) [Online]. https://ncci.canceraustralia.gov.au/outcomes/relative-survival-rate/relative-survival-stage-diagnosis-lung-cancer.</w:t>
      </w:r>
    </w:p>
  </w:footnote>
  <w:footnote w:id="5">
    <w:p w14:paraId="53438A5A" w14:textId="77777777" w:rsidR="00E35B70" w:rsidRDefault="00E35B70">
      <w:pPr>
        <w:pStyle w:val="FootnoteText"/>
      </w:pPr>
      <w:r>
        <w:rPr>
          <w:rStyle w:val="FootnoteReference"/>
        </w:rPr>
        <w:footnoteRef/>
      </w:r>
      <w:r>
        <w:t xml:space="preserve"> </w:t>
      </w:r>
      <w:r w:rsidRPr="008A5C28">
        <w:t xml:space="preserve">Ferrara R, Auger N, </w:t>
      </w:r>
      <w:proofErr w:type="spellStart"/>
      <w:r w:rsidRPr="008A5C28">
        <w:t>Auclin</w:t>
      </w:r>
      <w:proofErr w:type="spellEnd"/>
      <w:r w:rsidRPr="008A5C28">
        <w:t xml:space="preserve"> E, </w:t>
      </w:r>
      <w:proofErr w:type="spellStart"/>
      <w:r w:rsidRPr="008A5C28">
        <w:t>Besse</w:t>
      </w:r>
      <w:proofErr w:type="spellEnd"/>
      <w:r w:rsidRPr="008A5C28">
        <w:t xml:space="preserve"> B. Clinical and translational implications of </w:t>
      </w:r>
      <w:r w:rsidRPr="00003093">
        <w:rPr>
          <w:i/>
          <w:iCs/>
        </w:rPr>
        <w:t>RET</w:t>
      </w:r>
      <w:r w:rsidRPr="008A5C28">
        <w:t xml:space="preserve"> rearrangements in non–small cell lung cancer. </w:t>
      </w:r>
      <w:r w:rsidRPr="00A46C19">
        <w:rPr>
          <w:iCs/>
        </w:rPr>
        <w:t>Journal of Thoracic Oncology</w:t>
      </w:r>
      <w:r w:rsidRPr="008A5C28">
        <w:t>. 2018;13(1):27-45.</w:t>
      </w:r>
    </w:p>
  </w:footnote>
  <w:footnote w:id="6">
    <w:p w14:paraId="611F76E2" w14:textId="77777777" w:rsidR="00E35B70" w:rsidRDefault="00E35B70">
      <w:pPr>
        <w:pStyle w:val="FootnoteText"/>
      </w:pPr>
      <w:r>
        <w:rPr>
          <w:rStyle w:val="FootnoteReference"/>
        </w:rPr>
        <w:footnoteRef/>
      </w:r>
      <w:r>
        <w:t xml:space="preserve"> </w:t>
      </w:r>
      <w:proofErr w:type="spellStart"/>
      <w:r w:rsidRPr="008A5C28">
        <w:t>Novello</w:t>
      </w:r>
      <w:proofErr w:type="spellEnd"/>
      <w:r w:rsidRPr="008A5C28">
        <w:t xml:space="preserve"> S, </w:t>
      </w:r>
      <w:proofErr w:type="spellStart"/>
      <w:r w:rsidRPr="008A5C28">
        <w:t>Califano</w:t>
      </w:r>
      <w:proofErr w:type="spellEnd"/>
      <w:r w:rsidRPr="008A5C28">
        <w:t xml:space="preserve"> R, </w:t>
      </w:r>
      <w:proofErr w:type="spellStart"/>
      <w:r w:rsidRPr="008A5C28">
        <w:t>Reinmuth</w:t>
      </w:r>
      <w:proofErr w:type="spellEnd"/>
      <w:r w:rsidRPr="008A5C28">
        <w:t xml:space="preserve"> N, </w:t>
      </w:r>
      <w:proofErr w:type="spellStart"/>
      <w:r w:rsidRPr="008A5C28">
        <w:t>Tamma</w:t>
      </w:r>
      <w:proofErr w:type="spellEnd"/>
      <w:r w:rsidRPr="008A5C28">
        <w:t xml:space="preserve"> A, Puri T. </w:t>
      </w:r>
      <w:r w:rsidRPr="00003093">
        <w:rPr>
          <w:i/>
          <w:iCs/>
        </w:rPr>
        <w:t xml:space="preserve">RET </w:t>
      </w:r>
      <w:r w:rsidRPr="008A5C28">
        <w:t xml:space="preserve">Fusion-Positive Non-small Cell Lung Cancer: The Evolving Treatment Landscape. </w:t>
      </w:r>
      <w:r w:rsidRPr="00A46C19">
        <w:rPr>
          <w:iCs/>
        </w:rPr>
        <w:t>The Oncologist</w:t>
      </w:r>
      <w:r w:rsidRPr="008A5C28">
        <w:t>. 2023:oyac264</w:t>
      </w:r>
      <w:r>
        <w:t>.</w:t>
      </w:r>
    </w:p>
  </w:footnote>
  <w:footnote w:id="7">
    <w:p w14:paraId="0F20B44A" w14:textId="77777777" w:rsidR="00E35B70" w:rsidRDefault="00E35B70">
      <w:pPr>
        <w:pStyle w:val="FootnoteText"/>
      </w:pPr>
      <w:r>
        <w:rPr>
          <w:rStyle w:val="FootnoteReference"/>
        </w:rPr>
        <w:footnoteRef/>
      </w:r>
      <w:r>
        <w:t xml:space="preserve"> </w:t>
      </w:r>
      <w:r w:rsidRPr="008A5C28">
        <w:t xml:space="preserve">Hess LM, Han Y, Zhu YE, Bhandari NR, </w:t>
      </w:r>
      <w:proofErr w:type="spellStart"/>
      <w:r w:rsidRPr="008A5C28">
        <w:t>Sireci</w:t>
      </w:r>
      <w:proofErr w:type="spellEnd"/>
      <w:r w:rsidRPr="008A5C28">
        <w:t xml:space="preserve"> A. Characteristics and outcomes of patients with RET-fusion positive non-small lung cancer in real-world practice in the United States. </w:t>
      </w:r>
      <w:r w:rsidRPr="00A46C19">
        <w:rPr>
          <w:iCs/>
        </w:rPr>
        <w:t>BMC Cancer</w:t>
      </w:r>
      <w:r w:rsidRPr="008A5C28">
        <w:t>. 2021 Jan 5;21(1):28</w:t>
      </w:r>
      <w:r>
        <w:t>.</w:t>
      </w:r>
    </w:p>
  </w:footnote>
  <w:footnote w:id="8">
    <w:p w14:paraId="74B13BD8" w14:textId="77777777" w:rsidR="00E35B70" w:rsidRDefault="00E35B70">
      <w:pPr>
        <w:pStyle w:val="FootnoteText"/>
      </w:pPr>
      <w:r>
        <w:rPr>
          <w:rStyle w:val="FootnoteReference"/>
        </w:rPr>
        <w:footnoteRef/>
      </w:r>
      <w:r>
        <w:t xml:space="preserve"> </w:t>
      </w:r>
      <w:r w:rsidRPr="00426F61">
        <w:t>NCCN Guidelines Version 2.2023, Non-Small Cell Lung Cancer. https://www.nccn.org/guidelines. Accessed 16 March 2023).</w:t>
      </w:r>
    </w:p>
  </w:footnote>
  <w:footnote w:id="9">
    <w:p w14:paraId="2F5E5AEC" w14:textId="262E9B40" w:rsidR="0087177E" w:rsidRDefault="0087177E">
      <w:pPr>
        <w:pStyle w:val="FootnoteText"/>
      </w:pPr>
      <w:r>
        <w:rPr>
          <w:rStyle w:val="FootnoteReference"/>
        </w:rPr>
        <w:footnoteRef/>
      </w:r>
      <w:r>
        <w:t xml:space="preserve"> </w:t>
      </w:r>
      <w:r w:rsidRPr="00E6324C">
        <w:rPr>
          <w:bCs/>
          <w:sz w:val="16"/>
        </w:rPr>
        <w:t>Cherny NI, et al: ESMO-Magnitude of Clinical Benefit Scale version 1.1. Annals of Oncology 28:2340-2366, 2017</w:t>
      </w:r>
    </w:p>
  </w:footnote>
  <w:footnote w:id="10">
    <w:p w14:paraId="4E51B9D1" w14:textId="77777777" w:rsidR="00E35B70" w:rsidRDefault="00E35B70">
      <w:pPr>
        <w:pStyle w:val="FootnoteText"/>
      </w:pPr>
      <w:r>
        <w:rPr>
          <w:rStyle w:val="FootnoteReference"/>
        </w:rPr>
        <w:footnoteRef/>
      </w:r>
      <w:r>
        <w:t xml:space="preserve"> </w:t>
      </w:r>
      <w:r w:rsidRPr="00D21449">
        <w:t>https://clinicaltrials.gov/ct2/history/NCT04194944?V_2=View</w:t>
      </w:r>
    </w:p>
  </w:footnote>
  <w:footnote w:id="11">
    <w:p w14:paraId="30525394" w14:textId="77777777" w:rsidR="00E35B70" w:rsidRDefault="00E35B70" w:rsidP="00623AAE">
      <w:pPr>
        <w:pStyle w:val="FootnoteText"/>
      </w:pPr>
      <w:r>
        <w:rPr>
          <w:rStyle w:val="FootnoteReference"/>
        </w:rPr>
        <w:footnoteRef/>
      </w:r>
      <w:r>
        <w:t xml:space="preserve"> </w:t>
      </w:r>
      <w:r w:rsidRPr="007022F1">
        <w:t>https://www.clinicaltrials.gov/ct2/show/NCT01168973</w:t>
      </w:r>
    </w:p>
  </w:footnote>
  <w:footnote w:id="12">
    <w:p w14:paraId="3F4B36B4" w14:textId="4F4C9CFC" w:rsidR="009418E2" w:rsidRPr="009418E2" w:rsidRDefault="009418E2">
      <w:pPr>
        <w:pStyle w:val="FootnoteText"/>
        <w:rPr>
          <w:i/>
          <w:iCs/>
        </w:rPr>
      </w:pPr>
      <w:r w:rsidRPr="009418E2">
        <w:rPr>
          <w:rStyle w:val="FootnoteReference"/>
          <w:i/>
          <w:iCs/>
        </w:rPr>
        <w:footnoteRef/>
      </w:r>
      <w:r w:rsidRPr="009418E2">
        <w:rPr>
          <w:i/>
          <w:iCs/>
        </w:rPr>
        <w:t xml:space="preserve"> Data cut off January 2023: manuscript in preparation. To be submitted in 2024.</w:t>
      </w:r>
    </w:p>
  </w:footnote>
  <w:footnote w:id="13">
    <w:p w14:paraId="2FB93212" w14:textId="54C2664D" w:rsidR="009418E2" w:rsidRPr="009418E2" w:rsidRDefault="009418E2">
      <w:pPr>
        <w:pStyle w:val="FootnoteText"/>
        <w:rPr>
          <w:i/>
          <w:iCs/>
        </w:rPr>
      </w:pPr>
      <w:r w:rsidRPr="009418E2">
        <w:rPr>
          <w:rStyle w:val="FootnoteReference"/>
          <w:i/>
          <w:iCs/>
        </w:rPr>
        <w:footnoteRef/>
      </w:r>
      <w:r w:rsidRPr="009418E2">
        <w:rPr>
          <w:i/>
          <w:iCs/>
        </w:rPr>
        <w:t xml:space="preserve"> Data cut off January 2023: manuscript in preparation. To be submitted in 2024.</w:t>
      </w:r>
    </w:p>
  </w:footnote>
  <w:footnote w:id="14">
    <w:p w14:paraId="615D27A2" w14:textId="77777777" w:rsidR="00E35B70" w:rsidRDefault="00E35B70" w:rsidP="00C6749D">
      <w:pPr>
        <w:pStyle w:val="FootnoteText"/>
      </w:pPr>
      <w:r>
        <w:rPr>
          <w:rStyle w:val="FootnoteReference"/>
        </w:rPr>
        <w:footnoteRef/>
      </w:r>
      <w:r>
        <w:t xml:space="preserve"> The NMA included </w:t>
      </w:r>
      <w:r w:rsidRPr="008C1E92">
        <w:t xml:space="preserve">35 </w:t>
      </w:r>
      <w:r>
        <w:t>studies identified during a systematic literature review which</w:t>
      </w:r>
      <w:r w:rsidRPr="008C1E92">
        <w:t xml:space="preserve"> provided outcome</w:t>
      </w:r>
      <w:r>
        <w:t>s</w:t>
      </w:r>
      <w:r w:rsidRPr="008C1E92">
        <w:t xml:space="preserve"> of interest for the NMA</w:t>
      </w:r>
      <w:r>
        <w:t xml:space="preserve">. The NMA </w:t>
      </w:r>
      <w:r w:rsidRPr="00C6749D">
        <w:t>was conducted to support the health technology assessment (HTA) processes of multiple countries for multiple comparators</w:t>
      </w:r>
    </w:p>
  </w:footnote>
  <w:footnote w:id="15">
    <w:p w14:paraId="47525869" w14:textId="77777777" w:rsidR="00C56F6E" w:rsidRDefault="00C56F6E" w:rsidP="00C56F6E">
      <w:pPr>
        <w:pStyle w:val="FootnoteText"/>
      </w:pPr>
      <w:r>
        <w:rPr>
          <w:rStyle w:val="FootnoteReference"/>
        </w:rPr>
        <w:footnoteRef/>
      </w:r>
      <w:r>
        <w:t xml:space="preserve"> </w:t>
      </w:r>
      <w:r w:rsidRPr="00793542">
        <w:t xml:space="preserve">Bhandari, N. R., Hess, L. M., Han, Y., Zhu, Y. E., &amp; </w:t>
      </w:r>
      <w:proofErr w:type="spellStart"/>
      <w:r w:rsidRPr="00793542">
        <w:t>Sireci</w:t>
      </w:r>
      <w:proofErr w:type="spellEnd"/>
      <w:r w:rsidRPr="00793542">
        <w:t>, A. N. (2021). Efficacy of immune checkpoint inhibitor therapy in patients with </w:t>
      </w:r>
      <w:r w:rsidRPr="00003093">
        <w:rPr>
          <w:i/>
        </w:rPr>
        <w:t>RET </w:t>
      </w:r>
      <w:r w:rsidRPr="00793542">
        <w:t>fusion-positive non-small-cell lung cancer. </w:t>
      </w:r>
      <w:r w:rsidRPr="00A46C19">
        <w:rPr>
          <w:iCs/>
        </w:rPr>
        <w:t>Immunotherapy</w:t>
      </w:r>
      <w:r w:rsidRPr="00793542">
        <w:t>, </w:t>
      </w:r>
      <w:r w:rsidRPr="00A46C19">
        <w:rPr>
          <w:iCs/>
        </w:rPr>
        <w:t>13</w:t>
      </w:r>
      <w:r w:rsidRPr="00793542">
        <w:t>(11), 893–904.</w:t>
      </w:r>
    </w:p>
  </w:footnote>
  <w:footnote w:id="16">
    <w:p w14:paraId="70F7A0FF" w14:textId="624D8ED1" w:rsidR="00200347" w:rsidRDefault="00200347">
      <w:pPr>
        <w:pStyle w:val="FootnoteText"/>
      </w:pPr>
      <w:r>
        <w:rPr>
          <w:rStyle w:val="FootnoteReference"/>
        </w:rPr>
        <w:footnoteRef/>
      </w:r>
      <w:r>
        <w:t xml:space="preserve"> </w:t>
      </w:r>
      <w:r w:rsidRPr="00816BFB">
        <w:t xml:space="preserve">Tan, D., De </w:t>
      </w:r>
      <w:proofErr w:type="spellStart"/>
      <w:r w:rsidRPr="00816BFB">
        <w:t>Braud</w:t>
      </w:r>
      <w:proofErr w:type="spellEnd"/>
      <w:r w:rsidRPr="00816BFB">
        <w:t xml:space="preserve">, F., Han, Y., </w:t>
      </w:r>
      <w:proofErr w:type="spellStart"/>
      <w:r w:rsidRPr="00816BFB">
        <w:t>Kiiskinen</w:t>
      </w:r>
      <w:proofErr w:type="spellEnd"/>
      <w:r w:rsidRPr="00816BFB">
        <w:t xml:space="preserve">, U., Jen, M-H., Barker, S. S., </w:t>
      </w:r>
      <w:proofErr w:type="spellStart"/>
      <w:r w:rsidRPr="00816BFB">
        <w:t>Szymczak</w:t>
      </w:r>
      <w:proofErr w:type="spellEnd"/>
      <w:r w:rsidRPr="00816BFB">
        <w:t>, S., &amp; Gilligan, A. (2023) P2.10-11 Comparative Effectiveness Analysis of Selpercatinib versus Standard Therapy in Patients with Non-small Cell Lung Cancer [Poster Presentation] WCLC 2023 Singapore, Singapore.</w:t>
      </w:r>
    </w:p>
  </w:footnote>
  <w:footnote w:id="17">
    <w:p w14:paraId="2F8E7C90" w14:textId="6F7B772E" w:rsidR="000E2129" w:rsidRDefault="000E2129">
      <w:pPr>
        <w:pStyle w:val="FootnoteText"/>
      </w:pPr>
      <w:r>
        <w:rPr>
          <w:rStyle w:val="FootnoteReference"/>
        </w:rPr>
        <w:footnoteRef/>
      </w:r>
      <w:r>
        <w:t xml:space="preserve"> </w:t>
      </w:r>
      <w:r w:rsidRPr="000E2129">
        <w:t xml:space="preserve">Aldea, M., </w:t>
      </w:r>
      <w:r>
        <w:t>et al</w:t>
      </w:r>
      <w:r w:rsidRPr="000E2129">
        <w:t xml:space="preserve">. (2023). RET-MAP: An international </w:t>
      </w:r>
      <w:r w:rsidR="00EE7A1F" w:rsidRPr="000E2129">
        <w:t>multicentre</w:t>
      </w:r>
      <w:r w:rsidRPr="000E2129">
        <w:t xml:space="preserve"> study on </w:t>
      </w:r>
      <w:proofErr w:type="spellStart"/>
      <w:r w:rsidRPr="000E2129">
        <w:t>Clinicobiologic</w:t>
      </w:r>
      <w:proofErr w:type="spellEnd"/>
      <w:r w:rsidRPr="000E2129">
        <w:t xml:space="preserve"> features and treatment response in patients with lung cancer </w:t>
      </w:r>
      <w:r w:rsidR="00EE7A1F" w:rsidRPr="000E2129">
        <w:t>harbouring</w:t>
      </w:r>
      <w:r w:rsidRPr="000E2129">
        <w:t xml:space="preserve"> a </w:t>
      </w:r>
      <w:r w:rsidRPr="00003093">
        <w:rPr>
          <w:i/>
          <w:iCs/>
        </w:rPr>
        <w:t>RET</w:t>
      </w:r>
      <w:r w:rsidRPr="000E2129">
        <w:t xml:space="preserve"> Fusion. Journal of Thoracic Oncology, 18(5), 576–586.</w:t>
      </w:r>
    </w:p>
  </w:footnote>
  <w:footnote w:id="18">
    <w:p w14:paraId="4DC66E02" w14:textId="77777777" w:rsidR="00E35B70" w:rsidRDefault="00E35B70">
      <w:pPr>
        <w:pStyle w:val="FootnoteText"/>
      </w:pPr>
      <w:r>
        <w:rPr>
          <w:rStyle w:val="FootnoteReference"/>
        </w:rPr>
        <w:footnoteRef/>
      </w:r>
      <w:r>
        <w:t xml:space="preserve"> </w:t>
      </w:r>
      <w:r w:rsidRPr="008A5C28">
        <w:t xml:space="preserve">Rodríguez-Abreu D et al. Pemetrexed plus platinum with or without pembrolizumab in patients with previously untreated metastatic </w:t>
      </w:r>
      <w:proofErr w:type="spellStart"/>
      <w:r w:rsidRPr="008A5C28">
        <w:t>nonsquamous</w:t>
      </w:r>
      <w:proofErr w:type="spellEnd"/>
      <w:r w:rsidRPr="008A5C28">
        <w:t xml:space="preserve"> NSCLC: protocol-specified final analysis from KEYNOTE-189. </w:t>
      </w:r>
      <w:r w:rsidRPr="00A46C19">
        <w:rPr>
          <w:iCs/>
        </w:rPr>
        <w:t>Annals of Oncology</w:t>
      </w:r>
      <w:r w:rsidRPr="008A5C28">
        <w:t>. 2021;32(7):881-95</w:t>
      </w:r>
    </w:p>
  </w:footnote>
  <w:footnote w:id="19">
    <w:p w14:paraId="50771BBE" w14:textId="77777777" w:rsidR="00E35B70" w:rsidRPr="008A5C28" w:rsidRDefault="00E35B70" w:rsidP="008A5C28">
      <w:pPr>
        <w:pStyle w:val="FootnoteText"/>
      </w:pPr>
      <w:r>
        <w:rPr>
          <w:rStyle w:val="FootnoteReference"/>
        </w:rPr>
        <w:footnoteRef/>
      </w:r>
      <w:r>
        <w:t xml:space="preserve"> </w:t>
      </w:r>
      <w:proofErr w:type="spellStart"/>
      <w:r w:rsidRPr="008A5C28">
        <w:t>Awad</w:t>
      </w:r>
      <w:proofErr w:type="spellEnd"/>
      <w:r w:rsidRPr="008A5C28">
        <w:t xml:space="preserve"> MM et al. Long-term overall survival from KEYNOTE-021 cohort G: pemetrexed and carboplatin with or without pembrolizumab as first-line therapy for advanced </w:t>
      </w:r>
      <w:proofErr w:type="spellStart"/>
      <w:r w:rsidRPr="008A5C28">
        <w:t>nonsquamous</w:t>
      </w:r>
      <w:proofErr w:type="spellEnd"/>
      <w:r w:rsidRPr="008A5C28">
        <w:t xml:space="preserve"> NSCLC. </w:t>
      </w:r>
      <w:r w:rsidRPr="00A46C19">
        <w:rPr>
          <w:iCs/>
        </w:rPr>
        <w:t>Journal of Thoracic Oncology</w:t>
      </w:r>
      <w:r w:rsidRPr="008A5C28">
        <w:t>. 2021;16(1):162-8.</w:t>
      </w:r>
    </w:p>
    <w:p w14:paraId="047019C6" w14:textId="77777777" w:rsidR="00E35B70" w:rsidRDefault="00E35B70">
      <w:pPr>
        <w:pStyle w:val="FootnoteText"/>
      </w:pPr>
    </w:p>
  </w:footnote>
  <w:footnote w:id="20">
    <w:p w14:paraId="1E158D06" w14:textId="77777777" w:rsidR="00E35B70" w:rsidRPr="00C97255" w:rsidRDefault="00E35B70" w:rsidP="007A3ADA">
      <w:pPr>
        <w:pStyle w:val="FootnoteText"/>
        <w:rPr>
          <w:rFonts w:cstheme="minorHAnsi"/>
          <w:lang w:eastAsia="en-AU"/>
        </w:rPr>
      </w:pPr>
      <w:r w:rsidRPr="00C97255">
        <w:rPr>
          <w:rStyle w:val="FootnoteReference"/>
          <w:rFonts w:cstheme="minorHAnsi"/>
        </w:rPr>
        <w:footnoteRef/>
      </w:r>
      <w:r w:rsidRPr="00C97255">
        <w:rPr>
          <w:rFonts w:cstheme="minorHAnsi"/>
        </w:rPr>
        <w:t xml:space="preserve"> </w:t>
      </w:r>
      <w:r w:rsidRPr="00C97255">
        <w:rPr>
          <w:rFonts w:cstheme="minorHAnsi"/>
          <w:lang w:eastAsia="en-AU"/>
        </w:rPr>
        <w:t xml:space="preserve">Gandhi L, Rodríguez-Abreu D, </w:t>
      </w:r>
      <w:r w:rsidRPr="00A46C19">
        <w:rPr>
          <w:rFonts w:cstheme="minorHAnsi"/>
          <w:lang w:eastAsia="en-AU"/>
        </w:rPr>
        <w:t>et al</w:t>
      </w:r>
      <w:r w:rsidRPr="00C97255">
        <w:rPr>
          <w:rFonts w:cstheme="minorHAnsi"/>
          <w:lang w:eastAsia="en-AU"/>
        </w:rPr>
        <w:t xml:space="preserve">. Pembrolizumab plus Chemotherapy in metastatic non-small-cell lung cancer. </w:t>
      </w:r>
      <w:r w:rsidRPr="00A46C19">
        <w:rPr>
          <w:rFonts w:cstheme="minorHAnsi"/>
          <w:iCs/>
          <w:lang w:eastAsia="en-AU"/>
        </w:rPr>
        <w:t>N Engl J Med</w:t>
      </w:r>
      <w:r w:rsidRPr="00C97255">
        <w:rPr>
          <w:rFonts w:cstheme="minorHAnsi"/>
          <w:lang w:eastAsia="en-AU"/>
        </w:rPr>
        <w:t>. 2018;378(22):2078-92.</w:t>
      </w:r>
    </w:p>
    <w:p w14:paraId="3BCFF426" w14:textId="77777777" w:rsidR="00E35B70" w:rsidRDefault="00E35B70" w:rsidP="007A3ADA">
      <w:pPr>
        <w:pStyle w:val="FootnoteText"/>
      </w:pPr>
      <w:r w:rsidRPr="00C97255">
        <w:rPr>
          <w:rFonts w:cstheme="minorHAnsi"/>
        </w:rPr>
        <w:t xml:space="preserve">Langer CJ, </w:t>
      </w:r>
      <w:proofErr w:type="spellStart"/>
      <w:r w:rsidRPr="00C97255">
        <w:rPr>
          <w:rFonts w:cstheme="minorHAnsi"/>
        </w:rPr>
        <w:t>Gadgeel</w:t>
      </w:r>
      <w:proofErr w:type="spellEnd"/>
      <w:r w:rsidRPr="00C97255">
        <w:rPr>
          <w:rFonts w:cstheme="minorHAnsi"/>
        </w:rPr>
        <w:t xml:space="preserve"> SM, </w:t>
      </w:r>
      <w:r w:rsidRPr="00A46C19">
        <w:rPr>
          <w:rFonts w:cstheme="minorHAnsi"/>
        </w:rPr>
        <w:t>et al</w:t>
      </w:r>
      <w:r w:rsidRPr="00C97255">
        <w:rPr>
          <w:rFonts w:cstheme="minorHAnsi"/>
        </w:rPr>
        <w:t xml:space="preserve">. Carboplatin and pemetrexed with or without pembrolizumab for advanced, non-squamous non-small-cell lung cancer: a randomised, phase 2 cohort of the open-label KEYNOTE-021 study. </w:t>
      </w:r>
      <w:r w:rsidRPr="00A46C19">
        <w:rPr>
          <w:rFonts w:cstheme="minorHAnsi"/>
        </w:rPr>
        <w:t>Lancet Oncol</w:t>
      </w:r>
      <w:r w:rsidRPr="00C97255">
        <w:rPr>
          <w:rFonts w:cstheme="minorHAnsi"/>
        </w:rPr>
        <w:t>. 2016;17(11):1497-508.</w:t>
      </w:r>
    </w:p>
  </w:footnote>
  <w:footnote w:id="21">
    <w:p w14:paraId="538CF01A" w14:textId="5446EDE8" w:rsidR="009418E2" w:rsidRPr="009418E2" w:rsidRDefault="009418E2">
      <w:pPr>
        <w:pStyle w:val="FootnoteText"/>
        <w:rPr>
          <w:i/>
          <w:iCs/>
        </w:rPr>
      </w:pPr>
      <w:r w:rsidRPr="009418E2">
        <w:rPr>
          <w:rStyle w:val="FootnoteReference"/>
          <w:i/>
          <w:iCs/>
        </w:rPr>
        <w:footnoteRef/>
      </w:r>
      <w:r w:rsidRPr="009418E2">
        <w:rPr>
          <w:i/>
          <w:iCs/>
        </w:rPr>
        <w:t xml:space="preserve"> Data cut off January 2023: manuscript in preparation. To be submitted in 2024.</w:t>
      </w:r>
    </w:p>
  </w:footnote>
  <w:footnote w:id="22">
    <w:p w14:paraId="73C50345" w14:textId="77777777" w:rsidR="00E35B70" w:rsidRDefault="00E35B70" w:rsidP="00DD24A9">
      <w:pPr>
        <w:pStyle w:val="FootnoteText"/>
      </w:pPr>
      <w:r>
        <w:rPr>
          <w:rStyle w:val="FootnoteReference"/>
        </w:rPr>
        <w:footnoteRef/>
      </w:r>
      <w:r>
        <w:t xml:space="preserve"> </w:t>
      </w:r>
      <w:r w:rsidRPr="00EA57C4">
        <w:t xml:space="preserve">Tan AC, </w:t>
      </w:r>
      <w:proofErr w:type="spellStart"/>
      <w:r w:rsidRPr="00EA57C4">
        <w:t>Seet</w:t>
      </w:r>
      <w:proofErr w:type="spellEnd"/>
      <w:r w:rsidRPr="00EA57C4">
        <w:t xml:space="preserve"> AOL, </w:t>
      </w:r>
      <w:r w:rsidRPr="00A46C19">
        <w:t>et al</w:t>
      </w:r>
      <w:r w:rsidRPr="00EA57C4">
        <w:t xml:space="preserve">. Molecular characterization and clinical outcomes in RET-rearranged NSCLC. </w:t>
      </w:r>
      <w:r w:rsidRPr="00A46C19">
        <w:t>J Thorac Oncol</w:t>
      </w:r>
      <w:r w:rsidRPr="00EA57C4">
        <w:t>. 2020;15(12):1928-34.</w:t>
      </w:r>
    </w:p>
  </w:footnote>
  <w:footnote w:id="23">
    <w:p w14:paraId="681B60B4" w14:textId="77777777" w:rsidR="00E35B70" w:rsidRDefault="00E35B70" w:rsidP="00DD24A9">
      <w:pPr>
        <w:pStyle w:val="FootnoteText"/>
      </w:pPr>
      <w:r>
        <w:rPr>
          <w:rStyle w:val="FootnoteReference"/>
        </w:rPr>
        <w:footnoteRef/>
      </w:r>
      <w:r>
        <w:t xml:space="preserve"> </w:t>
      </w:r>
      <w:r w:rsidRPr="0055501D">
        <w:t>National Comprehensive Cancer Network (NCCN). NCCN Clinical Practice Guidelines in Oncol</w:t>
      </w:r>
      <w:r>
        <w:t>o</w:t>
      </w:r>
      <w:r w:rsidRPr="0055501D">
        <w:t>gy (NCCN Guidelines®). Non-Small Cell Lung Cancer. Version 1.2023. 2023.</w:t>
      </w:r>
    </w:p>
  </w:footnote>
  <w:footnote w:id="24">
    <w:p w14:paraId="7D59D64B" w14:textId="77777777" w:rsidR="00E35B70" w:rsidRDefault="00E35B70" w:rsidP="00DD24A9">
      <w:pPr>
        <w:pStyle w:val="FootnoteText"/>
      </w:pPr>
      <w:r>
        <w:rPr>
          <w:rStyle w:val="FootnoteReference"/>
        </w:rPr>
        <w:footnoteRef/>
      </w:r>
      <w:r>
        <w:t xml:space="preserve"> </w:t>
      </w:r>
      <w:proofErr w:type="spellStart"/>
      <w:r w:rsidRPr="00F5023F">
        <w:t>Borghaei</w:t>
      </w:r>
      <w:proofErr w:type="spellEnd"/>
      <w:r w:rsidRPr="00F5023F">
        <w:t xml:space="preserve"> H, Paz-Ares L, </w:t>
      </w:r>
      <w:r w:rsidRPr="00A46C19">
        <w:t>et al</w:t>
      </w:r>
      <w:r w:rsidRPr="00F5023F">
        <w:t xml:space="preserve">. Nivolumab versus docetaxel in advanced </w:t>
      </w:r>
      <w:proofErr w:type="spellStart"/>
      <w:r w:rsidRPr="00F5023F">
        <w:t>nonsquamous</w:t>
      </w:r>
      <w:proofErr w:type="spellEnd"/>
      <w:r w:rsidRPr="00F5023F">
        <w:t xml:space="preserve"> non-small-cell lung cancer. </w:t>
      </w:r>
      <w:r w:rsidRPr="00A46C19">
        <w:t>N Engl J Med</w:t>
      </w:r>
      <w:r w:rsidRPr="00F5023F">
        <w:t>. 2015;373(17):1627-39.</w:t>
      </w:r>
    </w:p>
    <w:p w14:paraId="7A7EF394" w14:textId="77777777" w:rsidR="00E35B70" w:rsidRDefault="00E35B70" w:rsidP="00DD24A9">
      <w:pPr>
        <w:pStyle w:val="FootnoteText"/>
      </w:pPr>
      <w:proofErr w:type="spellStart"/>
      <w:r w:rsidRPr="00F5023F">
        <w:t>Rittmeyer</w:t>
      </w:r>
      <w:proofErr w:type="spellEnd"/>
      <w:r w:rsidRPr="00F5023F">
        <w:t xml:space="preserve"> A, </w:t>
      </w:r>
      <w:proofErr w:type="spellStart"/>
      <w:r w:rsidRPr="00F5023F">
        <w:t>Barlesi</w:t>
      </w:r>
      <w:proofErr w:type="spellEnd"/>
      <w:r w:rsidRPr="00F5023F">
        <w:t xml:space="preserve"> F, </w:t>
      </w:r>
      <w:r w:rsidRPr="00A46C19">
        <w:t>et al</w:t>
      </w:r>
      <w:r w:rsidRPr="00F5023F">
        <w:t xml:space="preserve">. Atezolizumab versus docetaxel in patients with previously treated non-small-cell lung cancer (OAK): a phase 3, open-label, multicentre randomised controlled trial. </w:t>
      </w:r>
      <w:r w:rsidRPr="00A46C19">
        <w:t>Lancet</w:t>
      </w:r>
      <w:r w:rsidRPr="00F5023F">
        <w:t>. 2017;389(10066):255-65.</w:t>
      </w:r>
    </w:p>
    <w:p w14:paraId="73536A2D" w14:textId="77777777" w:rsidR="00E35B70" w:rsidRDefault="00E35B70" w:rsidP="00DD24A9">
      <w:pPr>
        <w:pStyle w:val="FootnoteText"/>
      </w:pPr>
      <w:proofErr w:type="spellStart"/>
      <w:r w:rsidRPr="00F5023F">
        <w:t>Fehrenbacher</w:t>
      </w:r>
      <w:proofErr w:type="spellEnd"/>
      <w:r w:rsidRPr="00F5023F">
        <w:t xml:space="preserve"> L, </w:t>
      </w:r>
      <w:proofErr w:type="spellStart"/>
      <w:r w:rsidRPr="00F5023F">
        <w:t>Spira</w:t>
      </w:r>
      <w:proofErr w:type="spellEnd"/>
      <w:r w:rsidRPr="00F5023F">
        <w:t xml:space="preserve"> A, </w:t>
      </w:r>
      <w:r w:rsidRPr="00A46C19">
        <w:t>et al</w:t>
      </w:r>
      <w:r w:rsidRPr="00F5023F">
        <w:t xml:space="preserve">. Atezolizumab versus docetaxel for patients with previously treated non-small-cell lung cancer (POPLAR): a multicentre, open-label, phase 2 randomised controlled trial. </w:t>
      </w:r>
      <w:r w:rsidRPr="00A46C19">
        <w:t>Lancet</w:t>
      </w:r>
      <w:r w:rsidRPr="00F5023F">
        <w:t>. 2016;387(10030):1837-46.</w:t>
      </w:r>
    </w:p>
  </w:footnote>
  <w:footnote w:id="25">
    <w:p w14:paraId="0F3B65DC" w14:textId="77777777" w:rsidR="00FC171B" w:rsidRDefault="00FC171B" w:rsidP="00FC171B">
      <w:pPr>
        <w:pStyle w:val="FootnoteText"/>
      </w:pPr>
      <w:r>
        <w:rPr>
          <w:rStyle w:val="FootnoteReference"/>
        </w:rPr>
        <w:footnoteRef/>
      </w:r>
      <w:r>
        <w:t xml:space="preserve"> </w:t>
      </w:r>
      <w:r w:rsidRPr="00163CC9">
        <w:t xml:space="preserve">Mitchell PL, </w:t>
      </w:r>
      <w:proofErr w:type="spellStart"/>
      <w:r w:rsidRPr="00163CC9">
        <w:t>Thursfield</w:t>
      </w:r>
      <w:proofErr w:type="spellEnd"/>
      <w:r w:rsidRPr="00163CC9">
        <w:t xml:space="preserve"> VJ, Ball DL, Richardson GE, Irving LB, Torn-</w:t>
      </w:r>
      <w:proofErr w:type="spellStart"/>
      <w:r w:rsidRPr="00163CC9">
        <w:t>Broers</w:t>
      </w:r>
      <w:proofErr w:type="spellEnd"/>
      <w:r w:rsidRPr="00163CC9">
        <w:t xml:space="preserve"> Y, et al. Lung cancer in Victoria: are we making progress? </w:t>
      </w:r>
      <w:r w:rsidRPr="00163CC9">
        <w:rPr>
          <w:i/>
        </w:rPr>
        <w:t>Med J Aust</w:t>
      </w:r>
      <w:r w:rsidRPr="00163CC9">
        <w:t>. 2013;199(10):674-9</w:t>
      </w:r>
    </w:p>
  </w:footnote>
  <w:footnote w:id="26">
    <w:p w14:paraId="74BF4F22" w14:textId="77777777" w:rsidR="00FC171B" w:rsidRDefault="00FC171B" w:rsidP="00FC171B">
      <w:pPr>
        <w:pStyle w:val="FootnoteText"/>
      </w:pPr>
      <w:r>
        <w:rPr>
          <w:rStyle w:val="FootnoteReference"/>
        </w:rPr>
        <w:footnoteRef/>
      </w:r>
      <w:r>
        <w:t xml:space="preserve"> </w:t>
      </w:r>
      <w:r w:rsidRPr="00163CC9">
        <w:t xml:space="preserve">Hess LM, Han Y, Zhu YE, Bhandari NR, </w:t>
      </w:r>
      <w:proofErr w:type="spellStart"/>
      <w:r w:rsidRPr="00163CC9">
        <w:t>Sireci</w:t>
      </w:r>
      <w:proofErr w:type="spellEnd"/>
      <w:r w:rsidRPr="00163CC9">
        <w:t xml:space="preserve"> A. Characteristics and outcomes of patients with RET-fusion positive non-small lung cancer in real-world practice in the United States. </w:t>
      </w:r>
      <w:r w:rsidRPr="00163CC9">
        <w:rPr>
          <w:i/>
        </w:rPr>
        <w:t>BMC Cancer</w:t>
      </w:r>
      <w:r w:rsidRPr="00163CC9">
        <w:t>. 2021;21(1):28</w:t>
      </w:r>
    </w:p>
  </w:footnote>
  <w:footnote w:id="27">
    <w:p w14:paraId="5CCA7428" w14:textId="4E50D615" w:rsidR="009418E2" w:rsidRPr="009418E2" w:rsidRDefault="009418E2">
      <w:pPr>
        <w:pStyle w:val="FootnoteText"/>
        <w:rPr>
          <w:i/>
          <w:iCs/>
        </w:rPr>
      </w:pPr>
      <w:r w:rsidRPr="009418E2">
        <w:rPr>
          <w:rStyle w:val="FootnoteReference"/>
          <w:i/>
          <w:iCs/>
        </w:rPr>
        <w:footnoteRef/>
      </w:r>
      <w:r w:rsidRPr="009418E2">
        <w:rPr>
          <w:i/>
          <w:iCs/>
        </w:rPr>
        <w:t xml:space="preserve"> Data cut off January 2023: manuscript in preparation. To be submitted in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4066" w14:textId="2F744733" w:rsidR="00E35B70" w:rsidRPr="00395729" w:rsidRDefault="00655973" w:rsidP="00655973">
    <w:pPr>
      <w:pStyle w:val="Header"/>
      <w:rPr>
        <w:rFonts w:asciiTheme="minorHAnsi" w:hAnsiTheme="minorHAnsi"/>
        <w:i/>
        <w:iCs/>
        <w:color w:val="808080"/>
      </w:rPr>
    </w:pPr>
    <w:bookmarkStart w:id="111" w:name="_Hlk136866601"/>
    <w:bookmarkStart w:id="112" w:name="_Hlk136866602"/>
    <w:bookmarkStart w:id="113" w:name="_Hlk136866605"/>
    <w:bookmarkStart w:id="114" w:name="_Hlk136866606"/>
    <w:bookmarkStart w:id="115" w:name="_Hlk136866610"/>
    <w:bookmarkStart w:id="116" w:name="_Hlk136866611"/>
    <w:r>
      <w:rPr>
        <w:rFonts w:asciiTheme="minorHAnsi" w:hAnsiTheme="minorHAnsi"/>
        <w:i/>
        <w:iCs/>
        <w:color w:val="808080"/>
      </w:rPr>
      <w:t>Public Summary Document</w:t>
    </w:r>
    <w:r w:rsidR="0020399D" w:rsidRPr="00395729">
      <w:rPr>
        <w:rFonts w:asciiTheme="minorHAnsi" w:hAnsiTheme="minorHAnsi"/>
        <w:i/>
        <w:iCs/>
        <w:color w:val="808080"/>
      </w:rPr>
      <w:t xml:space="preserve"> – July </w:t>
    </w:r>
    <w:r w:rsidR="00E35B70" w:rsidRPr="00395729">
      <w:rPr>
        <w:rFonts w:asciiTheme="minorHAnsi" w:hAnsiTheme="minorHAnsi"/>
        <w:i/>
        <w:iCs/>
        <w:color w:val="808080"/>
      </w:rPr>
      <w:t>2023 PBAC Meeting</w:t>
    </w:r>
  </w:p>
  <w:bookmarkEnd w:id="111"/>
  <w:bookmarkEnd w:id="112"/>
  <w:bookmarkEnd w:id="113"/>
  <w:bookmarkEnd w:id="114"/>
  <w:bookmarkEnd w:id="115"/>
  <w:bookmarkEnd w:id="116"/>
  <w:p w14:paraId="6481170B" w14:textId="77777777" w:rsidR="00E35B70" w:rsidRPr="008C7ECB" w:rsidRDefault="00E35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867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928EF"/>
    <w:multiLevelType w:val="hybridMultilevel"/>
    <w:tmpl w:val="0CE639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35C77A0"/>
    <w:multiLevelType w:val="hybridMultilevel"/>
    <w:tmpl w:val="96A47FF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8D0606"/>
    <w:multiLevelType w:val="hybridMultilevel"/>
    <w:tmpl w:val="6BE6B492"/>
    <w:lvl w:ilvl="0" w:tplc="C5F84CD4">
      <w:start w:val="1"/>
      <w:numFmt w:val="bullet"/>
      <w:pStyle w:val="Tablebullet"/>
      <w:lvlText w:val=""/>
      <w:lvlJc w:val="left"/>
      <w:pPr>
        <w:ind w:left="643" w:hanging="360"/>
      </w:pPr>
      <w:rPr>
        <w:rFonts w:ascii="Symbol" w:hAnsi="Symbol" w:hint="default"/>
      </w:rPr>
    </w:lvl>
    <w:lvl w:ilvl="1" w:tplc="2074727C">
      <w:start w:val="1"/>
      <w:numFmt w:val="bullet"/>
      <w:pStyle w:val="TableSub-bullets"/>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362D1A01"/>
    <w:multiLevelType w:val="hybridMultilevel"/>
    <w:tmpl w:val="7692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043657"/>
    <w:multiLevelType w:val="hybridMultilevel"/>
    <w:tmpl w:val="DCFE7D04"/>
    <w:lvl w:ilvl="0" w:tplc="0C090001">
      <w:start w:val="1"/>
      <w:numFmt w:val="bullet"/>
      <w:lvlText w:val=""/>
      <w:lvlJc w:val="left"/>
      <w:pPr>
        <w:ind w:left="774" w:hanging="360"/>
      </w:pPr>
      <w:rPr>
        <w:rFonts w:ascii="Symbol" w:hAnsi="Symbol"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7" w15:restartNumberingAfterBreak="0">
    <w:nsid w:val="3C0C48A3"/>
    <w:multiLevelType w:val="multilevel"/>
    <w:tmpl w:val="00A06DBE"/>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bullet"/>
      <w:lvlText w:val=""/>
      <w:lvlJc w:val="left"/>
      <w:pPr>
        <w:ind w:left="720" w:hanging="720"/>
      </w:pPr>
      <w:rPr>
        <w:rFonts w:ascii="Symbol" w:hAnsi="Symbol" w:hint="default"/>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442297"/>
    <w:multiLevelType w:val="hybridMultilevel"/>
    <w:tmpl w:val="22FC72A8"/>
    <w:lvl w:ilvl="0" w:tplc="125CBF9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CEB4208"/>
    <w:multiLevelType w:val="hybridMultilevel"/>
    <w:tmpl w:val="E25CA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033C"/>
    <w:multiLevelType w:val="multilevel"/>
    <w:tmpl w:val="A388126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6322372">
    <w:abstractNumId w:val="13"/>
  </w:num>
  <w:num w:numId="2" w16cid:durableId="1238907465">
    <w:abstractNumId w:val="8"/>
  </w:num>
  <w:num w:numId="3" w16cid:durableId="245964708">
    <w:abstractNumId w:val="9"/>
  </w:num>
  <w:num w:numId="4" w16cid:durableId="1427965483">
    <w:abstractNumId w:val="0"/>
  </w:num>
  <w:num w:numId="5" w16cid:durableId="488519329">
    <w:abstractNumId w:val="11"/>
  </w:num>
  <w:num w:numId="6" w16cid:durableId="2087801515">
    <w:abstractNumId w:val="7"/>
  </w:num>
  <w:num w:numId="7" w16cid:durableId="78450284">
    <w:abstractNumId w:val="1"/>
  </w:num>
  <w:num w:numId="8" w16cid:durableId="161628417">
    <w:abstractNumId w:val="6"/>
  </w:num>
  <w:num w:numId="9" w16cid:durableId="2041738451">
    <w:abstractNumId w:val="4"/>
  </w:num>
  <w:num w:numId="10" w16cid:durableId="1344015888">
    <w:abstractNumId w:val="2"/>
  </w:num>
  <w:num w:numId="11" w16cid:durableId="448667251">
    <w:abstractNumId w:val="3"/>
  </w:num>
  <w:num w:numId="12" w16cid:durableId="1844078258">
    <w:abstractNumId w:val="13"/>
  </w:num>
  <w:num w:numId="13" w16cid:durableId="374240360">
    <w:abstractNumId w:val="12"/>
  </w:num>
  <w:num w:numId="14" w16cid:durableId="562258871">
    <w:abstractNumId w:val="9"/>
  </w:num>
  <w:num w:numId="15" w16cid:durableId="1158182498">
    <w:abstractNumId w:val="5"/>
  </w:num>
  <w:num w:numId="16" w16cid:durableId="1321423935">
    <w:abstractNumId w:val="10"/>
  </w:num>
  <w:num w:numId="17" w16cid:durableId="911235190">
    <w:abstractNumId w:val="13"/>
  </w:num>
  <w:num w:numId="18" w16cid:durableId="1810201852">
    <w:abstractNumId w:val="9"/>
  </w:num>
  <w:num w:numId="19" w16cid:durableId="524709311">
    <w:abstractNumId w:val="13"/>
  </w:num>
  <w:num w:numId="20" w16cid:durableId="481318231">
    <w:abstractNumId w:val="13"/>
  </w:num>
  <w:num w:numId="21" w16cid:durableId="45083147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xx0vw05xrd58e0zx2xrtp4z2ws55sf05fa&quot;&gt;Selpercatinib RET fusion NSCLC&lt;record-ids&gt;&lt;item&gt;1&lt;/item&gt;&lt;item&gt;2&lt;/item&gt;&lt;item&gt;3&lt;/item&gt;&lt;item&gt;4&lt;/item&gt;&lt;item&gt;5&lt;/item&gt;&lt;item&gt;6&lt;/item&gt;&lt;item&gt;7&lt;/item&gt;&lt;item&gt;8&lt;/item&gt;&lt;item&gt;9&lt;/item&gt;&lt;item&gt;10&lt;/item&gt;&lt;item&gt;11&lt;/item&gt;&lt;item&gt;13&lt;/item&gt;&lt;item&gt;15&lt;/item&gt;&lt;item&gt;17&lt;/item&gt;&lt;item&gt;18&lt;/item&gt;&lt;item&gt;19&lt;/item&gt;&lt;item&gt;21&lt;/item&gt;&lt;item&gt;23&lt;/item&gt;&lt;item&gt;24&lt;/item&gt;&lt;item&gt;25&lt;/item&gt;&lt;item&gt;26&lt;/item&gt;&lt;item&gt;27&lt;/item&gt;&lt;item&gt;28&lt;/item&gt;&lt;item&gt;31&lt;/item&gt;&lt;/record-ids&gt;&lt;/item&gt;&lt;/Libraries&gt;"/>
  </w:docVars>
  <w:rsids>
    <w:rsidRoot w:val="00E65E79"/>
    <w:rsid w:val="00000790"/>
    <w:rsid w:val="0000110B"/>
    <w:rsid w:val="00002969"/>
    <w:rsid w:val="00003093"/>
    <w:rsid w:val="00003499"/>
    <w:rsid w:val="000039B7"/>
    <w:rsid w:val="00003A01"/>
    <w:rsid w:val="000056B9"/>
    <w:rsid w:val="00005920"/>
    <w:rsid w:val="0000639A"/>
    <w:rsid w:val="00006535"/>
    <w:rsid w:val="00010B2B"/>
    <w:rsid w:val="00011565"/>
    <w:rsid w:val="00011886"/>
    <w:rsid w:val="00012131"/>
    <w:rsid w:val="00013247"/>
    <w:rsid w:val="00014225"/>
    <w:rsid w:val="00015886"/>
    <w:rsid w:val="000162EF"/>
    <w:rsid w:val="000207C9"/>
    <w:rsid w:val="00020BC8"/>
    <w:rsid w:val="0002225F"/>
    <w:rsid w:val="00022D4F"/>
    <w:rsid w:val="000233C7"/>
    <w:rsid w:val="00023763"/>
    <w:rsid w:val="000248FF"/>
    <w:rsid w:val="00024EB5"/>
    <w:rsid w:val="000274B8"/>
    <w:rsid w:val="000300A5"/>
    <w:rsid w:val="0003070F"/>
    <w:rsid w:val="00033863"/>
    <w:rsid w:val="000352C2"/>
    <w:rsid w:val="00035991"/>
    <w:rsid w:val="00035DC0"/>
    <w:rsid w:val="000365C6"/>
    <w:rsid w:val="00036684"/>
    <w:rsid w:val="00036829"/>
    <w:rsid w:val="00036F2F"/>
    <w:rsid w:val="00040895"/>
    <w:rsid w:val="000410A0"/>
    <w:rsid w:val="0004239B"/>
    <w:rsid w:val="000435EE"/>
    <w:rsid w:val="00043C37"/>
    <w:rsid w:val="00045017"/>
    <w:rsid w:val="00045A2B"/>
    <w:rsid w:val="0004698F"/>
    <w:rsid w:val="00046D64"/>
    <w:rsid w:val="000477D2"/>
    <w:rsid w:val="000508C2"/>
    <w:rsid w:val="00052EA8"/>
    <w:rsid w:val="000539D0"/>
    <w:rsid w:val="00053BE8"/>
    <w:rsid w:val="000544C8"/>
    <w:rsid w:val="00054621"/>
    <w:rsid w:val="000546D7"/>
    <w:rsid w:val="00054A8D"/>
    <w:rsid w:val="00056ECF"/>
    <w:rsid w:val="000604DF"/>
    <w:rsid w:val="00062324"/>
    <w:rsid w:val="0006252A"/>
    <w:rsid w:val="0006267D"/>
    <w:rsid w:val="00063127"/>
    <w:rsid w:val="00063CD2"/>
    <w:rsid w:val="00064FFC"/>
    <w:rsid w:val="000653B5"/>
    <w:rsid w:val="00066360"/>
    <w:rsid w:val="00066AF8"/>
    <w:rsid w:val="00066C98"/>
    <w:rsid w:val="00070434"/>
    <w:rsid w:val="00070537"/>
    <w:rsid w:val="00070D0E"/>
    <w:rsid w:val="00071248"/>
    <w:rsid w:val="00071AC4"/>
    <w:rsid w:val="00071E17"/>
    <w:rsid w:val="000720B9"/>
    <w:rsid w:val="0007241D"/>
    <w:rsid w:val="000737F7"/>
    <w:rsid w:val="0007417E"/>
    <w:rsid w:val="0007672F"/>
    <w:rsid w:val="00076B54"/>
    <w:rsid w:val="000774F0"/>
    <w:rsid w:val="00077EE8"/>
    <w:rsid w:val="0008042B"/>
    <w:rsid w:val="00080909"/>
    <w:rsid w:val="000812CA"/>
    <w:rsid w:val="000816A1"/>
    <w:rsid w:val="00081E63"/>
    <w:rsid w:val="0008258D"/>
    <w:rsid w:val="000836C5"/>
    <w:rsid w:val="00083E99"/>
    <w:rsid w:val="00084CD1"/>
    <w:rsid w:val="00084FA8"/>
    <w:rsid w:val="000856C5"/>
    <w:rsid w:val="00085C31"/>
    <w:rsid w:val="000863F9"/>
    <w:rsid w:val="00086FD2"/>
    <w:rsid w:val="00087B3F"/>
    <w:rsid w:val="00087B73"/>
    <w:rsid w:val="000902D9"/>
    <w:rsid w:val="00090C7E"/>
    <w:rsid w:val="000911AC"/>
    <w:rsid w:val="00092600"/>
    <w:rsid w:val="0009262B"/>
    <w:rsid w:val="00093310"/>
    <w:rsid w:val="0009445C"/>
    <w:rsid w:val="00095200"/>
    <w:rsid w:val="00095FE5"/>
    <w:rsid w:val="00096284"/>
    <w:rsid w:val="000963BC"/>
    <w:rsid w:val="00097861"/>
    <w:rsid w:val="000A09C6"/>
    <w:rsid w:val="000A0FFD"/>
    <w:rsid w:val="000A1BC0"/>
    <w:rsid w:val="000A1D08"/>
    <w:rsid w:val="000A2493"/>
    <w:rsid w:val="000A25A0"/>
    <w:rsid w:val="000A2F9E"/>
    <w:rsid w:val="000A326E"/>
    <w:rsid w:val="000A3A04"/>
    <w:rsid w:val="000A3E47"/>
    <w:rsid w:val="000A522B"/>
    <w:rsid w:val="000A6039"/>
    <w:rsid w:val="000A6138"/>
    <w:rsid w:val="000A6DBD"/>
    <w:rsid w:val="000A7212"/>
    <w:rsid w:val="000A7453"/>
    <w:rsid w:val="000A7D08"/>
    <w:rsid w:val="000B0121"/>
    <w:rsid w:val="000B0670"/>
    <w:rsid w:val="000B0952"/>
    <w:rsid w:val="000B0E75"/>
    <w:rsid w:val="000B1875"/>
    <w:rsid w:val="000B2DCB"/>
    <w:rsid w:val="000B492C"/>
    <w:rsid w:val="000B4C65"/>
    <w:rsid w:val="000B5CE0"/>
    <w:rsid w:val="000B6CAC"/>
    <w:rsid w:val="000B7612"/>
    <w:rsid w:val="000B78AE"/>
    <w:rsid w:val="000C152A"/>
    <w:rsid w:val="000C3B0B"/>
    <w:rsid w:val="000C3DF9"/>
    <w:rsid w:val="000C4331"/>
    <w:rsid w:val="000C4CF2"/>
    <w:rsid w:val="000C6713"/>
    <w:rsid w:val="000C67BA"/>
    <w:rsid w:val="000C7084"/>
    <w:rsid w:val="000C7601"/>
    <w:rsid w:val="000D1BFC"/>
    <w:rsid w:val="000D1D5D"/>
    <w:rsid w:val="000D281A"/>
    <w:rsid w:val="000D2848"/>
    <w:rsid w:val="000D326A"/>
    <w:rsid w:val="000D51FB"/>
    <w:rsid w:val="000D5F22"/>
    <w:rsid w:val="000E03CC"/>
    <w:rsid w:val="000E0640"/>
    <w:rsid w:val="000E135D"/>
    <w:rsid w:val="000E15E4"/>
    <w:rsid w:val="000E2129"/>
    <w:rsid w:val="000E3298"/>
    <w:rsid w:val="000E373E"/>
    <w:rsid w:val="000E473F"/>
    <w:rsid w:val="000E4F4D"/>
    <w:rsid w:val="000F00BA"/>
    <w:rsid w:val="000F316A"/>
    <w:rsid w:val="000F3C74"/>
    <w:rsid w:val="000F477C"/>
    <w:rsid w:val="000F4BB8"/>
    <w:rsid w:val="000F4FA9"/>
    <w:rsid w:val="000F53FB"/>
    <w:rsid w:val="000F6EBA"/>
    <w:rsid w:val="000F7127"/>
    <w:rsid w:val="000F734D"/>
    <w:rsid w:val="000F7B54"/>
    <w:rsid w:val="001000B3"/>
    <w:rsid w:val="00100E8C"/>
    <w:rsid w:val="00100F8A"/>
    <w:rsid w:val="00102A09"/>
    <w:rsid w:val="00103294"/>
    <w:rsid w:val="0010452E"/>
    <w:rsid w:val="00105AE2"/>
    <w:rsid w:val="00105B46"/>
    <w:rsid w:val="001060C6"/>
    <w:rsid w:val="00106B80"/>
    <w:rsid w:val="001079B6"/>
    <w:rsid w:val="00107ED1"/>
    <w:rsid w:val="0011032E"/>
    <w:rsid w:val="0011242B"/>
    <w:rsid w:val="00112797"/>
    <w:rsid w:val="00113162"/>
    <w:rsid w:val="0011348B"/>
    <w:rsid w:val="001135E6"/>
    <w:rsid w:val="00113870"/>
    <w:rsid w:val="00114465"/>
    <w:rsid w:val="00115320"/>
    <w:rsid w:val="00115982"/>
    <w:rsid w:val="00115C39"/>
    <w:rsid w:val="00116C53"/>
    <w:rsid w:val="00120FC1"/>
    <w:rsid w:val="00121799"/>
    <w:rsid w:val="001221CF"/>
    <w:rsid w:val="001222FC"/>
    <w:rsid w:val="0012315B"/>
    <w:rsid w:val="00123902"/>
    <w:rsid w:val="00123C63"/>
    <w:rsid w:val="00124739"/>
    <w:rsid w:val="00124A51"/>
    <w:rsid w:val="00125B37"/>
    <w:rsid w:val="00126621"/>
    <w:rsid w:val="001267D9"/>
    <w:rsid w:val="00126995"/>
    <w:rsid w:val="00126B1D"/>
    <w:rsid w:val="001301E9"/>
    <w:rsid w:val="00130E12"/>
    <w:rsid w:val="00131D5E"/>
    <w:rsid w:val="00131D82"/>
    <w:rsid w:val="00132A2F"/>
    <w:rsid w:val="00132B22"/>
    <w:rsid w:val="00132C61"/>
    <w:rsid w:val="00133D36"/>
    <w:rsid w:val="0013475D"/>
    <w:rsid w:val="00134FAF"/>
    <w:rsid w:val="00137645"/>
    <w:rsid w:val="00137692"/>
    <w:rsid w:val="0014015A"/>
    <w:rsid w:val="00140E99"/>
    <w:rsid w:val="00141C5E"/>
    <w:rsid w:val="00142A1B"/>
    <w:rsid w:val="00143F67"/>
    <w:rsid w:val="00145085"/>
    <w:rsid w:val="00145234"/>
    <w:rsid w:val="00145540"/>
    <w:rsid w:val="001456B0"/>
    <w:rsid w:val="00147541"/>
    <w:rsid w:val="001502BB"/>
    <w:rsid w:val="0015259B"/>
    <w:rsid w:val="001547AB"/>
    <w:rsid w:val="00155DC5"/>
    <w:rsid w:val="0015680E"/>
    <w:rsid w:val="00156F8F"/>
    <w:rsid w:val="00157130"/>
    <w:rsid w:val="001576B1"/>
    <w:rsid w:val="0016047B"/>
    <w:rsid w:val="00160A4C"/>
    <w:rsid w:val="00160E4A"/>
    <w:rsid w:val="00161A7E"/>
    <w:rsid w:val="00162913"/>
    <w:rsid w:val="00163CC9"/>
    <w:rsid w:val="00163EFF"/>
    <w:rsid w:val="00163F66"/>
    <w:rsid w:val="0016478E"/>
    <w:rsid w:val="0016481A"/>
    <w:rsid w:val="00165EC4"/>
    <w:rsid w:val="00166045"/>
    <w:rsid w:val="001661FB"/>
    <w:rsid w:val="001671A0"/>
    <w:rsid w:val="0016767F"/>
    <w:rsid w:val="00167AEF"/>
    <w:rsid w:val="001725D8"/>
    <w:rsid w:val="00173565"/>
    <w:rsid w:val="00173B07"/>
    <w:rsid w:val="00174078"/>
    <w:rsid w:val="001751FA"/>
    <w:rsid w:val="00175BA8"/>
    <w:rsid w:val="00176509"/>
    <w:rsid w:val="00177746"/>
    <w:rsid w:val="00181C10"/>
    <w:rsid w:val="00181D9C"/>
    <w:rsid w:val="001837FF"/>
    <w:rsid w:val="00183807"/>
    <w:rsid w:val="00184B0E"/>
    <w:rsid w:val="00184BCC"/>
    <w:rsid w:val="001857DF"/>
    <w:rsid w:val="00186A0F"/>
    <w:rsid w:val="00186A6F"/>
    <w:rsid w:val="0018752F"/>
    <w:rsid w:val="00191CBB"/>
    <w:rsid w:val="00193838"/>
    <w:rsid w:val="00194AD8"/>
    <w:rsid w:val="00194B40"/>
    <w:rsid w:val="00195222"/>
    <w:rsid w:val="00195452"/>
    <w:rsid w:val="00196FE0"/>
    <w:rsid w:val="001975D8"/>
    <w:rsid w:val="00197D39"/>
    <w:rsid w:val="001A178E"/>
    <w:rsid w:val="001A2DE3"/>
    <w:rsid w:val="001A43FA"/>
    <w:rsid w:val="001A44B9"/>
    <w:rsid w:val="001A47C5"/>
    <w:rsid w:val="001A4E62"/>
    <w:rsid w:val="001A59FB"/>
    <w:rsid w:val="001A5E9E"/>
    <w:rsid w:val="001A61B4"/>
    <w:rsid w:val="001A6354"/>
    <w:rsid w:val="001A6366"/>
    <w:rsid w:val="001A648A"/>
    <w:rsid w:val="001A67C3"/>
    <w:rsid w:val="001A7AE8"/>
    <w:rsid w:val="001B204E"/>
    <w:rsid w:val="001B2372"/>
    <w:rsid w:val="001B3443"/>
    <w:rsid w:val="001B344C"/>
    <w:rsid w:val="001B384A"/>
    <w:rsid w:val="001B396B"/>
    <w:rsid w:val="001B4D20"/>
    <w:rsid w:val="001B5EE5"/>
    <w:rsid w:val="001B669A"/>
    <w:rsid w:val="001B7F84"/>
    <w:rsid w:val="001C12B4"/>
    <w:rsid w:val="001C2A9B"/>
    <w:rsid w:val="001C2C7F"/>
    <w:rsid w:val="001C3DD6"/>
    <w:rsid w:val="001C4299"/>
    <w:rsid w:val="001C4874"/>
    <w:rsid w:val="001C5072"/>
    <w:rsid w:val="001C5C20"/>
    <w:rsid w:val="001C5F94"/>
    <w:rsid w:val="001C6E66"/>
    <w:rsid w:val="001D0FAC"/>
    <w:rsid w:val="001D1100"/>
    <w:rsid w:val="001D1391"/>
    <w:rsid w:val="001D2411"/>
    <w:rsid w:val="001D25D7"/>
    <w:rsid w:val="001D305F"/>
    <w:rsid w:val="001D50B2"/>
    <w:rsid w:val="001D71F4"/>
    <w:rsid w:val="001D72ED"/>
    <w:rsid w:val="001D7645"/>
    <w:rsid w:val="001E1E86"/>
    <w:rsid w:val="001E2175"/>
    <w:rsid w:val="001E238E"/>
    <w:rsid w:val="001E2483"/>
    <w:rsid w:val="001E2B1E"/>
    <w:rsid w:val="001E2CFF"/>
    <w:rsid w:val="001E2E16"/>
    <w:rsid w:val="001E2F24"/>
    <w:rsid w:val="001E30D4"/>
    <w:rsid w:val="001E34DF"/>
    <w:rsid w:val="001E3B2E"/>
    <w:rsid w:val="001E43F7"/>
    <w:rsid w:val="001E52EB"/>
    <w:rsid w:val="001E5B7C"/>
    <w:rsid w:val="001E61D2"/>
    <w:rsid w:val="001E740C"/>
    <w:rsid w:val="001E7711"/>
    <w:rsid w:val="001F1235"/>
    <w:rsid w:val="001F1CB3"/>
    <w:rsid w:val="001F2D52"/>
    <w:rsid w:val="001F37EC"/>
    <w:rsid w:val="001F38B5"/>
    <w:rsid w:val="001F4081"/>
    <w:rsid w:val="001F4BB5"/>
    <w:rsid w:val="001F7361"/>
    <w:rsid w:val="00200347"/>
    <w:rsid w:val="002011B0"/>
    <w:rsid w:val="00202B38"/>
    <w:rsid w:val="00203181"/>
    <w:rsid w:val="00203783"/>
    <w:rsid w:val="0020385F"/>
    <w:rsid w:val="0020399D"/>
    <w:rsid w:val="002040AB"/>
    <w:rsid w:val="002040DC"/>
    <w:rsid w:val="00206894"/>
    <w:rsid w:val="002068A0"/>
    <w:rsid w:val="00207021"/>
    <w:rsid w:val="0020732F"/>
    <w:rsid w:val="00207D00"/>
    <w:rsid w:val="002102FE"/>
    <w:rsid w:val="002105C1"/>
    <w:rsid w:val="00210707"/>
    <w:rsid w:val="0021132C"/>
    <w:rsid w:val="002116FD"/>
    <w:rsid w:val="00213041"/>
    <w:rsid w:val="00213EF5"/>
    <w:rsid w:val="00216BF5"/>
    <w:rsid w:val="00217356"/>
    <w:rsid w:val="0022095B"/>
    <w:rsid w:val="002226D2"/>
    <w:rsid w:val="00222969"/>
    <w:rsid w:val="00223026"/>
    <w:rsid w:val="00223B49"/>
    <w:rsid w:val="00223D5A"/>
    <w:rsid w:val="00224758"/>
    <w:rsid w:val="00224796"/>
    <w:rsid w:val="00224DD4"/>
    <w:rsid w:val="00226868"/>
    <w:rsid w:val="002278A0"/>
    <w:rsid w:val="002309CC"/>
    <w:rsid w:val="00231BA9"/>
    <w:rsid w:val="0023209F"/>
    <w:rsid w:val="00233C01"/>
    <w:rsid w:val="0023413C"/>
    <w:rsid w:val="002346F0"/>
    <w:rsid w:val="002349F7"/>
    <w:rsid w:val="00234CC1"/>
    <w:rsid w:val="00235912"/>
    <w:rsid w:val="0023629D"/>
    <w:rsid w:val="00236CEC"/>
    <w:rsid w:val="00237255"/>
    <w:rsid w:val="00237374"/>
    <w:rsid w:val="002424AF"/>
    <w:rsid w:val="002439DC"/>
    <w:rsid w:val="002441D2"/>
    <w:rsid w:val="00244379"/>
    <w:rsid w:val="002443C1"/>
    <w:rsid w:val="00244DC8"/>
    <w:rsid w:val="002453F1"/>
    <w:rsid w:val="002458BA"/>
    <w:rsid w:val="00245CE9"/>
    <w:rsid w:val="002462CA"/>
    <w:rsid w:val="0024636C"/>
    <w:rsid w:val="00247925"/>
    <w:rsid w:val="00250677"/>
    <w:rsid w:val="0025098A"/>
    <w:rsid w:val="00251006"/>
    <w:rsid w:val="002524D5"/>
    <w:rsid w:val="00253B1D"/>
    <w:rsid w:val="00254DCF"/>
    <w:rsid w:val="00254DE6"/>
    <w:rsid w:val="0025534B"/>
    <w:rsid w:val="00255BB7"/>
    <w:rsid w:val="00257541"/>
    <w:rsid w:val="00257A39"/>
    <w:rsid w:val="00257AC4"/>
    <w:rsid w:val="00257BBE"/>
    <w:rsid w:val="00261EEF"/>
    <w:rsid w:val="00262A1A"/>
    <w:rsid w:val="00262A87"/>
    <w:rsid w:val="0026483B"/>
    <w:rsid w:val="0026499F"/>
    <w:rsid w:val="00264D26"/>
    <w:rsid w:val="002658C3"/>
    <w:rsid w:val="00267642"/>
    <w:rsid w:val="00267AEA"/>
    <w:rsid w:val="002700E6"/>
    <w:rsid w:val="0027036D"/>
    <w:rsid w:val="00272431"/>
    <w:rsid w:val="0027278C"/>
    <w:rsid w:val="00272808"/>
    <w:rsid w:val="0027294B"/>
    <w:rsid w:val="00273280"/>
    <w:rsid w:val="002738AC"/>
    <w:rsid w:val="00273EB4"/>
    <w:rsid w:val="002741E7"/>
    <w:rsid w:val="00274682"/>
    <w:rsid w:val="00275158"/>
    <w:rsid w:val="00275C5A"/>
    <w:rsid w:val="00281014"/>
    <w:rsid w:val="002833CC"/>
    <w:rsid w:val="002836ED"/>
    <w:rsid w:val="00285BCE"/>
    <w:rsid w:val="0028665D"/>
    <w:rsid w:val="00287518"/>
    <w:rsid w:val="00291969"/>
    <w:rsid w:val="00292B58"/>
    <w:rsid w:val="002936B2"/>
    <w:rsid w:val="002963D8"/>
    <w:rsid w:val="002A14AB"/>
    <w:rsid w:val="002A171C"/>
    <w:rsid w:val="002A1B1B"/>
    <w:rsid w:val="002A1B90"/>
    <w:rsid w:val="002A2ADE"/>
    <w:rsid w:val="002A2F50"/>
    <w:rsid w:val="002A312B"/>
    <w:rsid w:val="002A41E0"/>
    <w:rsid w:val="002A5D50"/>
    <w:rsid w:val="002A6B26"/>
    <w:rsid w:val="002A7943"/>
    <w:rsid w:val="002B05A1"/>
    <w:rsid w:val="002B09A4"/>
    <w:rsid w:val="002B1A39"/>
    <w:rsid w:val="002B1C05"/>
    <w:rsid w:val="002B1C1F"/>
    <w:rsid w:val="002B2854"/>
    <w:rsid w:val="002B40F6"/>
    <w:rsid w:val="002B432F"/>
    <w:rsid w:val="002B46DF"/>
    <w:rsid w:val="002B56B4"/>
    <w:rsid w:val="002B590A"/>
    <w:rsid w:val="002B62B3"/>
    <w:rsid w:val="002B6398"/>
    <w:rsid w:val="002B6754"/>
    <w:rsid w:val="002B6CCE"/>
    <w:rsid w:val="002C071E"/>
    <w:rsid w:val="002C15E5"/>
    <w:rsid w:val="002C2510"/>
    <w:rsid w:val="002C2775"/>
    <w:rsid w:val="002C27C1"/>
    <w:rsid w:val="002C2896"/>
    <w:rsid w:val="002C2CC7"/>
    <w:rsid w:val="002C36E3"/>
    <w:rsid w:val="002C5099"/>
    <w:rsid w:val="002C5889"/>
    <w:rsid w:val="002C71CE"/>
    <w:rsid w:val="002C7A8A"/>
    <w:rsid w:val="002D030D"/>
    <w:rsid w:val="002D0465"/>
    <w:rsid w:val="002D08F8"/>
    <w:rsid w:val="002D0CE4"/>
    <w:rsid w:val="002D2A06"/>
    <w:rsid w:val="002D3A41"/>
    <w:rsid w:val="002D4D6D"/>
    <w:rsid w:val="002D577C"/>
    <w:rsid w:val="002D7832"/>
    <w:rsid w:val="002D7BB4"/>
    <w:rsid w:val="002E1071"/>
    <w:rsid w:val="002E15B9"/>
    <w:rsid w:val="002E18ED"/>
    <w:rsid w:val="002E2158"/>
    <w:rsid w:val="002E4F02"/>
    <w:rsid w:val="002E6BBD"/>
    <w:rsid w:val="002E7722"/>
    <w:rsid w:val="002F07BA"/>
    <w:rsid w:val="002F0DA9"/>
    <w:rsid w:val="002F1014"/>
    <w:rsid w:val="002F1E3B"/>
    <w:rsid w:val="002F4933"/>
    <w:rsid w:val="002F4EFD"/>
    <w:rsid w:val="002F643C"/>
    <w:rsid w:val="002F71C0"/>
    <w:rsid w:val="002F74F1"/>
    <w:rsid w:val="00301017"/>
    <w:rsid w:val="0030155F"/>
    <w:rsid w:val="00301DD5"/>
    <w:rsid w:val="00302B68"/>
    <w:rsid w:val="00303BC3"/>
    <w:rsid w:val="0030587B"/>
    <w:rsid w:val="00306198"/>
    <w:rsid w:val="00306D98"/>
    <w:rsid w:val="00306F63"/>
    <w:rsid w:val="003071FB"/>
    <w:rsid w:val="0030786C"/>
    <w:rsid w:val="00307E44"/>
    <w:rsid w:val="003100A6"/>
    <w:rsid w:val="0031031A"/>
    <w:rsid w:val="00310981"/>
    <w:rsid w:val="00311D9B"/>
    <w:rsid w:val="003124D9"/>
    <w:rsid w:val="00312594"/>
    <w:rsid w:val="00313BD7"/>
    <w:rsid w:val="0031474E"/>
    <w:rsid w:val="00314AFF"/>
    <w:rsid w:val="00315043"/>
    <w:rsid w:val="00315498"/>
    <w:rsid w:val="00316474"/>
    <w:rsid w:val="00317CFA"/>
    <w:rsid w:val="00320E7F"/>
    <w:rsid w:val="00321E84"/>
    <w:rsid w:val="00322107"/>
    <w:rsid w:val="00322196"/>
    <w:rsid w:val="00322300"/>
    <w:rsid w:val="00322355"/>
    <w:rsid w:val="00322846"/>
    <w:rsid w:val="00324E31"/>
    <w:rsid w:val="00325CD6"/>
    <w:rsid w:val="00325EB8"/>
    <w:rsid w:val="00326DA7"/>
    <w:rsid w:val="003270E4"/>
    <w:rsid w:val="00327400"/>
    <w:rsid w:val="003278BC"/>
    <w:rsid w:val="00330DAA"/>
    <w:rsid w:val="00330F5C"/>
    <w:rsid w:val="00332142"/>
    <w:rsid w:val="003366C9"/>
    <w:rsid w:val="003371B0"/>
    <w:rsid w:val="00340DF1"/>
    <w:rsid w:val="00340E2B"/>
    <w:rsid w:val="003414A9"/>
    <w:rsid w:val="00341714"/>
    <w:rsid w:val="00341C02"/>
    <w:rsid w:val="0034317E"/>
    <w:rsid w:val="003436F6"/>
    <w:rsid w:val="00344838"/>
    <w:rsid w:val="00344EE5"/>
    <w:rsid w:val="00345FC3"/>
    <w:rsid w:val="00346258"/>
    <w:rsid w:val="00346F6E"/>
    <w:rsid w:val="003508FB"/>
    <w:rsid w:val="0035112F"/>
    <w:rsid w:val="003517F9"/>
    <w:rsid w:val="00351BA9"/>
    <w:rsid w:val="00353D9D"/>
    <w:rsid w:val="003540FA"/>
    <w:rsid w:val="00354F64"/>
    <w:rsid w:val="0035620E"/>
    <w:rsid w:val="0035620F"/>
    <w:rsid w:val="003575BE"/>
    <w:rsid w:val="00357B25"/>
    <w:rsid w:val="00360044"/>
    <w:rsid w:val="00360345"/>
    <w:rsid w:val="00360FFC"/>
    <w:rsid w:val="00361A05"/>
    <w:rsid w:val="003624C4"/>
    <w:rsid w:val="00363B00"/>
    <w:rsid w:val="003654AC"/>
    <w:rsid w:val="003670E3"/>
    <w:rsid w:val="003710CF"/>
    <w:rsid w:val="0037176B"/>
    <w:rsid w:val="00372078"/>
    <w:rsid w:val="00372E26"/>
    <w:rsid w:val="0037358A"/>
    <w:rsid w:val="003741EC"/>
    <w:rsid w:val="003750F6"/>
    <w:rsid w:val="003760FC"/>
    <w:rsid w:val="003772B2"/>
    <w:rsid w:val="00377D40"/>
    <w:rsid w:val="003812D5"/>
    <w:rsid w:val="0038316B"/>
    <w:rsid w:val="0038365C"/>
    <w:rsid w:val="0038369B"/>
    <w:rsid w:val="00383B78"/>
    <w:rsid w:val="003851ED"/>
    <w:rsid w:val="0038555C"/>
    <w:rsid w:val="0038592E"/>
    <w:rsid w:val="0038593B"/>
    <w:rsid w:val="00385A9D"/>
    <w:rsid w:val="00387121"/>
    <w:rsid w:val="003902B1"/>
    <w:rsid w:val="00390539"/>
    <w:rsid w:val="0039179C"/>
    <w:rsid w:val="003938AB"/>
    <w:rsid w:val="00394596"/>
    <w:rsid w:val="00395729"/>
    <w:rsid w:val="00396896"/>
    <w:rsid w:val="00396C8C"/>
    <w:rsid w:val="00396FD0"/>
    <w:rsid w:val="0039760A"/>
    <w:rsid w:val="0039769B"/>
    <w:rsid w:val="00397E7E"/>
    <w:rsid w:val="003A1A7A"/>
    <w:rsid w:val="003A211D"/>
    <w:rsid w:val="003A2392"/>
    <w:rsid w:val="003A2831"/>
    <w:rsid w:val="003A3CB6"/>
    <w:rsid w:val="003A3ED1"/>
    <w:rsid w:val="003A44DB"/>
    <w:rsid w:val="003A4C14"/>
    <w:rsid w:val="003A69C8"/>
    <w:rsid w:val="003A7204"/>
    <w:rsid w:val="003A7BE1"/>
    <w:rsid w:val="003B032E"/>
    <w:rsid w:val="003B064D"/>
    <w:rsid w:val="003B0A02"/>
    <w:rsid w:val="003B211A"/>
    <w:rsid w:val="003B2A69"/>
    <w:rsid w:val="003B3971"/>
    <w:rsid w:val="003B3CE2"/>
    <w:rsid w:val="003B55D1"/>
    <w:rsid w:val="003B5B61"/>
    <w:rsid w:val="003B603B"/>
    <w:rsid w:val="003B6ADB"/>
    <w:rsid w:val="003B6FE4"/>
    <w:rsid w:val="003C039D"/>
    <w:rsid w:val="003C1654"/>
    <w:rsid w:val="003C2D3F"/>
    <w:rsid w:val="003C386F"/>
    <w:rsid w:val="003C52AE"/>
    <w:rsid w:val="003C5542"/>
    <w:rsid w:val="003C5C25"/>
    <w:rsid w:val="003C5F02"/>
    <w:rsid w:val="003C695E"/>
    <w:rsid w:val="003C7C15"/>
    <w:rsid w:val="003C7D19"/>
    <w:rsid w:val="003C7D2F"/>
    <w:rsid w:val="003D0567"/>
    <w:rsid w:val="003D0C5A"/>
    <w:rsid w:val="003D0DDA"/>
    <w:rsid w:val="003D1828"/>
    <w:rsid w:val="003D1DE4"/>
    <w:rsid w:val="003D1E9A"/>
    <w:rsid w:val="003D2422"/>
    <w:rsid w:val="003D270C"/>
    <w:rsid w:val="003D39A1"/>
    <w:rsid w:val="003D39FE"/>
    <w:rsid w:val="003D3FBF"/>
    <w:rsid w:val="003D4037"/>
    <w:rsid w:val="003D420E"/>
    <w:rsid w:val="003D4A30"/>
    <w:rsid w:val="003D60E1"/>
    <w:rsid w:val="003D6FFD"/>
    <w:rsid w:val="003D7452"/>
    <w:rsid w:val="003D79BB"/>
    <w:rsid w:val="003D7C98"/>
    <w:rsid w:val="003D7D9D"/>
    <w:rsid w:val="003E0543"/>
    <w:rsid w:val="003E09EE"/>
    <w:rsid w:val="003E3F71"/>
    <w:rsid w:val="003E4ED2"/>
    <w:rsid w:val="003E5301"/>
    <w:rsid w:val="003E5603"/>
    <w:rsid w:val="003E6674"/>
    <w:rsid w:val="003E749E"/>
    <w:rsid w:val="003F3BC0"/>
    <w:rsid w:val="003F4156"/>
    <w:rsid w:val="003F5ADF"/>
    <w:rsid w:val="00400B29"/>
    <w:rsid w:val="00401E9C"/>
    <w:rsid w:val="00402812"/>
    <w:rsid w:val="00403972"/>
    <w:rsid w:val="0040474E"/>
    <w:rsid w:val="0040504B"/>
    <w:rsid w:val="0040569B"/>
    <w:rsid w:val="004057FE"/>
    <w:rsid w:val="004059F4"/>
    <w:rsid w:val="00406F66"/>
    <w:rsid w:val="00407FE5"/>
    <w:rsid w:val="004101B0"/>
    <w:rsid w:val="00410326"/>
    <w:rsid w:val="00410708"/>
    <w:rsid w:val="00410EC7"/>
    <w:rsid w:val="00411B31"/>
    <w:rsid w:val="00411B39"/>
    <w:rsid w:val="00411C73"/>
    <w:rsid w:val="004127A7"/>
    <w:rsid w:val="0041357F"/>
    <w:rsid w:val="00413A1E"/>
    <w:rsid w:val="00413BE0"/>
    <w:rsid w:val="00413CF7"/>
    <w:rsid w:val="00414476"/>
    <w:rsid w:val="00414C2E"/>
    <w:rsid w:val="004151CF"/>
    <w:rsid w:val="004156B8"/>
    <w:rsid w:val="004157E8"/>
    <w:rsid w:val="00416364"/>
    <w:rsid w:val="00416406"/>
    <w:rsid w:val="0042047F"/>
    <w:rsid w:val="00420A55"/>
    <w:rsid w:val="00420AA6"/>
    <w:rsid w:val="00420B9F"/>
    <w:rsid w:val="00420C5D"/>
    <w:rsid w:val="0042192C"/>
    <w:rsid w:val="00422260"/>
    <w:rsid w:val="00422AE4"/>
    <w:rsid w:val="0042383F"/>
    <w:rsid w:val="0042413F"/>
    <w:rsid w:val="004260F7"/>
    <w:rsid w:val="00426F61"/>
    <w:rsid w:val="004319F8"/>
    <w:rsid w:val="00431A83"/>
    <w:rsid w:val="00431AFA"/>
    <w:rsid w:val="00431E55"/>
    <w:rsid w:val="004321F6"/>
    <w:rsid w:val="0043289E"/>
    <w:rsid w:val="00433044"/>
    <w:rsid w:val="00434088"/>
    <w:rsid w:val="00434159"/>
    <w:rsid w:val="00434779"/>
    <w:rsid w:val="00436F38"/>
    <w:rsid w:val="004375B9"/>
    <w:rsid w:val="004401C9"/>
    <w:rsid w:val="00442054"/>
    <w:rsid w:val="004428D0"/>
    <w:rsid w:val="00443DC3"/>
    <w:rsid w:val="00444185"/>
    <w:rsid w:val="004443A7"/>
    <w:rsid w:val="0044442C"/>
    <w:rsid w:val="00445941"/>
    <w:rsid w:val="00445C44"/>
    <w:rsid w:val="004464EB"/>
    <w:rsid w:val="00446CC0"/>
    <w:rsid w:val="00447D26"/>
    <w:rsid w:val="00447DFC"/>
    <w:rsid w:val="0045393E"/>
    <w:rsid w:val="00455D45"/>
    <w:rsid w:val="00456627"/>
    <w:rsid w:val="004573CF"/>
    <w:rsid w:val="00457C09"/>
    <w:rsid w:val="00460CB0"/>
    <w:rsid w:val="00462CB1"/>
    <w:rsid w:val="00464595"/>
    <w:rsid w:val="00464EFE"/>
    <w:rsid w:val="004650E6"/>
    <w:rsid w:val="004658B5"/>
    <w:rsid w:val="00471EA5"/>
    <w:rsid w:val="00472A79"/>
    <w:rsid w:val="00473F19"/>
    <w:rsid w:val="00474239"/>
    <w:rsid w:val="004749EE"/>
    <w:rsid w:val="00475E22"/>
    <w:rsid w:val="00477039"/>
    <w:rsid w:val="004778E8"/>
    <w:rsid w:val="00477BC5"/>
    <w:rsid w:val="0048088E"/>
    <w:rsid w:val="00480A42"/>
    <w:rsid w:val="00480F2B"/>
    <w:rsid w:val="00482720"/>
    <w:rsid w:val="004835E7"/>
    <w:rsid w:val="00483750"/>
    <w:rsid w:val="004859E1"/>
    <w:rsid w:val="004867E2"/>
    <w:rsid w:val="0049026D"/>
    <w:rsid w:val="00490B17"/>
    <w:rsid w:val="00490BB6"/>
    <w:rsid w:val="00491B3A"/>
    <w:rsid w:val="00492CFD"/>
    <w:rsid w:val="004940C9"/>
    <w:rsid w:val="00494207"/>
    <w:rsid w:val="00494DD5"/>
    <w:rsid w:val="004962D2"/>
    <w:rsid w:val="0049695E"/>
    <w:rsid w:val="004971A0"/>
    <w:rsid w:val="004A0DA1"/>
    <w:rsid w:val="004A13D6"/>
    <w:rsid w:val="004A15A7"/>
    <w:rsid w:val="004A2F35"/>
    <w:rsid w:val="004A4ACB"/>
    <w:rsid w:val="004A52E9"/>
    <w:rsid w:val="004A6040"/>
    <w:rsid w:val="004A6597"/>
    <w:rsid w:val="004A7848"/>
    <w:rsid w:val="004A793B"/>
    <w:rsid w:val="004B0569"/>
    <w:rsid w:val="004B06EE"/>
    <w:rsid w:val="004B1CB4"/>
    <w:rsid w:val="004B2DEB"/>
    <w:rsid w:val="004B2F18"/>
    <w:rsid w:val="004B3DDB"/>
    <w:rsid w:val="004B44FD"/>
    <w:rsid w:val="004B47A9"/>
    <w:rsid w:val="004B586A"/>
    <w:rsid w:val="004B5BB1"/>
    <w:rsid w:val="004B5CFC"/>
    <w:rsid w:val="004B6F79"/>
    <w:rsid w:val="004B74C2"/>
    <w:rsid w:val="004B774D"/>
    <w:rsid w:val="004C0C4D"/>
    <w:rsid w:val="004C24C2"/>
    <w:rsid w:val="004C2AC2"/>
    <w:rsid w:val="004C42A8"/>
    <w:rsid w:val="004C47DA"/>
    <w:rsid w:val="004C4AED"/>
    <w:rsid w:val="004C525A"/>
    <w:rsid w:val="004C5AA0"/>
    <w:rsid w:val="004D2C2D"/>
    <w:rsid w:val="004D4AEE"/>
    <w:rsid w:val="004D538B"/>
    <w:rsid w:val="004D69B5"/>
    <w:rsid w:val="004D6DE3"/>
    <w:rsid w:val="004D7227"/>
    <w:rsid w:val="004D7B5E"/>
    <w:rsid w:val="004E0301"/>
    <w:rsid w:val="004E0E7F"/>
    <w:rsid w:val="004E0EB8"/>
    <w:rsid w:val="004E145E"/>
    <w:rsid w:val="004E18E9"/>
    <w:rsid w:val="004E2095"/>
    <w:rsid w:val="004E2ADC"/>
    <w:rsid w:val="004E3F94"/>
    <w:rsid w:val="004E43B2"/>
    <w:rsid w:val="004E6668"/>
    <w:rsid w:val="004F1166"/>
    <w:rsid w:val="004F1D02"/>
    <w:rsid w:val="004F2679"/>
    <w:rsid w:val="004F2F21"/>
    <w:rsid w:val="004F30FE"/>
    <w:rsid w:val="004F3DE5"/>
    <w:rsid w:val="004F5161"/>
    <w:rsid w:val="004F6913"/>
    <w:rsid w:val="004F7865"/>
    <w:rsid w:val="0050074C"/>
    <w:rsid w:val="00501040"/>
    <w:rsid w:val="0050174E"/>
    <w:rsid w:val="00501854"/>
    <w:rsid w:val="0050219B"/>
    <w:rsid w:val="00502326"/>
    <w:rsid w:val="00503F17"/>
    <w:rsid w:val="00503F3A"/>
    <w:rsid w:val="005043BC"/>
    <w:rsid w:val="00505533"/>
    <w:rsid w:val="00506928"/>
    <w:rsid w:val="005077EF"/>
    <w:rsid w:val="005112AC"/>
    <w:rsid w:val="00511AD5"/>
    <w:rsid w:val="00511DC7"/>
    <w:rsid w:val="00512615"/>
    <w:rsid w:val="005142C5"/>
    <w:rsid w:val="0051501B"/>
    <w:rsid w:val="005152B5"/>
    <w:rsid w:val="00515886"/>
    <w:rsid w:val="00516963"/>
    <w:rsid w:val="005170C3"/>
    <w:rsid w:val="00517137"/>
    <w:rsid w:val="005171A1"/>
    <w:rsid w:val="0052123C"/>
    <w:rsid w:val="00521319"/>
    <w:rsid w:val="0052199F"/>
    <w:rsid w:val="00522BC8"/>
    <w:rsid w:val="00523C28"/>
    <w:rsid w:val="0052403F"/>
    <w:rsid w:val="00527696"/>
    <w:rsid w:val="00530608"/>
    <w:rsid w:val="0053176B"/>
    <w:rsid w:val="00531E37"/>
    <w:rsid w:val="00532D96"/>
    <w:rsid w:val="005331D8"/>
    <w:rsid w:val="005341B3"/>
    <w:rsid w:val="005342C5"/>
    <w:rsid w:val="00536F42"/>
    <w:rsid w:val="00537182"/>
    <w:rsid w:val="00541EDD"/>
    <w:rsid w:val="00542743"/>
    <w:rsid w:val="00542C2D"/>
    <w:rsid w:val="00543276"/>
    <w:rsid w:val="00546D9C"/>
    <w:rsid w:val="005478BD"/>
    <w:rsid w:val="005479E3"/>
    <w:rsid w:val="00551985"/>
    <w:rsid w:val="00551F66"/>
    <w:rsid w:val="00552189"/>
    <w:rsid w:val="0055253E"/>
    <w:rsid w:val="00552BD3"/>
    <w:rsid w:val="005532A0"/>
    <w:rsid w:val="00553A5A"/>
    <w:rsid w:val="00555109"/>
    <w:rsid w:val="00556B35"/>
    <w:rsid w:val="0055741A"/>
    <w:rsid w:val="005611B7"/>
    <w:rsid w:val="005618D4"/>
    <w:rsid w:val="005644B5"/>
    <w:rsid w:val="00564867"/>
    <w:rsid w:val="00565C79"/>
    <w:rsid w:val="00565DF0"/>
    <w:rsid w:val="0056696F"/>
    <w:rsid w:val="005677DD"/>
    <w:rsid w:val="00570030"/>
    <w:rsid w:val="00570724"/>
    <w:rsid w:val="00571688"/>
    <w:rsid w:val="005721DE"/>
    <w:rsid w:val="00572269"/>
    <w:rsid w:val="0057244A"/>
    <w:rsid w:val="00572F26"/>
    <w:rsid w:val="005750C5"/>
    <w:rsid w:val="005752DE"/>
    <w:rsid w:val="00575AA1"/>
    <w:rsid w:val="00575D60"/>
    <w:rsid w:val="00575D8D"/>
    <w:rsid w:val="00575E04"/>
    <w:rsid w:val="00575F2C"/>
    <w:rsid w:val="00576972"/>
    <w:rsid w:val="00577248"/>
    <w:rsid w:val="0057740C"/>
    <w:rsid w:val="00577DB9"/>
    <w:rsid w:val="00580EA6"/>
    <w:rsid w:val="00583699"/>
    <w:rsid w:val="00584326"/>
    <w:rsid w:val="00584886"/>
    <w:rsid w:val="00585CDD"/>
    <w:rsid w:val="00587058"/>
    <w:rsid w:val="005917AA"/>
    <w:rsid w:val="00591957"/>
    <w:rsid w:val="0059210A"/>
    <w:rsid w:val="005927C4"/>
    <w:rsid w:val="00593E43"/>
    <w:rsid w:val="0059610B"/>
    <w:rsid w:val="00596168"/>
    <w:rsid w:val="00597BF9"/>
    <w:rsid w:val="005A0C11"/>
    <w:rsid w:val="005A1296"/>
    <w:rsid w:val="005A1B1F"/>
    <w:rsid w:val="005A1FD4"/>
    <w:rsid w:val="005A260D"/>
    <w:rsid w:val="005A2A2A"/>
    <w:rsid w:val="005A309A"/>
    <w:rsid w:val="005A373D"/>
    <w:rsid w:val="005A6421"/>
    <w:rsid w:val="005A64AD"/>
    <w:rsid w:val="005A7158"/>
    <w:rsid w:val="005A7AFD"/>
    <w:rsid w:val="005B0616"/>
    <w:rsid w:val="005B0797"/>
    <w:rsid w:val="005B0B58"/>
    <w:rsid w:val="005B1BA8"/>
    <w:rsid w:val="005B2AA6"/>
    <w:rsid w:val="005B432B"/>
    <w:rsid w:val="005B4E53"/>
    <w:rsid w:val="005B5857"/>
    <w:rsid w:val="005B7B4D"/>
    <w:rsid w:val="005C19C4"/>
    <w:rsid w:val="005C1A0A"/>
    <w:rsid w:val="005C1B83"/>
    <w:rsid w:val="005C25FF"/>
    <w:rsid w:val="005C2D55"/>
    <w:rsid w:val="005C346B"/>
    <w:rsid w:val="005C3EE6"/>
    <w:rsid w:val="005C50B5"/>
    <w:rsid w:val="005C5ABC"/>
    <w:rsid w:val="005C5AF8"/>
    <w:rsid w:val="005C5B93"/>
    <w:rsid w:val="005C7F20"/>
    <w:rsid w:val="005D044D"/>
    <w:rsid w:val="005D0860"/>
    <w:rsid w:val="005D0ABD"/>
    <w:rsid w:val="005D18AD"/>
    <w:rsid w:val="005D26B4"/>
    <w:rsid w:val="005D2A4B"/>
    <w:rsid w:val="005D4B54"/>
    <w:rsid w:val="005D7076"/>
    <w:rsid w:val="005D7D3E"/>
    <w:rsid w:val="005E1995"/>
    <w:rsid w:val="005E1DA5"/>
    <w:rsid w:val="005E2232"/>
    <w:rsid w:val="005E2BE4"/>
    <w:rsid w:val="005E43D2"/>
    <w:rsid w:val="005E6867"/>
    <w:rsid w:val="005E6CBC"/>
    <w:rsid w:val="005E72FF"/>
    <w:rsid w:val="005E73C0"/>
    <w:rsid w:val="005F07ED"/>
    <w:rsid w:val="005F2706"/>
    <w:rsid w:val="005F28DA"/>
    <w:rsid w:val="005F2AEB"/>
    <w:rsid w:val="005F4F13"/>
    <w:rsid w:val="005F6A8F"/>
    <w:rsid w:val="005F6BB7"/>
    <w:rsid w:val="005F7588"/>
    <w:rsid w:val="005F773C"/>
    <w:rsid w:val="006013AC"/>
    <w:rsid w:val="00603261"/>
    <w:rsid w:val="00603DA0"/>
    <w:rsid w:val="00603DB9"/>
    <w:rsid w:val="00604558"/>
    <w:rsid w:val="00604654"/>
    <w:rsid w:val="0060498C"/>
    <w:rsid w:val="00605688"/>
    <w:rsid w:val="0060621F"/>
    <w:rsid w:val="00606AC0"/>
    <w:rsid w:val="00606FBA"/>
    <w:rsid w:val="00607669"/>
    <w:rsid w:val="006076F4"/>
    <w:rsid w:val="00607AFD"/>
    <w:rsid w:val="006114A9"/>
    <w:rsid w:val="00611B12"/>
    <w:rsid w:val="00612F97"/>
    <w:rsid w:val="0061345D"/>
    <w:rsid w:val="0061549B"/>
    <w:rsid w:val="006167FA"/>
    <w:rsid w:val="00616802"/>
    <w:rsid w:val="00616E28"/>
    <w:rsid w:val="0061756B"/>
    <w:rsid w:val="0061779B"/>
    <w:rsid w:val="00617D26"/>
    <w:rsid w:val="00617E12"/>
    <w:rsid w:val="00620C25"/>
    <w:rsid w:val="00621477"/>
    <w:rsid w:val="00621ADA"/>
    <w:rsid w:val="00623AAE"/>
    <w:rsid w:val="00623EDF"/>
    <w:rsid w:val="00623F7B"/>
    <w:rsid w:val="00624587"/>
    <w:rsid w:val="0062493B"/>
    <w:rsid w:val="00624BD4"/>
    <w:rsid w:val="00625344"/>
    <w:rsid w:val="00626EE2"/>
    <w:rsid w:val="00630880"/>
    <w:rsid w:val="00631516"/>
    <w:rsid w:val="0063158F"/>
    <w:rsid w:val="00631A71"/>
    <w:rsid w:val="00631D6B"/>
    <w:rsid w:val="00632183"/>
    <w:rsid w:val="006326B0"/>
    <w:rsid w:val="00632740"/>
    <w:rsid w:val="00632D2B"/>
    <w:rsid w:val="006330A1"/>
    <w:rsid w:val="00633733"/>
    <w:rsid w:val="00633DBB"/>
    <w:rsid w:val="0063479F"/>
    <w:rsid w:val="006353F0"/>
    <w:rsid w:val="006357B5"/>
    <w:rsid w:val="006364A1"/>
    <w:rsid w:val="0063678E"/>
    <w:rsid w:val="00637BFD"/>
    <w:rsid w:val="00637C5C"/>
    <w:rsid w:val="00640248"/>
    <w:rsid w:val="00640C96"/>
    <w:rsid w:val="00641C4E"/>
    <w:rsid w:val="00641FB3"/>
    <w:rsid w:val="006427DB"/>
    <w:rsid w:val="006429E1"/>
    <w:rsid w:val="00643E70"/>
    <w:rsid w:val="0064434C"/>
    <w:rsid w:val="006471CC"/>
    <w:rsid w:val="006472FE"/>
    <w:rsid w:val="00647A29"/>
    <w:rsid w:val="0065079F"/>
    <w:rsid w:val="00650A6B"/>
    <w:rsid w:val="00651CD3"/>
    <w:rsid w:val="00652A28"/>
    <w:rsid w:val="00652FE7"/>
    <w:rsid w:val="0065379F"/>
    <w:rsid w:val="0065438E"/>
    <w:rsid w:val="0065563A"/>
    <w:rsid w:val="00655973"/>
    <w:rsid w:val="00655BC0"/>
    <w:rsid w:val="00656188"/>
    <w:rsid w:val="00656BE3"/>
    <w:rsid w:val="0065715A"/>
    <w:rsid w:val="00657D0C"/>
    <w:rsid w:val="006610F1"/>
    <w:rsid w:val="00661C6B"/>
    <w:rsid w:val="0066275A"/>
    <w:rsid w:val="00662D3E"/>
    <w:rsid w:val="00667BE3"/>
    <w:rsid w:val="006704ED"/>
    <w:rsid w:val="00670926"/>
    <w:rsid w:val="00671004"/>
    <w:rsid w:val="00672646"/>
    <w:rsid w:val="006726A9"/>
    <w:rsid w:val="00674256"/>
    <w:rsid w:val="00674730"/>
    <w:rsid w:val="00674E42"/>
    <w:rsid w:val="00676563"/>
    <w:rsid w:val="0067707F"/>
    <w:rsid w:val="00680484"/>
    <w:rsid w:val="006813F8"/>
    <w:rsid w:val="00682112"/>
    <w:rsid w:val="0068278C"/>
    <w:rsid w:val="00682BA6"/>
    <w:rsid w:val="00682CEB"/>
    <w:rsid w:val="00683B73"/>
    <w:rsid w:val="00684A5C"/>
    <w:rsid w:val="00686957"/>
    <w:rsid w:val="00686E95"/>
    <w:rsid w:val="006872BA"/>
    <w:rsid w:val="00690795"/>
    <w:rsid w:val="00691648"/>
    <w:rsid w:val="006917D7"/>
    <w:rsid w:val="00691E74"/>
    <w:rsid w:val="006922D5"/>
    <w:rsid w:val="0069434C"/>
    <w:rsid w:val="00694D40"/>
    <w:rsid w:val="00694F44"/>
    <w:rsid w:val="00696AA6"/>
    <w:rsid w:val="00696EF9"/>
    <w:rsid w:val="00696F51"/>
    <w:rsid w:val="006979A5"/>
    <w:rsid w:val="00697D5B"/>
    <w:rsid w:val="006A016F"/>
    <w:rsid w:val="006A0DF7"/>
    <w:rsid w:val="006A12C8"/>
    <w:rsid w:val="006A1FD1"/>
    <w:rsid w:val="006A1FE9"/>
    <w:rsid w:val="006A22F5"/>
    <w:rsid w:val="006A31C4"/>
    <w:rsid w:val="006A34F3"/>
    <w:rsid w:val="006A4321"/>
    <w:rsid w:val="006A43D9"/>
    <w:rsid w:val="006A48D9"/>
    <w:rsid w:val="006A4B1A"/>
    <w:rsid w:val="006A4E61"/>
    <w:rsid w:val="006A4F46"/>
    <w:rsid w:val="006A5791"/>
    <w:rsid w:val="006A5BC8"/>
    <w:rsid w:val="006A6378"/>
    <w:rsid w:val="006A6B99"/>
    <w:rsid w:val="006A7E5F"/>
    <w:rsid w:val="006B261B"/>
    <w:rsid w:val="006B281D"/>
    <w:rsid w:val="006B2A55"/>
    <w:rsid w:val="006B2C90"/>
    <w:rsid w:val="006B35E6"/>
    <w:rsid w:val="006B3646"/>
    <w:rsid w:val="006B3904"/>
    <w:rsid w:val="006B44B4"/>
    <w:rsid w:val="006B465A"/>
    <w:rsid w:val="006B4F7A"/>
    <w:rsid w:val="006B59DA"/>
    <w:rsid w:val="006B6DD0"/>
    <w:rsid w:val="006C0399"/>
    <w:rsid w:val="006C2A8E"/>
    <w:rsid w:val="006C3255"/>
    <w:rsid w:val="006C3F26"/>
    <w:rsid w:val="006C6064"/>
    <w:rsid w:val="006C6966"/>
    <w:rsid w:val="006D0D17"/>
    <w:rsid w:val="006D0EFE"/>
    <w:rsid w:val="006D19F4"/>
    <w:rsid w:val="006D2678"/>
    <w:rsid w:val="006D3573"/>
    <w:rsid w:val="006D3C7D"/>
    <w:rsid w:val="006D4659"/>
    <w:rsid w:val="006D5D5F"/>
    <w:rsid w:val="006D65D6"/>
    <w:rsid w:val="006D68FB"/>
    <w:rsid w:val="006E15F5"/>
    <w:rsid w:val="006E2868"/>
    <w:rsid w:val="006E2DBC"/>
    <w:rsid w:val="006E40CE"/>
    <w:rsid w:val="006E6368"/>
    <w:rsid w:val="006F011F"/>
    <w:rsid w:val="006F306C"/>
    <w:rsid w:val="006F63A5"/>
    <w:rsid w:val="0070142B"/>
    <w:rsid w:val="00701B5D"/>
    <w:rsid w:val="00701DC1"/>
    <w:rsid w:val="007022F1"/>
    <w:rsid w:val="0070276E"/>
    <w:rsid w:val="00702F8F"/>
    <w:rsid w:val="00705728"/>
    <w:rsid w:val="00706689"/>
    <w:rsid w:val="007079FC"/>
    <w:rsid w:val="00710952"/>
    <w:rsid w:val="00711A36"/>
    <w:rsid w:val="007125D3"/>
    <w:rsid w:val="00712F15"/>
    <w:rsid w:val="00712FCB"/>
    <w:rsid w:val="00714B99"/>
    <w:rsid w:val="00714C26"/>
    <w:rsid w:val="00714D5E"/>
    <w:rsid w:val="0071529C"/>
    <w:rsid w:val="007170DA"/>
    <w:rsid w:val="007172AD"/>
    <w:rsid w:val="00717546"/>
    <w:rsid w:val="00720801"/>
    <w:rsid w:val="00722B1B"/>
    <w:rsid w:val="007237AC"/>
    <w:rsid w:val="007237CC"/>
    <w:rsid w:val="0072416F"/>
    <w:rsid w:val="00727869"/>
    <w:rsid w:val="00727C94"/>
    <w:rsid w:val="00731A5E"/>
    <w:rsid w:val="00731B0A"/>
    <w:rsid w:val="00731EAE"/>
    <w:rsid w:val="007320A6"/>
    <w:rsid w:val="007323E7"/>
    <w:rsid w:val="00733073"/>
    <w:rsid w:val="007331E3"/>
    <w:rsid w:val="00735033"/>
    <w:rsid w:val="00735328"/>
    <w:rsid w:val="0073685B"/>
    <w:rsid w:val="00736C3F"/>
    <w:rsid w:val="00740285"/>
    <w:rsid w:val="00741A6A"/>
    <w:rsid w:val="007449BF"/>
    <w:rsid w:val="00745E4E"/>
    <w:rsid w:val="007463FE"/>
    <w:rsid w:val="00746BC0"/>
    <w:rsid w:val="00750995"/>
    <w:rsid w:val="007510B4"/>
    <w:rsid w:val="00751929"/>
    <w:rsid w:val="00751D4C"/>
    <w:rsid w:val="00752058"/>
    <w:rsid w:val="00752142"/>
    <w:rsid w:val="00752334"/>
    <w:rsid w:val="007523F9"/>
    <w:rsid w:val="00752CE9"/>
    <w:rsid w:val="0075357E"/>
    <w:rsid w:val="00753B29"/>
    <w:rsid w:val="00756BAA"/>
    <w:rsid w:val="007573E8"/>
    <w:rsid w:val="00757582"/>
    <w:rsid w:val="00760C4E"/>
    <w:rsid w:val="00760F9E"/>
    <w:rsid w:val="007616E6"/>
    <w:rsid w:val="007622C6"/>
    <w:rsid w:val="007627BE"/>
    <w:rsid w:val="0076436C"/>
    <w:rsid w:val="00764BC6"/>
    <w:rsid w:val="00764F03"/>
    <w:rsid w:val="00765B1A"/>
    <w:rsid w:val="00765DC1"/>
    <w:rsid w:val="00770E09"/>
    <w:rsid w:val="00772381"/>
    <w:rsid w:val="0077290D"/>
    <w:rsid w:val="00773034"/>
    <w:rsid w:val="00774745"/>
    <w:rsid w:val="00774779"/>
    <w:rsid w:val="00777335"/>
    <w:rsid w:val="0077753A"/>
    <w:rsid w:val="007775EE"/>
    <w:rsid w:val="0078220D"/>
    <w:rsid w:val="00783523"/>
    <w:rsid w:val="0078431B"/>
    <w:rsid w:val="007843F2"/>
    <w:rsid w:val="007846FA"/>
    <w:rsid w:val="00785A9F"/>
    <w:rsid w:val="00787834"/>
    <w:rsid w:val="00790933"/>
    <w:rsid w:val="00791B09"/>
    <w:rsid w:val="007925DF"/>
    <w:rsid w:val="007954C7"/>
    <w:rsid w:val="0079708F"/>
    <w:rsid w:val="007A011F"/>
    <w:rsid w:val="007A08AA"/>
    <w:rsid w:val="007A0A12"/>
    <w:rsid w:val="007A0F47"/>
    <w:rsid w:val="007A132D"/>
    <w:rsid w:val="007A1345"/>
    <w:rsid w:val="007A2DDB"/>
    <w:rsid w:val="007A337E"/>
    <w:rsid w:val="007A34EF"/>
    <w:rsid w:val="007A3ADA"/>
    <w:rsid w:val="007A4388"/>
    <w:rsid w:val="007A70BA"/>
    <w:rsid w:val="007B0D68"/>
    <w:rsid w:val="007B1BC5"/>
    <w:rsid w:val="007B251D"/>
    <w:rsid w:val="007B3533"/>
    <w:rsid w:val="007B4F58"/>
    <w:rsid w:val="007B51A9"/>
    <w:rsid w:val="007B528D"/>
    <w:rsid w:val="007B5CFF"/>
    <w:rsid w:val="007B63CA"/>
    <w:rsid w:val="007B77D1"/>
    <w:rsid w:val="007C07C7"/>
    <w:rsid w:val="007C0B49"/>
    <w:rsid w:val="007C1CD9"/>
    <w:rsid w:val="007C227E"/>
    <w:rsid w:val="007C32EF"/>
    <w:rsid w:val="007C361D"/>
    <w:rsid w:val="007C4188"/>
    <w:rsid w:val="007C4B84"/>
    <w:rsid w:val="007C70FF"/>
    <w:rsid w:val="007C7C25"/>
    <w:rsid w:val="007D004F"/>
    <w:rsid w:val="007D035F"/>
    <w:rsid w:val="007D06B2"/>
    <w:rsid w:val="007D0B38"/>
    <w:rsid w:val="007D0D79"/>
    <w:rsid w:val="007D2E13"/>
    <w:rsid w:val="007D5440"/>
    <w:rsid w:val="007D69EB"/>
    <w:rsid w:val="007E0C84"/>
    <w:rsid w:val="007E0F34"/>
    <w:rsid w:val="007E128F"/>
    <w:rsid w:val="007E1BC8"/>
    <w:rsid w:val="007E23A3"/>
    <w:rsid w:val="007E2777"/>
    <w:rsid w:val="007E5820"/>
    <w:rsid w:val="007E5DA4"/>
    <w:rsid w:val="007F03AD"/>
    <w:rsid w:val="007F0D39"/>
    <w:rsid w:val="007F1017"/>
    <w:rsid w:val="007F28FD"/>
    <w:rsid w:val="007F2915"/>
    <w:rsid w:val="007F3CB8"/>
    <w:rsid w:val="007F4359"/>
    <w:rsid w:val="007F452D"/>
    <w:rsid w:val="007F4A3F"/>
    <w:rsid w:val="007F4A61"/>
    <w:rsid w:val="007F5255"/>
    <w:rsid w:val="007F56CC"/>
    <w:rsid w:val="007F5B1B"/>
    <w:rsid w:val="007F61C2"/>
    <w:rsid w:val="007F661C"/>
    <w:rsid w:val="00805142"/>
    <w:rsid w:val="00805FCE"/>
    <w:rsid w:val="00807A8B"/>
    <w:rsid w:val="00810DFD"/>
    <w:rsid w:val="00810FB0"/>
    <w:rsid w:val="00811383"/>
    <w:rsid w:val="00811543"/>
    <w:rsid w:val="00812149"/>
    <w:rsid w:val="00812CAC"/>
    <w:rsid w:val="00815531"/>
    <w:rsid w:val="00815DF2"/>
    <w:rsid w:val="00816361"/>
    <w:rsid w:val="008166EF"/>
    <w:rsid w:val="00816BFB"/>
    <w:rsid w:val="00816FEF"/>
    <w:rsid w:val="00820A8C"/>
    <w:rsid w:val="0082109B"/>
    <w:rsid w:val="0082151A"/>
    <w:rsid w:val="008215FB"/>
    <w:rsid w:val="008220CC"/>
    <w:rsid w:val="00822D14"/>
    <w:rsid w:val="00823174"/>
    <w:rsid w:val="00823C33"/>
    <w:rsid w:val="00825142"/>
    <w:rsid w:val="00825751"/>
    <w:rsid w:val="00825FC5"/>
    <w:rsid w:val="008264EB"/>
    <w:rsid w:val="008268CE"/>
    <w:rsid w:val="00826D4A"/>
    <w:rsid w:val="00827C23"/>
    <w:rsid w:val="008329AD"/>
    <w:rsid w:val="00833B05"/>
    <w:rsid w:val="008362B4"/>
    <w:rsid w:val="0083735D"/>
    <w:rsid w:val="00840CA2"/>
    <w:rsid w:val="008427A5"/>
    <w:rsid w:val="0084374F"/>
    <w:rsid w:val="008437AA"/>
    <w:rsid w:val="00843B88"/>
    <w:rsid w:val="00844A22"/>
    <w:rsid w:val="00846FDB"/>
    <w:rsid w:val="00847703"/>
    <w:rsid w:val="00847756"/>
    <w:rsid w:val="00847DF5"/>
    <w:rsid w:val="00850034"/>
    <w:rsid w:val="00851B4D"/>
    <w:rsid w:val="00851DEF"/>
    <w:rsid w:val="00852585"/>
    <w:rsid w:val="0085309D"/>
    <w:rsid w:val="00853A6D"/>
    <w:rsid w:val="00856897"/>
    <w:rsid w:val="00856E9A"/>
    <w:rsid w:val="008579A2"/>
    <w:rsid w:val="0086075D"/>
    <w:rsid w:val="00861EB7"/>
    <w:rsid w:val="00862502"/>
    <w:rsid w:val="00862CC1"/>
    <w:rsid w:val="00862E89"/>
    <w:rsid w:val="00863C66"/>
    <w:rsid w:val="008642A7"/>
    <w:rsid w:val="0086496A"/>
    <w:rsid w:val="008660D4"/>
    <w:rsid w:val="00866B13"/>
    <w:rsid w:val="00867AF4"/>
    <w:rsid w:val="0087177E"/>
    <w:rsid w:val="00871FA9"/>
    <w:rsid w:val="008728E9"/>
    <w:rsid w:val="008731AF"/>
    <w:rsid w:val="00874582"/>
    <w:rsid w:val="008750DD"/>
    <w:rsid w:val="00877009"/>
    <w:rsid w:val="00877180"/>
    <w:rsid w:val="00880D45"/>
    <w:rsid w:val="00881543"/>
    <w:rsid w:val="0088274C"/>
    <w:rsid w:val="00882874"/>
    <w:rsid w:val="00882A8C"/>
    <w:rsid w:val="00882E3C"/>
    <w:rsid w:val="0088308A"/>
    <w:rsid w:val="00883787"/>
    <w:rsid w:val="008855E4"/>
    <w:rsid w:val="008865D5"/>
    <w:rsid w:val="00886733"/>
    <w:rsid w:val="00886CD2"/>
    <w:rsid w:val="00891A5F"/>
    <w:rsid w:val="00891E6F"/>
    <w:rsid w:val="008926A3"/>
    <w:rsid w:val="0089275D"/>
    <w:rsid w:val="00892A36"/>
    <w:rsid w:val="00893239"/>
    <w:rsid w:val="00894489"/>
    <w:rsid w:val="00894CD6"/>
    <w:rsid w:val="00895274"/>
    <w:rsid w:val="008952FB"/>
    <w:rsid w:val="00895699"/>
    <w:rsid w:val="008963A5"/>
    <w:rsid w:val="00896D5D"/>
    <w:rsid w:val="0089710F"/>
    <w:rsid w:val="008977F1"/>
    <w:rsid w:val="008A3158"/>
    <w:rsid w:val="008A3363"/>
    <w:rsid w:val="008A3371"/>
    <w:rsid w:val="008A3C3E"/>
    <w:rsid w:val="008A56F7"/>
    <w:rsid w:val="008A5C28"/>
    <w:rsid w:val="008A79DE"/>
    <w:rsid w:val="008B1622"/>
    <w:rsid w:val="008B1757"/>
    <w:rsid w:val="008B1C33"/>
    <w:rsid w:val="008B4253"/>
    <w:rsid w:val="008B4705"/>
    <w:rsid w:val="008B4B6F"/>
    <w:rsid w:val="008B4E3D"/>
    <w:rsid w:val="008B58BF"/>
    <w:rsid w:val="008B6299"/>
    <w:rsid w:val="008B6372"/>
    <w:rsid w:val="008B7992"/>
    <w:rsid w:val="008B7D7E"/>
    <w:rsid w:val="008B7DEE"/>
    <w:rsid w:val="008C0415"/>
    <w:rsid w:val="008C0E9F"/>
    <w:rsid w:val="008C191A"/>
    <w:rsid w:val="008C1E92"/>
    <w:rsid w:val="008C2E1D"/>
    <w:rsid w:val="008C511B"/>
    <w:rsid w:val="008C5610"/>
    <w:rsid w:val="008C5739"/>
    <w:rsid w:val="008C664B"/>
    <w:rsid w:val="008C7282"/>
    <w:rsid w:val="008C7A58"/>
    <w:rsid w:val="008C7C99"/>
    <w:rsid w:val="008C7ECB"/>
    <w:rsid w:val="008D01CD"/>
    <w:rsid w:val="008D056D"/>
    <w:rsid w:val="008D3199"/>
    <w:rsid w:val="008D3B86"/>
    <w:rsid w:val="008D43FD"/>
    <w:rsid w:val="008D4755"/>
    <w:rsid w:val="008D4C3D"/>
    <w:rsid w:val="008D50CF"/>
    <w:rsid w:val="008D56E6"/>
    <w:rsid w:val="008D743C"/>
    <w:rsid w:val="008E0D3C"/>
    <w:rsid w:val="008E1B9E"/>
    <w:rsid w:val="008E234D"/>
    <w:rsid w:val="008E51DE"/>
    <w:rsid w:val="008E55AB"/>
    <w:rsid w:val="008E5610"/>
    <w:rsid w:val="008E5B99"/>
    <w:rsid w:val="008E6F51"/>
    <w:rsid w:val="008E7A52"/>
    <w:rsid w:val="008E7DE9"/>
    <w:rsid w:val="008F0597"/>
    <w:rsid w:val="008F0C2A"/>
    <w:rsid w:val="008F120A"/>
    <w:rsid w:val="008F27E0"/>
    <w:rsid w:val="008F35A6"/>
    <w:rsid w:val="008F48EB"/>
    <w:rsid w:val="008F4F0B"/>
    <w:rsid w:val="008F5019"/>
    <w:rsid w:val="008F66EF"/>
    <w:rsid w:val="009000BF"/>
    <w:rsid w:val="00901AA9"/>
    <w:rsid w:val="00901B27"/>
    <w:rsid w:val="00902F63"/>
    <w:rsid w:val="009035CA"/>
    <w:rsid w:val="009039AC"/>
    <w:rsid w:val="009046C4"/>
    <w:rsid w:val="009062A5"/>
    <w:rsid w:val="00907248"/>
    <w:rsid w:val="00907699"/>
    <w:rsid w:val="00910FA7"/>
    <w:rsid w:val="00911272"/>
    <w:rsid w:val="00911339"/>
    <w:rsid w:val="00911957"/>
    <w:rsid w:val="009135D6"/>
    <w:rsid w:val="0091441C"/>
    <w:rsid w:val="00914C77"/>
    <w:rsid w:val="009157DF"/>
    <w:rsid w:val="00915DF4"/>
    <w:rsid w:val="009170EF"/>
    <w:rsid w:val="0092106E"/>
    <w:rsid w:val="00921ACB"/>
    <w:rsid w:val="00921C4E"/>
    <w:rsid w:val="0092263E"/>
    <w:rsid w:val="00922B3C"/>
    <w:rsid w:val="0092369B"/>
    <w:rsid w:val="00923AC8"/>
    <w:rsid w:val="00927C8C"/>
    <w:rsid w:val="0093368E"/>
    <w:rsid w:val="00933A3B"/>
    <w:rsid w:val="00934988"/>
    <w:rsid w:val="0093564C"/>
    <w:rsid w:val="0093568D"/>
    <w:rsid w:val="00935B5C"/>
    <w:rsid w:val="00937089"/>
    <w:rsid w:val="00937BF2"/>
    <w:rsid w:val="00937D54"/>
    <w:rsid w:val="00937EE3"/>
    <w:rsid w:val="009418E2"/>
    <w:rsid w:val="00943D57"/>
    <w:rsid w:val="00944F8A"/>
    <w:rsid w:val="00945327"/>
    <w:rsid w:val="00945DF1"/>
    <w:rsid w:val="00946FA4"/>
    <w:rsid w:val="009510A2"/>
    <w:rsid w:val="00951455"/>
    <w:rsid w:val="009529C9"/>
    <w:rsid w:val="00952A4D"/>
    <w:rsid w:val="00953257"/>
    <w:rsid w:val="00953A51"/>
    <w:rsid w:val="0095474C"/>
    <w:rsid w:val="0095624F"/>
    <w:rsid w:val="009569CC"/>
    <w:rsid w:val="00957D92"/>
    <w:rsid w:val="00960725"/>
    <w:rsid w:val="00960C1C"/>
    <w:rsid w:val="009610F2"/>
    <w:rsid w:val="009612DE"/>
    <w:rsid w:val="00962A00"/>
    <w:rsid w:val="00962CB9"/>
    <w:rsid w:val="00964312"/>
    <w:rsid w:val="009655BA"/>
    <w:rsid w:val="00965B8A"/>
    <w:rsid w:val="00965DF7"/>
    <w:rsid w:val="00966584"/>
    <w:rsid w:val="00970610"/>
    <w:rsid w:val="0097071F"/>
    <w:rsid w:val="00971236"/>
    <w:rsid w:val="00971240"/>
    <w:rsid w:val="009717AC"/>
    <w:rsid w:val="00974245"/>
    <w:rsid w:val="009743C6"/>
    <w:rsid w:val="009746A7"/>
    <w:rsid w:val="00974AC7"/>
    <w:rsid w:val="009751C1"/>
    <w:rsid w:val="009811F1"/>
    <w:rsid w:val="00981C9B"/>
    <w:rsid w:val="00983E57"/>
    <w:rsid w:val="00984179"/>
    <w:rsid w:val="00984C4A"/>
    <w:rsid w:val="00985252"/>
    <w:rsid w:val="00985DE2"/>
    <w:rsid w:val="0098675D"/>
    <w:rsid w:val="00986EA1"/>
    <w:rsid w:val="00987BA4"/>
    <w:rsid w:val="009900C7"/>
    <w:rsid w:val="00991516"/>
    <w:rsid w:val="0099167E"/>
    <w:rsid w:val="009917C4"/>
    <w:rsid w:val="009920CA"/>
    <w:rsid w:val="009926E0"/>
    <w:rsid w:val="00992A96"/>
    <w:rsid w:val="00992CE0"/>
    <w:rsid w:val="0099451E"/>
    <w:rsid w:val="00996949"/>
    <w:rsid w:val="00996B1A"/>
    <w:rsid w:val="009A0B63"/>
    <w:rsid w:val="009A18F6"/>
    <w:rsid w:val="009A1F9B"/>
    <w:rsid w:val="009A2D83"/>
    <w:rsid w:val="009A2DCC"/>
    <w:rsid w:val="009A43BB"/>
    <w:rsid w:val="009A5ABC"/>
    <w:rsid w:val="009A5F70"/>
    <w:rsid w:val="009A7C4F"/>
    <w:rsid w:val="009A7F10"/>
    <w:rsid w:val="009B3E26"/>
    <w:rsid w:val="009B4249"/>
    <w:rsid w:val="009B5554"/>
    <w:rsid w:val="009B6D86"/>
    <w:rsid w:val="009C10B8"/>
    <w:rsid w:val="009C1203"/>
    <w:rsid w:val="009C1271"/>
    <w:rsid w:val="009C192B"/>
    <w:rsid w:val="009C3706"/>
    <w:rsid w:val="009C3A3A"/>
    <w:rsid w:val="009C6CEA"/>
    <w:rsid w:val="009C7B85"/>
    <w:rsid w:val="009D0254"/>
    <w:rsid w:val="009D0778"/>
    <w:rsid w:val="009D1A64"/>
    <w:rsid w:val="009D3E70"/>
    <w:rsid w:val="009D429C"/>
    <w:rsid w:val="009D5813"/>
    <w:rsid w:val="009D5B91"/>
    <w:rsid w:val="009D792E"/>
    <w:rsid w:val="009E0253"/>
    <w:rsid w:val="009E0DFE"/>
    <w:rsid w:val="009E1180"/>
    <w:rsid w:val="009E23E2"/>
    <w:rsid w:val="009E31F6"/>
    <w:rsid w:val="009E3E1F"/>
    <w:rsid w:val="009E412A"/>
    <w:rsid w:val="009E43F1"/>
    <w:rsid w:val="009E4C07"/>
    <w:rsid w:val="009E4FEF"/>
    <w:rsid w:val="009E57F8"/>
    <w:rsid w:val="009E5A28"/>
    <w:rsid w:val="009E70F0"/>
    <w:rsid w:val="009E777F"/>
    <w:rsid w:val="009F4393"/>
    <w:rsid w:val="009F6120"/>
    <w:rsid w:val="00A0010C"/>
    <w:rsid w:val="00A00D76"/>
    <w:rsid w:val="00A01184"/>
    <w:rsid w:val="00A01449"/>
    <w:rsid w:val="00A0169C"/>
    <w:rsid w:val="00A037C2"/>
    <w:rsid w:val="00A03B79"/>
    <w:rsid w:val="00A03BF9"/>
    <w:rsid w:val="00A03D43"/>
    <w:rsid w:val="00A04380"/>
    <w:rsid w:val="00A04786"/>
    <w:rsid w:val="00A05472"/>
    <w:rsid w:val="00A05C32"/>
    <w:rsid w:val="00A0653F"/>
    <w:rsid w:val="00A0740D"/>
    <w:rsid w:val="00A117FF"/>
    <w:rsid w:val="00A11912"/>
    <w:rsid w:val="00A11CD0"/>
    <w:rsid w:val="00A122A4"/>
    <w:rsid w:val="00A13948"/>
    <w:rsid w:val="00A14FE2"/>
    <w:rsid w:val="00A1555B"/>
    <w:rsid w:val="00A155C5"/>
    <w:rsid w:val="00A16AD8"/>
    <w:rsid w:val="00A17A13"/>
    <w:rsid w:val="00A2021E"/>
    <w:rsid w:val="00A2110B"/>
    <w:rsid w:val="00A21C95"/>
    <w:rsid w:val="00A21CF3"/>
    <w:rsid w:val="00A23345"/>
    <w:rsid w:val="00A24813"/>
    <w:rsid w:val="00A261FE"/>
    <w:rsid w:val="00A27AEC"/>
    <w:rsid w:val="00A31052"/>
    <w:rsid w:val="00A320DB"/>
    <w:rsid w:val="00A3218D"/>
    <w:rsid w:val="00A33D2A"/>
    <w:rsid w:val="00A35D16"/>
    <w:rsid w:val="00A36584"/>
    <w:rsid w:val="00A366C7"/>
    <w:rsid w:val="00A37BCD"/>
    <w:rsid w:val="00A40E46"/>
    <w:rsid w:val="00A41689"/>
    <w:rsid w:val="00A42196"/>
    <w:rsid w:val="00A42592"/>
    <w:rsid w:val="00A42B2C"/>
    <w:rsid w:val="00A42B41"/>
    <w:rsid w:val="00A43C59"/>
    <w:rsid w:val="00A45DF9"/>
    <w:rsid w:val="00A4688E"/>
    <w:rsid w:val="00A46C19"/>
    <w:rsid w:val="00A50ECD"/>
    <w:rsid w:val="00A518F3"/>
    <w:rsid w:val="00A52729"/>
    <w:rsid w:val="00A53675"/>
    <w:rsid w:val="00A53CA8"/>
    <w:rsid w:val="00A55489"/>
    <w:rsid w:val="00A564D7"/>
    <w:rsid w:val="00A56B6A"/>
    <w:rsid w:val="00A578DC"/>
    <w:rsid w:val="00A612FC"/>
    <w:rsid w:val="00A6370E"/>
    <w:rsid w:val="00A640E2"/>
    <w:rsid w:val="00A64CAA"/>
    <w:rsid w:val="00A64D65"/>
    <w:rsid w:val="00A65FD0"/>
    <w:rsid w:val="00A6725B"/>
    <w:rsid w:val="00A70605"/>
    <w:rsid w:val="00A70AEF"/>
    <w:rsid w:val="00A72084"/>
    <w:rsid w:val="00A73073"/>
    <w:rsid w:val="00A73134"/>
    <w:rsid w:val="00A7365A"/>
    <w:rsid w:val="00A76001"/>
    <w:rsid w:val="00A777B2"/>
    <w:rsid w:val="00A81DEA"/>
    <w:rsid w:val="00A8209C"/>
    <w:rsid w:val="00A825BA"/>
    <w:rsid w:val="00A825D4"/>
    <w:rsid w:val="00A828F6"/>
    <w:rsid w:val="00A82A3F"/>
    <w:rsid w:val="00A82B73"/>
    <w:rsid w:val="00A82FB0"/>
    <w:rsid w:val="00A840A9"/>
    <w:rsid w:val="00A84734"/>
    <w:rsid w:val="00A85053"/>
    <w:rsid w:val="00A85C9E"/>
    <w:rsid w:val="00A86E8B"/>
    <w:rsid w:val="00A87164"/>
    <w:rsid w:val="00A871A9"/>
    <w:rsid w:val="00A90D1C"/>
    <w:rsid w:val="00A90F09"/>
    <w:rsid w:val="00A93072"/>
    <w:rsid w:val="00A938BD"/>
    <w:rsid w:val="00A93953"/>
    <w:rsid w:val="00A94A3C"/>
    <w:rsid w:val="00A959D8"/>
    <w:rsid w:val="00A97C2F"/>
    <w:rsid w:val="00A97E1C"/>
    <w:rsid w:val="00A97FB8"/>
    <w:rsid w:val="00AA113D"/>
    <w:rsid w:val="00AA6BD5"/>
    <w:rsid w:val="00AA6BD8"/>
    <w:rsid w:val="00AA6C7D"/>
    <w:rsid w:val="00AA7FD6"/>
    <w:rsid w:val="00AB042A"/>
    <w:rsid w:val="00AB08E7"/>
    <w:rsid w:val="00AB11AD"/>
    <w:rsid w:val="00AB19EF"/>
    <w:rsid w:val="00AB20E9"/>
    <w:rsid w:val="00AB23C7"/>
    <w:rsid w:val="00AB2495"/>
    <w:rsid w:val="00AB29C7"/>
    <w:rsid w:val="00AB2D34"/>
    <w:rsid w:val="00AB3430"/>
    <w:rsid w:val="00AB37B9"/>
    <w:rsid w:val="00AB4AD1"/>
    <w:rsid w:val="00AB569D"/>
    <w:rsid w:val="00AB5DBE"/>
    <w:rsid w:val="00AB5E07"/>
    <w:rsid w:val="00AB6C37"/>
    <w:rsid w:val="00AB7CFA"/>
    <w:rsid w:val="00AC3A6C"/>
    <w:rsid w:val="00AC45C6"/>
    <w:rsid w:val="00AC5B42"/>
    <w:rsid w:val="00AC5B48"/>
    <w:rsid w:val="00AC5DFD"/>
    <w:rsid w:val="00AD0145"/>
    <w:rsid w:val="00AD0B84"/>
    <w:rsid w:val="00AD1450"/>
    <w:rsid w:val="00AD15E8"/>
    <w:rsid w:val="00AD281D"/>
    <w:rsid w:val="00AD2A29"/>
    <w:rsid w:val="00AD356D"/>
    <w:rsid w:val="00AD58BE"/>
    <w:rsid w:val="00AD60B7"/>
    <w:rsid w:val="00AD6502"/>
    <w:rsid w:val="00AD6749"/>
    <w:rsid w:val="00AE0695"/>
    <w:rsid w:val="00AE2EAA"/>
    <w:rsid w:val="00AE3E7E"/>
    <w:rsid w:val="00AE4EB5"/>
    <w:rsid w:val="00AE7248"/>
    <w:rsid w:val="00AE7E53"/>
    <w:rsid w:val="00AF1315"/>
    <w:rsid w:val="00AF19BF"/>
    <w:rsid w:val="00AF2DC3"/>
    <w:rsid w:val="00AF4DC2"/>
    <w:rsid w:val="00AF543D"/>
    <w:rsid w:val="00AF5986"/>
    <w:rsid w:val="00AF75A2"/>
    <w:rsid w:val="00AF78C7"/>
    <w:rsid w:val="00B00058"/>
    <w:rsid w:val="00B004C8"/>
    <w:rsid w:val="00B0152B"/>
    <w:rsid w:val="00B0153D"/>
    <w:rsid w:val="00B033E5"/>
    <w:rsid w:val="00B03A63"/>
    <w:rsid w:val="00B05FDF"/>
    <w:rsid w:val="00B0720F"/>
    <w:rsid w:val="00B07490"/>
    <w:rsid w:val="00B12687"/>
    <w:rsid w:val="00B12766"/>
    <w:rsid w:val="00B129A4"/>
    <w:rsid w:val="00B201A4"/>
    <w:rsid w:val="00B201D1"/>
    <w:rsid w:val="00B2121F"/>
    <w:rsid w:val="00B213A6"/>
    <w:rsid w:val="00B235B0"/>
    <w:rsid w:val="00B24DF6"/>
    <w:rsid w:val="00B27A61"/>
    <w:rsid w:val="00B31972"/>
    <w:rsid w:val="00B33892"/>
    <w:rsid w:val="00B34FE2"/>
    <w:rsid w:val="00B35166"/>
    <w:rsid w:val="00B357A8"/>
    <w:rsid w:val="00B357D8"/>
    <w:rsid w:val="00B35B94"/>
    <w:rsid w:val="00B360F4"/>
    <w:rsid w:val="00B3692D"/>
    <w:rsid w:val="00B36A00"/>
    <w:rsid w:val="00B3792B"/>
    <w:rsid w:val="00B37BFC"/>
    <w:rsid w:val="00B4032E"/>
    <w:rsid w:val="00B40358"/>
    <w:rsid w:val="00B41310"/>
    <w:rsid w:val="00B41614"/>
    <w:rsid w:val="00B4178C"/>
    <w:rsid w:val="00B424B0"/>
    <w:rsid w:val="00B42851"/>
    <w:rsid w:val="00B42F80"/>
    <w:rsid w:val="00B435CB"/>
    <w:rsid w:val="00B43FC1"/>
    <w:rsid w:val="00B441DE"/>
    <w:rsid w:val="00B4572B"/>
    <w:rsid w:val="00B465EC"/>
    <w:rsid w:val="00B477F8"/>
    <w:rsid w:val="00B5026E"/>
    <w:rsid w:val="00B504D4"/>
    <w:rsid w:val="00B505C8"/>
    <w:rsid w:val="00B50751"/>
    <w:rsid w:val="00B508A7"/>
    <w:rsid w:val="00B50DB8"/>
    <w:rsid w:val="00B5115B"/>
    <w:rsid w:val="00B52F40"/>
    <w:rsid w:val="00B53654"/>
    <w:rsid w:val="00B536D5"/>
    <w:rsid w:val="00B53905"/>
    <w:rsid w:val="00B546DB"/>
    <w:rsid w:val="00B54B5B"/>
    <w:rsid w:val="00B5562E"/>
    <w:rsid w:val="00B55862"/>
    <w:rsid w:val="00B55D65"/>
    <w:rsid w:val="00B56094"/>
    <w:rsid w:val="00B56305"/>
    <w:rsid w:val="00B57000"/>
    <w:rsid w:val="00B57C89"/>
    <w:rsid w:val="00B60308"/>
    <w:rsid w:val="00B60939"/>
    <w:rsid w:val="00B60A40"/>
    <w:rsid w:val="00B60AFD"/>
    <w:rsid w:val="00B62225"/>
    <w:rsid w:val="00B62715"/>
    <w:rsid w:val="00B63196"/>
    <w:rsid w:val="00B64526"/>
    <w:rsid w:val="00B647AB"/>
    <w:rsid w:val="00B65611"/>
    <w:rsid w:val="00B66609"/>
    <w:rsid w:val="00B6754A"/>
    <w:rsid w:val="00B67843"/>
    <w:rsid w:val="00B70E8E"/>
    <w:rsid w:val="00B7142C"/>
    <w:rsid w:val="00B71868"/>
    <w:rsid w:val="00B7522F"/>
    <w:rsid w:val="00B75F7C"/>
    <w:rsid w:val="00B76C92"/>
    <w:rsid w:val="00B76D22"/>
    <w:rsid w:val="00B80EFD"/>
    <w:rsid w:val="00B81364"/>
    <w:rsid w:val="00B818A4"/>
    <w:rsid w:val="00B828A7"/>
    <w:rsid w:val="00B82CD0"/>
    <w:rsid w:val="00B83739"/>
    <w:rsid w:val="00B84117"/>
    <w:rsid w:val="00B858F0"/>
    <w:rsid w:val="00B85AA2"/>
    <w:rsid w:val="00B8649C"/>
    <w:rsid w:val="00B8695D"/>
    <w:rsid w:val="00B86E12"/>
    <w:rsid w:val="00B87F0A"/>
    <w:rsid w:val="00B9120B"/>
    <w:rsid w:val="00B92D0B"/>
    <w:rsid w:val="00B94945"/>
    <w:rsid w:val="00B94DD6"/>
    <w:rsid w:val="00BA0922"/>
    <w:rsid w:val="00BA14E8"/>
    <w:rsid w:val="00BA1F46"/>
    <w:rsid w:val="00BA322D"/>
    <w:rsid w:val="00BA3540"/>
    <w:rsid w:val="00BA4F10"/>
    <w:rsid w:val="00BA5882"/>
    <w:rsid w:val="00BA63FA"/>
    <w:rsid w:val="00BA7DB6"/>
    <w:rsid w:val="00BB00B3"/>
    <w:rsid w:val="00BB052D"/>
    <w:rsid w:val="00BB0BDD"/>
    <w:rsid w:val="00BB176C"/>
    <w:rsid w:val="00BB19D9"/>
    <w:rsid w:val="00BB2A73"/>
    <w:rsid w:val="00BB301F"/>
    <w:rsid w:val="00BB3851"/>
    <w:rsid w:val="00BB3A45"/>
    <w:rsid w:val="00BB4ACC"/>
    <w:rsid w:val="00BB703E"/>
    <w:rsid w:val="00BB732D"/>
    <w:rsid w:val="00BB7405"/>
    <w:rsid w:val="00BB765F"/>
    <w:rsid w:val="00BB78FA"/>
    <w:rsid w:val="00BC07DA"/>
    <w:rsid w:val="00BC0C37"/>
    <w:rsid w:val="00BC3631"/>
    <w:rsid w:val="00BC388E"/>
    <w:rsid w:val="00BC44AC"/>
    <w:rsid w:val="00BC50A0"/>
    <w:rsid w:val="00BC5715"/>
    <w:rsid w:val="00BC591F"/>
    <w:rsid w:val="00BC67E6"/>
    <w:rsid w:val="00BC7D6D"/>
    <w:rsid w:val="00BD0CD3"/>
    <w:rsid w:val="00BD18E1"/>
    <w:rsid w:val="00BD2108"/>
    <w:rsid w:val="00BD30E3"/>
    <w:rsid w:val="00BD4445"/>
    <w:rsid w:val="00BD4CDD"/>
    <w:rsid w:val="00BD55CA"/>
    <w:rsid w:val="00BD68A3"/>
    <w:rsid w:val="00BD6938"/>
    <w:rsid w:val="00BD6CF3"/>
    <w:rsid w:val="00BD7046"/>
    <w:rsid w:val="00BD7F72"/>
    <w:rsid w:val="00BE0ECA"/>
    <w:rsid w:val="00BE2180"/>
    <w:rsid w:val="00BE21F2"/>
    <w:rsid w:val="00BE2CD0"/>
    <w:rsid w:val="00BE3B8E"/>
    <w:rsid w:val="00BE4275"/>
    <w:rsid w:val="00BE6AB1"/>
    <w:rsid w:val="00BE6BE7"/>
    <w:rsid w:val="00BF0090"/>
    <w:rsid w:val="00BF00F7"/>
    <w:rsid w:val="00BF06AE"/>
    <w:rsid w:val="00BF0AEB"/>
    <w:rsid w:val="00BF0F95"/>
    <w:rsid w:val="00BF1793"/>
    <w:rsid w:val="00BF1EA2"/>
    <w:rsid w:val="00BF2433"/>
    <w:rsid w:val="00BF2E6E"/>
    <w:rsid w:val="00BF45FA"/>
    <w:rsid w:val="00BF61C9"/>
    <w:rsid w:val="00BF6C94"/>
    <w:rsid w:val="00C00424"/>
    <w:rsid w:val="00C00BB0"/>
    <w:rsid w:val="00C019DD"/>
    <w:rsid w:val="00C022F8"/>
    <w:rsid w:val="00C02A06"/>
    <w:rsid w:val="00C035E2"/>
    <w:rsid w:val="00C06BF4"/>
    <w:rsid w:val="00C105DC"/>
    <w:rsid w:val="00C10C31"/>
    <w:rsid w:val="00C1179F"/>
    <w:rsid w:val="00C127B9"/>
    <w:rsid w:val="00C128FA"/>
    <w:rsid w:val="00C12968"/>
    <w:rsid w:val="00C12C14"/>
    <w:rsid w:val="00C13187"/>
    <w:rsid w:val="00C137F6"/>
    <w:rsid w:val="00C15F04"/>
    <w:rsid w:val="00C17835"/>
    <w:rsid w:val="00C179B3"/>
    <w:rsid w:val="00C17E3F"/>
    <w:rsid w:val="00C200AA"/>
    <w:rsid w:val="00C208A2"/>
    <w:rsid w:val="00C2264D"/>
    <w:rsid w:val="00C22D9B"/>
    <w:rsid w:val="00C237ED"/>
    <w:rsid w:val="00C24632"/>
    <w:rsid w:val="00C24B3D"/>
    <w:rsid w:val="00C25418"/>
    <w:rsid w:val="00C25D9C"/>
    <w:rsid w:val="00C2778B"/>
    <w:rsid w:val="00C31649"/>
    <w:rsid w:val="00C31C06"/>
    <w:rsid w:val="00C3434C"/>
    <w:rsid w:val="00C374AA"/>
    <w:rsid w:val="00C40385"/>
    <w:rsid w:val="00C41768"/>
    <w:rsid w:val="00C420AC"/>
    <w:rsid w:val="00C4256B"/>
    <w:rsid w:val="00C432E4"/>
    <w:rsid w:val="00C475AA"/>
    <w:rsid w:val="00C47DA3"/>
    <w:rsid w:val="00C50AA3"/>
    <w:rsid w:val="00C527C7"/>
    <w:rsid w:val="00C52A90"/>
    <w:rsid w:val="00C53C98"/>
    <w:rsid w:val="00C54300"/>
    <w:rsid w:val="00C54953"/>
    <w:rsid w:val="00C5675E"/>
    <w:rsid w:val="00C56F6E"/>
    <w:rsid w:val="00C56FCF"/>
    <w:rsid w:val="00C57B6C"/>
    <w:rsid w:val="00C61A59"/>
    <w:rsid w:val="00C62150"/>
    <w:rsid w:val="00C627AF"/>
    <w:rsid w:val="00C628A6"/>
    <w:rsid w:val="00C62D47"/>
    <w:rsid w:val="00C64344"/>
    <w:rsid w:val="00C647AF"/>
    <w:rsid w:val="00C64FFF"/>
    <w:rsid w:val="00C65108"/>
    <w:rsid w:val="00C65576"/>
    <w:rsid w:val="00C65724"/>
    <w:rsid w:val="00C6585D"/>
    <w:rsid w:val="00C66165"/>
    <w:rsid w:val="00C66C16"/>
    <w:rsid w:val="00C6749D"/>
    <w:rsid w:val="00C7060A"/>
    <w:rsid w:val="00C711D6"/>
    <w:rsid w:val="00C7151A"/>
    <w:rsid w:val="00C717E3"/>
    <w:rsid w:val="00C71F60"/>
    <w:rsid w:val="00C72025"/>
    <w:rsid w:val="00C72241"/>
    <w:rsid w:val="00C742B1"/>
    <w:rsid w:val="00C74777"/>
    <w:rsid w:val="00C750C8"/>
    <w:rsid w:val="00C7560F"/>
    <w:rsid w:val="00C761D9"/>
    <w:rsid w:val="00C80787"/>
    <w:rsid w:val="00C80A0E"/>
    <w:rsid w:val="00C81E32"/>
    <w:rsid w:val="00C8213F"/>
    <w:rsid w:val="00C82317"/>
    <w:rsid w:val="00C824E6"/>
    <w:rsid w:val="00C8303F"/>
    <w:rsid w:val="00C83B67"/>
    <w:rsid w:val="00C85154"/>
    <w:rsid w:val="00C85A70"/>
    <w:rsid w:val="00C86760"/>
    <w:rsid w:val="00C8797A"/>
    <w:rsid w:val="00C900B8"/>
    <w:rsid w:val="00C90197"/>
    <w:rsid w:val="00C90C71"/>
    <w:rsid w:val="00C90EA0"/>
    <w:rsid w:val="00C91FD1"/>
    <w:rsid w:val="00C931CF"/>
    <w:rsid w:val="00C938CF"/>
    <w:rsid w:val="00C94053"/>
    <w:rsid w:val="00C9624D"/>
    <w:rsid w:val="00C969DA"/>
    <w:rsid w:val="00C9762C"/>
    <w:rsid w:val="00C9785C"/>
    <w:rsid w:val="00CA0A33"/>
    <w:rsid w:val="00CA18C3"/>
    <w:rsid w:val="00CA2C77"/>
    <w:rsid w:val="00CA38DF"/>
    <w:rsid w:val="00CA444F"/>
    <w:rsid w:val="00CA45C9"/>
    <w:rsid w:val="00CA5245"/>
    <w:rsid w:val="00CA5CD9"/>
    <w:rsid w:val="00CA6B66"/>
    <w:rsid w:val="00CA71F4"/>
    <w:rsid w:val="00CA7201"/>
    <w:rsid w:val="00CA7973"/>
    <w:rsid w:val="00CA7B09"/>
    <w:rsid w:val="00CB0127"/>
    <w:rsid w:val="00CB019C"/>
    <w:rsid w:val="00CB0B7E"/>
    <w:rsid w:val="00CB12A5"/>
    <w:rsid w:val="00CB1CAC"/>
    <w:rsid w:val="00CB20F4"/>
    <w:rsid w:val="00CB2F2A"/>
    <w:rsid w:val="00CB496A"/>
    <w:rsid w:val="00CB5B1A"/>
    <w:rsid w:val="00CB6B22"/>
    <w:rsid w:val="00CB7F5F"/>
    <w:rsid w:val="00CC1B39"/>
    <w:rsid w:val="00CC1BFA"/>
    <w:rsid w:val="00CC2E9F"/>
    <w:rsid w:val="00CC35EA"/>
    <w:rsid w:val="00CC3848"/>
    <w:rsid w:val="00CC3BE3"/>
    <w:rsid w:val="00CC6D5E"/>
    <w:rsid w:val="00CC7886"/>
    <w:rsid w:val="00CD0200"/>
    <w:rsid w:val="00CD0893"/>
    <w:rsid w:val="00CD24B3"/>
    <w:rsid w:val="00CD252D"/>
    <w:rsid w:val="00CD2863"/>
    <w:rsid w:val="00CD2FF9"/>
    <w:rsid w:val="00CD3F77"/>
    <w:rsid w:val="00CD41B3"/>
    <w:rsid w:val="00CD4A28"/>
    <w:rsid w:val="00CD61E2"/>
    <w:rsid w:val="00CD6ADC"/>
    <w:rsid w:val="00CD7193"/>
    <w:rsid w:val="00CE0A3E"/>
    <w:rsid w:val="00CE0B36"/>
    <w:rsid w:val="00CE334E"/>
    <w:rsid w:val="00CE38C8"/>
    <w:rsid w:val="00CE456B"/>
    <w:rsid w:val="00CE524F"/>
    <w:rsid w:val="00CE56F9"/>
    <w:rsid w:val="00CE58CC"/>
    <w:rsid w:val="00CE6274"/>
    <w:rsid w:val="00CE77B6"/>
    <w:rsid w:val="00CE7BCD"/>
    <w:rsid w:val="00CF264D"/>
    <w:rsid w:val="00CF2B8D"/>
    <w:rsid w:val="00CF3753"/>
    <w:rsid w:val="00CF3A1B"/>
    <w:rsid w:val="00CF43B3"/>
    <w:rsid w:val="00CF456B"/>
    <w:rsid w:val="00CF5A22"/>
    <w:rsid w:val="00CF5C91"/>
    <w:rsid w:val="00CF77CD"/>
    <w:rsid w:val="00D01217"/>
    <w:rsid w:val="00D0262E"/>
    <w:rsid w:val="00D03679"/>
    <w:rsid w:val="00D0595E"/>
    <w:rsid w:val="00D05E3D"/>
    <w:rsid w:val="00D05FA8"/>
    <w:rsid w:val="00D06139"/>
    <w:rsid w:val="00D06A6A"/>
    <w:rsid w:val="00D07697"/>
    <w:rsid w:val="00D110BD"/>
    <w:rsid w:val="00D12CC8"/>
    <w:rsid w:val="00D13675"/>
    <w:rsid w:val="00D141E1"/>
    <w:rsid w:val="00D15314"/>
    <w:rsid w:val="00D15B48"/>
    <w:rsid w:val="00D176E6"/>
    <w:rsid w:val="00D1784B"/>
    <w:rsid w:val="00D17D6C"/>
    <w:rsid w:val="00D21449"/>
    <w:rsid w:val="00D2155B"/>
    <w:rsid w:val="00D22282"/>
    <w:rsid w:val="00D23D11"/>
    <w:rsid w:val="00D23FA1"/>
    <w:rsid w:val="00D244B6"/>
    <w:rsid w:val="00D266EB"/>
    <w:rsid w:val="00D2754D"/>
    <w:rsid w:val="00D2756D"/>
    <w:rsid w:val="00D27B27"/>
    <w:rsid w:val="00D30290"/>
    <w:rsid w:val="00D30D5B"/>
    <w:rsid w:val="00D31DD7"/>
    <w:rsid w:val="00D320FF"/>
    <w:rsid w:val="00D335A2"/>
    <w:rsid w:val="00D33BE9"/>
    <w:rsid w:val="00D33F93"/>
    <w:rsid w:val="00D34F4A"/>
    <w:rsid w:val="00D34F5C"/>
    <w:rsid w:val="00D35113"/>
    <w:rsid w:val="00D357FF"/>
    <w:rsid w:val="00D372E5"/>
    <w:rsid w:val="00D4044A"/>
    <w:rsid w:val="00D41663"/>
    <w:rsid w:val="00D424C7"/>
    <w:rsid w:val="00D42601"/>
    <w:rsid w:val="00D4270B"/>
    <w:rsid w:val="00D43B2A"/>
    <w:rsid w:val="00D43CF1"/>
    <w:rsid w:val="00D43D83"/>
    <w:rsid w:val="00D4470A"/>
    <w:rsid w:val="00D44F0D"/>
    <w:rsid w:val="00D4713D"/>
    <w:rsid w:val="00D47575"/>
    <w:rsid w:val="00D506EB"/>
    <w:rsid w:val="00D51137"/>
    <w:rsid w:val="00D5243B"/>
    <w:rsid w:val="00D533EC"/>
    <w:rsid w:val="00D554AA"/>
    <w:rsid w:val="00D55562"/>
    <w:rsid w:val="00D5699F"/>
    <w:rsid w:val="00D56A95"/>
    <w:rsid w:val="00D6076E"/>
    <w:rsid w:val="00D61BB9"/>
    <w:rsid w:val="00D62124"/>
    <w:rsid w:val="00D62D6C"/>
    <w:rsid w:val="00D64F73"/>
    <w:rsid w:val="00D661BA"/>
    <w:rsid w:val="00D67FD3"/>
    <w:rsid w:val="00D70EC1"/>
    <w:rsid w:val="00D70F16"/>
    <w:rsid w:val="00D712AC"/>
    <w:rsid w:val="00D72617"/>
    <w:rsid w:val="00D72F57"/>
    <w:rsid w:val="00D73971"/>
    <w:rsid w:val="00D76A44"/>
    <w:rsid w:val="00D77106"/>
    <w:rsid w:val="00D80B57"/>
    <w:rsid w:val="00D815EF"/>
    <w:rsid w:val="00D8174C"/>
    <w:rsid w:val="00D81949"/>
    <w:rsid w:val="00D81F26"/>
    <w:rsid w:val="00D822E2"/>
    <w:rsid w:val="00D843F2"/>
    <w:rsid w:val="00D85A96"/>
    <w:rsid w:val="00D86231"/>
    <w:rsid w:val="00D912AB"/>
    <w:rsid w:val="00D9173C"/>
    <w:rsid w:val="00D91923"/>
    <w:rsid w:val="00D93753"/>
    <w:rsid w:val="00D953AA"/>
    <w:rsid w:val="00D95EF1"/>
    <w:rsid w:val="00D9667F"/>
    <w:rsid w:val="00D97364"/>
    <w:rsid w:val="00DA23D7"/>
    <w:rsid w:val="00DA3167"/>
    <w:rsid w:val="00DA4DC3"/>
    <w:rsid w:val="00DA77A5"/>
    <w:rsid w:val="00DA7960"/>
    <w:rsid w:val="00DB0E36"/>
    <w:rsid w:val="00DB2660"/>
    <w:rsid w:val="00DB3DBF"/>
    <w:rsid w:val="00DB484F"/>
    <w:rsid w:val="00DB6964"/>
    <w:rsid w:val="00DC04F6"/>
    <w:rsid w:val="00DC0690"/>
    <w:rsid w:val="00DC0F25"/>
    <w:rsid w:val="00DC1D65"/>
    <w:rsid w:val="00DC2099"/>
    <w:rsid w:val="00DC38A2"/>
    <w:rsid w:val="00DC3C57"/>
    <w:rsid w:val="00DC44F7"/>
    <w:rsid w:val="00DC4864"/>
    <w:rsid w:val="00DC5351"/>
    <w:rsid w:val="00DC5501"/>
    <w:rsid w:val="00DC5B38"/>
    <w:rsid w:val="00DC5DE4"/>
    <w:rsid w:val="00DC7154"/>
    <w:rsid w:val="00DC7E8A"/>
    <w:rsid w:val="00DD0F78"/>
    <w:rsid w:val="00DD24A9"/>
    <w:rsid w:val="00DD273C"/>
    <w:rsid w:val="00DD326C"/>
    <w:rsid w:val="00DD339D"/>
    <w:rsid w:val="00DD3F28"/>
    <w:rsid w:val="00DD4446"/>
    <w:rsid w:val="00DD4537"/>
    <w:rsid w:val="00DD4E15"/>
    <w:rsid w:val="00DD7A0B"/>
    <w:rsid w:val="00DD7A45"/>
    <w:rsid w:val="00DE0372"/>
    <w:rsid w:val="00DE0595"/>
    <w:rsid w:val="00DE2304"/>
    <w:rsid w:val="00DE28EF"/>
    <w:rsid w:val="00DE3138"/>
    <w:rsid w:val="00DE37F8"/>
    <w:rsid w:val="00DE4273"/>
    <w:rsid w:val="00DE4FCB"/>
    <w:rsid w:val="00DE5D07"/>
    <w:rsid w:val="00DE72A7"/>
    <w:rsid w:val="00DE7832"/>
    <w:rsid w:val="00DF18FC"/>
    <w:rsid w:val="00DF1909"/>
    <w:rsid w:val="00DF40B0"/>
    <w:rsid w:val="00DF459E"/>
    <w:rsid w:val="00DF4B02"/>
    <w:rsid w:val="00DF5D2B"/>
    <w:rsid w:val="00DF6341"/>
    <w:rsid w:val="00DF6EBF"/>
    <w:rsid w:val="00DF737C"/>
    <w:rsid w:val="00DF74FF"/>
    <w:rsid w:val="00DF7D6C"/>
    <w:rsid w:val="00E0053B"/>
    <w:rsid w:val="00E0060F"/>
    <w:rsid w:val="00E00E8E"/>
    <w:rsid w:val="00E05630"/>
    <w:rsid w:val="00E067BA"/>
    <w:rsid w:val="00E06DBB"/>
    <w:rsid w:val="00E10149"/>
    <w:rsid w:val="00E11340"/>
    <w:rsid w:val="00E122A1"/>
    <w:rsid w:val="00E12A5A"/>
    <w:rsid w:val="00E13DBC"/>
    <w:rsid w:val="00E16372"/>
    <w:rsid w:val="00E167FD"/>
    <w:rsid w:val="00E16AD8"/>
    <w:rsid w:val="00E17FFA"/>
    <w:rsid w:val="00E20E4D"/>
    <w:rsid w:val="00E20ED6"/>
    <w:rsid w:val="00E21358"/>
    <w:rsid w:val="00E21E38"/>
    <w:rsid w:val="00E2249B"/>
    <w:rsid w:val="00E22A0D"/>
    <w:rsid w:val="00E244F6"/>
    <w:rsid w:val="00E258DB"/>
    <w:rsid w:val="00E26507"/>
    <w:rsid w:val="00E2771E"/>
    <w:rsid w:val="00E30F4E"/>
    <w:rsid w:val="00E311EF"/>
    <w:rsid w:val="00E31C31"/>
    <w:rsid w:val="00E31DE7"/>
    <w:rsid w:val="00E32180"/>
    <w:rsid w:val="00E3251F"/>
    <w:rsid w:val="00E340D0"/>
    <w:rsid w:val="00E34948"/>
    <w:rsid w:val="00E35B70"/>
    <w:rsid w:val="00E37569"/>
    <w:rsid w:val="00E37BCA"/>
    <w:rsid w:val="00E40104"/>
    <w:rsid w:val="00E401B2"/>
    <w:rsid w:val="00E4045F"/>
    <w:rsid w:val="00E41E30"/>
    <w:rsid w:val="00E420D4"/>
    <w:rsid w:val="00E42F73"/>
    <w:rsid w:val="00E43D70"/>
    <w:rsid w:val="00E466F3"/>
    <w:rsid w:val="00E4670E"/>
    <w:rsid w:val="00E46F32"/>
    <w:rsid w:val="00E47B2C"/>
    <w:rsid w:val="00E51560"/>
    <w:rsid w:val="00E51821"/>
    <w:rsid w:val="00E528C0"/>
    <w:rsid w:val="00E52F5F"/>
    <w:rsid w:val="00E5337E"/>
    <w:rsid w:val="00E53FA8"/>
    <w:rsid w:val="00E53FC8"/>
    <w:rsid w:val="00E54347"/>
    <w:rsid w:val="00E548E8"/>
    <w:rsid w:val="00E55424"/>
    <w:rsid w:val="00E55915"/>
    <w:rsid w:val="00E55BB5"/>
    <w:rsid w:val="00E56E24"/>
    <w:rsid w:val="00E611DF"/>
    <w:rsid w:val="00E61F4B"/>
    <w:rsid w:val="00E62A05"/>
    <w:rsid w:val="00E6324C"/>
    <w:rsid w:val="00E63B27"/>
    <w:rsid w:val="00E65E79"/>
    <w:rsid w:val="00E66BA2"/>
    <w:rsid w:val="00E67416"/>
    <w:rsid w:val="00E7006E"/>
    <w:rsid w:val="00E70405"/>
    <w:rsid w:val="00E718B6"/>
    <w:rsid w:val="00E722C2"/>
    <w:rsid w:val="00E723BA"/>
    <w:rsid w:val="00E73581"/>
    <w:rsid w:val="00E74253"/>
    <w:rsid w:val="00E76B6D"/>
    <w:rsid w:val="00E77059"/>
    <w:rsid w:val="00E77357"/>
    <w:rsid w:val="00E779D6"/>
    <w:rsid w:val="00E80522"/>
    <w:rsid w:val="00E833F7"/>
    <w:rsid w:val="00E83BDF"/>
    <w:rsid w:val="00E8560A"/>
    <w:rsid w:val="00E86D15"/>
    <w:rsid w:val="00E86FCC"/>
    <w:rsid w:val="00E87A1D"/>
    <w:rsid w:val="00E9094A"/>
    <w:rsid w:val="00E91D35"/>
    <w:rsid w:val="00E926A5"/>
    <w:rsid w:val="00E94175"/>
    <w:rsid w:val="00E94228"/>
    <w:rsid w:val="00E9501E"/>
    <w:rsid w:val="00E962CC"/>
    <w:rsid w:val="00E962F9"/>
    <w:rsid w:val="00E9674B"/>
    <w:rsid w:val="00EA09DE"/>
    <w:rsid w:val="00EA17C3"/>
    <w:rsid w:val="00EA1DF5"/>
    <w:rsid w:val="00EA2CAA"/>
    <w:rsid w:val="00EA3864"/>
    <w:rsid w:val="00EA440C"/>
    <w:rsid w:val="00EA58ED"/>
    <w:rsid w:val="00EA7F1C"/>
    <w:rsid w:val="00EB03C0"/>
    <w:rsid w:val="00EB15B6"/>
    <w:rsid w:val="00EB1635"/>
    <w:rsid w:val="00EB3D06"/>
    <w:rsid w:val="00EB4916"/>
    <w:rsid w:val="00EB4A47"/>
    <w:rsid w:val="00EB4B90"/>
    <w:rsid w:val="00EB6516"/>
    <w:rsid w:val="00EB65CC"/>
    <w:rsid w:val="00EB6974"/>
    <w:rsid w:val="00EB6F5D"/>
    <w:rsid w:val="00EC00C9"/>
    <w:rsid w:val="00EC0DD9"/>
    <w:rsid w:val="00EC2649"/>
    <w:rsid w:val="00EC292C"/>
    <w:rsid w:val="00EC31ED"/>
    <w:rsid w:val="00EC5836"/>
    <w:rsid w:val="00EC688C"/>
    <w:rsid w:val="00EC6A2A"/>
    <w:rsid w:val="00EC7EC3"/>
    <w:rsid w:val="00ED11DE"/>
    <w:rsid w:val="00ED12E3"/>
    <w:rsid w:val="00ED196D"/>
    <w:rsid w:val="00ED1E43"/>
    <w:rsid w:val="00ED3EBA"/>
    <w:rsid w:val="00ED4B04"/>
    <w:rsid w:val="00ED57EA"/>
    <w:rsid w:val="00ED5BD4"/>
    <w:rsid w:val="00EE066E"/>
    <w:rsid w:val="00EE07D3"/>
    <w:rsid w:val="00EE14A3"/>
    <w:rsid w:val="00EE1651"/>
    <w:rsid w:val="00EE1996"/>
    <w:rsid w:val="00EE1C01"/>
    <w:rsid w:val="00EE22AF"/>
    <w:rsid w:val="00EE64C9"/>
    <w:rsid w:val="00EE7A1F"/>
    <w:rsid w:val="00EE7D64"/>
    <w:rsid w:val="00EF0171"/>
    <w:rsid w:val="00EF1B25"/>
    <w:rsid w:val="00EF1DA0"/>
    <w:rsid w:val="00EF20A0"/>
    <w:rsid w:val="00EF4066"/>
    <w:rsid w:val="00EF4452"/>
    <w:rsid w:val="00EF4747"/>
    <w:rsid w:val="00EF4BF8"/>
    <w:rsid w:val="00EF4D0F"/>
    <w:rsid w:val="00EF53D2"/>
    <w:rsid w:val="00EF6100"/>
    <w:rsid w:val="00EF7354"/>
    <w:rsid w:val="00EF7513"/>
    <w:rsid w:val="00F00DB4"/>
    <w:rsid w:val="00F02253"/>
    <w:rsid w:val="00F03C2E"/>
    <w:rsid w:val="00F03D58"/>
    <w:rsid w:val="00F0424B"/>
    <w:rsid w:val="00F04A66"/>
    <w:rsid w:val="00F04B4B"/>
    <w:rsid w:val="00F0516C"/>
    <w:rsid w:val="00F05D47"/>
    <w:rsid w:val="00F06092"/>
    <w:rsid w:val="00F067A2"/>
    <w:rsid w:val="00F07B9E"/>
    <w:rsid w:val="00F1116F"/>
    <w:rsid w:val="00F122BA"/>
    <w:rsid w:val="00F1263A"/>
    <w:rsid w:val="00F134E2"/>
    <w:rsid w:val="00F139C5"/>
    <w:rsid w:val="00F140C9"/>
    <w:rsid w:val="00F158E7"/>
    <w:rsid w:val="00F15B77"/>
    <w:rsid w:val="00F15DC0"/>
    <w:rsid w:val="00F165A8"/>
    <w:rsid w:val="00F16F15"/>
    <w:rsid w:val="00F211C2"/>
    <w:rsid w:val="00F21236"/>
    <w:rsid w:val="00F228AF"/>
    <w:rsid w:val="00F236FA"/>
    <w:rsid w:val="00F239DF"/>
    <w:rsid w:val="00F244F1"/>
    <w:rsid w:val="00F24837"/>
    <w:rsid w:val="00F24C7F"/>
    <w:rsid w:val="00F2575F"/>
    <w:rsid w:val="00F27565"/>
    <w:rsid w:val="00F310D4"/>
    <w:rsid w:val="00F31D5A"/>
    <w:rsid w:val="00F33303"/>
    <w:rsid w:val="00F33942"/>
    <w:rsid w:val="00F33975"/>
    <w:rsid w:val="00F33DE9"/>
    <w:rsid w:val="00F33EE7"/>
    <w:rsid w:val="00F35075"/>
    <w:rsid w:val="00F35E6D"/>
    <w:rsid w:val="00F3619A"/>
    <w:rsid w:val="00F401CD"/>
    <w:rsid w:val="00F40AAA"/>
    <w:rsid w:val="00F40BA7"/>
    <w:rsid w:val="00F40F9D"/>
    <w:rsid w:val="00F41ACD"/>
    <w:rsid w:val="00F45740"/>
    <w:rsid w:val="00F45ECC"/>
    <w:rsid w:val="00F46CB6"/>
    <w:rsid w:val="00F4756D"/>
    <w:rsid w:val="00F47DE8"/>
    <w:rsid w:val="00F5013A"/>
    <w:rsid w:val="00F542C1"/>
    <w:rsid w:val="00F54D52"/>
    <w:rsid w:val="00F550E3"/>
    <w:rsid w:val="00F55E73"/>
    <w:rsid w:val="00F55EDA"/>
    <w:rsid w:val="00F55F5C"/>
    <w:rsid w:val="00F5680A"/>
    <w:rsid w:val="00F56C80"/>
    <w:rsid w:val="00F60092"/>
    <w:rsid w:val="00F60519"/>
    <w:rsid w:val="00F608EF"/>
    <w:rsid w:val="00F61C18"/>
    <w:rsid w:val="00F64219"/>
    <w:rsid w:val="00F65F4B"/>
    <w:rsid w:val="00F67A69"/>
    <w:rsid w:val="00F70199"/>
    <w:rsid w:val="00F70BFF"/>
    <w:rsid w:val="00F70C9D"/>
    <w:rsid w:val="00F71D7A"/>
    <w:rsid w:val="00F72647"/>
    <w:rsid w:val="00F727AF"/>
    <w:rsid w:val="00F73BDC"/>
    <w:rsid w:val="00F73D0A"/>
    <w:rsid w:val="00F73E08"/>
    <w:rsid w:val="00F74CD9"/>
    <w:rsid w:val="00F80278"/>
    <w:rsid w:val="00F80A7B"/>
    <w:rsid w:val="00F80E5D"/>
    <w:rsid w:val="00F80F79"/>
    <w:rsid w:val="00F81222"/>
    <w:rsid w:val="00F81E78"/>
    <w:rsid w:val="00F82670"/>
    <w:rsid w:val="00F83307"/>
    <w:rsid w:val="00F83916"/>
    <w:rsid w:val="00F8432E"/>
    <w:rsid w:val="00F84C11"/>
    <w:rsid w:val="00F851CE"/>
    <w:rsid w:val="00F86F4F"/>
    <w:rsid w:val="00F90FA2"/>
    <w:rsid w:val="00F91219"/>
    <w:rsid w:val="00F91B2D"/>
    <w:rsid w:val="00F92444"/>
    <w:rsid w:val="00F9393E"/>
    <w:rsid w:val="00F93A32"/>
    <w:rsid w:val="00F9534F"/>
    <w:rsid w:val="00F9614B"/>
    <w:rsid w:val="00F96FD0"/>
    <w:rsid w:val="00F97170"/>
    <w:rsid w:val="00F97A78"/>
    <w:rsid w:val="00FA029A"/>
    <w:rsid w:val="00FA0B20"/>
    <w:rsid w:val="00FA0D08"/>
    <w:rsid w:val="00FA24E7"/>
    <w:rsid w:val="00FA3208"/>
    <w:rsid w:val="00FA3740"/>
    <w:rsid w:val="00FA5EE6"/>
    <w:rsid w:val="00FA6035"/>
    <w:rsid w:val="00FA63AE"/>
    <w:rsid w:val="00FA7956"/>
    <w:rsid w:val="00FB0824"/>
    <w:rsid w:val="00FB229F"/>
    <w:rsid w:val="00FB2FCB"/>
    <w:rsid w:val="00FB4857"/>
    <w:rsid w:val="00FB4C9C"/>
    <w:rsid w:val="00FB5B5E"/>
    <w:rsid w:val="00FB656D"/>
    <w:rsid w:val="00FB6E1B"/>
    <w:rsid w:val="00FB7C55"/>
    <w:rsid w:val="00FC1074"/>
    <w:rsid w:val="00FC1674"/>
    <w:rsid w:val="00FC171B"/>
    <w:rsid w:val="00FC1884"/>
    <w:rsid w:val="00FC371D"/>
    <w:rsid w:val="00FC3DE5"/>
    <w:rsid w:val="00FC4446"/>
    <w:rsid w:val="00FC500B"/>
    <w:rsid w:val="00FC5F0B"/>
    <w:rsid w:val="00FC617F"/>
    <w:rsid w:val="00FC6501"/>
    <w:rsid w:val="00FC75F3"/>
    <w:rsid w:val="00FC7BFC"/>
    <w:rsid w:val="00FD2100"/>
    <w:rsid w:val="00FD3160"/>
    <w:rsid w:val="00FD3FB3"/>
    <w:rsid w:val="00FD436C"/>
    <w:rsid w:val="00FD446D"/>
    <w:rsid w:val="00FD4E06"/>
    <w:rsid w:val="00FD4F2C"/>
    <w:rsid w:val="00FD6394"/>
    <w:rsid w:val="00FD71DB"/>
    <w:rsid w:val="00FD7826"/>
    <w:rsid w:val="00FD7BD1"/>
    <w:rsid w:val="00FE038D"/>
    <w:rsid w:val="00FE0E6C"/>
    <w:rsid w:val="00FE12C0"/>
    <w:rsid w:val="00FE14A0"/>
    <w:rsid w:val="00FE1CDC"/>
    <w:rsid w:val="00FE27A2"/>
    <w:rsid w:val="00FE48E5"/>
    <w:rsid w:val="00FE70C3"/>
    <w:rsid w:val="00FF0186"/>
    <w:rsid w:val="00FF1A8B"/>
    <w:rsid w:val="00FF2AD9"/>
    <w:rsid w:val="00FF2B81"/>
    <w:rsid w:val="00FF359F"/>
    <w:rsid w:val="00FF3DCF"/>
    <w:rsid w:val="00FF492C"/>
    <w:rsid w:val="00FF4A21"/>
    <w:rsid w:val="00FF5AA3"/>
    <w:rsid w:val="00FF5AD8"/>
    <w:rsid w:val="00FF69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3C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1D6"/>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12FC"/>
    <w:rPr>
      <w:rFonts w:ascii="Calibri" w:hAnsi="Calibri" w:cs="Arial"/>
      <w:b/>
      <w:caps/>
      <w:sz w:val="32"/>
      <w:szCs w:val="24"/>
    </w:rPr>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3Char">
    <w:name w:val="Heading 3 Char"/>
    <w:basedOn w:val="DefaultParagraphFont"/>
    <w:link w:val="Heading3"/>
    <w:rsid w:val="004057FE"/>
    <w:rPr>
      <w:rFonts w:ascii="Calibri" w:hAnsi="Calibri" w:cs="Arial"/>
      <w:sz w:val="24"/>
      <w:szCs w:val="24"/>
      <w:u w:val="single"/>
    </w:rPr>
  </w:style>
  <w:style w:type="character" w:customStyle="1" w:styleId="Heading4Char">
    <w:name w:val="Heading 4 Char"/>
    <w:basedOn w:val="DefaultParagraphFont"/>
    <w:link w:val="Heading4"/>
    <w:rsid w:val="004057FE"/>
    <w:rPr>
      <w:rFonts w:ascii="Calibri" w:hAnsi="Calibri" w:cs="Arial"/>
      <w:b/>
      <w:bCs/>
      <w:i/>
      <w:sz w:val="26"/>
      <w:szCs w:val="28"/>
    </w:rPr>
  </w:style>
  <w:style w:type="character" w:customStyle="1" w:styleId="Heading5Char">
    <w:name w:val="Heading 5 Char"/>
    <w:basedOn w:val="DefaultParagraphFont"/>
    <w:link w:val="Heading5"/>
    <w:rsid w:val="004057FE"/>
    <w:rPr>
      <w:rFonts w:ascii="Calibri" w:hAnsi="Calibri" w:cs="Arial"/>
      <w:b/>
      <w:bCs/>
      <w:iCs/>
      <w:sz w:val="26"/>
      <w:szCs w:val="26"/>
    </w:rPr>
  </w:style>
  <w:style w:type="character" w:customStyle="1" w:styleId="Heading6Char">
    <w:name w:val="Heading 6 Char"/>
    <w:basedOn w:val="DefaultParagraphFont"/>
    <w:link w:val="Heading6"/>
    <w:rsid w:val="004057FE"/>
    <w:rPr>
      <w:rFonts w:ascii="Calibri" w:hAnsi="Calibri" w:cs="Arial"/>
      <w:b/>
      <w:bCs/>
      <w:i/>
      <w:sz w:val="24"/>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NDA"/>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qFormat/>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Figure_name,Numbered Indented Text,Bullet- First level,List NUmber,Listenabsatz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Figure_name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HE Table Grid,Lash Style Table,PBAC table,HTAtableplain,MSD Table Grid,new sty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Comment Text Char2 Char,Comment Text Char1 Char Char,Comment Text Char Char1 Char, Car17, Car17 Car, Char,Annotationtext,Char Char Char,Comment Text Char Char1,Car17"/>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Comment Text Char2 Char Char,Comment Text Char1 Char Char Char,Comment Text Char Char1 Char Char, Car17 Char, Car17 Car Char, Char Char,Annotationtext Char,Car17 Char"/>
    <w:basedOn w:val="DefaultParagraphFont"/>
    <w:link w:val="CommentText"/>
    <w:uiPriority w:val="99"/>
    <w:rsid w:val="00FD2100"/>
    <w:rPr>
      <w:snapToGrid w:val="0"/>
      <w:lang w:eastAsia="en-US"/>
    </w:rPr>
  </w:style>
  <w:style w:type="paragraph" w:customStyle="1" w:styleId="Bulletpoints">
    <w:name w:val="Bullet points"/>
    <w:basedOn w:val="ListParagraph"/>
    <w:autoRedefine/>
    <w:qFormat/>
    <w:rsid w:val="005F773C"/>
    <w:pPr>
      <w:numPr>
        <w:numId w:val="2"/>
      </w:numPr>
      <w:ind w:left="1134" w:hanging="357"/>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4057FE"/>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057FE"/>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structionalText">
    <w:name w:val="Instructional Text"/>
    <w:basedOn w:val="Normal"/>
    <w:link w:val="InstructionalTextChar"/>
    <w:uiPriority w:val="3"/>
    <w:qFormat/>
    <w:rsid w:val="00E167FD"/>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E167FD"/>
    <w:rPr>
      <w:rFonts w:asciiTheme="minorHAnsi" w:eastAsiaTheme="minorHAnsi" w:hAnsiTheme="minorHAnsi" w:cstheme="minorHAnsi"/>
      <w:color w:val="3366FF"/>
      <w:sz w:val="24"/>
      <w:szCs w:val="22"/>
      <w:lang w:eastAsia="en-US"/>
    </w:rPr>
  </w:style>
  <w:style w:type="paragraph" w:styleId="FootnoteText">
    <w:name w:val="footnote text"/>
    <w:basedOn w:val="Normal"/>
    <w:link w:val="FootnoteTextChar"/>
    <w:semiHidden/>
    <w:rsid w:val="00625344"/>
    <w:rPr>
      <w:rFonts w:asciiTheme="minorHAnsi" w:eastAsiaTheme="minorHAnsi" w:hAnsiTheme="minorHAnsi" w:cstheme="minorBidi"/>
      <w:color w:val="000000" w:themeColor="text1"/>
      <w:sz w:val="18"/>
      <w:szCs w:val="20"/>
      <w:lang w:eastAsia="en-US"/>
    </w:rPr>
  </w:style>
  <w:style w:type="character" w:customStyle="1" w:styleId="FootnoteTextChar">
    <w:name w:val="Footnote Text Char"/>
    <w:basedOn w:val="DefaultParagraphFont"/>
    <w:link w:val="FootnoteText"/>
    <w:semiHidden/>
    <w:rsid w:val="00625344"/>
    <w:rPr>
      <w:rFonts w:asciiTheme="minorHAnsi" w:eastAsiaTheme="minorHAnsi" w:hAnsiTheme="minorHAnsi" w:cstheme="minorBidi"/>
      <w:color w:val="000000" w:themeColor="text1"/>
      <w:sz w:val="18"/>
      <w:lang w:eastAsia="en-US"/>
    </w:rPr>
  </w:style>
  <w:style w:type="character" w:styleId="FootnoteReference">
    <w:name w:val="footnote reference"/>
    <w:basedOn w:val="DefaultParagraphFont"/>
    <w:rsid w:val="00625344"/>
    <w:rPr>
      <w:vertAlign w:val="superscript"/>
    </w:rPr>
  </w:style>
  <w:style w:type="table" w:customStyle="1" w:styleId="HTATableshaded">
    <w:name w:val="HTA Table shaded"/>
    <w:basedOn w:val="TableNormal"/>
    <w:rsid w:val="0011316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Left">
    <w:name w:val="Table Left"/>
    <w:basedOn w:val="Normal"/>
    <w:link w:val="TableLeftChar"/>
    <w:uiPriority w:val="99"/>
    <w:qFormat/>
    <w:rsid w:val="00A0169C"/>
    <w:rPr>
      <w:rFonts w:eastAsiaTheme="majorEastAsia" w:cstheme="majorBidi"/>
      <w:color w:val="000000" w:themeColor="text1"/>
      <w:sz w:val="18"/>
      <w:szCs w:val="22"/>
      <w:lang w:eastAsia="en-US" w:bidi="en-US"/>
    </w:rPr>
  </w:style>
  <w:style w:type="character" w:customStyle="1" w:styleId="TableLeftChar">
    <w:name w:val="Table Left Char"/>
    <w:basedOn w:val="DefaultParagraphFont"/>
    <w:link w:val="TableLeft"/>
    <w:uiPriority w:val="99"/>
    <w:locked/>
    <w:rsid w:val="00A0169C"/>
    <w:rPr>
      <w:rFonts w:ascii="Calibri" w:eastAsiaTheme="majorEastAsia" w:hAnsi="Calibri" w:cstheme="majorBidi"/>
      <w:color w:val="000000" w:themeColor="text1"/>
      <w:sz w:val="18"/>
      <w:szCs w:val="22"/>
      <w:lang w:eastAsia="en-US" w:bidi="en-US"/>
    </w:rPr>
  </w:style>
  <w:style w:type="table" w:customStyle="1" w:styleId="TableGrid1">
    <w:name w:val="Table Grid1"/>
    <w:basedOn w:val="TableNormal"/>
    <w:next w:val="TableGrid"/>
    <w:uiPriority w:val="39"/>
    <w:rsid w:val="00A0169C"/>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left">
    <w:name w:val="Table text left"/>
    <w:basedOn w:val="Normal"/>
    <w:link w:val="TabletextleftChar"/>
    <w:qFormat/>
    <w:rsid w:val="007A4388"/>
    <w:pPr>
      <w:spacing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7A4388"/>
    <w:rPr>
      <w:rFonts w:asciiTheme="minorHAnsi" w:hAnsiTheme="minorHAnsi"/>
      <w:sz w:val="18"/>
    </w:rPr>
  </w:style>
  <w:style w:type="paragraph" w:customStyle="1" w:styleId="TableHeadingleft">
    <w:name w:val="Table Heading left"/>
    <w:basedOn w:val="Normal"/>
    <w:next w:val="Tabletextleft"/>
    <w:qFormat/>
    <w:rsid w:val="007A4388"/>
    <w:pPr>
      <w:spacing w:before="40" w:after="40"/>
      <w:jc w:val="left"/>
    </w:pPr>
    <w:rPr>
      <w:rFonts w:asciiTheme="minorHAnsi" w:eastAsiaTheme="minorHAnsi" w:hAnsiTheme="minorHAnsi" w:cs="Tahoma"/>
      <w:b/>
      <w:sz w:val="18"/>
      <w:szCs w:val="18"/>
      <w:lang w:val="de-DE" w:eastAsia="en-US"/>
    </w:rPr>
  </w:style>
  <w:style w:type="paragraph" w:customStyle="1" w:styleId="PBACESHeading1">
    <w:name w:val="PBAC ES Heading 1"/>
    <w:basedOn w:val="Heading1"/>
    <w:next w:val="ListParagraph"/>
    <w:uiPriority w:val="1"/>
    <w:qFormat/>
    <w:rsid w:val="0006267D"/>
    <w:pPr>
      <w:keepNext/>
      <w:keepLines/>
      <w:tabs>
        <w:tab w:val="left" w:pos="1077"/>
      </w:tabs>
      <w:spacing w:before="240" w:after="120"/>
      <w:jc w:val="left"/>
    </w:pPr>
    <w:rPr>
      <w:rFonts w:asciiTheme="minorHAnsi" w:hAnsiTheme="minorHAnsi"/>
      <w:caps w:val="0"/>
      <w:snapToGrid w:val="0"/>
      <w:szCs w:val="32"/>
      <w:lang w:eastAsia="en-US"/>
    </w:rPr>
  </w:style>
  <w:style w:type="paragraph" w:customStyle="1" w:styleId="PBACESHeading2">
    <w:name w:val="PBAC ES Heading 2"/>
    <w:basedOn w:val="Heading2"/>
    <w:uiPriority w:val="1"/>
    <w:qFormat/>
    <w:rsid w:val="0006267D"/>
    <w:pPr>
      <w:keepNext/>
      <w:keepLines/>
      <w:spacing w:before="360" w:after="120"/>
      <w:ind w:left="720" w:hanging="720"/>
      <w:jc w:val="left"/>
    </w:pPr>
    <w:rPr>
      <w:rFonts w:asciiTheme="majorHAnsi" w:eastAsiaTheme="majorEastAsia" w:hAnsiTheme="majorHAnsi" w:cstheme="majorBidi"/>
      <w:snapToGrid w:val="0"/>
      <w:szCs w:val="28"/>
      <w:lang w:eastAsia="en-US"/>
    </w:rPr>
  </w:style>
  <w:style w:type="paragraph" w:customStyle="1" w:styleId="PBACESHeadingCAPS">
    <w:name w:val="PBAC ES Heading CAPS"/>
    <w:basedOn w:val="PBACESHeading2"/>
    <w:uiPriority w:val="1"/>
    <w:qFormat/>
    <w:rsid w:val="0006267D"/>
    <w:rPr>
      <w:i w:val="0"/>
      <w:smallCaps/>
      <w:sz w:val="32"/>
    </w:rPr>
  </w:style>
  <w:style w:type="paragraph" w:customStyle="1" w:styleId="PBACESHeading3">
    <w:name w:val="PBAC ES Heading 3"/>
    <w:basedOn w:val="PBACESHeading2"/>
    <w:uiPriority w:val="1"/>
    <w:qFormat/>
    <w:rsid w:val="0006267D"/>
    <w:pPr>
      <w:ind w:left="1080" w:hanging="1080"/>
    </w:pPr>
    <w:rPr>
      <w:i w:val="0"/>
      <w:sz w:val="24"/>
    </w:rPr>
  </w:style>
  <w:style w:type="paragraph" w:customStyle="1" w:styleId="MSACHeading1">
    <w:name w:val="MSAC Heading 1"/>
    <w:basedOn w:val="Heading1"/>
    <w:next w:val="Normal"/>
    <w:uiPriority w:val="1"/>
    <w:qFormat/>
    <w:rsid w:val="0006267D"/>
    <w:pPr>
      <w:keepNext/>
      <w:keepLines/>
      <w:spacing w:before="160" w:after="240" w:line="259" w:lineRule="auto"/>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06267D"/>
    <w:pPr>
      <w:keepNext/>
      <w:keepLines/>
      <w:spacing w:before="360" w:after="120"/>
      <w:ind w:left="720" w:hanging="720"/>
      <w:jc w:val="left"/>
    </w:pPr>
    <w:rPr>
      <w:rFonts w:ascii="Cambria" w:eastAsiaTheme="majorEastAsia" w:hAnsi="Cambria" w:cstheme="majorBidi"/>
      <w:i w:val="0"/>
      <w:snapToGrid w:val="0"/>
      <w:sz w:val="24"/>
      <w:szCs w:val="28"/>
      <w:lang w:eastAsia="en-US"/>
    </w:rPr>
  </w:style>
  <w:style w:type="paragraph" w:customStyle="1" w:styleId="TableFigNotes18">
    <w:name w:val="TableFigNotes+18"/>
    <w:basedOn w:val="BodyText"/>
    <w:next w:val="BodyText"/>
    <w:link w:val="TableFigNotes18Char"/>
    <w:uiPriority w:val="4"/>
    <w:qFormat/>
    <w:rsid w:val="00397E7E"/>
    <w:pPr>
      <w:keepLines/>
      <w:spacing w:after="240" w:line="276" w:lineRule="auto"/>
      <w:contextualSpacing/>
      <w:jc w:val="both"/>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397E7E"/>
    <w:rPr>
      <w:rFonts w:asciiTheme="minorHAnsi" w:eastAsiaTheme="minorHAnsi" w:hAnsiTheme="minorHAnsi" w:cs="Tahoma"/>
      <w:color w:val="000000"/>
      <w:sz w:val="16"/>
      <w:szCs w:val="18"/>
    </w:rPr>
  </w:style>
  <w:style w:type="table" w:customStyle="1" w:styleId="TableGrid28">
    <w:name w:val="Table Grid28"/>
    <w:basedOn w:val="TableNormal"/>
    <w:next w:val="TableGrid"/>
    <w:uiPriority w:val="59"/>
    <w:rsid w:val="00397E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ntpageTahoma10pt">
    <w:name w:val="Front page Tahoma 10pt"/>
    <w:basedOn w:val="DefaultParagraphFont"/>
    <w:uiPriority w:val="1"/>
    <w:qFormat/>
    <w:rsid w:val="0040474E"/>
    <w:rPr>
      <w:rFonts w:ascii="Tahoma" w:hAnsi="Tahoma" w:cs="Tahoma"/>
      <w:sz w:val="20"/>
    </w:rPr>
  </w:style>
  <w:style w:type="table" w:customStyle="1" w:styleId="TableGrid2">
    <w:name w:val="Table Grid2"/>
    <w:basedOn w:val="TableNormal"/>
    <w:next w:val="TableGrid"/>
    <w:uiPriority w:val="59"/>
    <w:rsid w:val="00915D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
    <w:name w:val="Table text cent"/>
    <w:basedOn w:val="Tabletextleft"/>
    <w:qFormat/>
    <w:rsid w:val="005342C5"/>
    <w:pPr>
      <w:jc w:val="center"/>
    </w:pPr>
    <w:rPr>
      <w:lang w:val="de-DE"/>
    </w:rPr>
  </w:style>
  <w:style w:type="paragraph" w:customStyle="1" w:styleId="Tableheadingcent">
    <w:name w:val="Table heading cent"/>
    <w:basedOn w:val="TableHeadingleft"/>
    <w:qFormat/>
    <w:rsid w:val="005342C5"/>
    <w:pPr>
      <w:jc w:val="center"/>
    </w:pPr>
  </w:style>
  <w:style w:type="paragraph" w:customStyle="1" w:styleId="OutlineHeading2">
    <w:name w:val="Outline Heading 2"/>
    <w:basedOn w:val="Heading2"/>
    <w:link w:val="OutlineHeading2Char"/>
    <w:uiPriority w:val="3"/>
    <w:qFormat/>
    <w:rsid w:val="00945327"/>
    <w:pPr>
      <w:keepNext/>
      <w:keepLines/>
      <w:spacing w:before="360" w:after="120"/>
      <w:jc w:val="left"/>
    </w:pPr>
    <w:rPr>
      <w:rFonts w:ascii="Arial" w:eastAsiaTheme="majorEastAsia" w:hAnsi="Arial" w:cstheme="majorBidi"/>
      <w:snapToGrid w:val="0"/>
      <w:color w:val="000000" w:themeColor="text1"/>
      <w:szCs w:val="28"/>
      <w:lang w:eastAsia="en-US"/>
    </w:rPr>
  </w:style>
  <w:style w:type="character" w:customStyle="1" w:styleId="OutlineHeading2Char">
    <w:name w:val="Outline Heading 2 Char"/>
    <w:basedOn w:val="Heading2Char"/>
    <w:link w:val="OutlineHeading2"/>
    <w:uiPriority w:val="3"/>
    <w:rsid w:val="00945327"/>
    <w:rPr>
      <w:rFonts w:ascii="Arial" w:eastAsiaTheme="majorEastAsia" w:hAnsi="Arial" w:cstheme="majorBidi"/>
      <w:b/>
      <w:i/>
      <w:snapToGrid w:val="0"/>
      <w:color w:val="000000" w:themeColor="text1"/>
      <w:sz w:val="28"/>
      <w:szCs w:val="28"/>
      <w:lang w:eastAsia="en-US"/>
    </w:rPr>
  </w:style>
  <w:style w:type="character" w:customStyle="1" w:styleId="AiC">
    <w:name w:val="AiC"/>
    <w:uiPriority w:val="1"/>
    <w:qFormat/>
    <w:rsid w:val="00360044"/>
    <w:rPr>
      <w:u w:val="single"/>
      <w:bdr w:val="none" w:sz="0" w:space="0" w:color="auto"/>
      <w:shd w:val="clear" w:color="auto" w:fill="FFFF00"/>
    </w:rPr>
  </w:style>
  <w:style w:type="paragraph" w:customStyle="1" w:styleId="TableFigureFooter">
    <w:name w:val="Table/Figure Footer"/>
    <w:basedOn w:val="Normal"/>
    <w:link w:val="TableFigureFooterChar"/>
    <w:qFormat/>
    <w:rsid w:val="00360044"/>
    <w:pPr>
      <w:spacing w:after="120"/>
      <w:contextualSpacing/>
    </w:pPr>
    <w:rPr>
      <w:rFonts w:ascii="Arial Narrow" w:hAnsi="Arial Narrow" w:cs="Times New Roman"/>
      <w:snapToGrid w:val="0"/>
      <w:sz w:val="18"/>
      <w:szCs w:val="22"/>
      <w:lang w:eastAsia="en-US"/>
    </w:rPr>
  </w:style>
  <w:style w:type="character" w:customStyle="1" w:styleId="TableFigureFooterChar">
    <w:name w:val="Table/Figure Footer Char"/>
    <w:link w:val="TableFigureFooter"/>
    <w:rsid w:val="00360044"/>
    <w:rPr>
      <w:rFonts w:ascii="Arial Narrow" w:hAnsi="Arial Narrow"/>
      <w:snapToGrid w:val="0"/>
      <w:sz w:val="18"/>
      <w:szCs w:val="22"/>
      <w:lang w:eastAsia="en-US"/>
    </w:rPr>
  </w:style>
  <w:style w:type="paragraph" w:customStyle="1" w:styleId="TableText1">
    <w:name w:val="TableText"/>
    <w:basedOn w:val="Normal"/>
    <w:link w:val="TableTextChar1"/>
    <w:uiPriority w:val="3"/>
    <w:qFormat/>
    <w:rsid w:val="00360044"/>
    <w:pPr>
      <w:spacing w:before="20" w:after="20"/>
      <w:jc w:val="left"/>
    </w:pPr>
    <w:rPr>
      <w:rFonts w:asciiTheme="minorHAnsi" w:hAnsiTheme="minorHAnsi" w:cs="Calibri"/>
      <w:bCs/>
      <w:sz w:val="20"/>
      <w:szCs w:val="20"/>
      <w:lang w:eastAsia="zh-CN"/>
    </w:rPr>
  </w:style>
  <w:style w:type="character" w:customStyle="1" w:styleId="TableTextChar1">
    <w:name w:val="TableText Char"/>
    <w:basedOn w:val="DefaultParagraphFont"/>
    <w:link w:val="TableText1"/>
    <w:uiPriority w:val="3"/>
    <w:rsid w:val="00360044"/>
    <w:rPr>
      <w:rFonts w:asciiTheme="minorHAnsi" w:hAnsiTheme="minorHAnsi" w:cs="Calibri"/>
      <w:bCs/>
      <w:lang w:eastAsia="zh-CN"/>
    </w:rPr>
  </w:style>
  <w:style w:type="paragraph" w:customStyle="1" w:styleId="BoxHeading">
    <w:name w:val="BoxHeading"/>
    <w:basedOn w:val="BodyText"/>
    <w:link w:val="BoxHeadingChar"/>
    <w:uiPriority w:val="3"/>
    <w:rsid w:val="00360044"/>
    <w:pPr>
      <w:pBdr>
        <w:top w:val="single" w:sz="6" w:space="1" w:color="000000"/>
        <w:left w:val="single" w:sz="6" w:space="4" w:color="000000"/>
        <w:bottom w:val="single" w:sz="6" w:space="1" w:color="000000"/>
        <w:right w:val="single" w:sz="6" w:space="4" w:color="000000"/>
      </w:pBdr>
      <w:tabs>
        <w:tab w:val="left" w:pos="1418"/>
      </w:tabs>
      <w:spacing w:before="120" w:after="120" w:line="276" w:lineRule="auto"/>
      <w:jc w:val="both"/>
    </w:pPr>
    <w:rPr>
      <w:rFonts w:asciiTheme="minorHAnsi" w:eastAsiaTheme="minorHAnsi" w:hAnsiTheme="minorHAnsi" w:cs="Tahoma"/>
      <w:b/>
      <w:bCs/>
      <w:sz w:val="22"/>
      <w:szCs w:val="20"/>
      <w:lang w:eastAsia="en-US"/>
    </w:rPr>
  </w:style>
  <w:style w:type="character" w:customStyle="1" w:styleId="BoxHeadingChar">
    <w:name w:val="BoxHeading Char"/>
    <w:basedOn w:val="DefaultParagraphFont"/>
    <w:link w:val="BoxHeading"/>
    <w:uiPriority w:val="3"/>
    <w:rsid w:val="00360044"/>
    <w:rPr>
      <w:rFonts w:asciiTheme="minorHAnsi" w:eastAsiaTheme="minorHAnsi" w:hAnsiTheme="minorHAnsi" w:cs="Tahoma"/>
      <w:b/>
      <w:bCs/>
      <w:sz w:val="22"/>
      <w:lang w:eastAsia="en-US"/>
    </w:rPr>
  </w:style>
  <w:style w:type="paragraph" w:customStyle="1" w:styleId="Tablebullet">
    <w:name w:val="Table bullet"/>
    <w:basedOn w:val="Normal"/>
    <w:qFormat/>
    <w:rsid w:val="00360044"/>
    <w:pPr>
      <w:numPr>
        <w:numId w:val="9"/>
      </w:numPr>
      <w:spacing w:before="40" w:after="40"/>
      <w:ind w:left="357" w:hanging="357"/>
      <w:contextualSpacing/>
      <w:jc w:val="left"/>
    </w:pPr>
    <w:rPr>
      <w:rFonts w:ascii="Arial" w:hAnsi="Arial" w:cs="Times New Roman"/>
      <w:color w:val="1F497D"/>
      <w:sz w:val="20"/>
      <w:szCs w:val="18"/>
      <w:lang w:val="en-GB" w:eastAsia="en-GB"/>
    </w:rPr>
  </w:style>
  <w:style w:type="paragraph" w:customStyle="1" w:styleId="TableSub-bullets">
    <w:name w:val="Table Sub-bullets"/>
    <w:basedOn w:val="Tablebullet"/>
    <w:qFormat/>
    <w:rsid w:val="00360044"/>
    <w:pPr>
      <w:numPr>
        <w:ilvl w:val="1"/>
      </w:numPr>
      <w:spacing w:after="0"/>
      <w:ind w:left="737" w:hanging="227"/>
    </w:pPr>
    <w:rPr>
      <w:rFonts w:eastAsia="SimSun"/>
      <w:lang w:val="en-US"/>
    </w:rPr>
  </w:style>
  <w:style w:type="character" w:customStyle="1" w:styleId="UnresolvedMention1">
    <w:name w:val="Unresolved Mention1"/>
    <w:basedOn w:val="DefaultParagraphFont"/>
    <w:uiPriority w:val="99"/>
    <w:semiHidden/>
    <w:unhideWhenUsed/>
    <w:rsid w:val="00360044"/>
    <w:rPr>
      <w:color w:val="605E5C"/>
      <w:shd w:val="clear" w:color="auto" w:fill="E1DFDD"/>
    </w:rPr>
  </w:style>
  <w:style w:type="paragraph" w:customStyle="1" w:styleId="TableFigNotes0">
    <w:name w:val="TableFigNotes+0"/>
    <w:basedOn w:val="Normal"/>
    <w:uiPriority w:val="4"/>
    <w:qFormat/>
    <w:rsid w:val="00360044"/>
    <w:pPr>
      <w:keepNext/>
      <w:keepLines/>
      <w:jc w:val="left"/>
    </w:pPr>
    <w:rPr>
      <w:rFonts w:asciiTheme="minorHAnsi" w:hAnsiTheme="minorHAnsi" w:cs="Tahoma"/>
      <w:color w:val="000000"/>
      <w:sz w:val="16"/>
      <w:szCs w:val="18"/>
      <w:lang w:val="en-US" w:eastAsia="en-US"/>
    </w:rPr>
  </w:style>
  <w:style w:type="paragraph" w:customStyle="1" w:styleId="TableHeading0">
    <w:name w:val="Table Heading"/>
    <w:basedOn w:val="TableText0"/>
    <w:link w:val="TableHeadingChar"/>
    <w:qFormat/>
    <w:rsid w:val="00360044"/>
    <w:pPr>
      <w:keepLines/>
      <w:spacing w:before="20" w:after="20" w:line="276" w:lineRule="auto"/>
    </w:pPr>
    <w:rPr>
      <w:rFonts w:cs="Arial"/>
      <w:b/>
      <w:bCs w:val="0"/>
      <w:szCs w:val="20"/>
      <w:lang w:bidi="en-US"/>
    </w:rPr>
  </w:style>
  <w:style w:type="character" w:customStyle="1" w:styleId="TableHeadingChar">
    <w:name w:val="Table Heading Char"/>
    <w:basedOn w:val="DefaultParagraphFont"/>
    <w:link w:val="TableHeading0"/>
    <w:locked/>
    <w:rsid w:val="00360044"/>
    <w:rPr>
      <w:rFonts w:ascii="Arial Narrow" w:eastAsiaTheme="majorEastAsia" w:hAnsi="Arial Narrow" w:cs="Arial"/>
      <w:b/>
      <w:lang w:bidi="en-US"/>
    </w:rPr>
  </w:style>
  <w:style w:type="character" w:customStyle="1" w:styleId="Small">
    <w:name w:val="Small"/>
    <w:basedOn w:val="DefaultParagraphFont"/>
    <w:uiPriority w:val="4"/>
    <w:qFormat/>
    <w:rsid w:val="00A33D2A"/>
    <w:rPr>
      <w:rFonts w:ascii="Calibri" w:hAnsi="Calibri"/>
      <w:b w:val="0"/>
      <w:sz w:val="20"/>
    </w:rPr>
  </w:style>
  <w:style w:type="paragraph" w:customStyle="1" w:styleId="TableTextCentred">
    <w:name w:val="Table Text (Centred)"/>
    <w:basedOn w:val="Normal"/>
    <w:link w:val="TableTextCentredChar"/>
    <w:qFormat/>
    <w:rsid w:val="00457C09"/>
    <w:pPr>
      <w:spacing w:before="40" w:after="40"/>
      <w:jc w:val="center"/>
    </w:pPr>
    <w:rPr>
      <w:rFonts w:ascii="Arial" w:eastAsia="SimSun" w:hAnsi="Arial"/>
      <w:color w:val="1F497D"/>
      <w:sz w:val="20"/>
      <w:szCs w:val="20"/>
      <w:lang w:val="en-GB" w:eastAsia="en-GB"/>
    </w:rPr>
  </w:style>
  <w:style w:type="character" w:customStyle="1" w:styleId="TableTextCentredChar">
    <w:name w:val="Table Text (Centred) Char"/>
    <w:basedOn w:val="DefaultParagraphFont"/>
    <w:link w:val="TableTextCentred"/>
    <w:locked/>
    <w:rsid w:val="00457C09"/>
    <w:rPr>
      <w:rFonts w:ascii="Arial" w:eastAsia="SimSun" w:hAnsi="Arial" w:cs="Arial"/>
      <w:color w:val="1F497D"/>
      <w:lang w:val="en-GB" w:eastAsia="en-GB"/>
    </w:rPr>
  </w:style>
  <w:style w:type="character" w:customStyle="1" w:styleId="UnresolvedMention2">
    <w:name w:val="Unresolved Mention2"/>
    <w:basedOn w:val="DefaultParagraphFont"/>
    <w:uiPriority w:val="99"/>
    <w:semiHidden/>
    <w:unhideWhenUsed/>
    <w:rsid w:val="001A4E62"/>
    <w:rPr>
      <w:color w:val="605E5C"/>
      <w:shd w:val="clear" w:color="auto" w:fill="E1DFDD"/>
    </w:rPr>
  </w:style>
  <w:style w:type="paragraph" w:styleId="EndnoteText">
    <w:name w:val="endnote text"/>
    <w:basedOn w:val="Normal"/>
    <w:link w:val="EndnoteTextChar"/>
    <w:semiHidden/>
    <w:unhideWhenUsed/>
    <w:rsid w:val="001A4E62"/>
    <w:rPr>
      <w:sz w:val="20"/>
      <w:szCs w:val="20"/>
    </w:rPr>
  </w:style>
  <w:style w:type="character" w:customStyle="1" w:styleId="EndnoteTextChar">
    <w:name w:val="Endnote Text Char"/>
    <w:basedOn w:val="DefaultParagraphFont"/>
    <w:link w:val="EndnoteText"/>
    <w:semiHidden/>
    <w:rsid w:val="001A4E62"/>
    <w:rPr>
      <w:rFonts w:ascii="Calibri" w:hAnsi="Calibri" w:cs="Arial"/>
    </w:rPr>
  </w:style>
  <w:style w:type="character" w:styleId="EndnoteReference">
    <w:name w:val="endnote reference"/>
    <w:basedOn w:val="DefaultParagraphFont"/>
    <w:semiHidden/>
    <w:unhideWhenUsed/>
    <w:rsid w:val="001A4E62"/>
    <w:rPr>
      <w:vertAlign w:val="superscript"/>
    </w:rPr>
  </w:style>
  <w:style w:type="character" w:styleId="PlaceholderText">
    <w:name w:val="Placeholder Text"/>
    <w:basedOn w:val="DefaultParagraphFont"/>
    <w:uiPriority w:val="99"/>
    <w:semiHidden/>
    <w:rsid w:val="001A4E62"/>
    <w:rPr>
      <w:color w:val="808080"/>
    </w:rPr>
  </w:style>
  <w:style w:type="paragraph" w:customStyle="1" w:styleId="msonormal0">
    <w:name w:val="msonormal"/>
    <w:basedOn w:val="Normal"/>
    <w:uiPriority w:val="99"/>
    <w:rsid w:val="004057FE"/>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4057FE"/>
    <w:rPr>
      <w:rFonts w:ascii="Calibri" w:hAnsi="Calibri" w:cs="Arial"/>
      <w:sz w:val="24"/>
      <w:szCs w:val="24"/>
    </w:rPr>
  </w:style>
  <w:style w:type="paragraph" w:customStyle="1" w:styleId="EndNoteBibliographyTitle">
    <w:name w:val="EndNote Bibliography Title"/>
    <w:basedOn w:val="Normal"/>
    <w:link w:val="EndNoteBibliographyTitleChar"/>
    <w:rsid w:val="008B4E3D"/>
    <w:pPr>
      <w:jc w:val="center"/>
    </w:pPr>
    <w:rPr>
      <w:rFonts w:cs="Calibri"/>
      <w:noProof/>
    </w:rPr>
  </w:style>
  <w:style w:type="character" w:customStyle="1" w:styleId="EndNoteBibliographyTitleChar">
    <w:name w:val="EndNote Bibliography Title Char"/>
    <w:basedOn w:val="TabletextleftChar"/>
    <w:link w:val="EndNoteBibliographyTitle"/>
    <w:rsid w:val="008B4E3D"/>
    <w:rPr>
      <w:rFonts w:ascii="Calibri" w:hAnsi="Calibri" w:cs="Calibri"/>
      <w:noProof/>
      <w:sz w:val="24"/>
      <w:szCs w:val="24"/>
    </w:rPr>
  </w:style>
  <w:style w:type="paragraph" w:customStyle="1" w:styleId="EndNoteBibliography">
    <w:name w:val="EndNote Bibliography"/>
    <w:basedOn w:val="Normal"/>
    <w:link w:val="EndNoteBibliographyChar"/>
    <w:rsid w:val="008B4E3D"/>
    <w:rPr>
      <w:rFonts w:cs="Calibri"/>
      <w:noProof/>
    </w:rPr>
  </w:style>
  <w:style w:type="character" w:customStyle="1" w:styleId="EndNoteBibliographyChar">
    <w:name w:val="EndNote Bibliography Char"/>
    <w:basedOn w:val="TabletextleftChar"/>
    <w:link w:val="EndNoteBibliography"/>
    <w:rsid w:val="008B4E3D"/>
    <w:rPr>
      <w:rFonts w:ascii="Calibri" w:hAnsi="Calibri" w:cs="Calibri"/>
      <w:noProof/>
      <w:sz w:val="24"/>
      <w:szCs w:val="24"/>
    </w:rPr>
  </w:style>
  <w:style w:type="character" w:customStyle="1" w:styleId="UnresolvedMention3">
    <w:name w:val="Unresolved Mention3"/>
    <w:basedOn w:val="DefaultParagraphFont"/>
    <w:uiPriority w:val="99"/>
    <w:semiHidden/>
    <w:unhideWhenUsed/>
    <w:rsid w:val="008B4E3D"/>
    <w:rPr>
      <w:color w:val="605E5C"/>
      <w:shd w:val="clear" w:color="auto" w:fill="E1DFDD"/>
    </w:rPr>
  </w:style>
  <w:style w:type="character" w:customStyle="1" w:styleId="UnresolvedMention4">
    <w:name w:val="Unresolved Mention4"/>
    <w:basedOn w:val="DefaultParagraphFont"/>
    <w:uiPriority w:val="99"/>
    <w:semiHidden/>
    <w:unhideWhenUsed/>
    <w:rsid w:val="0061779B"/>
    <w:rPr>
      <w:color w:val="605E5C"/>
      <w:shd w:val="clear" w:color="auto" w:fill="E1DFDD"/>
    </w:rPr>
  </w:style>
  <w:style w:type="paragraph" w:customStyle="1" w:styleId="xxmsolistparagraph">
    <w:name w:val="x_xmsolistparagraph"/>
    <w:basedOn w:val="Normal"/>
    <w:rsid w:val="0034317E"/>
    <w:pPr>
      <w:ind w:left="720"/>
      <w:jc w:val="left"/>
    </w:pPr>
    <w:rPr>
      <w:rFonts w:eastAsiaTheme="minorHAnsi" w:cs="Calibri"/>
      <w:sz w:val="22"/>
      <w:szCs w:val="22"/>
    </w:rPr>
  </w:style>
  <w:style w:type="character" w:styleId="UnresolvedMention">
    <w:name w:val="Unresolved Mention"/>
    <w:basedOn w:val="DefaultParagraphFont"/>
    <w:uiPriority w:val="99"/>
    <w:semiHidden/>
    <w:unhideWhenUsed/>
    <w:rsid w:val="00320E7F"/>
    <w:rPr>
      <w:color w:val="605E5C"/>
      <w:shd w:val="clear" w:color="auto" w:fill="E1DFDD"/>
    </w:rPr>
  </w:style>
  <w:style w:type="character" w:customStyle="1" w:styleId="cf01">
    <w:name w:val="cf01"/>
    <w:basedOn w:val="DefaultParagraphFont"/>
    <w:rsid w:val="002003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3642856">
      <w:bodyDiv w:val="1"/>
      <w:marLeft w:val="0"/>
      <w:marRight w:val="0"/>
      <w:marTop w:val="0"/>
      <w:marBottom w:val="0"/>
      <w:divBdr>
        <w:top w:val="none" w:sz="0" w:space="0" w:color="auto"/>
        <w:left w:val="none" w:sz="0" w:space="0" w:color="auto"/>
        <w:bottom w:val="none" w:sz="0" w:space="0" w:color="auto"/>
        <w:right w:val="none" w:sz="0" w:space="0" w:color="auto"/>
      </w:divBdr>
      <w:divsChild>
        <w:div w:id="97070257">
          <w:marLeft w:val="360"/>
          <w:marRight w:val="0"/>
          <w:marTop w:val="200"/>
          <w:marBottom w:val="0"/>
          <w:divBdr>
            <w:top w:val="none" w:sz="0" w:space="0" w:color="auto"/>
            <w:left w:val="none" w:sz="0" w:space="0" w:color="auto"/>
            <w:bottom w:val="none" w:sz="0" w:space="0" w:color="auto"/>
            <w:right w:val="none" w:sz="0" w:space="0" w:color="auto"/>
          </w:divBdr>
        </w:div>
        <w:div w:id="762528661">
          <w:marLeft w:val="360"/>
          <w:marRight w:val="0"/>
          <w:marTop w:val="200"/>
          <w:marBottom w:val="0"/>
          <w:divBdr>
            <w:top w:val="none" w:sz="0" w:space="0" w:color="auto"/>
            <w:left w:val="none" w:sz="0" w:space="0" w:color="auto"/>
            <w:bottom w:val="none" w:sz="0" w:space="0" w:color="auto"/>
            <w:right w:val="none" w:sz="0" w:space="0" w:color="auto"/>
          </w:divBdr>
        </w:div>
        <w:div w:id="952906247">
          <w:marLeft w:val="1080"/>
          <w:marRight w:val="0"/>
          <w:marTop w:val="100"/>
          <w:marBottom w:val="0"/>
          <w:divBdr>
            <w:top w:val="none" w:sz="0" w:space="0" w:color="auto"/>
            <w:left w:val="none" w:sz="0" w:space="0" w:color="auto"/>
            <w:bottom w:val="none" w:sz="0" w:space="0" w:color="auto"/>
            <w:right w:val="none" w:sz="0" w:space="0" w:color="auto"/>
          </w:divBdr>
        </w:div>
        <w:div w:id="1459109749">
          <w:marLeft w:val="1080"/>
          <w:marRight w:val="0"/>
          <w:marTop w:val="100"/>
          <w:marBottom w:val="0"/>
          <w:divBdr>
            <w:top w:val="none" w:sz="0" w:space="0" w:color="auto"/>
            <w:left w:val="none" w:sz="0" w:space="0" w:color="auto"/>
            <w:bottom w:val="none" w:sz="0" w:space="0" w:color="auto"/>
            <w:right w:val="none" w:sz="0" w:space="0" w:color="auto"/>
          </w:divBdr>
        </w:div>
        <w:div w:id="1856920018">
          <w:marLeft w:val="360"/>
          <w:marRight w:val="0"/>
          <w:marTop w:val="200"/>
          <w:marBottom w:val="0"/>
          <w:divBdr>
            <w:top w:val="none" w:sz="0" w:space="0" w:color="auto"/>
            <w:left w:val="none" w:sz="0" w:space="0" w:color="auto"/>
            <w:bottom w:val="none" w:sz="0" w:space="0" w:color="auto"/>
            <w:right w:val="none" w:sz="0" w:space="0" w:color="auto"/>
          </w:divBdr>
        </w:div>
      </w:divsChild>
    </w:div>
    <w:div w:id="133910783">
      <w:bodyDiv w:val="1"/>
      <w:marLeft w:val="0"/>
      <w:marRight w:val="0"/>
      <w:marTop w:val="0"/>
      <w:marBottom w:val="0"/>
      <w:divBdr>
        <w:top w:val="none" w:sz="0" w:space="0" w:color="auto"/>
        <w:left w:val="none" w:sz="0" w:space="0" w:color="auto"/>
        <w:bottom w:val="none" w:sz="0" w:space="0" w:color="auto"/>
        <w:right w:val="none" w:sz="0" w:space="0" w:color="auto"/>
      </w:divBdr>
      <w:divsChild>
        <w:div w:id="174079277">
          <w:marLeft w:val="360"/>
          <w:marRight w:val="0"/>
          <w:marTop w:val="200"/>
          <w:marBottom w:val="0"/>
          <w:divBdr>
            <w:top w:val="none" w:sz="0" w:space="0" w:color="auto"/>
            <w:left w:val="none" w:sz="0" w:space="0" w:color="auto"/>
            <w:bottom w:val="none" w:sz="0" w:space="0" w:color="auto"/>
            <w:right w:val="none" w:sz="0" w:space="0" w:color="auto"/>
          </w:divBdr>
        </w:div>
      </w:divsChild>
    </w:div>
    <w:div w:id="154537775">
      <w:bodyDiv w:val="1"/>
      <w:marLeft w:val="0"/>
      <w:marRight w:val="0"/>
      <w:marTop w:val="0"/>
      <w:marBottom w:val="0"/>
      <w:divBdr>
        <w:top w:val="none" w:sz="0" w:space="0" w:color="auto"/>
        <w:left w:val="none" w:sz="0" w:space="0" w:color="auto"/>
        <w:bottom w:val="none" w:sz="0" w:space="0" w:color="auto"/>
        <w:right w:val="none" w:sz="0" w:space="0" w:color="auto"/>
      </w:divBdr>
    </w:div>
    <w:div w:id="229847662">
      <w:bodyDiv w:val="1"/>
      <w:marLeft w:val="0"/>
      <w:marRight w:val="0"/>
      <w:marTop w:val="0"/>
      <w:marBottom w:val="0"/>
      <w:divBdr>
        <w:top w:val="none" w:sz="0" w:space="0" w:color="auto"/>
        <w:left w:val="none" w:sz="0" w:space="0" w:color="auto"/>
        <w:bottom w:val="none" w:sz="0" w:space="0" w:color="auto"/>
        <w:right w:val="none" w:sz="0" w:space="0" w:color="auto"/>
      </w:divBdr>
    </w:div>
    <w:div w:id="25363087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88407015">
      <w:bodyDiv w:val="1"/>
      <w:marLeft w:val="0"/>
      <w:marRight w:val="0"/>
      <w:marTop w:val="0"/>
      <w:marBottom w:val="0"/>
      <w:divBdr>
        <w:top w:val="none" w:sz="0" w:space="0" w:color="auto"/>
        <w:left w:val="none" w:sz="0" w:space="0" w:color="auto"/>
        <w:bottom w:val="none" w:sz="0" w:space="0" w:color="auto"/>
        <w:right w:val="none" w:sz="0" w:space="0" w:color="auto"/>
      </w:divBdr>
    </w:div>
    <w:div w:id="655837888">
      <w:bodyDiv w:val="1"/>
      <w:marLeft w:val="0"/>
      <w:marRight w:val="0"/>
      <w:marTop w:val="0"/>
      <w:marBottom w:val="0"/>
      <w:divBdr>
        <w:top w:val="none" w:sz="0" w:space="0" w:color="auto"/>
        <w:left w:val="none" w:sz="0" w:space="0" w:color="auto"/>
        <w:bottom w:val="none" w:sz="0" w:space="0" w:color="auto"/>
        <w:right w:val="none" w:sz="0" w:space="0" w:color="auto"/>
      </w:divBdr>
    </w:div>
    <w:div w:id="713770489">
      <w:bodyDiv w:val="1"/>
      <w:marLeft w:val="0"/>
      <w:marRight w:val="0"/>
      <w:marTop w:val="0"/>
      <w:marBottom w:val="0"/>
      <w:divBdr>
        <w:top w:val="none" w:sz="0" w:space="0" w:color="auto"/>
        <w:left w:val="none" w:sz="0" w:space="0" w:color="auto"/>
        <w:bottom w:val="none" w:sz="0" w:space="0" w:color="auto"/>
        <w:right w:val="none" w:sz="0" w:space="0" w:color="auto"/>
      </w:divBdr>
    </w:div>
    <w:div w:id="82628408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41173457">
      <w:bodyDiv w:val="1"/>
      <w:marLeft w:val="0"/>
      <w:marRight w:val="0"/>
      <w:marTop w:val="0"/>
      <w:marBottom w:val="0"/>
      <w:divBdr>
        <w:top w:val="none" w:sz="0" w:space="0" w:color="auto"/>
        <w:left w:val="none" w:sz="0" w:space="0" w:color="auto"/>
        <w:bottom w:val="none" w:sz="0" w:space="0" w:color="auto"/>
        <w:right w:val="none" w:sz="0" w:space="0" w:color="auto"/>
      </w:divBdr>
      <w:divsChild>
        <w:div w:id="1372614127">
          <w:marLeft w:val="446"/>
          <w:marRight w:val="0"/>
          <w:marTop w:val="0"/>
          <w:marBottom w:val="0"/>
          <w:divBdr>
            <w:top w:val="none" w:sz="0" w:space="0" w:color="auto"/>
            <w:left w:val="none" w:sz="0" w:space="0" w:color="auto"/>
            <w:bottom w:val="none" w:sz="0" w:space="0" w:color="auto"/>
            <w:right w:val="none" w:sz="0" w:space="0" w:color="auto"/>
          </w:divBdr>
        </w:div>
        <w:div w:id="260721754">
          <w:marLeft w:val="446"/>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61007380">
      <w:bodyDiv w:val="1"/>
      <w:marLeft w:val="0"/>
      <w:marRight w:val="0"/>
      <w:marTop w:val="0"/>
      <w:marBottom w:val="0"/>
      <w:divBdr>
        <w:top w:val="none" w:sz="0" w:space="0" w:color="auto"/>
        <w:left w:val="none" w:sz="0" w:space="0" w:color="auto"/>
        <w:bottom w:val="none" w:sz="0" w:space="0" w:color="auto"/>
        <w:right w:val="none" w:sz="0" w:space="0" w:color="auto"/>
      </w:divBdr>
      <w:divsChild>
        <w:div w:id="46539666">
          <w:marLeft w:val="1166"/>
          <w:marRight w:val="0"/>
          <w:marTop w:val="0"/>
          <w:marBottom w:val="0"/>
          <w:divBdr>
            <w:top w:val="none" w:sz="0" w:space="0" w:color="auto"/>
            <w:left w:val="none" w:sz="0" w:space="0" w:color="auto"/>
            <w:bottom w:val="none" w:sz="0" w:space="0" w:color="auto"/>
            <w:right w:val="none" w:sz="0" w:space="0" w:color="auto"/>
          </w:divBdr>
        </w:div>
        <w:div w:id="636760518">
          <w:marLeft w:val="1166"/>
          <w:marRight w:val="0"/>
          <w:marTop w:val="0"/>
          <w:marBottom w:val="0"/>
          <w:divBdr>
            <w:top w:val="none" w:sz="0" w:space="0" w:color="auto"/>
            <w:left w:val="none" w:sz="0" w:space="0" w:color="auto"/>
            <w:bottom w:val="none" w:sz="0" w:space="0" w:color="auto"/>
            <w:right w:val="none" w:sz="0" w:space="0" w:color="auto"/>
          </w:divBdr>
        </w:div>
        <w:div w:id="744038247">
          <w:marLeft w:val="446"/>
          <w:marRight w:val="0"/>
          <w:marTop w:val="0"/>
          <w:marBottom w:val="0"/>
          <w:divBdr>
            <w:top w:val="none" w:sz="0" w:space="0" w:color="auto"/>
            <w:left w:val="none" w:sz="0" w:space="0" w:color="auto"/>
            <w:bottom w:val="none" w:sz="0" w:space="0" w:color="auto"/>
            <w:right w:val="none" w:sz="0" w:space="0" w:color="auto"/>
          </w:divBdr>
        </w:div>
        <w:div w:id="781607840">
          <w:marLeft w:val="446"/>
          <w:marRight w:val="0"/>
          <w:marTop w:val="0"/>
          <w:marBottom w:val="0"/>
          <w:divBdr>
            <w:top w:val="none" w:sz="0" w:space="0" w:color="auto"/>
            <w:left w:val="none" w:sz="0" w:space="0" w:color="auto"/>
            <w:bottom w:val="none" w:sz="0" w:space="0" w:color="auto"/>
            <w:right w:val="none" w:sz="0" w:space="0" w:color="auto"/>
          </w:divBdr>
        </w:div>
        <w:div w:id="906375484">
          <w:marLeft w:val="1886"/>
          <w:marRight w:val="0"/>
          <w:marTop w:val="0"/>
          <w:marBottom w:val="0"/>
          <w:divBdr>
            <w:top w:val="none" w:sz="0" w:space="0" w:color="auto"/>
            <w:left w:val="none" w:sz="0" w:space="0" w:color="auto"/>
            <w:bottom w:val="none" w:sz="0" w:space="0" w:color="auto"/>
            <w:right w:val="none" w:sz="0" w:space="0" w:color="auto"/>
          </w:divBdr>
        </w:div>
        <w:div w:id="1117143740">
          <w:marLeft w:val="1886"/>
          <w:marRight w:val="0"/>
          <w:marTop w:val="0"/>
          <w:marBottom w:val="0"/>
          <w:divBdr>
            <w:top w:val="none" w:sz="0" w:space="0" w:color="auto"/>
            <w:left w:val="none" w:sz="0" w:space="0" w:color="auto"/>
            <w:bottom w:val="none" w:sz="0" w:space="0" w:color="auto"/>
            <w:right w:val="none" w:sz="0" w:space="0" w:color="auto"/>
          </w:divBdr>
        </w:div>
        <w:div w:id="1134373290">
          <w:marLeft w:val="446"/>
          <w:marRight w:val="0"/>
          <w:marTop w:val="0"/>
          <w:marBottom w:val="0"/>
          <w:divBdr>
            <w:top w:val="none" w:sz="0" w:space="0" w:color="auto"/>
            <w:left w:val="none" w:sz="0" w:space="0" w:color="auto"/>
            <w:bottom w:val="none" w:sz="0" w:space="0" w:color="auto"/>
            <w:right w:val="none" w:sz="0" w:space="0" w:color="auto"/>
          </w:divBdr>
        </w:div>
        <w:div w:id="1245072133">
          <w:marLeft w:val="446"/>
          <w:marRight w:val="0"/>
          <w:marTop w:val="0"/>
          <w:marBottom w:val="0"/>
          <w:divBdr>
            <w:top w:val="none" w:sz="0" w:space="0" w:color="auto"/>
            <w:left w:val="none" w:sz="0" w:space="0" w:color="auto"/>
            <w:bottom w:val="none" w:sz="0" w:space="0" w:color="auto"/>
            <w:right w:val="none" w:sz="0" w:space="0" w:color="auto"/>
          </w:divBdr>
        </w:div>
        <w:div w:id="2135371334">
          <w:marLeft w:val="446"/>
          <w:marRight w:val="0"/>
          <w:marTop w:val="0"/>
          <w:marBottom w:val="0"/>
          <w:divBdr>
            <w:top w:val="none" w:sz="0" w:space="0" w:color="auto"/>
            <w:left w:val="none" w:sz="0" w:space="0" w:color="auto"/>
            <w:bottom w:val="none" w:sz="0" w:space="0" w:color="auto"/>
            <w:right w:val="none" w:sz="0" w:space="0" w:color="auto"/>
          </w:divBdr>
        </w:div>
      </w:divsChild>
    </w:div>
    <w:div w:id="181090159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3535598">
      <w:bodyDiv w:val="1"/>
      <w:marLeft w:val="0"/>
      <w:marRight w:val="0"/>
      <w:marTop w:val="0"/>
      <w:marBottom w:val="0"/>
      <w:divBdr>
        <w:top w:val="none" w:sz="0" w:space="0" w:color="auto"/>
        <w:left w:val="none" w:sz="0" w:space="0" w:color="auto"/>
        <w:bottom w:val="none" w:sz="0" w:space="0" w:color="auto"/>
        <w:right w:val="none" w:sz="0" w:space="0" w:color="auto"/>
      </w:divBdr>
      <w:divsChild>
        <w:div w:id="1429156769">
          <w:marLeft w:val="446"/>
          <w:marRight w:val="0"/>
          <w:marTop w:val="0"/>
          <w:marBottom w:val="0"/>
          <w:divBdr>
            <w:top w:val="none" w:sz="0" w:space="0" w:color="auto"/>
            <w:left w:val="none" w:sz="0" w:space="0" w:color="auto"/>
            <w:bottom w:val="none" w:sz="0" w:space="0" w:color="auto"/>
            <w:right w:val="none" w:sz="0" w:space="0" w:color="auto"/>
          </w:divBdr>
        </w:div>
        <w:div w:id="628973664">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eviq.org.au/medical-oncology/respiratory/non-small-cell-lung-cance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cancer/cancer-data-in-australia/contents/cancer-summary-data-visual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432B-FB65-4241-B3B2-231DF33C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19825</Words>
  <Characters>113004</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2023-10-31T04:33:00Z</dcterms:created>
  <dcterms:modified xsi:type="dcterms:W3CDTF">2023-11-06T23:59:00Z</dcterms:modified>
</cp:coreProperties>
</file>