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4F8E40FA" w:rsidR="00872E8F" w:rsidRPr="007A5C88" w:rsidRDefault="00B30E62" w:rsidP="008C3377">
      <w:pPr>
        <w:pStyle w:val="1MainTitle"/>
        <w:ind w:left="1134" w:hanging="1134"/>
        <w:jc w:val="left"/>
      </w:pPr>
      <w:r>
        <w:t>5.17</w:t>
      </w:r>
      <w:r w:rsidR="008073B7">
        <w:tab/>
      </w:r>
      <w:r w:rsidR="00820AC6">
        <w:t>POMALIDOMIDE</w:t>
      </w:r>
      <w:r w:rsidR="70971A32">
        <w:t>,</w:t>
      </w:r>
      <w:r w:rsidR="008073B7">
        <w:br/>
      </w:r>
      <w:r w:rsidR="00820AC6">
        <w:t>Capsule 1 mg</w:t>
      </w:r>
      <w:r w:rsidR="00864E1C">
        <w:t>,</w:t>
      </w:r>
      <w:r w:rsidR="008073B7">
        <w:br/>
      </w:r>
      <w:r w:rsidR="00820AC6">
        <w:t>Capsule 2 mg</w:t>
      </w:r>
      <w:r w:rsidR="008073B7">
        <w:t>,</w:t>
      </w:r>
      <w:r w:rsidR="00872E8F">
        <w:br/>
      </w:r>
      <w:r w:rsidR="00820AC6">
        <w:t>Pomolide</w:t>
      </w:r>
      <w:r w:rsidR="00820AC6" w:rsidRPr="00820AC6">
        <w:rPr>
          <w:vertAlign w:val="superscript"/>
        </w:rPr>
        <w:t>TM</w:t>
      </w:r>
      <w:r w:rsidR="70971A32">
        <w:t>,</w:t>
      </w:r>
      <w:r w:rsidR="00872E8F">
        <w:br/>
      </w:r>
      <w:r w:rsidR="008073B7" w:rsidRPr="00820AC6">
        <w:t>Juno Pharmaceuticals Pty Ltd</w:t>
      </w:r>
    </w:p>
    <w:p w14:paraId="5F4D54C1" w14:textId="2FB865D8" w:rsidR="00E11F44" w:rsidRPr="00E11F44" w:rsidRDefault="007E490F" w:rsidP="008C3377">
      <w:pPr>
        <w:pStyle w:val="2-SectionHeading"/>
        <w:jc w:val="both"/>
        <w:rPr>
          <w:rFonts w:cstheme="minorHAnsi"/>
          <w:color w:val="FF0000"/>
        </w:rPr>
      </w:pPr>
      <w:r w:rsidRPr="0033263D">
        <w:t xml:space="preserve">Purpose of </w:t>
      </w:r>
      <w:r w:rsidR="00FA0B04">
        <w:t>Submission</w:t>
      </w:r>
    </w:p>
    <w:p w14:paraId="50FAB4A3" w14:textId="0BCE0B3A" w:rsidR="007E490F" w:rsidRPr="00F35D69" w:rsidRDefault="006C6C10" w:rsidP="005A0504">
      <w:pPr>
        <w:pStyle w:val="3Bodytext"/>
        <w:jc w:val="both"/>
      </w:pPr>
      <w:r w:rsidRPr="00EF4580">
        <w:rPr>
          <w:szCs w:val="24"/>
        </w:rPr>
        <w:t xml:space="preserve">The </w:t>
      </w:r>
      <w:r w:rsidRPr="00EE18DE">
        <w:rPr>
          <w:szCs w:val="24"/>
        </w:rPr>
        <w:t xml:space="preserve">Category </w:t>
      </w:r>
      <w:r w:rsidR="00411A06" w:rsidRPr="00EE18DE">
        <w:rPr>
          <w:szCs w:val="24"/>
        </w:rPr>
        <w:t>4</w:t>
      </w:r>
      <w:r w:rsidRPr="00EE18DE">
        <w:rPr>
          <w:szCs w:val="24"/>
        </w:rPr>
        <w:t xml:space="preserve"> submission</w:t>
      </w:r>
      <w:r w:rsidR="00411A06" w:rsidRPr="00EE18DE">
        <w:t xml:space="preserve"> </w:t>
      </w:r>
      <w:r w:rsidR="00244BEC">
        <w:rPr>
          <w:szCs w:val="24"/>
        </w:rPr>
        <w:t>requested</w:t>
      </w:r>
      <w:r w:rsidRPr="00EF4580">
        <w:rPr>
          <w:szCs w:val="24"/>
        </w:rPr>
        <w:t xml:space="preserve"> </w:t>
      </w:r>
      <w:r w:rsidR="001937FE">
        <w:t xml:space="preserve">Section 100 (Highly Specialised Drugs Program) Authority Required Pharmaceutical Benefits Scheme (PBS) listings of new forms of pomalidomide (capsule 1 mg, capsule 2 mg; </w:t>
      </w:r>
      <w:r w:rsidR="001937FE" w:rsidRPr="005C4B20">
        <w:t>Pomolide</w:t>
      </w:r>
      <w:r w:rsidR="001937FE">
        <w:t xml:space="preserve">™) for the treatment of multiple myeloma under the same conditions as the currently listed forms of pomalidomide. </w:t>
      </w:r>
      <w:r w:rsidR="00411A06" w:rsidRPr="005C4B20">
        <w:t xml:space="preserve"> </w:t>
      </w:r>
    </w:p>
    <w:p w14:paraId="27466AF7" w14:textId="7A915B9A" w:rsidR="00F35D69" w:rsidRPr="00F35D69" w:rsidRDefault="007E490F" w:rsidP="008C3377">
      <w:pPr>
        <w:pStyle w:val="2-SectionHeading"/>
        <w:jc w:val="both"/>
      </w:pPr>
      <w:r w:rsidRPr="009E2E8E">
        <w:t>Background</w:t>
      </w:r>
    </w:p>
    <w:p w14:paraId="669BEA6F" w14:textId="1F8518C8" w:rsidR="00F35D69" w:rsidRDefault="0089535A" w:rsidP="005A0504">
      <w:pPr>
        <w:pStyle w:val="3Bodytext"/>
        <w:jc w:val="both"/>
        <w:rPr>
          <w:color w:val="000000" w:themeColor="text1"/>
        </w:rPr>
      </w:pPr>
      <w:r w:rsidRPr="00F35D69">
        <w:rPr>
          <w:rFonts w:cstheme="minorHAnsi"/>
        </w:rPr>
        <w:t>Pom</w:t>
      </w:r>
      <w:r>
        <w:rPr>
          <w:rFonts w:cstheme="minorHAnsi"/>
        </w:rPr>
        <w:t>alidom</w:t>
      </w:r>
      <w:r w:rsidRPr="00F35D69">
        <w:rPr>
          <w:rFonts w:cstheme="minorHAnsi"/>
        </w:rPr>
        <w:t xml:space="preserve">ide </w:t>
      </w:r>
      <w:r w:rsidR="00F35D69" w:rsidRPr="00F35D69">
        <w:rPr>
          <w:rFonts w:cstheme="minorHAnsi"/>
        </w:rPr>
        <w:t>3</w:t>
      </w:r>
      <w:r w:rsidR="005D17F5">
        <w:rPr>
          <w:rFonts w:cstheme="minorHAnsi"/>
        </w:rPr>
        <w:t xml:space="preserve"> </w:t>
      </w:r>
      <w:r w:rsidR="00F35D69" w:rsidRPr="00F35D69">
        <w:rPr>
          <w:rFonts w:cstheme="minorHAnsi"/>
        </w:rPr>
        <w:t>mg and 4</w:t>
      </w:r>
      <w:r w:rsidR="005D17F5">
        <w:rPr>
          <w:rFonts w:cstheme="minorHAnsi"/>
        </w:rPr>
        <w:t xml:space="preserve"> </w:t>
      </w:r>
      <w:r w:rsidR="00F35D69" w:rsidRPr="00F35D69">
        <w:rPr>
          <w:rFonts w:cstheme="minorHAnsi"/>
        </w:rPr>
        <w:t>mg are</w:t>
      </w:r>
      <w:r w:rsidR="00F35D69" w:rsidRPr="00F35D69">
        <w:rPr>
          <w:color w:val="000000" w:themeColor="text1"/>
        </w:rPr>
        <w:t xml:space="preserve"> </w:t>
      </w:r>
      <w:r w:rsidR="00F35D69" w:rsidRPr="00EE18DE">
        <w:t xml:space="preserve">listed on the PBS as Section 100 HSD Authority Required listing for </w:t>
      </w:r>
      <w:r w:rsidR="001937FE">
        <w:t>m</w:t>
      </w:r>
      <w:r w:rsidR="00F35D69" w:rsidRPr="00EE18DE">
        <w:t xml:space="preserve">ultiple </w:t>
      </w:r>
      <w:r w:rsidR="001937FE">
        <w:t>m</w:t>
      </w:r>
      <w:r w:rsidR="00F35D69" w:rsidRPr="00EE18DE">
        <w:t>yeloma</w:t>
      </w:r>
      <w:r>
        <w:t xml:space="preserve"> in multiple brands</w:t>
      </w:r>
      <w:r w:rsidR="00F35D69" w:rsidRPr="00EE18DE">
        <w:t>.</w:t>
      </w:r>
    </w:p>
    <w:p w14:paraId="4D4C8DC2" w14:textId="57005F19" w:rsidR="00F35D69" w:rsidRPr="00F35D69" w:rsidRDefault="00F35D69" w:rsidP="005A0504">
      <w:pPr>
        <w:pStyle w:val="3Bodytext"/>
        <w:jc w:val="both"/>
        <w:rPr>
          <w:color w:val="000000" w:themeColor="text1"/>
        </w:rPr>
      </w:pPr>
      <w:r w:rsidRPr="00F35D69">
        <w:rPr>
          <w:rFonts w:cstheme="minorHAnsi"/>
        </w:rPr>
        <w:t>While the recommended starting dos</w:t>
      </w:r>
      <w:r w:rsidR="00F1784A">
        <w:rPr>
          <w:rFonts w:cstheme="minorHAnsi"/>
        </w:rPr>
        <w:t>e</w:t>
      </w:r>
      <w:r w:rsidRPr="00F35D69">
        <w:rPr>
          <w:rFonts w:cstheme="minorHAnsi"/>
        </w:rPr>
        <w:t xml:space="preserve"> for </w:t>
      </w:r>
      <w:r w:rsidR="0089535A">
        <w:rPr>
          <w:rFonts w:cstheme="minorHAnsi"/>
        </w:rPr>
        <w:t>p</w:t>
      </w:r>
      <w:r w:rsidR="00860E8C">
        <w:rPr>
          <w:rFonts w:cstheme="minorHAnsi"/>
        </w:rPr>
        <w:t>omalidomide</w:t>
      </w:r>
      <w:r w:rsidRPr="00F35D69">
        <w:rPr>
          <w:rFonts w:cstheme="minorHAnsi"/>
        </w:rPr>
        <w:t xml:space="preserve"> is 4</w:t>
      </w:r>
      <w:r w:rsidR="001937FE">
        <w:rPr>
          <w:rFonts w:cstheme="minorHAnsi"/>
        </w:rPr>
        <w:t xml:space="preserve"> </w:t>
      </w:r>
      <w:r w:rsidRPr="00F35D69">
        <w:rPr>
          <w:rFonts w:cstheme="minorHAnsi"/>
        </w:rPr>
        <w:t xml:space="preserve">mg </w:t>
      </w:r>
      <w:r w:rsidR="00F1784A">
        <w:rPr>
          <w:rFonts w:cstheme="minorHAnsi"/>
        </w:rPr>
        <w:t>(</w:t>
      </w:r>
      <w:r w:rsidRPr="00F35D69">
        <w:rPr>
          <w:rFonts w:cstheme="minorHAnsi"/>
        </w:rPr>
        <w:t xml:space="preserve">in combination </w:t>
      </w:r>
      <w:r w:rsidR="0089535A">
        <w:rPr>
          <w:rFonts w:cstheme="minorHAnsi"/>
        </w:rPr>
        <w:t xml:space="preserve">with </w:t>
      </w:r>
      <w:r w:rsidR="00F1784A">
        <w:rPr>
          <w:rFonts w:cstheme="minorHAnsi"/>
        </w:rPr>
        <w:t>d</w:t>
      </w:r>
      <w:r w:rsidR="00F1784A" w:rsidRPr="00F35D69">
        <w:rPr>
          <w:rFonts w:cstheme="minorHAnsi"/>
        </w:rPr>
        <w:t xml:space="preserve">examethasone </w:t>
      </w:r>
      <w:r w:rsidR="00F1784A">
        <w:rPr>
          <w:rFonts w:cstheme="minorHAnsi"/>
        </w:rPr>
        <w:t xml:space="preserve">with or without </w:t>
      </w:r>
      <w:r w:rsidR="007A5104">
        <w:rPr>
          <w:rFonts w:cstheme="minorHAnsi"/>
        </w:rPr>
        <w:t>b</w:t>
      </w:r>
      <w:r w:rsidRPr="00F35D69">
        <w:rPr>
          <w:rFonts w:cstheme="minorHAnsi"/>
        </w:rPr>
        <w:t>ortezomib</w:t>
      </w:r>
      <w:r w:rsidR="00F1784A">
        <w:rPr>
          <w:rFonts w:cstheme="minorHAnsi"/>
        </w:rPr>
        <w:t>)</w:t>
      </w:r>
      <w:r w:rsidRPr="00F35D69">
        <w:rPr>
          <w:rFonts w:cstheme="minorHAnsi"/>
        </w:rPr>
        <w:t xml:space="preserve">, </w:t>
      </w:r>
      <w:r w:rsidR="001937FE">
        <w:rPr>
          <w:rFonts w:cstheme="minorHAnsi"/>
        </w:rPr>
        <w:t xml:space="preserve">the submission stated </w:t>
      </w:r>
      <w:r w:rsidR="008345A1">
        <w:rPr>
          <w:rFonts w:cstheme="minorHAnsi"/>
        </w:rPr>
        <w:t xml:space="preserve">that </w:t>
      </w:r>
      <w:r w:rsidRPr="00F35D69">
        <w:rPr>
          <w:rFonts w:cstheme="minorHAnsi"/>
        </w:rPr>
        <w:t xml:space="preserve">there is a need for lower strengths due to dose interruptions and dose reductions </w:t>
      </w:r>
      <w:r w:rsidR="00544617">
        <w:rPr>
          <w:rFonts w:cstheme="minorHAnsi"/>
        </w:rPr>
        <w:t>that may occur</w:t>
      </w:r>
      <w:r w:rsidRPr="00F35D69">
        <w:rPr>
          <w:rFonts w:cstheme="minorHAnsi"/>
        </w:rPr>
        <w:t xml:space="preserve"> as per the </w:t>
      </w:r>
      <w:r w:rsidR="007D6D2A">
        <w:rPr>
          <w:rFonts w:cstheme="minorHAnsi"/>
        </w:rPr>
        <w:t xml:space="preserve">Therapeutic Goods Administration (TGA) </w:t>
      </w:r>
      <w:r w:rsidR="00975DCC">
        <w:rPr>
          <w:rFonts w:cstheme="minorHAnsi"/>
        </w:rPr>
        <w:t>product information</w:t>
      </w:r>
      <w:r w:rsidR="00503A31">
        <w:rPr>
          <w:rFonts w:cstheme="minorHAnsi"/>
        </w:rPr>
        <w:t xml:space="preserve"> (PI)</w:t>
      </w:r>
      <w:r w:rsidRPr="00F35D69">
        <w:rPr>
          <w:rFonts w:cstheme="minorHAnsi"/>
        </w:rPr>
        <w:t>.</w:t>
      </w:r>
    </w:p>
    <w:p w14:paraId="33C2C319" w14:textId="66DF215F" w:rsidR="007E490F" w:rsidRDefault="007E490F" w:rsidP="008C3377">
      <w:pPr>
        <w:pStyle w:val="4-SubsectionHeading"/>
      </w:pPr>
      <w:r>
        <w:t>Registration</w:t>
      </w:r>
      <w:r w:rsidRPr="009324A6">
        <w:t xml:space="preserve"> status</w:t>
      </w:r>
    </w:p>
    <w:p w14:paraId="709400A1" w14:textId="08A17506" w:rsidR="00544617" w:rsidRPr="00544617" w:rsidRDefault="00544617" w:rsidP="005A0504">
      <w:pPr>
        <w:pStyle w:val="3Bodytext"/>
        <w:jc w:val="both"/>
      </w:pPr>
      <w:r>
        <w:t xml:space="preserve">Pomalidomide 1 mg and 2 mg capsules were first </w:t>
      </w:r>
      <w:r w:rsidR="003A0431">
        <w:t>registered by the TGA on 1 July 2014 for multiple myeloma under the brand name Pomalyst®.</w:t>
      </w:r>
    </w:p>
    <w:p w14:paraId="454A0BE8" w14:textId="58FB754F" w:rsidR="00F35D69" w:rsidRDefault="00843408" w:rsidP="005A0504">
      <w:pPr>
        <w:pStyle w:val="3Bodytext"/>
        <w:jc w:val="both"/>
      </w:pPr>
      <w:r w:rsidRPr="005C4B20">
        <w:rPr>
          <w:rFonts w:cstheme="minorHAnsi"/>
        </w:rPr>
        <w:t xml:space="preserve">Pomolide </w:t>
      </w:r>
      <w:r w:rsidR="005D17F5">
        <w:rPr>
          <w:rFonts w:cstheme="minorHAnsi"/>
        </w:rPr>
        <w:t xml:space="preserve">1 </w:t>
      </w:r>
      <w:r w:rsidRPr="005C4B20">
        <w:rPr>
          <w:rFonts w:cstheme="minorHAnsi"/>
        </w:rPr>
        <w:t xml:space="preserve">mg and </w:t>
      </w:r>
      <w:r w:rsidR="005D17F5">
        <w:rPr>
          <w:rFonts w:cstheme="minorHAnsi"/>
        </w:rPr>
        <w:t xml:space="preserve">2 </w:t>
      </w:r>
      <w:r w:rsidRPr="005C4B20">
        <w:rPr>
          <w:rFonts w:cstheme="minorHAnsi"/>
        </w:rPr>
        <w:t>mg</w:t>
      </w:r>
      <w:r>
        <w:rPr>
          <w:rFonts w:cstheme="minorHAnsi"/>
        </w:rPr>
        <w:t xml:space="preserve"> </w:t>
      </w:r>
      <w:r w:rsidR="003A0431">
        <w:rPr>
          <w:rFonts w:cstheme="minorHAnsi"/>
        </w:rPr>
        <w:t xml:space="preserve">capsules </w:t>
      </w:r>
      <w:r w:rsidR="007E490F" w:rsidRPr="009E2E8E">
        <w:t>w</w:t>
      </w:r>
      <w:r>
        <w:t>ere</w:t>
      </w:r>
      <w:r w:rsidR="007E490F">
        <w:t xml:space="preserve"> TGA registered</w:t>
      </w:r>
      <w:r w:rsidR="001937FE">
        <w:t xml:space="preserve"> on 18 May 2021 </w:t>
      </w:r>
      <w:r w:rsidR="007E490F" w:rsidRPr="00EE18DE">
        <w:t>for</w:t>
      </w:r>
      <w:r w:rsidR="007E490F" w:rsidRPr="00EE18DE" w:rsidDel="009A61CA">
        <w:t xml:space="preserve"> </w:t>
      </w:r>
      <w:r w:rsidR="007E1596" w:rsidRPr="00EE18DE">
        <w:t xml:space="preserve">the treatment of </w:t>
      </w:r>
      <w:r w:rsidR="007952BF">
        <w:t>m</w:t>
      </w:r>
      <w:r w:rsidR="007E1596" w:rsidRPr="00EE18DE">
        <w:t xml:space="preserve">ultiple </w:t>
      </w:r>
      <w:r w:rsidR="007952BF">
        <w:t>m</w:t>
      </w:r>
      <w:r w:rsidR="007E1596" w:rsidRPr="00EE18DE">
        <w:t>yeloma.</w:t>
      </w:r>
      <w:r w:rsidR="00B80370">
        <w:t xml:space="preserve"> </w:t>
      </w:r>
      <w:r w:rsidR="00B80370">
        <w:rPr>
          <w:iCs/>
        </w:rPr>
        <w:t>T</w:t>
      </w:r>
      <w:r w:rsidR="00B80370" w:rsidRPr="0049324C">
        <w:rPr>
          <w:iCs/>
        </w:rPr>
        <w:t>he TGA considered Pomolide</w:t>
      </w:r>
      <w:r w:rsidR="00B80370" w:rsidRPr="0049324C">
        <w:rPr>
          <w:rFonts w:cstheme="minorHAnsi"/>
          <w:iCs/>
        </w:rPr>
        <w:t xml:space="preserve"> </w:t>
      </w:r>
      <w:r w:rsidR="00B80370">
        <w:rPr>
          <w:rFonts w:cstheme="minorHAnsi"/>
          <w:iCs/>
        </w:rPr>
        <w:t xml:space="preserve">1 mg, 2 mg, 3 </w:t>
      </w:r>
      <w:proofErr w:type="gramStart"/>
      <w:r w:rsidR="00B80370">
        <w:rPr>
          <w:rFonts w:cstheme="minorHAnsi"/>
          <w:iCs/>
        </w:rPr>
        <w:t>mg</w:t>
      </w:r>
      <w:proofErr w:type="gramEnd"/>
      <w:r w:rsidR="00B80370">
        <w:rPr>
          <w:rFonts w:cstheme="minorHAnsi"/>
          <w:iCs/>
        </w:rPr>
        <w:t xml:space="preserve"> and 4 mg </w:t>
      </w:r>
      <w:r w:rsidR="00B80370" w:rsidRPr="009270AE">
        <w:rPr>
          <w:rFonts w:cstheme="minorHAnsi"/>
        </w:rPr>
        <w:t>to be bioequivalent to</w:t>
      </w:r>
      <w:r w:rsidR="00B80370">
        <w:rPr>
          <w:rFonts w:cstheme="minorHAnsi"/>
        </w:rPr>
        <w:t xml:space="preserve"> the respective strengths of</w:t>
      </w:r>
      <w:r w:rsidR="00B80370" w:rsidRPr="009270AE">
        <w:rPr>
          <w:rFonts w:cstheme="minorHAnsi"/>
        </w:rPr>
        <w:t xml:space="preserve"> </w:t>
      </w:r>
      <w:r w:rsidR="00B80370" w:rsidRPr="009270AE">
        <w:t>Pomalyst</w:t>
      </w:r>
      <w:r w:rsidR="00B80370">
        <w:rPr>
          <w:rFonts w:cstheme="minorHAnsi"/>
        </w:rPr>
        <w:t>.</w:t>
      </w:r>
    </w:p>
    <w:p w14:paraId="0094486E" w14:textId="13BABC26" w:rsidR="007E490F" w:rsidRDefault="007E490F" w:rsidP="008C3377">
      <w:pPr>
        <w:pStyle w:val="4-SubsectionHeading"/>
      </w:pPr>
      <w:r w:rsidRPr="0012749D">
        <w:t xml:space="preserve">Previous PBAC consideration </w:t>
      </w:r>
    </w:p>
    <w:p w14:paraId="2236ABEE" w14:textId="06CBD40B" w:rsidR="00AF2560" w:rsidRDefault="00655AD0" w:rsidP="005A0504">
      <w:pPr>
        <w:pStyle w:val="3Bodytext"/>
        <w:jc w:val="both"/>
        <w:rPr>
          <w:rFonts w:ascii="Calibri" w:eastAsia="Times New Roman" w:hAnsi="Calibri" w:cs="Times New Roman"/>
          <w:szCs w:val="24"/>
          <w:lang w:eastAsia="en-US"/>
        </w:rPr>
      </w:pPr>
      <w:r>
        <w:rPr>
          <w:rFonts w:ascii="Calibri" w:eastAsia="Times New Roman" w:hAnsi="Calibri" w:cs="Times New Roman"/>
          <w:szCs w:val="24"/>
          <w:lang w:eastAsia="en-US"/>
        </w:rPr>
        <w:t xml:space="preserve">Pomalidomide was first considered by the PBAC at the July 2014 meeting </w:t>
      </w:r>
      <w:r w:rsidR="00EA6147">
        <w:rPr>
          <w:rFonts w:ascii="Calibri" w:eastAsia="Times New Roman" w:hAnsi="Calibri" w:cs="Times New Roman"/>
          <w:szCs w:val="24"/>
          <w:lang w:eastAsia="en-US"/>
        </w:rPr>
        <w:t xml:space="preserve">for the treatment of multiple myeloma </w:t>
      </w:r>
      <w:r>
        <w:rPr>
          <w:rFonts w:ascii="Calibri" w:eastAsia="Times New Roman" w:hAnsi="Calibri" w:cs="Times New Roman"/>
          <w:szCs w:val="24"/>
          <w:lang w:eastAsia="en-US"/>
        </w:rPr>
        <w:t xml:space="preserve">and was </w:t>
      </w:r>
      <w:r w:rsidR="00EA6147">
        <w:rPr>
          <w:rFonts w:ascii="Calibri" w:eastAsia="Times New Roman" w:hAnsi="Calibri" w:cs="Times New Roman"/>
          <w:szCs w:val="24"/>
          <w:lang w:eastAsia="en-US"/>
        </w:rPr>
        <w:t xml:space="preserve">subsequently </w:t>
      </w:r>
      <w:r>
        <w:rPr>
          <w:rFonts w:ascii="Calibri" w:eastAsia="Times New Roman" w:hAnsi="Calibri" w:cs="Times New Roman"/>
          <w:szCs w:val="24"/>
          <w:lang w:eastAsia="en-US"/>
        </w:rPr>
        <w:t>recommended at the November 2014 meeting</w:t>
      </w:r>
      <w:r w:rsidR="009C4595">
        <w:rPr>
          <w:rFonts w:ascii="Calibri" w:eastAsia="Times New Roman" w:hAnsi="Calibri" w:cs="Times New Roman"/>
          <w:szCs w:val="24"/>
          <w:lang w:eastAsia="en-US"/>
        </w:rPr>
        <w:t xml:space="preserve">. </w:t>
      </w:r>
      <w:r w:rsidR="00E8228C">
        <w:rPr>
          <w:rFonts w:ascii="Calibri" w:eastAsia="Times New Roman" w:hAnsi="Calibri" w:cs="Times New Roman"/>
          <w:szCs w:val="24"/>
          <w:lang w:eastAsia="en-US"/>
        </w:rPr>
        <w:t>A</w:t>
      </w:r>
      <w:r w:rsidR="00F721C2">
        <w:rPr>
          <w:rFonts w:ascii="Calibri" w:eastAsia="Times New Roman" w:hAnsi="Calibri" w:cs="Times New Roman"/>
          <w:szCs w:val="24"/>
          <w:lang w:eastAsia="en-US"/>
        </w:rPr>
        <w:t>t its November 2017 meeting</w:t>
      </w:r>
      <w:r w:rsidR="00E8228C">
        <w:rPr>
          <w:rFonts w:ascii="Calibri" w:eastAsia="Times New Roman" w:hAnsi="Calibri" w:cs="Times New Roman"/>
          <w:szCs w:val="24"/>
          <w:lang w:eastAsia="en-US"/>
        </w:rPr>
        <w:t>, the PBAC</w:t>
      </w:r>
      <w:r w:rsidR="009C4595">
        <w:rPr>
          <w:rFonts w:ascii="Calibri" w:eastAsia="Times New Roman" w:hAnsi="Calibri" w:cs="Times New Roman"/>
          <w:szCs w:val="24"/>
          <w:lang w:eastAsia="en-US"/>
        </w:rPr>
        <w:t xml:space="preserve"> recommended </w:t>
      </w:r>
      <w:r w:rsidR="00E001FD">
        <w:rPr>
          <w:rFonts w:ascii="Calibri" w:eastAsia="Times New Roman" w:hAnsi="Calibri" w:cs="Times New Roman"/>
          <w:szCs w:val="24"/>
          <w:lang w:eastAsia="en-US"/>
        </w:rPr>
        <w:t>chang</w:t>
      </w:r>
      <w:r w:rsidR="009C4595">
        <w:rPr>
          <w:rFonts w:ascii="Calibri" w:eastAsia="Times New Roman" w:hAnsi="Calibri" w:cs="Times New Roman"/>
          <w:szCs w:val="24"/>
          <w:lang w:eastAsia="en-US"/>
        </w:rPr>
        <w:t>ing</w:t>
      </w:r>
      <w:r w:rsidR="00E001FD">
        <w:rPr>
          <w:rFonts w:ascii="Calibri" w:eastAsia="Times New Roman" w:hAnsi="Calibri" w:cs="Times New Roman"/>
          <w:szCs w:val="24"/>
          <w:lang w:eastAsia="en-US"/>
        </w:rPr>
        <w:t xml:space="preserve"> the restriction</w:t>
      </w:r>
      <w:r w:rsidR="009C4595">
        <w:t xml:space="preserve"> to include the treatment of patients who have experienced severe intolerance or toxicity to lenalidomide and/or bortezomib</w:t>
      </w:r>
      <w:r w:rsidR="00F721C2">
        <w:t>, and at its July 2019 meeting recommended listing</w:t>
      </w:r>
      <w:r w:rsidR="00E001FD">
        <w:t xml:space="preserve"> pomalidomide in combination with bortezomib and dexamethasone (PBd)</w:t>
      </w:r>
      <w:r w:rsidR="00C756B3">
        <w:rPr>
          <w:rFonts w:ascii="Calibri" w:eastAsia="Times New Roman" w:hAnsi="Calibri" w:cs="Times New Roman"/>
          <w:szCs w:val="24"/>
          <w:lang w:eastAsia="en-US"/>
        </w:rPr>
        <w:t>.</w:t>
      </w:r>
    </w:p>
    <w:p w14:paraId="69F421BF" w14:textId="54925D79" w:rsidR="00655AD0" w:rsidRDefault="00AF2560" w:rsidP="005A0504">
      <w:pPr>
        <w:pStyle w:val="3Bodytext"/>
        <w:jc w:val="both"/>
        <w:rPr>
          <w:rFonts w:ascii="Calibri" w:eastAsia="Times New Roman" w:hAnsi="Calibri" w:cs="Times New Roman"/>
          <w:szCs w:val="24"/>
          <w:lang w:eastAsia="en-US"/>
        </w:rPr>
      </w:pPr>
      <w:r>
        <w:rPr>
          <w:rFonts w:ascii="Calibri" w:eastAsia="Times New Roman" w:hAnsi="Calibri" w:cs="Times New Roman"/>
          <w:szCs w:val="24"/>
          <w:lang w:eastAsia="en-US"/>
        </w:rPr>
        <w:t>The PBAC has not considered the</w:t>
      </w:r>
      <w:r w:rsidR="00C756B3">
        <w:rPr>
          <w:rFonts w:ascii="Calibri" w:eastAsia="Times New Roman" w:hAnsi="Calibri" w:cs="Times New Roman"/>
          <w:szCs w:val="24"/>
          <w:lang w:eastAsia="en-US"/>
        </w:rPr>
        <w:t xml:space="preserve"> listing of 1 mg and 2 mg strengths</w:t>
      </w:r>
      <w:r>
        <w:rPr>
          <w:rFonts w:ascii="Calibri" w:eastAsia="Times New Roman" w:hAnsi="Calibri" w:cs="Times New Roman"/>
          <w:szCs w:val="24"/>
          <w:lang w:eastAsia="en-US"/>
        </w:rPr>
        <w:t xml:space="preserve"> of pomalidomide previously</w:t>
      </w:r>
      <w:r w:rsidR="00E8228C">
        <w:rPr>
          <w:rFonts w:ascii="Calibri" w:eastAsia="Times New Roman" w:hAnsi="Calibri" w:cs="Times New Roman"/>
          <w:szCs w:val="24"/>
          <w:lang w:eastAsia="en-US"/>
        </w:rPr>
        <w:t xml:space="preserve"> and</w:t>
      </w:r>
      <w:r w:rsidR="009C4595">
        <w:rPr>
          <w:rFonts w:ascii="Calibri" w:eastAsia="Times New Roman" w:hAnsi="Calibri" w:cs="Times New Roman"/>
          <w:szCs w:val="24"/>
          <w:lang w:eastAsia="en-US"/>
        </w:rPr>
        <w:t xml:space="preserve"> these strengths are not currently listed on the PBS</w:t>
      </w:r>
      <w:r>
        <w:rPr>
          <w:rFonts w:ascii="Calibri" w:eastAsia="Times New Roman" w:hAnsi="Calibri" w:cs="Times New Roman"/>
          <w:szCs w:val="24"/>
          <w:lang w:eastAsia="en-US"/>
        </w:rPr>
        <w:t>.</w:t>
      </w:r>
    </w:p>
    <w:p w14:paraId="198F5732" w14:textId="4DF62697" w:rsidR="007E1596" w:rsidRPr="007E1596" w:rsidRDefault="001937FE" w:rsidP="005A0504">
      <w:pPr>
        <w:pStyle w:val="3Bodytext"/>
        <w:jc w:val="both"/>
        <w:rPr>
          <w:rFonts w:ascii="Calibri" w:eastAsia="Times New Roman" w:hAnsi="Calibri" w:cs="Times New Roman"/>
          <w:szCs w:val="24"/>
          <w:lang w:eastAsia="en-US"/>
        </w:rPr>
      </w:pPr>
      <w:r>
        <w:rPr>
          <w:rFonts w:ascii="Calibri" w:eastAsia="Times New Roman" w:hAnsi="Calibri" w:cs="Times New Roman"/>
          <w:szCs w:val="24"/>
          <w:lang w:eastAsia="en-US"/>
        </w:rPr>
        <w:lastRenderedPageBreak/>
        <w:t>In an out-of-session consideration between its July 2022 and November 2022 meetings, t</w:t>
      </w:r>
      <w:r w:rsidR="007E1596" w:rsidRPr="007E1596">
        <w:rPr>
          <w:rFonts w:ascii="Calibri" w:eastAsia="Times New Roman" w:hAnsi="Calibri" w:cs="Times New Roman"/>
          <w:szCs w:val="24"/>
          <w:lang w:eastAsia="en-US"/>
        </w:rPr>
        <w:t xml:space="preserve">he PBAC advised that bioequivalent brands of pomalidomide should not be considered equivalent for the purposes of substitution (i.e., ‘a’-flagged). </w:t>
      </w:r>
      <w:r w:rsidR="009270AE" w:rsidRPr="009270AE">
        <w:rPr>
          <w:rFonts w:ascii="Calibri" w:eastAsia="Times New Roman" w:hAnsi="Calibri" w:cs="Times New Roman"/>
          <w:szCs w:val="24"/>
          <w:lang w:eastAsia="en-US"/>
        </w:rPr>
        <w:t>The PBAC noted potential for unnecessary administrative burden and confusion for prescribers and pharmacists that may delay patient access where an alternative brand is sought</w:t>
      </w:r>
      <w:r w:rsidR="00D41341">
        <w:rPr>
          <w:rFonts w:ascii="Calibri" w:eastAsia="Times New Roman" w:hAnsi="Calibri" w:cs="Times New Roman"/>
          <w:szCs w:val="24"/>
          <w:lang w:eastAsia="en-US"/>
        </w:rPr>
        <w:t xml:space="preserve"> </w:t>
      </w:r>
      <w:r w:rsidR="007E1596" w:rsidRPr="007E1596">
        <w:rPr>
          <w:rFonts w:ascii="Calibri" w:eastAsia="Times New Roman" w:hAnsi="Calibri" w:cs="Times New Roman"/>
          <w:szCs w:val="24"/>
          <w:lang w:eastAsia="en-US"/>
        </w:rPr>
        <w:t>(</w:t>
      </w:r>
      <w:r w:rsidR="006867C3">
        <w:t xml:space="preserve">paragraphs 4.2 and 4.3, lenalidomide and pomalidomide </w:t>
      </w:r>
      <w:r w:rsidR="00842482">
        <w:t>P</w:t>
      </w:r>
      <w:r w:rsidR="00473071">
        <w:t xml:space="preserve">ublic </w:t>
      </w:r>
      <w:r w:rsidR="00842482">
        <w:t>S</w:t>
      </w:r>
      <w:r w:rsidR="00473071">
        <w:t xml:space="preserve">ummary </w:t>
      </w:r>
      <w:r w:rsidR="00842482">
        <w:t>D</w:t>
      </w:r>
      <w:r w:rsidR="00473071">
        <w:t>ocument</w:t>
      </w:r>
      <w:r w:rsidR="006867C3">
        <w:t>, October 2022 PBAC OOS consideration</w:t>
      </w:r>
      <w:r w:rsidR="007E1596" w:rsidRPr="007E1596">
        <w:rPr>
          <w:rFonts w:ascii="Calibri" w:eastAsia="Times New Roman" w:hAnsi="Calibri" w:cs="Times New Roman"/>
          <w:szCs w:val="24"/>
          <w:lang w:eastAsia="en-US"/>
        </w:rPr>
        <w:t>).</w:t>
      </w:r>
    </w:p>
    <w:p w14:paraId="1B8790B6" w14:textId="16BF398D" w:rsidR="00964A9F" w:rsidRDefault="00964A9F" w:rsidP="008C3377">
      <w:pPr>
        <w:pStyle w:val="2-SectionHeading"/>
        <w:jc w:val="both"/>
      </w:pPr>
      <w:r w:rsidRPr="009D507A">
        <w:t>Requested listing</w:t>
      </w:r>
    </w:p>
    <w:p w14:paraId="6D36DFC2" w14:textId="530E4D7B" w:rsidR="00DD3819" w:rsidRDefault="00964A9F" w:rsidP="005A0504">
      <w:pPr>
        <w:pStyle w:val="3Bodytext"/>
        <w:jc w:val="both"/>
      </w:pPr>
      <w:r w:rsidRPr="00E0207E">
        <w:t xml:space="preserve">The submission requested the </w:t>
      </w:r>
      <w:r w:rsidRPr="009270AE">
        <w:t>following new listing</w:t>
      </w:r>
      <w:r w:rsidR="00DC1938">
        <w:t>s</w:t>
      </w:r>
      <w:r w:rsidR="009C4595">
        <w:t xml:space="preserve">, </w:t>
      </w:r>
      <w:r w:rsidR="009C4595" w:rsidRPr="00B33122">
        <w:t>identical to the current restrictions of Pomolide 3 and 4 mg</w:t>
      </w:r>
      <w:r w:rsidR="00DD3819" w:rsidRPr="009270AE">
        <w:t xml:space="preserve">. </w:t>
      </w:r>
      <w:r w:rsidR="00397827">
        <w:t xml:space="preserve">For brevity, only the </w:t>
      </w:r>
      <w:r w:rsidR="00AF0F00">
        <w:t xml:space="preserve">new content </w:t>
      </w:r>
      <w:r w:rsidR="00397827">
        <w:t xml:space="preserve">has been included. </w:t>
      </w:r>
      <w:r w:rsidR="00DD3819" w:rsidRPr="009270AE">
        <w:t xml:space="preserve">Suggested </w:t>
      </w:r>
      <w:r w:rsidR="00DD3819">
        <w:t>additions are 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701"/>
        <w:gridCol w:w="992"/>
        <w:gridCol w:w="992"/>
        <w:gridCol w:w="993"/>
        <w:gridCol w:w="1791"/>
      </w:tblGrid>
      <w:tr w:rsidR="00C62F0B" w:rsidRPr="001428E9" w14:paraId="4639AAB3" w14:textId="77777777" w:rsidTr="00692ABD">
        <w:trPr>
          <w:cantSplit/>
          <w:trHeight w:val="20"/>
        </w:trPr>
        <w:tc>
          <w:tcPr>
            <w:tcW w:w="2547" w:type="dxa"/>
            <w:vAlign w:val="center"/>
          </w:tcPr>
          <w:p w14:paraId="41BB411A" w14:textId="77777777" w:rsidR="00C62F0B" w:rsidRPr="001428E9" w:rsidRDefault="00C62F0B" w:rsidP="008C3377">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47BD571D" w14:textId="77777777" w:rsidR="00C62F0B" w:rsidRPr="001428E9" w:rsidRDefault="00C62F0B" w:rsidP="008C3377">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701" w:type="dxa"/>
            <w:vAlign w:val="center"/>
          </w:tcPr>
          <w:p w14:paraId="45C3D71D" w14:textId="77777777" w:rsidR="00C62F0B" w:rsidRPr="001428E9" w:rsidRDefault="00C62F0B" w:rsidP="008C3377">
            <w:pPr>
              <w:keepNext/>
              <w:keepLines/>
              <w:rPr>
                <w:rFonts w:ascii="Arial Narrow" w:hAnsi="Arial Narrow" w:cs="Arial"/>
                <w:b/>
                <w:sz w:val="20"/>
                <w:szCs w:val="20"/>
              </w:rPr>
            </w:pPr>
            <w:r w:rsidRPr="001428E9">
              <w:rPr>
                <w:rFonts w:ascii="Arial Narrow" w:hAnsi="Arial Narrow" w:cs="Arial"/>
                <w:b/>
                <w:sz w:val="20"/>
                <w:szCs w:val="20"/>
              </w:rPr>
              <w:t>PBS item code</w:t>
            </w:r>
          </w:p>
        </w:tc>
        <w:tc>
          <w:tcPr>
            <w:tcW w:w="992" w:type="dxa"/>
            <w:vAlign w:val="center"/>
          </w:tcPr>
          <w:p w14:paraId="05205CBD" w14:textId="77777777" w:rsidR="00C62F0B" w:rsidRPr="001428E9" w:rsidRDefault="00C62F0B" w:rsidP="008C3377">
            <w:pPr>
              <w:keepNext/>
              <w:keepLines/>
              <w:rPr>
                <w:rFonts w:ascii="Arial Narrow" w:hAnsi="Arial Narrow" w:cs="Arial"/>
                <w:b/>
                <w:sz w:val="20"/>
                <w:szCs w:val="20"/>
              </w:rPr>
            </w:pPr>
            <w:r w:rsidRPr="001428E9">
              <w:rPr>
                <w:rFonts w:ascii="Arial Narrow" w:hAnsi="Arial Narrow" w:cs="Arial"/>
                <w:b/>
                <w:sz w:val="20"/>
                <w:szCs w:val="20"/>
              </w:rPr>
              <w:t>Max. qty packs</w:t>
            </w:r>
          </w:p>
        </w:tc>
        <w:tc>
          <w:tcPr>
            <w:tcW w:w="992" w:type="dxa"/>
            <w:vAlign w:val="center"/>
          </w:tcPr>
          <w:p w14:paraId="45927309" w14:textId="77777777" w:rsidR="00C62F0B" w:rsidRPr="001428E9" w:rsidRDefault="00C62F0B" w:rsidP="008C3377">
            <w:pPr>
              <w:keepNext/>
              <w:keepLines/>
              <w:rPr>
                <w:rFonts w:ascii="Arial Narrow" w:hAnsi="Arial Narrow" w:cs="Arial"/>
                <w:b/>
                <w:sz w:val="20"/>
                <w:szCs w:val="20"/>
              </w:rPr>
            </w:pPr>
            <w:r w:rsidRPr="001428E9">
              <w:rPr>
                <w:rFonts w:ascii="Arial Narrow" w:hAnsi="Arial Narrow" w:cs="Arial"/>
                <w:b/>
                <w:sz w:val="20"/>
                <w:szCs w:val="20"/>
              </w:rPr>
              <w:t>Max. qty units</w:t>
            </w:r>
          </w:p>
        </w:tc>
        <w:tc>
          <w:tcPr>
            <w:tcW w:w="993" w:type="dxa"/>
            <w:vAlign w:val="center"/>
          </w:tcPr>
          <w:p w14:paraId="1E53F8D6" w14:textId="77777777" w:rsidR="00C62F0B" w:rsidRPr="001428E9" w:rsidRDefault="00C62F0B" w:rsidP="008C3377">
            <w:pPr>
              <w:keepNext/>
              <w:keepLines/>
              <w:rPr>
                <w:rFonts w:ascii="Arial Narrow" w:hAnsi="Arial Narrow" w:cs="Arial"/>
                <w:b/>
                <w:sz w:val="20"/>
                <w:szCs w:val="20"/>
              </w:rPr>
            </w:pPr>
            <w:r w:rsidRPr="001428E9">
              <w:rPr>
                <w:rFonts w:ascii="Arial Narrow" w:hAnsi="Arial Narrow" w:cs="Arial"/>
                <w:b/>
                <w:sz w:val="20"/>
                <w:szCs w:val="20"/>
              </w:rPr>
              <w:t>№.of</w:t>
            </w:r>
          </w:p>
          <w:p w14:paraId="167DF80C" w14:textId="77777777" w:rsidR="00C62F0B" w:rsidRPr="001428E9" w:rsidRDefault="00C62F0B" w:rsidP="008C3377">
            <w:pPr>
              <w:keepNext/>
              <w:keepLines/>
              <w:rPr>
                <w:rFonts w:ascii="Arial Narrow" w:hAnsi="Arial Narrow" w:cs="Arial"/>
                <w:b/>
                <w:sz w:val="20"/>
                <w:szCs w:val="20"/>
              </w:rPr>
            </w:pPr>
            <w:r w:rsidRPr="001428E9">
              <w:rPr>
                <w:rFonts w:ascii="Arial Narrow" w:hAnsi="Arial Narrow" w:cs="Arial"/>
                <w:b/>
                <w:sz w:val="20"/>
                <w:szCs w:val="20"/>
              </w:rPr>
              <w:t>Rpts</w:t>
            </w:r>
          </w:p>
        </w:tc>
        <w:tc>
          <w:tcPr>
            <w:tcW w:w="1791" w:type="dxa"/>
            <w:vAlign w:val="center"/>
          </w:tcPr>
          <w:p w14:paraId="79A190B7" w14:textId="77777777" w:rsidR="00C62F0B" w:rsidRPr="001428E9" w:rsidRDefault="00C62F0B" w:rsidP="008C3377">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C62F0B" w:rsidRPr="001428E9" w14:paraId="69077F63" w14:textId="77777777" w:rsidTr="001937FE">
        <w:trPr>
          <w:cantSplit/>
          <w:trHeight w:val="20"/>
        </w:trPr>
        <w:tc>
          <w:tcPr>
            <w:tcW w:w="9016" w:type="dxa"/>
            <w:gridSpan w:val="6"/>
            <w:shd w:val="clear" w:color="auto" w:fill="auto"/>
            <w:vAlign w:val="center"/>
          </w:tcPr>
          <w:p w14:paraId="2D56765C" w14:textId="20410C2B" w:rsidR="00C62F0B" w:rsidRPr="001937FE" w:rsidRDefault="005D17F5" w:rsidP="008C3377">
            <w:pPr>
              <w:keepNext/>
              <w:keepLines/>
              <w:rPr>
                <w:rFonts w:ascii="Arial Narrow" w:hAnsi="Arial Narrow" w:cs="Arial"/>
                <w:sz w:val="20"/>
                <w:szCs w:val="20"/>
              </w:rPr>
            </w:pPr>
            <w:r w:rsidRPr="001937FE">
              <w:rPr>
                <w:rFonts w:ascii="Arial Narrow" w:hAnsi="Arial Narrow" w:cs="Arial"/>
                <w:sz w:val="20"/>
                <w:szCs w:val="20"/>
              </w:rPr>
              <w:t>POMALIDOMIDE</w:t>
            </w:r>
            <w:r w:rsidR="00145BAB" w:rsidRPr="001937FE">
              <w:rPr>
                <w:rFonts w:ascii="Arial Narrow" w:hAnsi="Arial Narrow" w:cs="Arial"/>
                <w:sz w:val="20"/>
                <w:szCs w:val="20"/>
              </w:rPr>
              <w:t xml:space="preserve"> </w:t>
            </w:r>
          </w:p>
        </w:tc>
      </w:tr>
      <w:tr w:rsidR="00C26488" w:rsidRPr="001428E9" w14:paraId="506991D3" w14:textId="77777777" w:rsidTr="00692ABD">
        <w:trPr>
          <w:cantSplit/>
          <w:trHeight w:val="20"/>
        </w:trPr>
        <w:tc>
          <w:tcPr>
            <w:tcW w:w="2547" w:type="dxa"/>
            <w:vMerge w:val="restart"/>
            <w:shd w:val="clear" w:color="auto" w:fill="auto"/>
            <w:vAlign w:val="center"/>
          </w:tcPr>
          <w:p w14:paraId="5FAEDC3E" w14:textId="62021000" w:rsidR="00C26488" w:rsidRPr="00B33122" w:rsidRDefault="00C26488" w:rsidP="008C3377">
            <w:pPr>
              <w:keepNext/>
              <w:keepLines/>
              <w:jc w:val="left"/>
              <w:rPr>
                <w:rFonts w:ascii="Arial Narrow" w:hAnsi="Arial Narrow" w:cs="Arial"/>
                <w:sz w:val="20"/>
                <w:szCs w:val="20"/>
              </w:rPr>
            </w:pPr>
            <w:r w:rsidRPr="00B33122">
              <w:rPr>
                <w:rFonts w:ascii="Arial Narrow" w:hAnsi="Arial Narrow" w:cs="Arial"/>
                <w:sz w:val="20"/>
                <w:szCs w:val="20"/>
              </w:rPr>
              <w:t>pomalidomide 1 mg capsule, 14</w:t>
            </w:r>
          </w:p>
        </w:tc>
        <w:tc>
          <w:tcPr>
            <w:tcW w:w="1701" w:type="dxa"/>
            <w:shd w:val="clear" w:color="auto" w:fill="auto"/>
            <w:vAlign w:val="center"/>
          </w:tcPr>
          <w:p w14:paraId="52442A36" w14:textId="0AB46A03" w:rsidR="00C26488" w:rsidRPr="00C26488" w:rsidRDefault="00C26488"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w:t>
            </w:r>
            <w:r w:rsidR="00AD1090">
              <w:rPr>
                <w:rFonts w:ascii="Arial Narrow" w:hAnsi="Arial Narrow" w:cs="Arial"/>
                <w:i/>
                <w:iCs/>
                <w:sz w:val="20"/>
                <w:szCs w:val="20"/>
              </w:rPr>
              <w:t>HSD Public</w:t>
            </w:r>
            <w:r w:rsidR="00D7299C">
              <w:rPr>
                <w:rFonts w:ascii="Arial Narrow" w:hAnsi="Arial Narrow" w:cs="Arial"/>
                <w:i/>
                <w:iCs/>
                <w:sz w:val="20"/>
                <w:szCs w:val="20"/>
              </w:rPr>
              <w:t>)</w:t>
            </w:r>
            <w:r w:rsidR="00AD1090">
              <w:rPr>
                <w:rFonts w:ascii="Arial Narrow" w:hAnsi="Arial Narrow" w:cs="Arial"/>
                <w:i/>
                <w:iCs/>
                <w:sz w:val="20"/>
                <w:szCs w:val="20"/>
              </w:rPr>
              <w:t xml:space="preserve"> </w:t>
            </w:r>
          </w:p>
        </w:tc>
        <w:tc>
          <w:tcPr>
            <w:tcW w:w="992" w:type="dxa"/>
            <w:vMerge w:val="restart"/>
            <w:shd w:val="clear" w:color="auto" w:fill="auto"/>
            <w:vAlign w:val="center"/>
          </w:tcPr>
          <w:p w14:paraId="1C1444D8" w14:textId="03BD8D4C" w:rsidR="00C26488" w:rsidRPr="00B33122" w:rsidRDefault="00C26488" w:rsidP="008C3377">
            <w:pPr>
              <w:keepNext/>
              <w:keepLines/>
              <w:jc w:val="center"/>
              <w:rPr>
                <w:rFonts w:ascii="Arial Narrow" w:hAnsi="Arial Narrow" w:cs="Arial"/>
                <w:sz w:val="20"/>
                <w:szCs w:val="20"/>
              </w:rPr>
            </w:pPr>
            <w:r w:rsidRPr="00B33122">
              <w:rPr>
                <w:rFonts w:ascii="Arial Narrow" w:hAnsi="Arial Narrow" w:cs="Arial"/>
                <w:sz w:val="20"/>
                <w:szCs w:val="20"/>
              </w:rPr>
              <w:t>1</w:t>
            </w:r>
          </w:p>
        </w:tc>
        <w:tc>
          <w:tcPr>
            <w:tcW w:w="992" w:type="dxa"/>
            <w:vMerge w:val="restart"/>
            <w:shd w:val="clear" w:color="auto" w:fill="auto"/>
            <w:vAlign w:val="center"/>
          </w:tcPr>
          <w:p w14:paraId="50A1C32C" w14:textId="19E24632" w:rsidR="00C26488" w:rsidRPr="00B33122" w:rsidRDefault="00C26488" w:rsidP="008C3377">
            <w:pPr>
              <w:keepNext/>
              <w:keepLines/>
              <w:jc w:val="center"/>
              <w:rPr>
                <w:rFonts w:ascii="Arial Narrow" w:hAnsi="Arial Narrow" w:cs="Arial"/>
                <w:sz w:val="20"/>
                <w:szCs w:val="20"/>
              </w:rPr>
            </w:pPr>
            <w:r w:rsidRPr="00B33122">
              <w:rPr>
                <w:rFonts w:ascii="Arial Narrow" w:hAnsi="Arial Narrow" w:cs="Arial"/>
                <w:sz w:val="20"/>
                <w:szCs w:val="20"/>
              </w:rPr>
              <w:t>14</w:t>
            </w:r>
          </w:p>
        </w:tc>
        <w:tc>
          <w:tcPr>
            <w:tcW w:w="993" w:type="dxa"/>
            <w:vMerge w:val="restart"/>
            <w:shd w:val="clear" w:color="auto" w:fill="auto"/>
            <w:vAlign w:val="center"/>
          </w:tcPr>
          <w:p w14:paraId="68C94B5E" w14:textId="3342102C" w:rsidR="00C26488" w:rsidRPr="00B33122" w:rsidRDefault="00DC1938" w:rsidP="008C3377">
            <w:pPr>
              <w:keepNext/>
              <w:keepLines/>
              <w:jc w:val="center"/>
              <w:rPr>
                <w:rFonts w:ascii="Arial Narrow" w:hAnsi="Arial Narrow" w:cs="Arial"/>
                <w:sz w:val="20"/>
                <w:szCs w:val="20"/>
              </w:rPr>
            </w:pPr>
            <w:r w:rsidRPr="00B33122">
              <w:rPr>
                <w:rFonts w:ascii="Arial Narrow" w:hAnsi="Arial Narrow" w:cs="Arial"/>
                <w:sz w:val="20"/>
                <w:szCs w:val="20"/>
              </w:rPr>
              <w:t>2</w:t>
            </w:r>
          </w:p>
        </w:tc>
        <w:tc>
          <w:tcPr>
            <w:tcW w:w="1791" w:type="dxa"/>
            <w:vMerge w:val="restart"/>
            <w:shd w:val="clear" w:color="auto" w:fill="auto"/>
            <w:vAlign w:val="center"/>
          </w:tcPr>
          <w:p w14:paraId="0D5D53EE" w14:textId="61370846" w:rsidR="00C26488" w:rsidRPr="00B33122" w:rsidRDefault="00C26488" w:rsidP="008C3377">
            <w:pPr>
              <w:keepNext/>
              <w:keepLines/>
              <w:rPr>
                <w:rFonts w:ascii="Arial Narrow" w:hAnsi="Arial Narrow" w:cs="Arial"/>
                <w:sz w:val="20"/>
                <w:szCs w:val="20"/>
              </w:rPr>
            </w:pPr>
            <w:r w:rsidRPr="00B33122">
              <w:rPr>
                <w:rFonts w:ascii="Arial Narrow" w:hAnsi="Arial Narrow" w:cs="Arial"/>
                <w:sz w:val="20"/>
                <w:szCs w:val="20"/>
              </w:rPr>
              <w:t>Pomolide</w:t>
            </w:r>
          </w:p>
        </w:tc>
      </w:tr>
      <w:tr w:rsidR="00C26488" w:rsidRPr="001428E9" w14:paraId="59016C4A" w14:textId="77777777" w:rsidTr="00692ABD">
        <w:trPr>
          <w:cantSplit/>
          <w:trHeight w:val="20"/>
        </w:trPr>
        <w:tc>
          <w:tcPr>
            <w:tcW w:w="2547" w:type="dxa"/>
            <w:vMerge/>
            <w:shd w:val="clear" w:color="auto" w:fill="auto"/>
            <w:vAlign w:val="center"/>
          </w:tcPr>
          <w:p w14:paraId="2D1E6B47" w14:textId="77777777" w:rsidR="00C26488" w:rsidRPr="00B33122" w:rsidDel="001937FE" w:rsidRDefault="00C26488" w:rsidP="008C3377">
            <w:pPr>
              <w:keepNext/>
              <w:keepLines/>
              <w:jc w:val="left"/>
              <w:rPr>
                <w:rFonts w:ascii="Arial Narrow" w:hAnsi="Arial Narrow" w:cs="Arial"/>
                <w:sz w:val="20"/>
                <w:szCs w:val="20"/>
              </w:rPr>
            </w:pPr>
          </w:p>
        </w:tc>
        <w:tc>
          <w:tcPr>
            <w:tcW w:w="1701" w:type="dxa"/>
            <w:shd w:val="clear" w:color="auto" w:fill="auto"/>
            <w:vAlign w:val="center"/>
          </w:tcPr>
          <w:p w14:paraId="030643E9" w14:textId="66B78804" w:rsidR="00C26488" w:rsidRPr="00C26488" w:rsidRDefault="00C26488"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w:t>
            </w:r>
            <w:r w:rsidR="00D7299C">
              <w:rPr>
                <w:rFonts w:ascii="Arial Narrow" w:hAnsi="Arial Narrow" w:cs="Arial"/>
                <w:i/>
                <w:iCs/>
                <w:sz w:val="20"/>
                <w:szCs w:val="20"/>
              </w:rPr>
              <w:t>(</w:t>
            </w:r>
            <w:r w:rsidR="00AD1090">
              <w:rPr>
                <w:rFonts w:ascii="Arial Narrow" w:hAnsi="Arial Narrow" w:cs="Arial"/>
                <w:i/>
                <w:iCs/>
                <w:sz w:val="20"/>
                <w:szCs w:val="20"/>
              </w:rPr>
              <w:t>HSD Private</w:t>
            </w:r>
            <w:r w:rsidR="00D7299C">
              <w:rPr>
                <w:rFonts w:ascii="Arial Narrow" w:hAnsi="Arial Narrow" w:cs="Arial"/>
                <w:i/>
                <w:iCs/>
                <w:sz w:val="20"/>
                <w:szCs w:val="20"/>
              </w:rPr>
              <w:t>)</w:t>
            </w:r>
          </w:p>
        </w:tc>
        <w:tc>
          <w:tcPr>
            <w:tcW w:w="992" w:type="dxa"/>
            <w:vMerge/>
            <w:shd w:val="clear" w:color="auto" w:fill="auto"/>
            <w:vAlign w:val="center"/>
          </w:tcPr>
          <w:p w14:paraId="2267EF34" w14:textId="77777777" w:rsidR="00C26488" w:rsidRPr="00B33122" w:rsidRDefault="00C26488" w:rsidP="008C3377">
            <w:pPr>
              <w:keepNext/>
              <w:keepLines/>
              <w:jc w:val="center"/>
              <w:rPr>
                <w:rFonts w:ascii="Arial Narrow" w:hAnsi="Arial Narrow" w:cs="Arial"/>
                <w:sz w:val="20"/>
                <w:szCs w:val="20"/>
              </w:rPr>
            </w:pPr>
          </w:p>
        </w:tc>
        <w:tc>
          <w:tcPr>
            <w:tcW w:w="992" w:type="dxa"/>
            <w:vMerge/>
            <w:shd w:val="clear" w:color="auto" w:fill="auto"/>
            <w:vAlign w:val="center"/>
          </w:tcPr>
          <w:p w14:paraId="08506228" w14:textId="77777777" w:rsidR="00C26488" w:rsidRPr="00B33122" w:rsidRDefault="00C26488" w:rsidP="008C3377">
            <w:pPr>
              <w:keepNext/>
              <w:keepLines/>
              <w:jc w:val="center"/>
              <w:rPr>
                <w:rFonts w:ascii="Arial Narrow" w:hAnsi="Arial Narrow" w:cs="Arial"/>
                <w:sz w:val="20"/>
                <w:szCs w:val="20"/>
              </w:rPr>
            </w:pPr>
          </w:p>
        </w:tc>
        <w:tc>
          <w:tcPr>
            <w:tcW w:w="993" w:type="dxa"/>
            <w:vMerge/>
            <w:shd w:val="clear" w:color="auto" w:fill="auto"/>
            <w:vAlign w:val="center"/>
          </w:tcPr>
          <w:p w14:paraId="0ED24EDC" w14:textId="77777777" w:rsidR="00C26488" w:rsidRPr="00B33122" w:rsidRDefault="00C26488" w:rsidP="008C3377">
            <w:pPr>
              <w:keepNext/>
              <w:keepLines/>
              <w:jc w:val="center"/>
              <w:rPr>
                <w:rFonts w:ascii="Arial Narrow" w:hAnsi="Arial Narrow" w:cs="Arial"/>
                <w:sz w:val="20"/>
                <w:szCs w:val="20"/>
              </w:rPr>
            </w:pPr>
          </w:p>
        </w:tc>
        <w:tc>
          <w:tcPr>
            <w:tcW w:w="1791" w:type="dxa"/>
            <w:vMerge/>
            <w:shd w:val="clear" w:color="auto" w:fill="auto"/>
            <w:vAlign w:val="center"/>
          </w:tcPr>
          <w:p w14:paraId="3527F57C" w14:textId="10F38424" w:rsidR="00C26488" w:rsidRPr="00AF0F00" w:rsidRDefault="00C26488" w:rsidP="008C3377">
            <w:pPr>
              <w:keepNext/>
              <w:keepLines/>
              <w:rPr>
                <w:rFonts w:ascii="Arial Narrow" w:hAnsi="Arial Narrow" w:cstheme="minorHAnsi"/>
                <w:sz w:val="20"/>
                <w:szCs w:val="20"/>
              </w:rPr>
            </w:pPr>
          </w:p>
        </w:tc>
      </w:tr>
      <w:tr w:rsidR="00787BA5" w:rsidRPr="001428E9" w14:paraId="5A581F0E" w14:textId="77777777" w:rsidTr="00692ABD">
        <w:trPr>
          <w:cantSplit/>
          <w:trHeight w:val="20"/>
        </w:trPr>
        <w:tc>
          <w:tcPr>
            <w:tcW w:w="2547" w:type="dxa"/>
            <w:vMerge w:val="restart"/>
            <w:shd w:val="clear" w:color="auto" w:fill="auto"/>
            <w:vAlign w:val="center"/>
          </w:tcPr>
          <w:p w14:paraId="406B65C2" w14:textId="6C535E1B" w:rsidR="00787BA5" w:rsidRPr="00B33122" w:rsidDel="001937FE" w:rsidRDefault="00787BA5" w:rsidP="008C3377">
            <w:pPr>
              <w:keepNext/>
              <w:keepLines/>
              <w:jc w:val="left"/>
              <w:rPr>
                <w:rFonts w:ascii="Arial Narrow" w:hAnsi="Arial Narrow" w:cs="Arial"/>
                <w:sz w:val="20"/>
                <w:szCs w:val="20"/>
              </w:rPr>
            </w:pPr>
            <w:r w:rsidRPr="00B33122">
              <w:rPr>
                <w:rFonts w:ascii="Arial Narrow" w:hAnsi="Arial Narrow" w:cs="Arial"/>
                <w:sz w:val="20"/>
                <w:szCs w:val="20"/>
              </w:rPr>
              <w:t>pomalidomide 1 mg capsule, 21</w:t>
            </w:r>
          </w:p>
        </w:tc>
        <w:tc>
          <w:tcPr>
            <w:tcW w:w="1701" w:type="dxa"/>
            <w:shd w:val="clear" w:color="auto" w:fill="auto"/>
            <w:vAlign w:val="center"/>
          </w:tcPr>
          <w:p w14:paraId="732BA3E8" w14:textId="2524C560" w:rsidR="00787BA5" w:rsidRPr="00C26488" w:rsidRDefault="00787BA5"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(HB)</w:t>
            </w:r>
          </w:p>
        </w:tc>
        <w:tc>
          <w:tcPr>
            <w:tcW w:w="992" w:type="dxa"/>
            <w:vMerge w:val="restart"/>
            <w:shd w:val="clear" w:color="auto" w:fill="auto"/>
            <w:vAlign w:val="center"/>
          </w:tcPr>
          <w:p w14:paraId="6C3BF2B7" w14:textId="409CA7C6"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1</w:t>
            </w:r>
          </w:p>
        </w:tc>
        <w:tc>
          <w:tcPr>
            <w:tcW w:w="992" w:type="dxa"/>
            <w:vMerge w:val="restart"/>
            <w:shd w:val="clear" w:color="auto" w:fill="auto"/>
            <w:vAlign w:val="center"/>
          </w:tcPr>
          <w:p w14:paraId="52DB4500" w14:textId="54DD3AA9"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21</w:t>
            </w:r>
          </w:p>
        </w:tc>
        <w:tc>
          <w:tcPr>
            <w:tcW w:w="993" w:type="dxa"/>
            <w:vMerge w:val="restart"/>
            <w:shd w:val="clear" w:color="auto" w:fill="auto"/>
            <w:vAlign w:val="center"/>
          </w:tcPr>
          <w:p w14:paraId="40F2E7D8" w14:textId="4620362B"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0</w:t>
            </w:r>
          </w:p>
        </w:tc>
        <w:tc>
          <w:tcPr>
            <w:tcW w:w="1791" w:type="dxa"/>
            <w:vMerge/>
            <w:shd w:val="clear" w:color="auto" w:fill="auto"/>
            <w:vAlign w:val="center"/>
          </w:tcPr>
          <w:p w14:paraId="41B510F3" w14:textId="1B4CE520" w:rsidR="00787BA5" w:rsidRPr="00AF0F00" w:rsidRDefault="00787BA5" w:rsidP="008C3377">
            <w:pPr>
              <w:keepNext/>
              <w:keepLines/>
              <w:rPr>
                <w:rFonts w:ascii="Arial Narrow" w:hAnsi="Arial Narrow" w:cstheme="minorHAnsi"/>
                <w:sz w:val="20"/>
                <w:szCs w:val="20"/>
              </w:rPr>
            </w:pPr>
          </w:p>
        </w:tc>
      </w:tr>
      <w:tr w:rsidR="00787BA5" w:rsidRPr="001428E9" w14:paraId="1E791BC8" w14:textId="77777777" w:rsidTr="00692ABD">
        <w:trPr>
          <w:cantSplit/>
          <w:trHeight w:val="20"/>
        </w:trPr>
        <w:tc>
          <w:tcPr>
            <w:tcW w:w="2547" w:type="dxa"/>
            <w:vMerge/>
            <w:shd w:val="clear" w:color="auto" w:fill="auto"/>
            <w:vAlign w:val="center"/>
          </w:tcPr>
          <w:p w14:paraId="11D6C2C3" w14:textId="77777777" w:rsidR="00787BA5" w:rsidRPr="00B33122" w:rsidDel="001937FE" w:rsidRDefault="00787BA5" w:rsidP="008C3377">
            <w:pPr>
              <w:keepNext/>
              <w:keepLines/>
              <w:jc w:val="left"/>
              <w:rPr>
                <w:rFonts w:ascii="Arial Narrow" w:hAnsi="Arial Narrow" w:cs="Arial"/>
                <w:sz w:val="20"/>
                <w:szCs w:val="20"/>
              </w:rPr>
            </w:pPr>
          </w:p>
        </w:tc>
        <w:tc>
          <w:tcPr>
            <w:tcW w:w="1701" w:type="dxa"/>
            <w:shd w:val="clear" w:color="auto" w:fill="auto"/>
            <w:vAlign w:val="center"/>
          </w:tcPr>
          <w:p w14:paraId="76FA79F2" w14:textId="43B2F74C" w:rsidR="00787BA5" w:rsidRPr="00C26488" w:rsidRDefault="00787BA5"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(HS)</w:t>
            </w:r>
          </w:p>
        </w:tc>
        <w:tc>
          <w:tcPr>
            <w:tcW w:w="992" w:type="dxa"/>
            <w:vMerge/>
            <w:shd w:val="clear" w:color="auto" w:fill="auto"/>
            <w:vAlign w:val="center"/>
          </w:tcPr>
          <w:p w14:paraId="02252138" w14:textId="77777777" w:rsidR="00787BA5" w:rsidRPr="00B33122" w:rsidRDefault="00787BA5" w:rsidP="008C3377">
            <w:pPr>
              <w:keepNext/>
              <w:keepLines/>
              <w:jc w:val="center"/>
              <w:rPr>
                <w:rFonts w:ascii="Arial Narrow" w:hAnsi="Arial Narrow" w:cs="Arial"/>
                <w:sz w:val="20"/>
                <w:szCs w:val="20"/>
              </w:rPr>
            </w:pPr>
          </w:p>
        </w:tc>
        <w:tc>
          <w:tcPr>
            <w:tcW w:w="992" w:type="dxa"/>
            <w:vMerge/>
            <w:shd w:val="clear" w:color="auto" w:fill="auto"/>
            <w:vAlign w:val="center"/>
          </w:tcPr>
          <w:p w14:paraId="65780ED3" w14:textId="77777777" w:rsidR="00787BA5" w:rsidRPr="00B33122" w:rsidRDefault="00787BA5" w:rsidP="008C3377">
            <w:pPr>
              <w:keepNext/>
              <w:keepLines/>
              <w:jc w:val="center"/>
              <w:rPr>
                <w:rFonts w:ascii="Arial Narrow" w:hAnsi="Arial Narrow" w:cs="Arial"/>
                <w:sz w:val="20"/>
                <w:szCs w:val="20"/>
              </w:rPr>
            </w:pPr>
          </w:p>
        </w:tc>
        <w:tc>
          <w:tcPr>
            <w:tcW w:w="993" w:type="dxa"/>
            <w:vMerge/>
            <w:shd w:val="clear" w:color="auto" w:fill="auto"/>
            <w:vAlign w:val="center"/>
          </w:tcPr>
          <w:p w14:paraId="49DD984F" w14:textId="77777777" w:rsidR="00787BA5" w:rsidRPr="00B33122" w:rsidRDefault="00787BA5" w:rsidP="008C3377">
            <w:pPr>
              <w:keepNext/>
              <w:keepLines/>
              <w:jc w:val="center"/>
              <w:rPr>
                <w:rFonts w:ascii="Arial Narrow" w:hAnsi="Arial Narrow" w:cs="Arial"/>
                <w:sz w:val="20"/>
                <w:szCs w:val="20"/>
              </w:rPr>
            </w:pPr>
          </w:p>
        </w:tc>
        <w:tc>
          <w:tcPr>
            <w:tcW w:w="1791" w:type="dxa"/>
            <w:vMerge/>
            <w:shd w:val="clear" w:color="auto" w:fill="auto"/>
            <w:vAlign w:val="center"/>
          </w:tcPr>
          <w:p w14:paraId="5528EF81" w14:textId="3236F827" w:rsidR="00787BA5" w:rsidRPr="00AF0F00" w:rsidRDefault="00787BA5" w:rsidP="008C3377">
            <w:pPr>
              <w:keepNext/>
              <w:keepLines/>
              <w:rPr>
                <w:rFonts w:ascii="Arial Narrow" w:hAnsi="Arial Narrow" w:cstheme="minorHAnsi"/>
                <w:sz w:val="20"/>
                <w:szCs w:val="20"/>
              </w:rPr>
            </w:pPr>
          </w:p>
        </w:tc>
      </w:tr>
      <w:tr w:rsidR="00787BA5" w:rsidRPr="001428E9" w14:paraId="5FC72B3C" w14:textId="77777777" w:rsidTr="00692ABD">
        <w:trPr>
          <w:cantSplit/>
          <w:trHeight w:val="20"/>
        </w:trPr>
        <w:tc>
          <w:tcPr>
            <w:tcW w:w="2547" w:type="dxa"/>
            <w:vMerge w:val="restart"/>
            <w:shd w:val="clear" w:color="auto" w:fill="auto"/>
            <w:vAlign w:val="center"/>
          </w:tcPr>
          <w:p w14:paraId="7D0C269D" w14:textId="226D9BF9" w:rsidR="00787BA5" w:rsidRPr="00B33122" w:rsidRDefault="00787BA5" w:rsidP="008C3377">
            <w:pPr>
              <w:keepNext/>
              <w:keepLines/>
              <w:jc w:val="left"/>
              <w:rPr>
                <w:rFonts w:ascii="Arial Narrow" w:hAnsi="Arial Narrow" w:cs="Arial"/>
                <w:sz w:val="20"/>
                <w:szCs w:val="20"/>
              </w:rPr>
            </w:pPr>
            <w:r w:rsidRPr="00B33122">
              <w:rPr>
                <w:rFonts w:ascii="Arial Narrow" w:hAnsi="Arial Narrow" w:cs="Arial"/>
                <w:sz w:val="20"/>
                <w:szCs w:val="20"/>
              </w:rPr>
              <w:t>pomalidomide 2 mg capsule, 14</w:t>
            </w:r>
          </w:p>
        </w:tc>
        <w:tc>
          <w:tcPr>
            <w:tcW w:w="1701" w:type="dxa"/>
            <w:shd w:val="clear" w:color="auto" w:fill="auto"/>
            <w:vAlign w:val="center"/>
          </w:tcPr>
          <w:p w14:paraId="56324281" w14:textId="16617C90" w:rsidR="00787BA5" w:rsidRPr="00C26488" w:rsidRDefault="00787BA5"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(HB)</w:t>
            </w:r>
          </w:p>
        </w:tc>
        <w:tc>
          <w:tcPr>
            <w:tcW w:w="992" w:type="dxa"/>
            <w:vMerge w:val="restart"/>
            <w:shd w:val="clear" w:color="auto" w:fill="auto"/>
            <w:vAlign w:val="center"/>
          </w:tcPr>
          <w:p w14:paraId="612E373D" w14:textId="5E01BF50"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1</w:t>
            </w:r>
          </w:p>
        </w:tc>
        <w:tc>
          <w:tcPr>
            <w:tcW w:w="992" w:type="dxa"/>
            <w:vMerge w:val="restart"/>
            <w:shd w:val="clear" w:color="auto" w:fill="auto"/>
            <w:vAlign w:val="center"/>
          </w:tcPr>
          <w:p w14:paraId="4509F9F9" w14:textId="0415375C"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14</w:t>
            </w:r>
          </w:p>
        </w:tc>
        <w:tc>
          <w:tcPr>
            <w:tcW w:w="993" w:type="dxa"/>
            <w:vMerge w:val="restart"/>
            <w:shd w:val="clear" w:color="auto" w:fill="auto"/>
            <w:vAlign w:val="center"/>
          </w:tcPr>
          <w:p w14:paraId="2AC7A4FE" w14:textId="231D1CAB" w:rsidR="00787BA5" w:rsidRPr="00B33122" w:rsidRDefault="00DC1938" w:rsidP="008C3377">
            <w:pPr>
              <w:keepNext/>
              <w:keepLines/>
              <w:jc w:val="center"/>
              <w:rPr>
                <w:rFonts w:ascii="Arial Narrow" w:hAnsi="Arial Narrow" w:cs="Arial"/>
                <w:sz w:val="20"/>
                <w:szCs w:val="20"/>
              </w:rPr>
            </w:pPr>
            <w:r w:rsidRPr="00B33122">
              <w:rPr>
                <w:rFonts w:ascii="Arial Narrow" w:hAnsi="Arial Narrow" w:cs="Arial"/>
                <w:sz w:val="20"/>
                <w:szCs w:val="20"/>
              </w:rPr>
              <w:t>2</w:t>
            </w:r>
          </w:p>
        </w:tc>
        <w:tc>
          <w:tcPr>
            <w:tcW w:w="1791" w:type="dxa"/>
            <w:vMerge/>
            <w:shd w:val="clear" w:color="auto" w:fill="auto"/>
            <w:vAlign w:val="center"/>
          </w:tcPr>
          <w:p w14:paraId="48116E74" w14:textId="477A517A" w:rsidR="00787BA5" w:rsidRPr="00AF0F00" w:rsidRDefault="00787BA5" w:rsidP="008C3377">
            <w:pPr>
              <w:keepNext/>
              <w:keepLines/>
              <w:rPr>
                <w:rFonts w:ascii="Arial Narrow" w:hAnsi="Arial Narrow" w:cs="Arial"/>
                <w:sz w:val="20"/>
                <w:szCs w:val="20"/>
              </w:rPr>
            </w:pPr>
          </w:p>
        </w:tc>
      </w:tr>
      <w:tr w:rsidR="00787BA5" w:rsidRPr="001428E9" w14:paraId="0151C84A" w14:textId="77777777" w:rsidTr="00692ABD">
        <w:trPr>
          <w:cantSplit/>
          <w:trHeight w:val="20"/>
        </w:trPr>
        <w:tc>
          <w:tcPr>
            <w:tcW w:w="2547" w:type="dxa"/>
            <w:vMerge/>
            <w:shd w:val="clear" w:color="auto" w:fill="auto"/>
            <w:vAlign w:val="center"/>
          </w:tcPr>
          <w:p w14:paraId="76D2877E" w14:textId="64F9C394" w:rsidR="00787BA5" w:rsidRPr="00B33122" w:rsidRDefault="00787BA5" w:rsidP="008C3377">
            <w:pPr>
              <w:keepNext/>
              <w:keepLines/>
              <w:jc w:val="left"/>
              <w:rPr>
                <w:rFonts w:ascii="Arial Narrow" w:hAnsi="Arial Narrow" w:cs="Arial"/>
                <w:sz w:val="20"/>
                <w:szCs w:val="20"/>
              </w:rPr>
            </w:pPr>
          </w:p>
        </w:tc>
        <w:tc>
          <w:tcPr>
            <w:tcW w:w="1701" w:type="dxa"/>
            <w:shd w:val="clear" w:color="auto" w:fill="auto"/>
            <w:vAlign w:val="center"/>
          </w:tcPr>
          <w:p w14:paraId="05A4DFCB" w14:textId="1BCC433B" w:rsidR="00787BA5" w:rsidRPr="00C26488" w:rsidRDefault="00787BA5"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(HS)</w:t>
            </w:r>
          </w:p>
        </w:tc>
        <w:tc>
          <w:tcPr>
            <w:tcW w:w="992" w:type="dxa"/>
            <w:vMerge/>
            <w:shd w:val="clear" w:color="auto" w:fill="auto"/>
            <w:vAlign w:val="center"/>
          </w:tcPr>
          <w:p w14:paraId="212A1B55" w14:textId="78A1E278" w:rsidR="00787BA5" w:rsidRPr="00B33122" w:rsidRDefault="00787BA5" w:rsidP="008C3377">
            <w:pPr>
              <w:keepNext/>
              <w:keepLines/>
              <w:jc w:val="center"/>
              <w:rPr>
                <w:rFonts w:ascii="Arial Narrow" w:hAnsi="Arial Narrow" w:cs="Arial"/>
                <w:sz w:val="20"/>
                <w:szCs w:val="20"/>
              </w:rPr>
            </w:pPr>
          </w:p>
        </w:tc>
        <w:tc>
          <w:tcPr>
            <w:tcW w:w="992" w:type="dxa"/>
            <w:vMerge/>
            <w:shd w:val="clear" w:color="auto" w:fill="auto"/>
            <w:vAlign w:val="center"/>
          </w:tcPr>
          <w:p w14:paraId="67674246" w14:textId="3F7EA58D" w:rsidR="00787BA5" w:rsidRPr="00B33122" w:rsidRDefault="00787BA5" w:rsidP="008C3377">
            <w:pPr>
              <w:keepNext/>
              <w:keepLines/>
              <w:jc w:val="center"/>
              <w:rPr>
                <w:rFonts w:ascii="Arial Narrow" w:hAnsi="Arial Narrow" w:cs="Arial"/>
                <w:sz w:val="20"/>
                <w:szCs w:val="20"/>
              </w:rPr>
            </w:pPr>
          </w:p>
        </w:tc>
        <w:tc>
          <w:tcPr>
            <w:tcW w:w="993" w:type="dxa"/>
            <w:vMerge/>
            <w:shd w:val="clear" w:color="auto" w:fill="auto"/>
            <w:vAlign w:val="center"/>
          </w:tcPr>
          <w:p w14:paraId="7F6672AF" w14:textId="0E9D3172" w:rsidR="00787BA5" w:rsidRPr="00B33122" w:rsidRDefault="00787BA5" w:rsidP="008C3377">
            <w:pPr>
              <w:keepNext/>
              <w:keepLines/>
              <w:jc w:val="center"/>
              <w:rPr>
                <w:rFonts w:ascii="Arial Narrow" w:hAnsi="Arial Narrow" w:cs="Arial"/>
                <w:sz w:val="20"/>
                <w:szCs w:val="20"/>
              </w:rPr>
            </w:pPr>
          </w:p>
        </w:tc>
        <w:tc>
          <w:tcPr>
            <w:tcW w:w="1791" w:type="dxa"/>
            <w:vMerge/>
            <w:shd w:val="clear" w:color="auto" w:fill="auto"/>
            <w:vAlign w:val="center"/>
          </w:tcPr>
          <w:p w14:paraId="184A9C10" w14:textId="319D71F5" w:rsidR="00787BA5" w:rsidRPr="00AF0F00" w:rsidRDefault="00787BA5" w:rsidP="008C3377">
            <w:pPr>
              <w:keepNext/>
              <w:keepLines/>
              <w:rPr>
                <w:rFonts w:ascii="Arial Narrow" w:hAnsi="Arial Narrow" w:cs="Arial"/>
                <w:sz w:val="20"/>
                <w:szCs w:val="20"/>
              </w:rPr>
            </w:pPr>
          </w:p>
        </w:tc>
      </w:tr>
      <w:tr w:rsidR="00787BA5" w:rsidRPr="001428E9" w14:paraId="53FF1B04" w14:textId="77777777" w:rsidTr="00692ABD">
        <w:trPr>
          <w:cantSplit/>
          <w:trHeight w:val="20"/>
        </w:trPr>
        <w:tc>
          <w:tcPr>
            <w:tcW w:w="2547" w:type="dxa"/>
            <w:vMerge w:val="restart"/>
            <w:shd w:val="clear" w:color="auto" w:fill="auto"/>
            <w:vAlign w:val="center"/>
          </w:tcPr>
          <w:p w14:paraId="4D402710" w14:textId="066A3187" w:rsidR="00787BA5" w:rsidRPr="00B33122" w:rsidRDefault="00787BA5" w:rsidP="008C3377">
            <w:pPr>
              <w:keepNext/>
              <w:keepLines/>
              <w:jc w:val="left"/>
              <w:rPr>
                <w:rFonts w:ascii="Arial Narrow" w:hAnsi="Arial Narrow" w:cs="Arial"/>
                <w:sz w:val="20"/>
                <w:szCs w:val="20"/>
              </w:rPr>
            </w:pPr>
            <w:r w:rsidRPr="00B33122">
              <w:rPr>
                <w:rFonts w:ascii="Arial Narrow" w:hAnsi="Arial Narrow" w:cs="Arial"/>
                <w:sz w:val="20"/>
                <w:szCs w:val="20"/>
              </w:rPr>
              <w:t>pomalidomide 2 mg capsule, 21</w:t>
            </w:r>
          </w:p>
        </w:tc>
        <w:tc>
          <w:tcPr>
            <w:tcW w:w="1701" w:type="dxa"/>
            <w:shd w:val="clear" w:color="auto" w:fill="auto"/>
            <w:vAlign w:val="center"/>
          </w:tcPr>
          <w:p w14:paraId="31277657" w14:textId="1C691DCC" w:rsidR="00787BA5" w:rsidRPr="00C26488" w:rsidRDefault="00787BA5" w:rsidP="008C3377">
            <w:pPr>
              <w:keepNext/>
              <w:keepLines/>
              <w:rPr>
                <w:rFonts w:ascii="Arial Narrow" w:hAnsi="Arial Narrow" w:cs="Arial"/>
                <w:i/>
                <w:iCs/>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(HB)</w:t>
            </w:r>
          </w:p>
        </w:tc>
        <w:tc>
          <w:tcPr>
            <w:tcW w:w="992" w:type="dxa"/>
            <w:vMerge w:val="restart"/>
            <w:shd w:val="clear" w:color="auto" w:fill="auto"/>
            <w:vAlign w:val="center"/>
          </w:tcPr>
          <w:p w14:paraId="51F3C62A" w14:textId="7403AF2B"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1</w:t>
            </w:r>
          </w:p>
        </w:tc>
        <w:tc>
          <w:tcPr>
            <w:tcW w:w="992" w:type="dxa"/>
            <w:vMerge w:val="restart"/>
            <w:shd w:val="clear" w:color="auto" w:fill="auto"/>
            <w:vAlign w:val="center"/>
          </w:tcPr>
          <w:p w14:paraId="10061BF1" w14:textId="4C6407BF"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21</w:t>
            </w:r>
          </w:p>
        </w:tc>
        <w:tc>
          <w:tcPr>
            <w:tcW w:w="993" w:type="dxa"/>
            <w:vMerge w:val="restart"/>
            <w:shd w:val="clear" w:color="auto" w:fill="auto"/>
            <w:vAlign w:val="center"/>
          </w:tcPr>
          <w:p w14:paraId="556AA87E" w14:textId="3489FF6E" w:rsidR="00787BA5" w:rsidRPr="00B33122" w:rsidRDefault="00787BA5" w:rsidP="008C3377">
            <w:pPr>
              <w:keepNext/>
              <w:keepLines/>
              <w:jc w:val="center"/>
              <w:rPr>
                <w:rFonts w:ascii="Arial Narrow" w:hAnsi="Arial Narrow" w:cs="Arial"/>
                <w:sz w:val="20"/>
                <w:szCs w:val="20"/>
              </w:rPr>
            </w:pPr>
            <w:r w:rsidRPr="00B33122">
              <w:rPr>
                <w:rFonts w:ascii="Arial Narrow" w:hAnsi="Arial Narrow" w:cs="Arial"/>
                <w:sz w:val="20"/>
                <w:szCs w:val="20"/>
              </w:rPr>
              <w:t>0</w:t>
            </w:r>
          </w:p>
        </w:tc>
        <w:tc>
          <w:tcPr>
            <w:tcW w:w="1791" w:type="dxa"/>
            <w:vMerge/>
            <w:shd w:val="clear" w:color="auto" w:fill="auto"/>
            <w:vAlign w:val="center"/>
          </w:tcPr>
          <w:p w14:paraId="77CECF99" w14:textId="23C74734" w:rsidR="00787BA5" w:rsidRPr="00AF0F00" w:rsidRDefault="00787BA5" w:rsidP="008C3377">
            <w:pPr>
              <w:keepNext/>
              <w:keepLines/>
              <w:rPr>
                <w:rFonts w:ascii="Arial Narrow" w:hAnsi="Arial Narrow" w:cs="Arial"/>
                <w:sz w:val="20"/>
                <w:szCs w:val="20"/>
              </w:rPr>
            </w:pPr>
          </w:p>
        </w:tc>
      </w:tr>
      <w:tr w:rsidR="00787BA5" w:rsidRPr="001428E9" w14:paraId="342170C5" w14:textId="77777777" w:rsidTr="00692ABD">
        <w:trPr>
          <w:cantSplit/>
          <w:trHeight w:val="20"/>
        </w:trPr>
        <w:tc>
          <w:tcPr>
            <w:tcW w:w="2547" w:type="dxa"/>
            <w:vMerge/>
            <w:shd w:val="clear" w:color="auto" w:fill="auto"/>
            <w:vAlign w:val="center"/>
          </w:tcPr>
          <w:p w14:paraId="1596F9EA" w14:textId="77777777" w:rsidR="00787BA5" w:rsidRPr="00C26488" w:rsidRDefault="00787BA5" w:rsidP="008C3377">
            <w:pPr>
              <w:keepNext/>
              <w:keepLines/>
              <w:jc w:val="left"/>
              <w:rPr>
                <w:rFonts w:ascii="Arial Narrow" w:hAnsi="Arial Narrow" w:cs="Arial"/>
                <w:sz w:val="20"/>
                <w:szCs w:val="20"/>
              </w:rPr>
            </w:pPr>
          </w:p>
        </w:tc>
        <w:tc>
          <w:tcPr>
            <w:tcW w:w="1701" w:type="dxa"/>
            <w:shd w:val="clear" w:color="auto" w:fill="auto"/>
            <w:vAlign w:val="center"/>
          </w:tcPr>
          <w:p w14:paraId="5BFE44B9" w14:textId="7299DBB2" w:rsidR="00787BA5" w:rsidRPr="001937FE" w:rsidRDefault="00787BA5" w:rsidP="008C3377">
            <w:pPr>
              <w:keepNext/>
              <w:keepLines/>
              <w:rPr>
                <w:rFonts w:ascii="Arial Narrow" w:hAnsi="Arial Narrow" w:cs="Arial"/>
                <w:sz w:val="20"/>
                <w:szCs w:val="20"/>
              </w:rPr>
            </w:pPr>
            <w:r w:rsidRPr="00C26488">
              <w:rPr>
                <w:rFonts w:ascii="Arial Narrow" w:hAnsi="Arial Narrow" w:cs="Arial"/>
                <w:i/>
                <w:iCs/>
                <w:sz w:val="20"/>
                <w:szCs w:val="20"/>
              </w:rPr>
              <w:t>NEW</w:t>
            </w:r>
            <w:r>
              <w:rPr>
                <w:rFonts w:ascii="Arial Narrow" w:hAnsi="Arial Narrow" w:cs="Arial"/>
                <w:i/>
                <w:iCs/>
                <w:sz w:val="20"/>
                <w:szCs w:val="20"/>
              </w:rPr>
              <w:t xml:space="preserve"> (HS)</w:t>
            </w:r>
          </w:p>
        </w:tc>
        <w:tc>
          <w:tcPr>
            <w:tcW w:w="992" w:type="dxa"/>
            <w:vMerge/>
            <w:shd w:val="clear" w:color="auto" w:fill="auto"/>
            <w:vAlign w:val="center"/>
          </w:tcPr>
          <w:p w14:paraId="449F4852" w14:textId="77777777" w:rsidR="00787BA5" w:rsidRPr="001937FE" w:rsidRDefault="00787BA5" w:rsidP="008C3377">
            <w:pPr>
              <w:keepNext/>
              <w:keepLines/>
              <w:jc w:val="center"/>
              <w:rPr>
                <w:rFonts w:ascii="Arial Narrow" w:hAnsi="Arial Narrow" w:cs="Arial"/>
                <w:sz w:val="20"/>
                <w:szCs w:val="20"/>
              </w:rPr>
            </w:pPr>
          </w:p>
        </w:tc>
        <w:tc>
          <w:tcPr>
            <w:tcW w:w="992" w:type="dxa"/>
            <w:vMerge/>
            <w:shd w:val="clear" w:color="auto" w:fill="auto"/>
            <w:vAlign w:val="center"/>
          </w:tcPr>
          <w:p w14:paraId="2DA646D6" w14:textId="77777777" w:rsidR="00787BA5" w:rsidRPr="001937FE" w:rsidRDefault="00787BA5" w:rsidP="008C3377">
            <w:pPr>
              <w:keepNext/>
              <w:keepLines/>
              <w:jc w:val="center"/>
              <w:rPr>
                <w:rFonts w:ascii="Arial Narrow" w:hAnsi="Arial Narrow" w:cs="Arial"/>
                <w:sz w:val="20"/>
                <w:szCs w:val="20"/>
              </w:rPr>
            </w:pPr>
          </w:p>
        </w:tc>
        <w:tc>
          <w:tcPr>
            <w:tcW w:w="993" w:type="dxa"/>
            <w:vMerge/>
            <w:shd w:val="clear" w:color="auto" w:fill="auto"/>
            <w:vAlign w:val="center"/>
          </w:tcPr>
          <w:p w14:paraId="5EF8396F" w14:textId="77777777" w:rsidR="00787BA5" w:rsidRPr="001937FE" w:rsidRDefault="00787BA5" w:rsidP="008C3377">
            <w:pPr>
              <w:keepNext/>
              <w:keepLines/>
              <w:jc w:val="center"/>
              <w:rPr>
                <w:rFonts w:ascii="Arial Narrow" w:hAnsi="Arial Narrow" w:cs="Arial"/>
                <w:sz w:val="20"/>
                <w:szCs w:val="20"/>
              </w:rPr>
            </w:pPr>
          </w:p>
        </w:tc>
        <w:tc>
          <w:tcPr>
            <w:tcW w:w="1791" w:type="dxa"/>
            <w:vMerge/>
            <w:shd w:val="clear" w:color="auto" w:fill="auto"/>
            <w:vAlign w:val="center"/>
          </w:tcPr>
          <w:p w14:paraId="73C05247" w14:textId="77777777" w:rsidR="00787BA5" w:rsidRPr="001937FE" w:rsidRDefault="00787BA5" w:rsidP="008C3377">
            <w:pPr>
              <w:keepNext/>
              <w:keepLines/>
              <w:rPr>
                <w:rFonts w:ascii="Arial Narrow" w:hAnsi="Arial Narrow" w:cstheme="minorHAnsi"/>
                <w:sz w:val="20"/>
                <w:szCs w:val="20"/>
              </w:rPr>
            </w:pPr>
          </w:p>
        </w:tc>
      </w:tr>
    </w:tbl>
    <w:p w14:paraId="7D97033B" w14:textId="5A7C8D77" w:rsidR="00B63E85" w:rsidRDefault="00B63E85" w:rsidP="008C3377">
      <w:pPr>
        <w:pStyle w:val="TableFigureFooter"/>
      </w:pPr>
    </w:p>
    <w:p w14:paraId="5DF486F9" w14:textId="5727AD15" w:rsidR="00B63E85" w:rsidRPr="00B63E85" w:rsidRDefault="0043784A" w:rsidP="005A0504">
      <w:pPr>
        <w:pStyle w:val="3Bodytext"/>
        <w:jc w:val="both"/>
      </w:pPr>
      <w:r>
        <w:t xml:space="preserve">The submission </w:t>
      </w:r>
      <w:r w:rsidR="009D3917">
        <w:t>requested</w:t>
      </w:r>
      <w:r>
        <w:t xml:space="preserve"> the same maximum quanti</w:t>
      </w:r>
      <w:r w:rsidR="00D7299C">
        <w:t>t</w:t>
      </w:r>
      <w:r>
        <w:t xml:space="preserve">y and maximum repeats </w:t>
      </w:r>
      <w:r w:rsidR="00AB0A4E">
        <w:t>as the 3 mg and 4 mg strengths</w:t>
      </w:r>
      <w:r w:rsidR="00503A31">
        <w:t>.</w:t>
      </w:r>
      <w:r w:rsidR="00B93EED">
        <w:t xml:space="preserve"> </w:t>
      </w:r>
      <w:r w:rsidR="000A3E61">
        <w:t>T</w:t>
      </w:r>
      <w:r w:rsidR="00B93EED">
        <w:t xml:space="preserve">he submission </w:t>
      </w:r>
      <w:r w:rsidR="009D3917">
        <w:t xml:space="preserve">highlighted </w:t>
      </w:r>
      <w:r w:rsidR="001E7B10">
        <w:t xml:space="preserve">that the rationale for the requested listing </w:t>
      </w:r>
      <w:r w:rsidR="009D3917">
        <w:t xml:space="preserve">was </w:t>
      </w:r>
      <w:r w:rsidR="001E7B10">
        <w:t>that d</w:t>
      </w:r>
      <w:r w:rsidR="001E7B10" w:rsidRPr="00D76D5C">
        <w:rPr>
          <w:rFonts w:cstheme="minorHAnsi"/>
        </w:rPr>
        <w:t>ose adjustments (interruptions and reductions) occur during treatment with pomalidomide due to the occurrence of haematological toxicities (such as thrombocytopenia and neutropenia).</w:t>
      </w:r>
      <w:r w:rsidR="000A3E61" w:rsidRPr="00D76D5C">
        <w:rPr>
          <w:rFonts w:cstheme="minorHAnsi"/>
        </w:rPr>
        <w:t xml:space="preserve"> As such, the submission considers that listing lower strengths on the PBS </w:t>
      </w:r>
      <w:r w:rsidR="009D3917" w:rsidRPr="00D76D5C">
        <w:rPr>
          <w:rFonts w:cstheme="minorHAnsi"/>
        </w:rPr>
        <w:t>w</w:t>
      </w:r>
      <w:r w:rsidR="009D3917">
        <w:rPr>
          <w:rFonts w:cstheme="minorHAnsi"/>
        </w:rPr>
        <w:t>ould</w:t>
      </w:r>
      <w:r w:rsidR="009D3917" w:rsidRPr="00D76D5C">
        <w:rPr>
          <w:rFonts w:cstheme="minorHAnsi"/>
        </w:rPr>
        <w:t xml:space="preserve"> </w:t>
      </w:r>
      <w:r w:rsidR="000A3E61" w:rsidRPr="00D76D5C">
        <w:rPr>
          <w:rFonts w:cstheme="minorHAnsi"/>
        </w:rPr>
        <w:t xml:space="preserve">allow for more efficient dosing. </w:t>
      </w:r>
      <w:r w:rsidR="009D3917" w:rsidRPr="009843D2">
        <w:rPr>
          <w:rFonts w:cstheme="minorHAnsi"/>
        </w:rPr>
        <w:t>It was noted</w:t>
      </w:r>
      <w:r w:rsidR="000A3E61" w:rsidRPr="009843D2">
        <w:rPr>
          <w:rFonts w:cstheme="minorHAnsi"/>
        </w:rPr>
        <w:t xml:space="preserve"> that </w:t>
      </w:r>
      <w:r w:rsidR="00503A31" w:rsidRPr="009843D2">
        <w:t xml:space="preserve">the PI does not </w:t>
      </w:r>
      <w:r w:rsidR="00B93EED" w:rsidRPr="009843D2">
        <w:t xml:space="preserve">specify how long a patient would require </w:t>
      </w:r>
      <w:r w:rsidR="000A3E61" w:rsidRPr="009843D2">
        <w:t xml:space="preserve">treatment with lower strengths, </w:t>
      </w:r>
      <w:r w:rsidR="00D76D5C" w:rsidRPr="009843D2">
        <w:t>but presumably it would be until the haematological toxicities resolve.</w:t>
      </w:r>
    </w:p>
    <w:p w14:paraId="29A96004" w14:textId="52D03FDD" w:rsidR="00C27C1C" w:rsidRPr="00BA1386" w:rsidRDefault="00C27C1C" w:rsidP="008C3377">
      <w:pPr>
        <w:pStyle w:val="2-SectionHeading"/>
        <w:jc w:val="both"/>
        <w:rPr>
          <w:color w:val="FF0000"/>
        </w:rPr>
      </w:pPr>
      <w:r w:rsidRPr="00BA1386">
        <w:t>Comparator</w:t>
      </w:r>
    </w:p>
    <w:p w14:paraId="1B445ACD" w14:textId="7E151B5A" w:rsidR="00226BDF" w:rsidRPr="00170A22" w:rsidRDefault="00C27C1C" w:rsidP="005A0504">
      <w:pPr>
        <w:pStyle w:val="3Bodytext"/>
        <w:jc w:val="both"/>
        <w:rPr>
          <w:iCs/>
        </w:rPr>
      </w:pPr>
      <w:bookmarkStart w:id="0" w:name="_Hlk135137498"/>
      <w:r w:rsidRPr="000B44C3">
        <w:t xml:space="preserve">The </w:t>
      </w:r>
      <w:r w:rsidRPr="009270AE">
        <w:t>submission nominated</w:t>
      </w:r>
      <w:r w:rsidR="00E544F5" w:rsidRPr="009270AE">
        <w:t xml:space="preserve"> </w:t>
      </w:r>
      <w:r w:rsidR="00C26488">
        <w:t xml:space="preserve">PBS-listed </w:t>
      </w:r>
      <w:r w:rsidR="00E544F5" w:rsidRPr="009270AE">
        <w:t>Pomalyst</w:t>
      </w:r>
      <w:r w:rsidR="00E544F5" w:rsidRPr="00B80370">
        <w:rPr>
          <w:rFonts w:cstheme="minorHAnsi"/>
        </w:rPr>
        <w:t xml:space="preserve"> </w:t>
      </w:r>
      <w:r w:rsidRPr="009270AE">
        <w:t>as the main comparator.</w:t>
      </w:r>
      <w:r w:rsidR="00EB7210" w:rsidRPr="009270AE">
        <w:t xml:space="preserve"> </w:t>
      </w:r>
      <w:r w:rsidR="00EB7210" w:rsidRPr="009843D2">
        <w:rPr>
          <w:iCs/>
        </w:rPr>
        <w:t xml:space="preserve">This </w:t>
      </w:r>
      <w:r w:rsidR="00170A22">
        <w:rPr>
          <w:iCs/>
        </w:rPr>
        <w:t>wa</w:t>
      </w:r>
      <w:r w:rsidR="00170A22" w:rsidRPr="009843D2">
        <w:rPr>
          <w:iCs/>
        </w:rPr>
        <w:t xml:space="preserve">s </w:t>
      </w:r>
      <w:r w:rsidR="00EB7210" w:rsidRPr="009843D2">
        <w:rPr>
          <w:iCs/>
        </w:rPr>
        <w:t>appropriate.</w:t>
      </w:r>
      <w:r w:rsidR="007760A0">
        <w:rPr>
          <w:iCs/>
        </w:rPr>
        <w:t xml:space="preserve"> The PBAC considered that the higher strength of Pomolide is also a relevant comparator.</w:t>
      </w:r>
    </w:p>
    <w:bookmarkEnd w:id="0"/>
    <w:p w14:paraId="313E55A0" w14:textId="2E4D8E4D" w:rsidR="00C27C1C" w:rsidRPr="00E544F5" w:rsidRDefault="00C27C1C" w:rsidP="008C3377">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79931BB7" w14:textId="6B8558C7" w:rsidR="00476741" w:rsidRDefault="00476741" w:rsidP="008C3377">
      <w:pPr>
        <w:pStyle w:val="4-SubsectionHeading"/>
        <w:keepNext w:val="0"/>
        <w:rPr>
          <w:lang w:eastAsia="en-US"/>
        </w:rPr>
      </w:pPr>
      <w:r w:rsidRPr="00476741">
        <w:rPr>
          <w:lang w:eastAsia="en-US"/>
        </w:rPr>
        <w:t>Sponsor hearing</w:t>
      </w:r>
    </w:p>
    <w:p w14:paraId="75ABBFA1" w14:textId="4DA97E9B" w:rsidR="00476741" w:rsidRDefault="00476741" w:rsidP="005A0504">
      <w:pPr>
        <w:pStyle w:val="3Bodytext"/>
        <w:jc w:val="both"/>
        <w:rPr>
          <w:lang w:eastAsia="en-US"/>
        </w:rPr>
      </w:pPr>
      <w:r>
        <w:rPr>
          <w:lang w:eastAsia="en-US"/>
        </w:rPr>
        <w:t>There was no hearing for this item</w:t>
      </w:r>
    </w:p>
    <w:p w14:paraId="7A6AD56D" w14:textId="6D4D58AD" w:rsidR="00875C3E" w:rsidRPr="00875C3E" w:rsidRDefault="00875C3E" w:rsidP="00864E1C">
      <w:pPr>
        <w:pStyle w:val="4-SubsectionHeading"/>
        <w:keepNext w:val="0"/>
        <w:rPr>
          <w:lang w:eastAsia="en-US"/>
        </w:rPr>
      </w:pPr>
      <w:r w:rsidRPr="00875C3E">
        <w:rPr>
          <w:lang w:eastAsia="en-US"/>
        </w:rPr>
        <w:lastRenderedPageBreak/>
        <w:t>Consumer comments</w:t>
      </w:r>
    </w:p>
    <w:p w14:paraId="2BCE4F46" w14:textId="46070303" w:rsidR="00383CFC" w:rsidRDefault="00476741" w:rsidP="005A0504">
      <w:pPr>
        <w:pStyle w:val="3Bodytext"/>
        <w:jc w:val="both"/>
        <w:rPr>
          <w:lang w:eastAsia="en-US"/>
        </w:rPr>
      </w:pPr>
      <w:r>
        <w:rPr>
          <w:lang w:eastAsia="en-US"/>
        </w:rPr>
        <w:t>The PBAC</w:t>
      </w:r>
      <w:r w:rsidR="00875C3E">
        <w:rPr>
          <w:lang w:eastAsia="en-US"/>
        </w:rPr>
        <w:t xml:space="preserve"> noted and welcomed the input from </w:t>
      </w:r>
      <w:r w:rsidR="00875C3E" w:rsidRPr="00A67ABB">
        <w:rPr>
          <w:lang w:eastAsia="en-US"/>
        </w:rPr>
        <w:t>Rare Cancers Australia</w:t>
      </w:r>
      <w:r w:rsidR="004F53C6">
        <w:rPr>
          <w:lang w:eastAsia="en-US"/>
        </w:rPr>
        <w:t xml:space="preserve"> via the Consumer Comments facility on the PBS website</w:t>
      </w:r>
      <w:r w:rsidR="00B75628" w:rsidRPr="00A67ABB">
        <w:rPr>
          <w:lang w:eastAsia="en-US"/>
        </w:rPr>
        <w:t>.</w:t>
      </w:r>
      <w:r w:rsidR="004F53C6">
        <w:rPr>
          <w:lang w:eastAsia="en-US"/>
        </w:rPr>
        <w:t xml:space="preserve"> </w:t>
      </w:r>
      <w:r w:rsidR="006E6026">
        <w:rPr>
          <w:lang w:eastAsia="en-US"/>
        </w:rPr>
        <w:t xml:space="preserve">While the comments </w:t>
      </w:r>
      <w:r w:rsidR="00E464D1">
        <w:rPr>
          <w:lang w:eastAsia="en-US"/>
        </w:rPr>
        <w:t>did</w:t>
      </w:r>
      <w:r w:rsidR="006E6026">
        <w:rPr>
          <w:lang w:eastAsia="en-US"/>
        </w:rPr>
        <w:t xml:space="preserve"> not </w:t>
      </w:r>
      <w:r w:rsidR="00E464D1">
        <w:rPr>
          <w:lang w:eastAsia="en-US"/>
        </w:rPr>
        <w:t>address</w:t>
      </w:r>
      <w:r w:rsidR="006E6026">
        <w:rPr>
          <w:lang w:eastAsia="en-US"/>
        </w:rPr>
        <w:t xml:space="preserve"> the addition of the new strengths</w:t>
      </w:r>
      <w:r w:rsidR="00E464D1">
        <w:rPr>
          <w:lang w:eastAsia="en-US"/>
        </w:rPr>
        <w:t xml:space="preserve"> of pomalidomide</w:t>
      </w:r>
      <w:r w:rsidR="006E6026">
        <w:rPr>
          <w:lang w:eastAsia="en-US"/>
        </w:rPr>
        <w:t xml:space="preserve">, they </w:t>
      </w:r>
      <w:r w:rsidR="004F53C6">
        <w:rPr>
          <w:lang w:eastAsia="en-US"/>
        </w:rPr>
        <w:t xml:space="preserve">described a range of benefits of </w:t>
      </w:r>
      <w:r w:rsidR="00E464D1">
        <w:rPr>
          <w:lang w:eastAsia="en-US"/>
        </w:rPr>
        <w:t xml:space="preserve">pomalidomide </w:t>
      </w:r>
      <w:r w:rsidR="004F53C6">
        <w:rPr>
          <w:lang w:eastAsia="en-US"/>
        </w:rPr>
        <w:t>treatment</w:t>
      </w:r>
      <w:r w:rsidR="00E464D1">
        <w:rPr>
          <w:lang w:eastAsia="en-US"/>
        </w:rPr>
        <w:t xml:space="preserve"> in general</w:t>
      </w:r>
      <w:r w:rsidR="004472B7">
        <w:rPr>
          <w:lang w:eastAsia="en-US"/>
        </w:rPr>
        <w:t xml:space="preserve">. This included </w:t>
      </w:r>
      <w:r w:rsidR="004F53C6">
        <w:rPr>
          <w:lang w:eastAsia="en-US"/>
        </w:rPr>
        <w:t xml:space="preserve">the ability to take the drug orally which </w:t>
      </w:r>
      <w:r w:rsidR="006E6026">
        <w:rPr>
          <w:lang w:eastAsia="en-US"/>
        </w:rPr>
        <w:t>improved quality of life by reducing hospital visits for infusions</w:t>
      </w:r>
      <w:r w:rsidR="004472B7">
        <w:rPr>
          <w:lang w:eastAsia="en-US"/>
        </w:rPr>
        <w:t>, and that pomalidomide was considered a less physically and psychologically tolling treatment alternative to other chemotherapy regimens</w:t>
      </w:r>
      <w:r w:rsidR="00383CFC">
        <w:rPr>
          <w:lang w:eastAsia="en-US"/>
        </w:rPr>
        <w:t xml:space="preserve">. </w:t>
      </w:r>
      <w:r w:rsidR="004472B7">
        <w:rPr>
          <w:lang w:eastAsia="en-US"/>
        </w:rPr>
        <w:t xml:space="preserve">The </w:t>
      </w:r>
      <w:r w:rsidR="009304B9">
        <w:rPr>
          <w:lang w:eastAsia="en-US"/>
        </w:rPr>
        <w:t>comments also described the challenges long-term smokers face with pomalidomide treatment.</w:t>
      </w:r>
      <w:r w:rsidR="00383CFC">
        <w:rPr>
          <w:lang w:eastAsia="en-US"/>
        </w:rPr>
        <w:t xml:space="preserve"> </w:t>
      </w:r>
      <w:r w:rsidR="00383CFC" w:rsidRPr="00383CFC">
        <w:rPr>
          <w:lang w:eastAsia="en-US"/>
        </w:rPr>
        <w:t xml:space="preserve">The PBAC noted that this advice was supportive of the </w:t>
      </w:r>
      <w:r w:rsidR="00E464D1">
        <w:rPr>
          <w:lang w:eastAsia="en-US"/>
        </w:rPr>
        <w:t>listing of these new strengths</w:t>
      </w:r>
      <w:r w:rsidR="00383CFC" w:rsidRPr="00383CFC">
        <w:rPr>
          <w:lang w:eastAsia="en-US"/>
        </w:rPr>
        <w:t>.</w:t>
      </w:r>
    </w:p>
    <w:p w14:paraId="2BD475C7" w14:textId="1691FC92" w:rsidR="003815CB" w:rsidRPr="003815CB" w:rsidRDefault="00C27C1C" w:rsidP="008C3377">
      <w:pPr>
        <w:pStyle w:val="4-SubsectionHeading"/>
        <w:keepNext w:val="0"/>
        <w:rPr>
          <w:lang w:eastAsia="en-US"/>
        </w:rPr>
      </w:pPr>
      <w:r w:rsidRPr="002838F4">
        <w:rPr>
          <w:lang w:eastAsia="en-US"/>
        </w:rPr>
        <w:t>Clinical trials</w:t>
      </w:r>
      <w:r w:rsidRPr="00E544F5">
        <w:rPr>
          <w:lang w:eastAsia="en-US"/>
        </w:rPr>
        <w:t xml:space="preserve"> </w:t>
      </w:r>
    </w:p>
    <w:p w14:paraId="7265A2FB" w14:textId="52118923" w:rsidR="00C27C1C" w:rsidRPr="00E544F5" w:rsidRDefault="003815CB" w:rsidP="005A0504">
      <w:pPr>
        <w:pStyle w:val="3Bodytext"/>
        <w:jc w:val="both"/>
        <w:rPr>
          <w:color w:val="FF0000"/>
        </w:rPr>
      </w:pPr>
      <w:r w:rsidRPr="00E544F5">
        <w:t xml:space="preserve">The submission’s request was based on </w:t>
      </w:r>
      <w:r>
        <w:t xml:space="preserve">evidence from a clinical </w:t>
      </w:r>
      <w:r w:rsidRPr="005C4B20">
        <w:rPr>
          <w:rFonts w:cstheme="minorHAnsi"/>
        </w:rPr>
        <w:t>trial CC-4047-MM-003</w:t>
      </w:r>
      <w:r>
        <w:rPr>
          <w:rFonts w:cstheme="minorHAnsi"/>
        </w:rPr>
        <w:t xml:space="preserve"> </w:t>
      </w:r>
      <w:r>
        <w:t>to demonstrate the need for 1 mg and 2 mg capsules for more efficient dosing.</w:t>
      </w:r>
      <w:r w:rsidRPr="00E544F5">
        <w:rPr>
          <w:color w:val="FF0000"/>
        </w:rPr>
        <w:t xml:space="preserve"> </w:t>
      </w:r>
      <w:r w:rsidR="00253D97">
        <w:rPr>
          <w:rFonts w:cstheme="minorHAnsi"/>
        </w:rPr>
        <w:t xml:space="preserve">The results </w:t>
      </w:r>
      <w:r>
        <w:rPr>
          <w:rFonts w:cstheme="minorHAnsi"/>
        </w:rPr>
        <w:t>concluded that high pomalidomide dose intensity resulted in dose interruptions in 58% of subject</w:t>
      </w:r>
      <w:r w:rsidR="00BA1386">
        <w:rPr>
          <w:rFonts w:cstheme="minorHAnsi"/>
        </w:rPr>
        <w:t>s</w:t>
      </w:r>
      <w:r>
        <w:rPr>
          <w:rFonts w:cstheme="minorHAnsi"/>
        </w:rPr>
        <w:t xml:space="preserve"> due to treatment emergent adverse events</w:t>
      </w:r>
      <w:r w:rsidR="00BA1386">
        <w:rPr>
          <w:rFonts w:cstheme="minorHAnsi"/>
        </w:rPr>
        <w:t xml:space="preserve"> (</w:t>
      </w:r>
      <w:r w:rsidR="00BA1386" w:rsidRPr="005C4B20">
        <w:rPr>
          <w:rFonts w:cstheme="minorHAnsi"/>
        </w:rPr>
        <w:t>haematological toxicities</w:t>
      </w:r>
      <w:r w:rsidR="00BA1386">
        <w:rPr>
          <w:rFonts w:cstheme="minorHAnsi"/>
        </w:rPr>
        <w:t>)</w:t>
      </w:r>
      <w:r>
        <w:rPr>
          <w:rFonts w:cstheme="minorHAnsi"/>
        </w:rPr>
        <w:t xml:space="preserve"> (</w:t>
      </w:r>
      <w:r w:rsidRPr="005C4B20">
        <w:rPr>
          <w:rFonts w:cstheme="minorHAnsi"/>
          <w:noProof/>
          <w:shd w:val="clear" w:color="auto" w:fill="FFFFFF"/>
        </w:rPr>
        <w:t>Weisel et al. 2013)</w:t>
      </w:r>
      <w:r>
        <w:rPr>
          <w:rFonts w:cstheme="minorHAnsi"/>
          <w:noProof/>
          <w:shd w:val="clear" w:color="auto" w:fill="FFFFFF"/>
        </w:rPr>
        <w:t>.</w:t>
      </w:r>
    </w:p>
    <w:p w14:paraId="2CDF3682" w14:textId="77777777" w:rsidR="00C27C1C" w:rsidRPr="008306F3" w:rsidRDefault="00C27C1C" w:rsidP="008C3377">
      <w:pPr>
        <w:pStyle w:val="4-SubsectionHeading"/>
        <w:rPr>
          <w:lang w:eastAsia="en-US"/>
        </w:rPr>
      </w:pPr>
      <w:r w:rsidRPr="003C2FB5">
        <w:rPr>
          <w:lang w:eastAsia="en-US"/>
        </w:rPr>
        <w:t>Clinical claim</w:t>
      </w:r>
    </w:p>
    <w:p w14:paraId="3ACC85C1" w14:textId="2F7A8B05" w:rsidR="00C73E67" w:rsidRPr="00253D97" w:rsidRDefault="00C27C1C" w:rsidP="005A0504">
      <w:pPr>
        <w:pStyle w:val="3Bodytext"/>
        <w:jc w:val="both"/>
      </w:pPr>
      <w:r w:rsidRPr="003C2FB5">
        <w:t xml:space="preserve">The submission </w:t>
      </w:r>
      <w:r w:rsidRPr="009270AE">
        <w:t xml:space="preserve">claimed non-inferior comparative effectiveness and non-inferior comparative safety of </w:t>
      </w:r>
      <w:r w:rsidR="000D0401" w:rsidRPr="0049324C">
        <w:rPr>
          <w:iCs/>
        </w:rPr>
        <w:t>Pomolide</w:t>
      </w:r>
      <w:r w:rsidR="000D0401" w:rsidRPr="0049324C">
        <w:rPr>
          <w:rFonts w:cstheme="minorHAnsi"/>
          <w:iCs/>
        </w:rPr>
        <w:t xml:space="preserve"> </w:t>
      </w:r>
      <w:r w:rsidRPr="0049324C">
        <w:rPr>
          <w:iCs/>
        </w:rPr>
        <w:t>compared</w:t>
      </w:r>
      <w:r w:rsidRPr="009270AE">
        <w:t xml:space="preserve"> with </w:t>
      </w:r>
      <w:r w:rsidR="000D0401" w:rsidRPr="009270AE">
        <w:t>Pomalyst</w:t>
      </w:r>
      <w:r w:rsidR="000D0401" w:rsidRPr="009270AE">
        <w:rPr>
          <w:rFonts w:cstheme="minorHAnsi"/>
        </w:rPr>
        <w:t>.</w:t>
      </w:r>
    </w:p>
    <w:p w14:paraId="2418511E" w14:textId="4C15DF87" w:rsidR="00253D97" w:rsidRPr="008306F3" w:rsidRDefault="00253D97" w:rsidP="005A0504">
      <w:pPr>
        <w:pStyle w:val="3Bodytext"/>
        <w:jc w:val="both"/>
      </w:pPr>
      <w:r>
        <w:rPr>
          <w:rFonts w:cstheme="minorHAnsi"/>
        </w:rPr>
        <w:t>The PBAC</w:t>
      </w:r>
      <w:r w:rsidR="002838F4">
        <w:rPr>
          <w:rFonts w:cstheme="minorHAnsi"/>
        </w:rPr>
        <w:t xml:space="preserve"> </w:t>
      </w:r>
      <w:r w:rsidR="008E6B74" w:rsidRPr="008E6B74">
        <w:rPr>
          <w:rFonts w:cstheme="minorHAnsi"/>
        </w:rPr>
        <w:t xml:space="preserve">considered that the claim of non-inferior comparative effectiveness </w:t>
      </w:r>
      <w:r w:rsidR="002838F4">
        <w:rPr>
          <w:rFonts w:cstheme="minorHAnsi"/>
        </w:rPr>
        <w:t>and non-inferior comparative safety</w:t>
      </w:r>
      <w:r w:rsidR="00F95E6E">
        <w:rPr>
          <w:rFonts w:cstheme="minorHAnsi"/>
        </w:rPr>
        <w:t xml:space="preserve"> of Pomolide to Pomalyst</w:t>
      </w:r>
      <w:r w:rsidR="002838F4">
        <w:rPr>
          <w:rFonts w:cstheme="minorHAnsi"/>
        </w:rPr>
        <w:t xml:space="preserve"> </w:t>
      </w:r>
      <w:r w:rsidR="008E6B74" w:rsidRPr="008E6B74">
        <w:rPr>
          <w:rFonts w:cstheme="minorHAnsi"/>
        </w:rPr>
        <w:t>was reasonable.</w:t>
      </w:r>
    </w:p>
    <w:p w14:paraId="45D181E4" w14:textId="77777777" w:rsidR="00C27C1C" w:rsidRDefault="00C27C1C" w:rsidP="008C3377">
      <w:pPr>
        <w:pStyle w:val="4-SubsectionHeading"/>
        <w:rPr>
          <w:lang w:eastAsia="en-US"/>
        </w:rPr>
      </w:pPr>
      <w:r w:rsidRPr="003C2FB5">
        <w:rPr>
          <w:lang w:eastAsia="en-US"/>
        </w:rPr>
        <w:t>Economic analysis</w:t>
      </w:r>
      <w:r>
        <w:rPr>
          <w:lang w:eastAsia="en-US"/>
        </w:rPr>
        <w:t xml:space="preserve"> </w:t>
      </w:r>
    </w:p>
    <w:p w14:paraId="594FCBFC" w14:textId="66FB5BF9" w:rsidR="00C27C1C" w:rsidRPr="00C73E67" w:rsidRDefault="00C27C1C" w:rsidP="005A0504">
      <w:pPr>
        <w:pStyle w:val="3Bodytext"/>
        <w:jc w:val="both"/>
        <w:rPr>
          <w:rFonts w:cstheme="minorHAnsi"/>
          <w:iCs/>
          <w:szCs w:val="24"/>
        </w:rPr>
      </w:pPr>
      <w:r w:rsidRPr="00C73E67">
        <w:rPr>
          <w:iCs/>
        </w:rPr>
        <w:t>As a Category 4</w:t>
      </w:r>
      <w:r w:rsidR="00B84D4D" w:rsidRPr="00C73E67">
        <w:rPr>
          <w:iCs/>
        </w:rPr>
        <w:t xml:space="preserve"> </w:t>
      </w:r>
      <w:r w:rsidRPr="00C73E67">
        <w:rPr>
          <w:iCs/>
        </w:rPr>
        <w:t xml:space="preserve">submission, the economic analysis </w:t>
      </w:r>
      <w:r w:rsidR="00253D97" w:rsidRPr="00C73E67">
        <w:rPr>
          <w:iCs/>
        </w:rPr>
        <w:t>ha</w:t>
      </w:r>
      <w:r w:rsidR="00253D97">
        <w:rPr>
          <w:iCs/>
        </w:rPr>
        <w:t>d</w:t>
      </w:r>
      <w:r w:rsidR="00253D97" w:rsidRPr="00C73E67">
        <w:rPr>
          <w:iCs/>
        </w:rPr>
        <w:t xml:space="preserve"> </w:t>
      </w:r>
      <w:r w:rsidRPr="00C73E67">
        <w:rPr>
          <w:iCs/>
        </w:rPr>
        <w:t>not been independently evaluated.</w:t>
      </w:r>
    </w:p>
    <w:p w14:paraId="4A9A5397" w14:textId="07FBCB58" w:rsidR="007C63EA" w:rsidRPr="00F47723" w:rsidRDefault="00C27C1C" w:rsidP="005A0504">
      <w:pPr>
        <w:pStyle w:val="3Bodytext"/>
        <w:jc w:val="both"/>
        <w:rPr>
          <w:rFonts w:cstheme="minorHAnsi"/>
          <w:szCs w:val="24"/>
        </w:rPr>
      </w:pPr>
      <w:r w:rsidRPr="009270AE">
        <w:t xml:space="preserve">The submission presented a cost-minimisation analysis of </w:t>
      </w:r>
      <w:r w:rsidR="00B84D4D" w:rsidRPr="009270AE">
        <w:t>Pomolide</w:t>
      </w:r>
      <w:r w:rsidRPr="009270AE">
        <w:t xml:space="preserve"> compared with </w:t>
      </w:r>
      <w:r w:rsidR="00B84D4D" w:rsidRPr="009270AE">
        <w:t>Pomalyst</w:t>
      </w:r>
      <w:r w:rsidRPr="009270AE">
        <w:t>.</w:t>
      </w:r>
    </w:p>
    <w:p w14:paraId="706C044A" w14:textId="568BD748" w:rsidR="00F47723" w:rsidRPr="007952BF" w:rsidRDefault="00F47723" w:rsidP="005A0504">
      <w:pPr>
        <w:pStyle w:val="3Bodytext"/>
        <w:jc w:val="both"/>
      </w:pPr>
      <w:r w:rsidRPr="009270AE">
        <w:t xml:space="preserve">The </w:t>
      </w:r>
      <w:r w:rsidR="00F95E6E">
        <w:t xml:space="preserve">submission estimated the </w:t>
      </w:r>
      <w:r w:rsidRPr="009270AE">
        <w:t>equi-effective doses as</w:t>
      </w:r>
      <w:r w:rsidR="00DD23CC">
        <w:t xml:space="preserve"> 1</w:t>
      </w:r>
      <w:r w:rsidRPr="007952BF">
        <w:t xml:space="preserve"> mg of Pomolide = 1 mg of Pomalyst</w:t>
      </w:r>
      <w:r w:rsidR="00D7299C">
        <w:t>.</w:t>
      </w:r>
      <w:r w:rsidR="007760A0">
        <w:t xml:space="preserve"> As Pomalyst 1 mg is not PBS-listed, the relevant pricing comparator would be </w:t>
      </w:r>
      <w:r w:rsidR="00F95E6E">
        <w:t>the higher strengths of pomalidomide</w:t>
      </w:r>
      <w:r w:rsidR="00362D7F">
        <w:t>.</w:t>
      </w:r>
      <w:r w:rsidR="00F95E6E">
        <w:t xml:space="preserve"> </w:t>
      </w:r>
    </w:p>
    <w:p w14:paraId="408FEE60" w14:textId="0B340EB2" w:rsidR="00F47723" w:rsidRPr="00B33122" w:rsidRDefault="00F47723" w:rsidP="005A0504">
      <w:pPr>
        <w:pStyle w:val="3Bodytext"/>
        <w:jc w:val="both"/>
        <w:rPr>
          <w:lang w:eastAsia="en-US"/>
        </w:rPr>
      </w:pPr>
      <w:r>
        <w:rPr>
          <w:lang w:eastAsia="en-US"/>
        </w:rPr>
        <w:t>The proposed ex-manufacturer prices were based on the same price per mg as the currently listed 4 mg form</w:t>
      </w:r>
      <w:r w:rsidR="00DD23CC">
        <w:rPr>
          <w:lang w:eastAsia="en-US"/>
        </w:rPr>
        <w:t xml:space="preserve"> of Pomolide</w:t>
      </w:r>
      <w:r>
        <w:t>.</w:t>
      </w:r>
    </w:p>
    <w:p w14:paraId="5EB16602" w14:textId="7D33194F" w:rsidR="00D70349" w:rsidRDefault="00D70349" w:rsidP="008C3377">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770911B4" w14:textId="15A91BF0" w:rsidR="0049026B" w:rsidRPr="00EC748A" w:rsidRDefault="0049026B" w:rsidP="008C3377">
      <w:pPr>
        <w:pStyle w:val="3-BodyText"/>
        <w:numPr>
          <w:ilvl w:val="1"/>
          <w:numId w:val="2"/>
        </w:numPr>
        <w:jc w:val="left"/>
      </w:pPr>
      <w:r w:rsidRPr="00E76527">
        <w:rPr>
          <w:iCs/>
          <w:color w:val="000000" w:themeColor="text1"/>
        </w:rPr>
        <w:t>The submission</w:t>
      </w:r>
      <w:r>
        <w:rPr>
          <w:iCs/>
          <w:color w:val="000000" w:themeColor="text1"/>
        </w:rPr>
        <w:t xml:space="preserve"> used a market-share approach to estimate the financial impact</w:t>
      </w:r>
      <w:r w:rsidR="00C0766B">
        <w:rPr>
          <w:iCs/>
          <w:color w:val="000000" w:themeColor="text1"/>
        </w:rPr>
        <w:t xml:space="preserve"> to the PBS/RPBS</w:t>
      </w:r>
      <w:r>
        <w:rPr>
          <w:iCs/>
          <w:color w:val="000000" w:themeColor="text1"/>
        </w:rPr>
        <w:t xml:space="preserve"> of the requested listing</w:t>
      </w:r>
      <w:r w:rsidR="00C0766B">
        <w:rPr>
          <w:iCs/>
          <w:color w:val="000000" w:themeColor="text1"/>
        </w:rPr>
        <w:t xml:space="preserve"> (see Table </w:t>
      </w:r>
      <w:r w:rsidR="001C2125">
        <w:rPr>
          <w:iCs/>
          <w:color w:val="000000" w:themeColor="text1"/>
        </w:rPr>
        <w:t>1</w:t>
      </w:r>
      <w:r w:rsidR="00C0766B">
        <w:rPr>
          <w:iCs/>
          <w:color w:val="000000" w:themeColor="text1"/>
        </w:rPr>
        <w:t>)</w:t>
      </w:r>
      <w:r>
        <w:rPr>
          <w:iCs/>
          <w:color w:val="000000" w:themeColor="text1"/>
        </w:rPr>
        <w:t>. The submission stated that the proposed listing was not expected to impact the overall market size</w:t>
      </w:r>
      <w:r w:rsidR="00DF4E87">
        <w:rPr>
          <w:iCs/>
          <w:color w:val="000000" w:themeColor="text1"/>
        </w:rPr>
        <w:t>.</w:t>
      </w:r>
    </w:p>
    <w:p w14:paraId="0B3BD1B4" w14:textId="3E9A8B4D" w:rsidR="00D8712E" w:rsidRDefault="001E5FF3" w:rsidP="008C3377">
      <w:pPr>
        <w:pStyle w:val="3-BodyText"/>
        <w:numPr>
          <w:ilvl w:val="1"/>
          <w:numId w:val="2"/>
        </w:numPr>
        <w:jc w:val="left"/>
      </w:pPr>
      <w:r>
        <w:t xml:space="preserve">The submission </w:t>
      </w:r>
      <w:r w:rsidR="00253D97">
        <w:t xml:space="preserve">had </w:t>
      </w:r>
      <w:r>
        <w:t xml:space="preserve">assumed that some patients </w:t>
      </w:r>
      <w:r w:rsidR="00253D97">
        <w:t xml:space="preserve">would </w:t>
      </w:r>
      <w:r>
        <w:t xml:space="preserve">transition from privately prescribed </w:t>
      </w:r>
      <w:r w:rsidR="00243F98">
        <w:t xml:space="preserve">1 mg and 2 mg capsules to the proposed listing, while others </w:t>
      </w:r>
      <w:r w:rsidR="00A63CE7">
        <w:rPr>
          <w:iCs/>
          <w:color w:val="000000" w:themeColor="text1"/>
        </w:rPr>
        <w:t xml:space="preserve">would </w:t>
      </w:r>
      <w:r w:rsidR="00243F98">
        <w:rPr>
          <w:iCs/>
          <w:color w:val="000000" w:themeColor="text1"/>
        </w:rPr>
        <w:t>be</w:t>
      </w:r>
      <w:r w:rsidR="00045F17" w:rsidRPr="001E5FF3">
        <w:rPr>
          <w:iCs/>
          <w:color w:val="000000" w:themeColor="text1"/>
        </w:rPr>
        <w:t xml:space="preserve"> patients</w:t>
      </w:r>
      <w:r w:rsidR="00243F98">
        <w:rPr>
          <w:iCs/>
          <w:color w:val="000000" w:themeColor="text1"/>
        </w:rPr>
        <w:t xml:space="preserve"> </w:t>
      </w:r>
      <w:r w:rsidR="00605789">
        <w:rPr>
          <w:iCs/>
          <w:color w:val="000000" w:themeColor="text1"/>
        </w:rPr>
        <w:t xml:space="preserve">suitable for a 1 mg or 2 mg dose </w:t>
      </w:r>
      <w:r w:rsidR="00243F98">
        <w:rPr>
          <w:iCs/>
          <w:color w:val="000000" w:themeColor="text1"/>
        </w:rPr>
        <w:t>that</w:t>
      </w:r>
      <w:r w:rsidR="00045F17" w:rsidRPr="001E5FF3">
        <w:rPr>
          <w:iCs/>
          <w:color w:val="000000" w:themeColor="text1"/>
        </w:rPr>
        <w:t xml:space="preserve"> </w:t>
      </w:r>
      <w:r w:rsidR="00243F98">
        <w:rPr>
          <w:iCs/>
          <w:color w:val="000000" w:themeColor="text1"/>
        </w:rPr>
        <w:t>have been</w:t>
      </w:r>
      <w:r w:rsidR="00045F17" w:rsidRPr="001E5FF3">
        <w:rPr>
          <w:iCs/>
          <w:color w:val="000000" w:themeColor="text1"/>
        </w:rPr>
        <w:t xml:space="preserve"> prescribed </w:t>
      </w:r>
      <w:r w:rsidR="00605789">
        <w:rPr>
          <w:iCs/>
          <w:color w:val="000000" w:themeColor="text1"/>
        </w:rPr>
        <w:t>a higher dose</w:t>
      </w:r>
      <w:r w:rsidR="00045F17" w:rsidRPr="001E5FF3">
        <w:rPr>
          <w:iCs/>
          <w:color w:val="000000" w:themeColor="text1"/>
        </w:rPr>
        <w:t xml:space="preserve"> of 3 mg</w:t>
      </w:r>
      <w:r w:rsidRPr="001E5FF3">
        <w:rPr>
          <w:iCs/>
          <w:color w:val="000000" w:themeColor="text1"/>
        </w:rPr>
        <w:t xml:space="preserve"> on the PBS </w:t>
      </w:r>
      <w:r w:rsidR="00243F98">
        <w:rPr>
          <w:iCs/>
          <w:color w:val="000000" w:themeColor="text1"/>
        </w:rPr>
        <w:t>rather than being prescribed the lower strengths privately</w:t>
      </w:r>
      <w:r w:rsidRPr="001E5FF3">
        <w:rPr>
          <w:iCs/>
          <w:color w:val="000000" w:themeColor="text1"/>
        </w:rPr>
        <w:t xml:space="preserve">. </w:t>
      </w:r>
      <w:r w:rsidR="00D70349">
        <w:t>The submission</w:t>
      </w:r>
      <w:r w:rsidR="00614688">
        <w:t xml:space="preserve"> assumed that the</w:t>
      </w:r>
      <w:r w:rsidR="00243F98">
        <w:t xml:space="preserve"> latter patients constitute</w:t>
      </w:r>
      <w:r w:rsidR="00614688">
        <w:t xml:space="preserve"> 1.5% of the existing 3</w:t>
      </w:r>
      <w:r w:rsidR="00102ED6">
        <w:t xml:space="preserve"> </w:t>
      </w:r>
      <w:r w:rsidR="00614688">
        <w:t xml:space="preserve">mg capsule market. The </w:t>
      </w:r>
      <w:r w:rsidR="00102ED6">
        <w:t>submissi</w:t>
      </w:r>
      <w:r w:rsidR="00B41D98">
        <w:t>on</w:t>
      </w:r>
      <w:r w:rsidR="00614688">
        <w:t xml:space="preserve"> assumed that 20%</w:t>
      </w:r>
      <w:r w:rsidR="00605789">
        <w:t xml:space="preserve"> of these patients would move to</w:t>
      </w:r>
      <w:r w:rsidR="00614688">
        <w:t xml:space="preserve"> </w:t>
      </w:r>
      <w:r w:rsidR="00102ED6">
        <w:t xml:space="preserve">the </w:t>
      </w:r>
      <w:r w:rsidR="00614688">
        <w:t>1</w:t>
      </w:r>
      <w:r w:rsidR="00102ED6">
        <w:t xml:space="preserve"> </w:t>
      </w:r>
      <w:r w:rsidR="00614688">
        <w:t>mg</w:t>
      </w:r>
      <w:r w:rsidR="00A63CE7">
        <w:t xml:space="preserve"> capsule</w:t>
      </w:r>
      <w:r w:rsidR="00614688">
        <w:t xml:space="preserve"> and 80% </w:t>
      </w:r>
      <w:r w:rsidR="00605789">
        <w:t>to</w:t>
      </w:r>
      <w:r w:rsidR="00614688">
        <w:t xml:space="preserve"> </w:t>
      </w:r>
      <w:r w:rsidR="00102ED6">
        <w:t xml:space="preserve">the </w:t>
      </w:r>
      <w:r w:rsidR="00614688">
        <w:t>2</w:t>
      </w:r>
      <w:r w:rsidR="00102ED6">
        <w:t xml:space="preserve"> </w:t>
      </w:r>
      <w:r w:rsidR="00614688">
        <w:t>mg</w:t>
      </w:r>
      <w:r w:rsidR="00A63CE7">
        <w:t xml:space="preserve"> capsule</w:t>
      </w:r>
      <w:r w:rsidR="00614688">
        <w:t xml:space="preserve"> </w:t>
      </w:r>
      <w:r w:rsidR="00605789">
        <w:t>if listed</w:t>
      </w:r>
      <w:r w:rsidR="005A7C96">
        <w:t xml:space="preserve">. </w:t>
      </w:r>
      <w:r w:rsidR="00D8712E">
        <w:t xml:space="preserve">The pre-PBAC response clarified that </w:t>
      </w:r>
      <w:r w:rsidR="00DC6BEC">
        <w:t xml:space="preserve">20% of patients </w:t>
      </w:r>
      <w:r w:rsidR="00BE590D">
        <w:t>requiring a 1</w:t>
      </w:r>
      <w:r w:rsidR="00DC6BEC">
        <w:t xml:space="preserve"> mg dose</w:t>
      </w:r>
      <w:r w:rsidR="00A95765">
        <w:t xml:space="preserve">, instead of </w:t>
      </w:r>
      <w:r w:rsidR="00DC6BEC">
        <w:t>tak</w:t>
      </w:r>
      <w:r w:rsidR="00A95765">
        <w:t>ing</w:t>
      </w:r>
      <w:r w:rsidR="00DC6BEC">
        <w:t xml:space="preserve"> </w:t>
      </w:r>
      <w:r w:rsidR="00BE590D">
        <w:t xml:space="preserve">a 3 mg capsule once every 3 days, would take a </w:t>
      </w:r>
      <w:r w:rsidR="00DC6BEC">
        <w:t>1</w:t>
      </w:r>
      <w:r w:rsidR="00BE590D">
        <w:t xml:space="preserve"> mg</w:t>
      </w:r>
      <w:r w:rsidR="00DC6BEC">
        <w:t xml:space="preserve"> capsule</w:t>
      </w:r>
      <w:r w:rsidR="00BE590D">
        <w:t xml:space="preserve"> daily, and l</w:t>
      </w:r>
      <w:r w:rsidR="00A95765">
        <w:t>ikewise,</w:t>
      </w:r>
      <w:r w:rsidR="005A7C96">
        <w:t xml:space="preserve"> 80% </w:t>
      </w:r>
      <w:r w:rsidR="00A95765">
        <w:t>of patients requiring a</w:t>
      </w:r>
      <w:r w:rsidR="00AF6E6B">
        <w:t xml:space="preserve"> </w:t>
      </w:r>
      <w:r w:rsidR="00BE590D">
        <w:t>2</w:t>
      </w:r>
      <w:r w:rsidR="00AF6E6B">
        <w:t xml:space="preserve"> mg dose, instead of taking a 3 mg capsule </w:t>
      </w:r>
      <w:r w:rsidR="00BE590D">
        <w:t>daily for 2 days with a break on the 3</w:t>
      </w:r>
      <w:r w:rsidR="00BE590D" w:rsidRPr="00F70D66">
        <w:rPr>
          <w:vertAlign w:val="superscript"/>
        </w:rPr>
        <w:t>rd</w:t>
      </w:r>
      <w:r w:rsidR="00BE590D">
        <w:t xml:space="preserve"> day, would </w:t>
      </w:r>
      <w:r w:rsidR="00AF6E6B">
        <w:t>take</w:t>
      </w:r>
      <w:r w:rsidR="00BE590D">
        <w:t xml:space="preserve"> a 2 mg capsule</w:t>
      </w:r>
      <w:r w:rsidR="00AF6E6B">
        <w:t xml:space="preserve"> daily.</w:t>
      </w:r>
      <w:r w:rsidR="00A95765">
        <w:t xml:space="preserve"> </w:t>
      </w:r>
      <w:r w:rsidR="00AF6E6B">
        <w:t>This was appropriate</w:t>
      </w:r>
      <w:r w:rsidR="00614688">
        <w:t>.</w:t>
      </w:r>
    </w:p>
    <w:p w14:paraId="13DBAE09" w14:textId="621C4A4D" w:rsidR="00D70349" w:rsidRPr="00167C39" w:rsidRDefault="00614688" w:rsidP="00F70D66">
      <w:pPr>
        <w:pStyle w:val="3-BodyText"/>
        <w:numPr>
          <w:ilvl w:val="1"/>
          <w:numId w:val="2"/>
        </w:numPr>
        <w:jc w:val="left"/>
      </w:pPr>
      <w:r>
        <w:t>It was</w:t>
      </w:r>
      <w:r w:rsidR="00D70349">
        <w:t xml:space="preserve"> estimated</w:t>
      </w:r>
      <w:r>
        <w:t xml:space="preserve"> that</w:t>
      </w:r>
      <w:r w:rsidR="00D70349">
        <w:t xml:space="preserve"> </w:t>
      </w:r>
      <w:r w:rsidR="00416054" w:rsidRPr="00473071">
        <w:t xml:space="preserve">there </w:t>
      </w:r>
      <w:r w:rsidR="008771C4" w:rsidRPr="00473071">
        <w:t xml:space="preserve">would </w:t>
      </w:r>
      <w:r w:rsidR="00416054" w:rsidRPr="00473071">
        <w:t xml:space="preserve">be </w:t>
      </w:r>
      <w:r w:rsidR="00473071" w:rsidRPr="00473071">
        <w:t>&lt;</w:t>
      </w:r>
      <w:r w:rsidR="00B46084">
        <w:t> </w:t>
      </w:r>
      <w:r w:rsidR="00473071" w:rsidRPr="00473071">
        <w:t xml:space="preserve">500 </w:t>
      </w:r>
      <w:r w:rsidR="00297025" w:rsidRPr="00473071">
        <w:t xml:space="preserve"> </w:t>
      </w:r>
      <w:r w:rsidR="0049324C" w:rsidRPr="00473071">
        <w:t xml:space="preserve">scripts </w:t>
      </w:r>
      <w:r w:rsidR="00416054" w:rsidRPr="00473071">
        <w:t xml:space="preserve">supplied </w:t>
      </w:r>
      <w:r w:rsidR="00D70349" w:rsidRPr="00473071">
        <w:t>over the first six years of listing (</w:t>
      </w:r>
      <w:r w:rsidR="00473071" w:rsidRPr="00473071">
        <w:t>&lt;</w:t>
      </w:r>
      <w:r w:rsidR="00B46084">
        <w:t> </w:t>
      </w:r>
      <w:r w:rsidR="00473071" w:rsidRPr="00473071">
        <w:t>500</w:t>
      </w:r>
      <w:r w:rsidR="00EE6203" w:rsidRPr="00473071">
        <w:t xml:space="preserve"> in Year 1</w:t>
      </w:r>
      <w:r w:rsidR="00D70349" w:rsidRPr="00473071">
        <w:t xml:space="preserve"> to </w:t>
      </w:r>
      <w:r w:rsidR="00473071" w:rsidRPr="00473071">
        <w:t>&lt;</w:t>
      </w:r>
      <w:r w:rsidR="00B46084">
        <w:t> </w:t>
      </w:r>
      <w:r w:rsidR="00473071" w:rsidRPr="00473071">
        <w:t>500</w:t>
      </w:r>
      <w:r w:rsidR="00297025" w:rsidRPr="00473071">
        <w:t xml:space="preserve"> </w:t>
      </w:r>
      <w:r w:rsidR="00EE6203" w:rsidRPr="00473071">
        <w:t>in Year</w:t>
      </w:r>
      <w:r w:rsidR="00EE6203">
        <w:t xml:space="preserve"> 6</w:t>
      </w:r>
      <w:r w:rsidR="00D70349" w:rsidRPr="00167C39">
        <w:t>).</w:t>
      </w:r>
    </w:p>
    <w:p w14:paraId="5C1B0A88" w14:textId="2BADC22D" w:rsidR="00D70349" w:rsidRPr="00E060AF" w:rsidRDefault="00D70349" w:rsidP="008C3377">
      <w:pPr>
        <w:pStyle w:val="Tabletitles"/>
        <w:keepNext/>
        <w:keepLines/>
        <w:spacing w:after="0"/>
        <w:rPr>
          <w:rFonts w:asciiTheme="minorHAnsi" w:hAnsiTheme="minorHAnsi" w:cstheme="minorHAnsi"/>
          <w:sz w:val="24"/>
          <w:szCs w:val="24"/>
        </w:rPr>
      </w:pPr>
      <w:r w:rsidRPr="00167C39">
        <w:rPr>
          <w:rStyle w:val="CommentReference"/>
          <w:sz w:val="20"/>
          <w:szCs w:val="22"/>
        </w:rPr>
        <w:t>Table</w:t>
      </w:r>
      <w:r w:rsidRPr="00167C39">
        <w:rPr>
          <w:rFonts w:eastAsiaTheme="majorEastAsia"/>
        </w:rPr>
        <w:t xml:space="preserve"> </w:t>
      </w:r>
      <w:bookmarkStart w:id="1" w:name="_Hlk121755068"/>
      <w:r w:rsidR="008C3377">
        <w:rPr>
          <w:rFonts w:eastAsiaTheme="majorEastAsia"/>
        </w:rPr>
        <w:t>1</w:t>
      </w:r>
      <w:r w:rsidRPr="00167C39">
        <w:rPr>
          <w:rFonts w:eastAsiaTheme="majorEastAsia"/>
        </w:rPr>
        <w:t>:</w:t>
      </w:r>
      <w:bookmarkEnd w:id="1"/>
      <w:r w:rsidRPr="00167C39">
        <w:rPr>
          <w:rFonts w:eastAsiaTheme="majorEastAsia"/>
        </w:rPr>
        <w:t xml:space="preserve"> </w:t>
      </w:r>
      <w:r w:rsidRPr="00167C39">
        <w:rPr>
          <w:rStyle w:val="CommentReference"/>
          <w:sz w:val="20"/>
          <w:szCs w:val="22"/>
        </w:rPr>
        <w:t>Estimated use and financial implications</w:t>
      </w:r>
      <w:r w:rsidR="00921B8E">
        <w:rPr>
          <w:rStyle w:val="CommentReference"/>
          <w:sz w:val="20"/>
          <w:szCs w:val="22"/>
        </w:rPr>
        <w:t xml:space="preserve"> for pomalidomide</w:t>
      </w:r>
      <w:r w:rsidR="006867C3">
        <w:rPr>
          <w:rStyle w:val="CommentReference"/>
          <w:sz w:val="20"/>
          <w:szCs w:val="22"/>
        </w:rPr>
        <w:t xml:space="preserve"> 1 mg and 2 mg capsules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for pomalidomide 1 mg and 2 mg capsules"/>
      </w:tblPr>
      <w:tblGrid>
        <w:gridCol w:w="2121"/>
        <w:gridCol w:w="1031"/>
        <w:gridCol w:w="1157"/>
        <w:gridCol w:w="1157"/>
        <w:gridCol w:w="1157"/>
        <w:gridCol w:w="1157"/>
        <w:gridCol w:w="1158"/>
      </w:tblGrid>
      <w:tr w:rsidR="00D70349" w:rsidRPr="00AC5315" w14:paraId="50517F09" w14:textId="77777777" w:rsidTr="002C3880">
        <w:trPr>
          <w:cantSplit/>
          <w:tblHeader/>
          <w:jc w:val="center"/>
        </w:trPr>
        <w:tc>
          <w:tcPr>
            <w:tcW w:w="1187" w:type="pct"/>
            <w:shd w:val="clear" w:color="auto" w:fill="auto"/>
            <w:vAlign w:val="center"/>
          </w:tcPr>
          <w:p w14:paraId="146FDDC6" w14:textId="77777777" w:rsidR="00D70349" w:rsidRPr="00AC5315" w:rsidRDefault="00D70349" w:rsidP="008C3377">
            <w:pPr>
              <w:pStyle w:val="TableText0"/>
              <w:keepLines/>
              <w:jc w:val="both"/>
            </w:pPr>
          </w:p>
        </w:tc>
        <w:tc>
          <w:tcPr>
            <w:tcW w:w="577" w:type="pct"/>
            <w:shd w:val="clear" w:color="auto" w:fill="auto"/>
            <w:vAlign w:val="center"/>
          </w:tcPr>
          <w:p w14:paraId="229BAAA8" w14:textId="77777777" w:rsidR="00D70349" w:rsidRPr="00AC5315" w:rsidRDefault="00D70349" w:rsidP="008C3377">
            <w:pPr>
              <w:pStyle w:val="TableText0"/>
              <w:keepLines/>
              <w:jc w:val="both"/>
              <w:rPr>
                <w:b/>
              </w:rPr>
            </w:pPr>
            <w:r w:rsidRPr="00AC5315">
              <w:rPr>
                <w:b/>
              </w:rPr>
              <w:t>Year 1</w:t>
            </w:r>
          </w:p>
        </w:tc>
        <w:tc>
          <w:tcPr>
            <w:tcW w:w="647" w:type="pct"/>
            <w:shd w:val="clear" w:color="auto" w:fill="auto"/>
            <w:vAlign w:val="center"/>
          </w:tcPr>
          <w:p w14:paraId="48EEAB93" w14:textId="77777777" w:rsidR="00D70349" w:rsidRPr="00AC5315" w:rsidRDefault="00D70349" w:rsidP="008C3377">
            <w:pPr>
              <w:pStyle w:val="TableText0"/>
              <w:keepLines/>
              <w:jc w:val="both"/>
              <w:rPr>
                <w:b/>
              </w:rPr>
            </w:pPr>
            <w:r w:rsidRPr="00AC5315">
              <w:rPr>
                <w:b/>
              </w:rPr>
              <w:t>Year 2</w:t>
            </w:r>
          </w:p>
        </w:tc>
        <w:tc>
          <w:tcPr>
            <w:tcW w:w="647" w:type="pct"/>
            <w:shd w:val="clear" w:color="auto" w:fill="auto"/>
            <w:vAlign w:val="center"/>
          </w:tcPr>
          <w:p w14:paraId="0738F741" w14:textId="77777777" w:rsidR="00D70349" w:rsidRPr="00AC5315" w:rsidRDefault="00D70349" w:rsidP="008C3377">
            <w:pPr>
              <w:pStyle w:val="TableText0"/>
              <w:keepLines/>
              <w:jc w:val="both"/>
              <w:rPr>
                <w:b/>
              </w:rPr>
            </w:pPr>
            <w:r w:rsidRPr="00AC5315">
              <w:rPr>
                <w:b/>
              </w:rPr>
              <w:t>Year 3</w:t>
            </w:r>
          </w:p>
        </w:tc>
        <w:tc>
          <w:tcPr>
            <w:tcW w:w="647" w:type="pct"/>
            <w:shd w:val="clear" w:color="auto" w:fill="auto"/>
            <w:vAlign w:val="center"/>
          </w:tcPr>
          <w:p w14:paraId="2F722BB7" w14:textId="77777777" w:rsidR="00D70349" w:rsidRPr="00AC5315" w:rsidRDefault="00D70349" w:rsidP="008C3377">
            <w:pPr>
              <w:pStyle w:val="TableText0"/>
              <w:keepLines/>
              <w:jc w:val="both"/>
              <w:rPr>
                <w:b/>
              </w:rPr>
            </w:pPr>
            <w:r w:rsidRPr="00AC5315">
              <w:rPr>
                <w:b/>
              </w:rPr>
              <w:t>Year 4</w:t>
            </w:r>
          </w:p>
        </w:tc>
        <w:tc>
          <w:tcPr>
            <w:tcW w:w="647" w:type="pct"/>
            <w:shd w:val="clear" w:color="auto" w:fill="auto"/>
            <w:vAlign w:val="center"/>
          </w:tcPr>
          <w:p w14:paraId="4A03E0AC" w14:textId="77777777" w:rsidR="00D70349" w:rsidRPr="00AC5315" w:rsidRDefault="00D70349" w:rsidP="008C3377">
            <w:pPr>
              <w:pStyle w:val="TableText0"/>
              <w:keepLines/>
              <w:jc w:val="both"/>
              <w:rPr>
                <w:b/>
              </w:rPr>
            </w:pPr>
            <w:r w:rsidRPr="00AC5315">
              <w:rPr>
                <w:b/>
              </w:rPr>
              <w:t>Year 5</w:t>
            </w:r>
          </w:p>
        </w:tc>
        <w:tc>
          <w:tcPr>
            <w:tcW w:w="648" w:type="pct"/>
          </w:tcPr>
          <w:p w14:paraId="11CF147B" w14:textId="77777777" w:rsidR="00D70349" w:rsidRPr="00AC5315" w:rsidRDefault="00D70349" w:rsidP="008C3377">
            <w:pPr>
              <w:pStyle w:val="TableText0"/>
              <w:keepLines/>
              <w:jc w:val="both"/>
              <w:rPr>
                <w:b/>
              </w:rPr>
            </w:pPr>
            <w:r w:rsidRPr="00AC5315">
              <w:rPr>
                <w:b/>
              </w:rPr>
              <w:t>Year 6</w:t>
            </w:r>
          </w:p>
        </w:tc>
      </w:tr>
      <w:tr w:rsidR="00D70349" w:rsidRPr="00AC5315" w14:paraId="07125BC5" w14:textId="77777777" w:rsidTr="00762862">
        <w:trPr>
          <w:cantSplit/>
          <w:jc w:val="center"/>
        </w:trPr>
        <w:tc>
          <w:tcPr>
            <w:tcW w:w="5000" w:type="pct"/>
            <w:gridSpan w:val="7"/>
            <w:shd w:val="clear" w:color="auto" w:fill="auto"/>
            <w:vAlign w:val="center"/>
          </w:tcPr>
          <w:p w14:paraId="618359A1" w14:textId="246464F9" w:rsidR="00D70349" w:rsidRPr="00AC5315" w:rsidRDefault="00D70349" w:rsidP="008C3377">
            <w:pPr>
              <w:pStyle w:val="TableText0"/>
              <w:keepLines/>
              <w:jc w:val="both"/>
              <w:rPr>
                <w:b/>
                <w:color w:val="000000"/>
              </w:rPr>
            </w:pPr>
            <w:r w:rsidRPr="00AC5315">
              <w:rPr>
                <w:b/>
                <w:color w:val="000000"/>
              </w:rPr>
              <w:t>Estimated extent of use</w:t>
            </w:r>
            <w:r w:rsidR="00921B8E" w:rsidRPr="00AC5315">
              <w:rPr>
                <w:b/>
                <w:color w:val="000000"/>
              </w:rPr>
              <w:t xml:space="preserve"> (number of scripts)</w:t>
            </w:r>
            <w:r w:rsidR="00AD01B2" w:rsidRPr="00AD01B2">
              <w:rPr>
                <w:b/>
                <w:color w:val="000000"/>
                <w:vertAlign w:val="superscript"/>
              </w:rPr>
              <w:t>1</w:t>
            </w:r>
          </w:p>
        </w:tc>
      </w:tr>
      <w:tr w:rsidR="00EE2BD4" w:rsidRPr="00AC5315" w14:paraId="5D5D440C" w14:textId="77777777" w:rsidTr="002C3880">
        <w:trPr>
          <w:cantSplit/>
          <w:jc w:val="center"/>
        </w:trPr>
        <w:tc>
          <w:tcPr>
            <w:tcW w:w="1187" w:type="pct"/>
            <w:shd w:val="clear" w:color="auto" w:fill="auto"/>
            <w:vAlign w:val="center"/>
          </w:tcPr>
          <w:p w14:paraId="359E474F" w14:textId="3CE330F9" w:rsidR="00EE2BD4" w:rsidRPr="00AC5315" w:rsidRDefault="00EE2BD4" w:rsidP="008C3377">
            <w:pPr>
              <w:pStyle w:val="TableText0"/>
              <w:keepLines/>
              <w:rPr>
                <w:rFonts w:cs="Arial"/>
                <w:color w:val="000000"/>
                <w:szCs w:val="20"/>
              </w:rPr>
            </w:pPr>
            <w:r w:rsidRPr="00AC5315">
              <w:rPr>
                <w:rFonts w:cs="Arial"/>
                <w:color w:val="000000"/>
                <w:szCs w:val="20"/>
              </w:rPr>
              <w:t>Public</w:t>
            </w:r>
            <w:r w:rsidR="00921B8E" w:rsidRPr="00AC5315">
              <w:rPr>
                <w:rFonts w:cs="Arial"/>
                <w:color w:val="000000"/>
                <w:szCs w:val="20"/>
              </w:rPr>
              <w:t xml:space="preserve"> – </w:t>
            </w:r>
            <w:r w:rsidRPr="00AC5315">
              <w:rPr>
                <w:rFonts w:cs="Arial"/>
                <w:color w:val="000000"/>
                <w:szCs w:val="20"/>
              </w:rPr>
              <w:t xml:space="preserve">Capsule 1 mg, 21 </w:t>
            </w:r>
          </w:p>
        </w:tc>
        <w:tc>
          <w:tcPr>
            <w:tcW w:w="577" w:type="pct"/>
            <w:shd w:val="clear" w:color="auto" w:fill="auto"/>
            <w:vAlign w:val="center"/>
          </w:tcPr>
          <w:p w14:paraId="14228129" w14:textId="0E466365" w:rsidR="00EE2BD4"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0AC1C51C" w14:textId="169BA4C5" w:rsidR="00EE2BD4"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46B37406" w14:textId="78155EAE" w:rsidR="00EE2BD4"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6D76F480" w14:textId="0196859A" w:rsidR="00EE2BD4"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078EC90A" w14:textId="1E20C844" w:rsidR="00EE2BD4"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0BC345E6" w14:textId="389202AE" w:rsidR="00EE2BD4"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p>
        </w:tc>
      </w:tr>
      <w:tr w:rsidR="0049324C" w:rsidRPr="00AC5315" w14:paraId="08A1FBA3" w14:textId="77777777" w:rsidTr="002C3880">
        <w:trPr>
          <w:cantSplit/>
          <w:jc w:val="center"/>
        </w:trPr>
        <w:tc>
          <w:tcPr>
            <w:tcW w:w="1187" w:type="pct"/>
            <w:shd w:val="clear" w:color="auto" w:fill="auto"/>
            <w:vAlign w:val="center"/>
          </w:tcPr>
          <w:p w14:paraId="77E3E5AA" w14:textId="2B8ADB3D" w:rsidR="0049324C" w:rsidRPr="00AC5315" w:rsidRDefault="0049324C" w:rsidP="008C3377">
            <w:pPr>
              <w:pStyle w:val="TableText0"/>
              <w:keepLines/>
              <w:rPr>
                <w:rFonts w:cs="Arial"/>
                <w:color w:val="000000"/>
                <w:szCs w:val="20"/>
              </w:rPr>
            </w:pPr>
            <w:r w:rsidRPr="00AC5315">
              <w:rPr>
                <w:rFonts w:cs="Arial"/>
                <w:color w:val="000000"/>
                <w:szCs w:val="20"/>
              </w:rPr>
              <w:t>Private</w:t>
            </w:r>
            <w:r w:rsidR="00921B8E" w:rsidRPr="00AC5315">
              <w:rPr>
                <w:rFonts w:cs="Arial"/>
                <w:color w:val="000000"/>
                <w:szCs w:val="20"/>
              </w:rPr>
              <w:t xml:space="preserve"> – </w:t>
            </w:r>
            <w:r w:rsidRPr="00AC5315">
              <w:rPr>
                <w:rFonts w:cs="Arial"/>
                <w:color w:val="000000"/>
                <w:szCs w:val="20"/>
              </w:rPr>
              <w:t xml:space="preserve">Capsule 1 mg, 21 </w:t>
            </w:r>
          </w:p>
        </w:tc>
        <w:tc>
          <w:tcPr>
            <w:tcW w:w="577" w:type="pct"/>
            <w:shd w:val="clear" w:color="auto" w:fill="auto"/>
            <w:vAlign w:val="center"/>
          </w:tcPr>
          <w:p w14:paraId="7CEEA364" w14:textId="2AF13409"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69FF1E40" w14:textId="2B8D63A1"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7B385EE1" w14:textId="2049304E"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3C9CD194" w14:textId="5220BDDC"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6720EDB6" w14:textId="0B4680C5"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754C3BE0" w14:textId="3008F7DE"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49324C" w:rsidRPr="00AC5315" w14:paraId="032DEB91" w14:textId="77777777" w:rsidTr="002C3880">
        <w:trPr>
          <w:cantSplit/>
          <w:jc w:val="center"/>
        </w:trPr>
        <w:tc>
          <w:tcPr>
            <w:tcW w:w="1187" w:type="pct"/>
            <w:shd w:val="clear" w:color="auto" w:fill="auto"/>
            <w:vAlign w:val="center"/>
          </w:tcPr>
          <w:p w14:paraId="399530CC" w14:textId="7AEB6FC2" w:rsidR="0049324C" w:rsidRPr="00AC5315" w:rsidRDefault="00921B8E" w:rsidP="008C3377">
            <w:pPr>
              <w:pStyle w:val="TableText0"/>
              <w:keepLines/>
              <w:rPr>
                <w:rFonts w:cs="Arial"/>
                <w:color w:val="000000"/>
                <w:szCs w:val="20"/>
              </w:rPr>
            </w:pPr>
            <w:r w:rsidRPr="00AC5315">
              <w:rPr>
                <w:rFonts w:cs="Arial"/>
                <w:color w:val="000000"/>
                <w:szCs w:val="20"/>
              </w:rPr>
              <w:t xml:space="preserve">Public – </w:t>
            </w:r>
            <w:r w:rsidR="0049324C" w:rsidRPr="00AC5315">
              <w:rPr>
                <w:rFonts w:cs="Arial"/>
                <w:color w:val="000000"/>
                <w:szCs w:val="20"/>
              </w:rPr>
              <w:t xml:space="preserve">Capsule 1 mg, 14 </w:t>
            </w:r>
          </w:p>
        </w:tc>
        <w:tc>
          <w:tcPr>
            <w:tcW w:w="577" w:type="pct"/>
            <w:shd w:val="clear" w:color="auto" w:fill="auto"/>
            <w:vAlign w:val="center"/>
          </w:tcPr>
          <w:p w14:paraId="2B7DD85A" w14:textId="72BE6254"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15E1D129" w14:textId="3513338B"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1321CAEB" w14:textId="7836CF8A"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1272559E" w14:textId="3FF36241"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474B435F" w14:textId="1DE281F2"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2D647D76" w14:textId="370A9CB8"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49324C" w:rsidRPr="00AC5315" w14:paraId="29AE201D" w14:textId="77777777" w:rsidTr="002C3880">
        <w:trPr>
          <w:cantSplit/>
          <w:jc w:val="center"/>
        </w:trPr>
        <w:tc>
          <w:tcPr>
            <w:tcW w:w="1187" w:type="pct"/>
            <w:shd w:val="clear" w:color="auto" w:fill="auto"/>
            <w:vAlign w:val="center"/>
          </w:tcPr>
          <w:p w14:paraId="13B2C909" w14:textId="3B836B1F" w:rsidR="0049324C" w:rsidRPr="00AC5315" w:rsidRDefault="0049324C" w:rsidP="008C3377">
            <w:pPr>
              <w:pStyle w:val="TableText0"/>
              <w:keepLines/>
              <w:rPr>
                <w:rFonts w:cs="Arial"/>
                <w:color w:val="000000"/>
                <w:szCs w:val="20"/>
              </w:rPr>
            </w:pPr>
            <w:r w:rsidRPr="00AC5315">
              <w:rPr>
                <w:rFonts w:cs="Arial"/>
                <w:color w:val="000000"/>
                <w:szCs w:val="20"/>
              </w:rPr>
              <w:t>Private</w:t>
            </w:r>
            <w:r w:rsidR="00921B8E" w:rsidRPr="00AC5315">
              <w:rPr>
                <w:rFonts w:cs="Arial"/>
                <w:color w:val="000000"/>
                <w:szCs w:val="20"/>
              </w:rPr>
              <w:t xml:space="preserve"> – </w:t>
            </w:r>
            <w:r w:rsidRPr="00AC5315">
              <w:rPr>
                <w:rFonts w:cs="Arial"/>
                <w:color w:val="000000"/>
                <w:szCs w:val="20"/>
              </w:rPr>
              <w:t xml:space="preserve">Capsule 1 mg, 14 </w:t>
            </w:r>
          </w:p>
        </w:tc>
        <w:tc>
          <w:tcPr>
            <w:tcW w:w="577" w:type="pct"/>
            <w:shd w:val="clear" w:color="auto" w:fill="auto"/>
            <w:vAlign w:val="center"/>
          </w:tcPr>
          <w:p w14:paraId="4CD709F4" w14:textId="619B364D"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70A5C282" w14:textId="68C6D6AA"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223F282" w14:textId="5D58EF2D"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581B33AD" w14:textId="019A3B64"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69A5482" w14:textId="374EC683"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09A8BED8" w14:textId="32B2B277"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49324C" w:rsidRPr="00AC5315" w14:paraId="096BDB96" w14:textId="77777777" w:rsidTr="002C3880">
        <w:trPr>
          <w:cantSplit/>
          <w:jc w:val="center"/>
        </w:trPr>
        <w:tc>
          <w:tcPr>
            <w:tcW w:w="1187" w:type="pct"/>
            <w:shd w:val="clear" w:color="auto" w:fill="auto"/>
            <w:vAlign w:val="center"/>
          </w:tcPr>
          <w:p w14:paraId="1812C27E" w14:textId="560A5F17" w:rsidR="0049324C" w:rsidRPr="00AC5315" w:rsidRDefault="0049324C" w:rsidP="008C3377">
            <w:pPr>
              <w:pStyle w:val="TableText0"/>
              <w:keepLines/>
              <w:rPr>
                <w:rFonts w:cs="Arial"/>
                <w:color w:val="000000"/>
                <w:szCs w:val="20"/>
              </w:rPr>
            </w:pPr>
            <w:r w:rsidRPr="00AC5315">
              <w:rPr>
                <w:rFonts w:cs="Arial"/>
                <w:color w:val="000000"/>
                <w:szCs w:val="20"/>
              </w:rPr>
              <w:t>Public</w:t>
            </w:r>
            <w:r w:rsidR="00921B8E" w:rsidRPr="00AC5315">
              <w:rPr>
                <w:rFonts w:cs="Arial"/>
                <w:color w:val="000000"/>
                <w:szCs w:val="20"/>
              </w:rPr>
              <w:t xml:space="preserve"> – </w:t>
            </w:r>
            <w:r w:rsidRPr="00AC5315">
              <w:rPr>
                <w:rFonts w:cs="Arial"/>
                <w:color w:val="000000"/>
                <w:szCs w:val="20"/>
              </w:rPr>
              <w:t xml:space="preserve">Capsule 2 mg, 21 </w:t>
            </w:r>
          </w:p>
        </w:tc>
        <w:tc>
          <w:tcPr>
            <w:tcW w:w="577" w:type="pct"/>
            <w:shd w:val="clear" w:color="auto" w:fill="auto"/>
            <w:vAlign w:val="center"/>
          </w:tcPr>
          <w:p w14:paraId="22BC19F7" w14:textId="6DA28E43"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53CE96E" w14:textId="37FB6CB6"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CD3EC7D" w14:textId="6AFD1FBE"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592454D8" w14:textId="4FF18138"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61D7CFB6" w14:textId="4D84F691"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2F4872E1" w14:textId="7A2DA73E"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49324C" w:rsidRPr="00AC5315" w14:paraId="36B990D5" w14:textId="77777777" w:rsidTr="002C3880">
        <w:trPr>
          <w:cantSplit/>
          <w:jc w:val="center"/>
        </w:trPr>
        <w:tc>
          <w:tcPr>
            <w:tcW w:w="1187" w:type="pct"/>
            <w:shd w:val="clear" w:color="auto" w:fill="auto"/>
            <w:vAlign w:val="center"/>
          </w:tcPr>
          <w:p w14:paraId="09D3C5AA" w14:textId="0241A5C6" w:rsidR="0049324C" w:rsidRPr="00AC5315" w:rsidRDefault="0049324C" w:rsidP="008C3377">
            <w:pPr>
              <w:pStyle w:val="TableText0"/>
              <w:keepLines/>
              <w:rPr>
                <w:rFonts w:cs="Arial"/>
                <w:color w:val="000000"/>
                <w:szCs w:val="20"/>
              </w:rPr>
            </w:pPr>
            <w:r w:rsidRPr="00AC5315">
              <w:rPr>
                <w:rFonts w:cs="Arial"/>
                <w:color w:val="000000"/>
                <w:szCs w:val="20"/>
              </w:rPr>
              <w:t>Private</w:t>
            </w:r>
            <w:r w:rsidR="00921B8E" w:rsidRPr="00AC5315">
              <w:rPr>
                <w:rFonts w:cs="Arial"/>
                <w:color w:val="000000"/>
                <w:szCs w:val="20"/>
              </w:rPr>
              <w:t xml:space="preserve"> – </w:t>
            </w:r>
            <w:r w:rsidRPr="00AC5315">
              <w:rPr>
                <w:rFonts w:cs="Arial"/>
                <w:color w:val="000000"/>
                <w:szCs w:val="20"/>
              </w:rPr>
              <w:t xml:space="preserve">Capsule 2 mg, 21 </w:t>
            </w:r>
          </w:p>
        </w:tc>
        <w:tc>
          <w:tcPr>
            <w:tcW w:w="577" w:type="pct"/>
            <w:shd w:val="clear" w:color="auto" w:fill="auto"/>
            <w:vAlign w:val="center"/>
          </w:tcPr>
          <w:p w14:paraId="1C52B8C4" w14:textId="5BB24A0B"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C86FEE9" w14:textId="50625163"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51EE03F7" w14:textId="76122B61"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331AF3F9" w14:textId="4890F929"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C0E57BF" w14:textId="566DC76F"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3D490E62" w14:textId="02994549"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49324C" w:rsidRPr="00AC5315" w14:paraId="7A598629" w14:textId="77777777" w:rsidTr="002C3880">
        <w:trPr>
          <w:cantSplit/>
          <w:jc w:val="center"/>
        </w:trPr>
        <w:tc>
          <w:tcPr>
            <w:tcW w:w="1187" w:type="pct"/>
            <w:shd w:val="clear" w:color="auto" w:fill="auto"/>
            <w:vAlign w:val="center"/>
          </w:tcPr>
          <w:p w14:paraId="07F5FCF2" w14:textId="6A5F65D5" w:rsidR="0049324C" w:rsidRPr="00AC5315" w:rsidRDefault="0049324C" w:rsidP="008C3377">
            <w:pPr>
              <w:pStyle w:val="TableText0"/>
              <w:keepLines/>
              <w:rPr>
                <w:rFonts w:cs="Arial"/>
                <w:color w:val="000000"/>
                <w:szCs w:val="20"/>
              </w:rPr>
            </w:pPr>
            <w:r w:rsidRPr="00AC5315">
              <w:rPr>
                <w:rFonts w:cs="Arial"/>
                <w:color w:val="000000"/>
                <w:szCs w:val="20"/>
              </w:rPr>
              <w:t>Public</w:t>
            </w:r>
            <w:r w:rsidR="00921B8E" w:rsidRPr="00AC5315">
              <w:rPr>
                <w:rFonts w:cs="Arial"/>
                <w:color w:val="000000"/>
                <w:szCs w:val="20"/>
              </w:rPr>
              <w:t xml:space="preserve"> – </w:t>
            </w:r>
            <w:r w:rsidRPr="00AC5315">
              <w:rPr>
                <w:rFonts w:cs="Arial"/>
                <w:color w:val="000000"/>
                <w:szCs w:val="20"/>
              </w:rPr>
              <w:t xml:space="preserve">Capsule 2 mg, 14 </w:t>
            </w:r>
          </w:p>
        </w:tc>
        <w:tc>
          <w:tcPr>
            <w:tcW w:w="577" w:type="pct"/>
            <w:shd w:val="clear" w:color="auto" w:fill="auto"/>
            <w:vAlign w:val="center"/>
          </w:tcPr>
          <w:p w14:paraId="02F580EC" w14:textId="67F6630B"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1F5F8945" w14:textId="13999634"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F21E400" w14:textId="57692E27"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4234ACDD" w14:textId="6CE8F895"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79D88475" w14:textId="525031EB"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025E651C" w14:textId="5CB27322"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49324C" w:rsidRPr="00AC5315" w14:paraId="28E0226B" w14:textId="77777777" w:rsidTr="002C3880">
        <w:trPr>
          <w:cantSplit/>
          <w:jc w:val="center"/>
        </w:trPr>
        <w:tc>
          <w:tcPr>
            <w:tcW w:w="1187" w:type="pct"/>
            <w:shd w:val="clear" w:color="auto" w:fill="auto"/>
            <w:vAlign w:val="center"/>
          </w:tcPr>
          <w:p w14:paraId="133C95A7" w14:textId="04D325C6" w:rsidR="0049324C" w:rsidRPr="00AC5315" w:rsidRDefault="0049324C" w:rsidP="008C3377">
            <w:pPr>
              <w:pStyle w:val="TableText0"/>
              <w:keepLines/>
              <w:rPr>
                <w:rFonts w:cs="Arial"/>
                <w:color w:val="000000"/>
                <w:szCs w:val="20"/>
              </w:rPr>
            </w:pPr>
            <w:r w:rsidRPr="00AC5315">
              <w:rPr>
                <w:rFonts w:cs="Arial"/>
                <w:color w:val="000000"/>
                <w:szCs w:val="20"/>
              </w:rPr>
              <w:t>Private</w:t>
            </w:r>
            <w:r w:rsidR="00921B8E" w:rsidRPr="00AC5315">
              <w:rPr>
                <w:rFonts w:cs="Arial"/>
                <w:color w:val="000000"/>
                <w:szCs w:val="20"/>
              </w:rPr>
              <w:t xml:space="preserve"> – </w:t>
            </w:r>
            <w:r w:rsidRPr="00AC5315">
              <w:rPr>
                <w:rFonts w:cs="Arial"/>
                <w:color w:val="000000"/>
                <w:szCs w:val="20"/>
              </w:rPr>
              <w:t xml:space="preserve">Capsule 2 mg, 14 </w:t>
            </w:r>
          </w:p>
        </w:tc>
        <w:tc>
          <w:tcPr>
            <w:tcW w:w="577" w:type="pct"/>
            <w:shd w:val="clear" w:color="auto" w:fill="auto"/>
            <w:vAlign w:val="center"/>
          </w:tcPr>
          <w:p w14:paraId="1645D813" w14:textId="3DDD4095"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107F116B" w14:textId="7775E4CD"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75CBF868" w14:textId="07459E91"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2D059303" w14:textId="5AC286B0"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7" w:type="pct"/>
            <w:shd w:val="clear" w:color="auto" w:fill="auto"/>
            <w:vAlign w:val="center"/>
          </w:tcPr>
          <w:p w14:paraId="49E59CDA" w14:textId="6011A8F2"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c>
          <w:tcPr>
            <w:tcW w:w="648" w:type="pct"/>
            <w:vAlign w:val="center"/>
          </w:tcPr>
          <w:p w14:paraId="08BF2AF8" w14:textId="74C246F9" w:rsidR="0049324C" w:rsidRPr="00837453" w:rsidRDefault="00837453" w:rsidP="008C3377">
            <w:pPr>
              <w:pStyle w:val="TableText0"/>
              <w:keepLines/>
              <w:jc w:val="right"/>
              <w:rPr>
                <w:rFonts w:cs="Arial"/>
                <w:color w:val="000000"/>
                <w:szCs w:val="20"/>
                <w:highlight w:val="lightGray"/>
              </w:rPr>
            </w:pPr>
            <w:r w:rsidRPr="00837453">
              <w:rPr>
                <w:rFonts w:cs="Arial"/>
                <w:color w:val="000000"/>
                <w:szCs w:val="20"/>
                <w:shd w:val="solid" w:color="000000" w:fill="000000"/>
                <w14:textFill>
                  <w14:solidFill>
                    <w14:srgbClr w14:val="000000">
                      <w14:alpha w14:val="100000"/>
                    </w14:srgbClr>
                  </w14:solidFill>
                </w14:textFill>
              </w:rPr>
              <w:t>|</w:t>
            </w:r>
            <w:r w:rsidR="00DD75A6" w:rsidRPr="00AE116F">
              <w:rPr>
                <w:rFonts w:cs="Arial"/>
                <w:color w:val="000000"/>
                <w:szCs w:val="20"/>
                <w:vertAlign w:val="superscript"/>
              </w:rPr>
              <w:t>1</w:t>
            </w:r>
            <w:r w:rsidRPr="00837453">
              <w:rPr>
                <w:rFonts w:cs="Arial"/>
                <w:color w:val="000000"/>
                <w:szCs w:val="20"/>
              </w:rPr>
              <w:t xml:space="preserve"> </w:t>
            </w:r>
          </w:p>
        </w:tc>
      </w:tr>
      <w:tr w:rsidR="000C1AFF" w:rsidRPr="00AC5315" w14:paraId="046AEB1E" w14:textId="77777777" w:rsidTr="001C20E1">
        <w:trPr>
          <w:cantSplit/>
          <w:jc w:val="center"/>
        </w:trPr>
        <w:tc>
          <w:tcPr>
            <w:tcW w:w="5000" w:type="pct"/>
            <w:gridSpan w:val="7"/>
            <w:shd w:val="clear" w:color="auto" w:fill="auto"/>
            <w:vAlign w:val="center"/>
          </w:tcPr>
          <w:p w14:paraId="750CBAE5" w14:textId="41B8C4C3" w:rsidR="000C1AFF" w:rsidRPr="00AC5315" w:rsidRDefault="000C1AFF" w:rsidP="008C3377">
            <w:pPr>
              <w:pStyle w:val="TableText0"/>
              <w:keepLines/>
              <w:jc w:val="both"/>
              <w:rPr>
                <w:b/>
                <w:color w:val="000000"/>
              </w:rPr>
            </w:pPr>
            <w:r w:rsidRPr="00AC5315">
              <w:rPr>
                <w:b/>
                <w:color w:val="000000"/>
              </w:rPr>
              <w:t xml:space="preserve">Estimated financial implications </w:t>
            </w:r>
            <w:r w:rsidR="002C3880">
              <w:rPr>
                <w:b/>
                <w:color w:val="000000"/>
              </w:rPr>
              <w:t>($)</w:t>
            </w:r>
          </w:p>
        </w:tc>
      </w:tr>
      <w:tr w:rsidR="00AD01B2" w:rsidRPr="00AC5315" w14:paraId="62D3A656" w14:textId="77777777" w:rsidTr="002C3880">
        <w:trPr>
          <w:cantSplit/>
          <w:jc w:val="center"/>
        </w:trPr>
        <w:tc>
          <w:tcPr>
            <w:tcW w:w="1187" w:type="pct"/>
            <w:shd w:val="clear" w:color="auto" w:fill="auto"/>
          </w:tcPr>
          <w:p w14:paraId="2806D130" w14:textId="7F28A5F6" w:rsidR="00AD01B2" w:rsidRPr="00AC5315" w:rsidRDefault="00AD01B2" w:rsidP="00AD01B2">
            <w:pPr>
              <w:pStyle w:val="TableText0"/>
              <w:keepLines/>
              <w:jc w:val="both"/>
              <w:rPr>
                <w:b/>
                <w:color w:val="000000"/>
              </w:rPr>
            </w:pPr>
            <w:r w:rsidRPr="00AC5315">
              <w:t>New PBS listing</w:t>
            </w:r>
          </w:p>
        </w:tc>
        <w:tc>
          <w:tcPr>
            <w:tcW w:w="577" w:type="pct"/>
            <w:shd w:val="clear" w:color="auto" w:fill="auto"/>
          </w:tcPr>
          <w:p w14:paraId="27A1E731" w14:textId="2AA71439"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2</w:t>
            </w:r>
          </w:p>
        </w:tc>
        <w:tc>
          <w:tcPr>
            <w:tcW w:w="647" w:type="pct"/>
            <w:shd w:val="clear" w:color="auto" w:fill="auto"/>
          </w:tcPr>
          <w:p w14:paraId="092F05B7" w14:textId="2D14CC78"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2</w:t>
            </w:r>
          </w:p>
        </w:tc>
        <w:tc>
          <w:tcPr>
            <w:tcW w:w="647" w:type="pct"/>
            <w:shd w:val="clear" w:color="auto" w:fill="auto"/>
          </w:tcPr>
          <w:p w14:paraId="6BFAF8D2" w14:textId="751CC966"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2</w:t>
            </w:r>
          </w:p>
        </w:tc>
        <w:tc>
          <w:tcPr>
            <w:tcW w:w="647" w:type="pct"/>
            <w:shd w:val="clear" w:color="auto" w:fill="auto"/>
          </w:tcPr>
          <w:p w14:paraId="16288B19" w14:textId="390A9A0D"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2</w:t>
            </w:r>
          </w:p>
        </w:tc>
        <w:tc>
          <w:tcPr>
            <w:tcW w:w="647" w:type="pct"/>
            <w:shd w:val="clear" w:color="auto" w:fill="auto"/>
          </w:tcPr>
          <w:p w14:paraId="2C6D0CD5" w14:textId="5DD0A698"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2</w:t>
            </w:r>
          </w:p>
        </w:tc>
        <w:tc>
          <w:tcPr>
            <w:tcW w:w="648" w:type="pct"/>
            <w:shd w:val="clear" w:color="auto" w:fill="auto"/>
          </w:tcPr>
          <w:p w14:paraId="4FD2BE19" w14:textId="69AD4908"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2</w:t>
            </w:r>
          </w:p>
        </w:tc>
      </w:tr>
      <w:tr w:rsidR="00AD01B2" w:rsidRPr="00AC5315" w14:paraId="0E7388A9" w14:textId="77777777" w:rsidTr="002C3880">
        <w:trPr>
          <w:cantSplit/>
          <w:jc w:val="center"/>
        </w:trPr>
        <w:tc>
          <w:tcPr>
            <w:tcW w:w="1187" w:type="pct"/>
            <w:shd w:val="clear" w:color="auto" w:fill="auto"/>
          </w:tcPr>
          <w:p w14:paraId="3229AF5A" w14:textId="29926D94" w:rsidR="00AD01B2" w:rsidRPr="00AC5315" w:rsidRDefault="00AD01B2" w:rsidP="00AD01B2">
            <w:pPr>
              <w:pStyle w:val="TableText0"/>
              <w:keepLines/>
              <w:jc w:val="both"/>
            </w:pPr>
            <w:r w:rsidRPr="00AC5315">
              <w:t>Changed PBS listing</w:t>
            </w:r>
          </w:p>
        </w:tc>
        <w:tc>
          <w:tcPr>
            <w:tcW w:w="577" w:type="pct"/>
            <w:shd w:val="clear" w:color="auto" w:fill="auto"/>
          </w:tcPr>
          <w:p w14:paraId="0438EA96" w14:textId="76D41D59" w:rsidR="00AD01B2" w:rsidRPr="00AC5315" w:rsidRDefault="00837453" w:rsidP="00AD01B2">
            <w:pPr>
              <w:pStyle w:val="TableText0"/>
              <w:keepLines/>
              <w:jc w:val="right"/>
              <w:rPr>
                <w:b/>
                <w:color w:val="000000"/>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168C3CA2" w14:textId="3215C5BF"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1CFED8E9" w14:textId="5F6A2E56"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77D4361D" w14:textId="04B0FCDD"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232CDDB7" w14:textId="424B5039"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8" w:type="pct"/>
            <w:shd w:val="clear" w:color="auto" w:fill="auto"/>
          </w:tcPr>
          <w:p w14:paraId="0B426D9B" w14:textId="27DAAD3B"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r>
      <w:tr w:rsidR="00AD01B2" w:rsidRPr="00AC5315" w14:paraId="72596F05" w14:textId="77777777" w:rsidTr="002C3880">
        <w:trPr>
          <w:cantSplit/>
          <w:jc w:val="center"/>
        </w:trPr>
        <w:tc>
          <w:tcPr>
            <w:tcW w:w="1187" w:type="pct"/>
            <w:shd w:val="clear" w:color="auto" w:fill="auto"/>
          </w:tcPr>
          <w:p w14:paraId="0880493D" w14:textId="49C22278" w:rsidR="00AD01B2" w:rsidRPr="00AC5315" w:rsidRDefault="00AD01B2" w:rsidP="00AD01B2">
            <w:pPr>
              <w:pStyle w:val="TableText0"/>
              <w:keepLines/>
              <w:jc w:val="both"/>
            </w:pPr>
            <w:r w:rsidRPr="00AC5315">
              <w:t>Net cost to PBS</w:t>
            </w:r>
          </w:p>
        </w:tc>
        <w:tc>
          <w:tcPr>
            <w:tcW w:w="577" w:type="pct"/>
            <w:shd w:val="clear" w:color="auto" w:fill="auto"/>
          </w:tcPr>
          <w:p w14:paraId="3C867164" w14:textId="07953C97"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0CB8E711" w14:textId="29B89D83"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2C853392" w14:textId="53B4CB3C"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0D182AF4" w14:textId="6FBDEC8E"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73348DFB" w14:textId="45440D46"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8" w:type="pct"/>
            <w:shd w:val="clear" w:color="auto" w:fill="auto"/>
          </w:tcPr>
          <w:p w14:paraId="4237D0FE" w14:textId="05EFF9A4"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r>
      <w:tr w:rsidR="00AD01B2" w:rsidRPr="00AC5315" w14:paraId="72AFAB35" w14:textId="77777777" w:rsidTr="002C3880">
        <w:trPr>
          <w:cantSplit/>
          <w:jc w:val="center"/>
        </w:trPr>
        <w:tc>
          <w:tcPr>
            <w:tcW w:w="1187" w:type="pct"/>
            <w:shd w:val="clear" w:color="auto" w:fill="auto"/>
          </w:tcPr>
          <w:p w14:paraId="7748F1DF" w14:textId="1787AD0A" w:rsidR="00AD01B2" w:rsidRPr="00AC5315" w:rsidRDefault="00AD01B2" w:rsidP="00AD01B2">
            <w:pPr>
              <w:pStyle w:val="TableText0"/>
              <w:keepLines/>
              <w:jc w:val="both"/>
            </w:pPr>
            <w:r w:rsidRPr="00AC5315">
              <w:t>New RPBS listing</w:t>
            </w:r>
          </w:p>
        </w:tc>
        <w:tc>
          <w:tcPr>
            <w:tcW w:w="577" w:type="pct"/>
            <w:shd w:val="clear" w:color="auto" w:fill="auto"/>
          </w:tcPr>
          <w:p w14:paraId="4473F059" w14:textId="3BF52A8B"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2ED85562" w14:textId="01D6108D"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3C505C48" w14:textId="330EE557"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71F0FB2A" w14:textId="626E522C"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44E05F43" w14:textId="30CC7BFF"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8" w:type="pct"/>
            <w:shd w:val="clear" w:color="auto" w:fill="auto"/>
          </w:tcPr>
          <w:p w14:paraId="6EB3617B" w14:textId="6B2AF0FA"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r>
      <w:tr w:rsidR="00AD01B2" w:rsidRPr="00AC5315" w14:paraId="5729B838" w14:textId="77777777" w:rsidTr="002C3880">
        <w:trPr>
          <w:cantSplit/>
          <w:jc w:val="center"/>
        </w:trPr>
        <w:tc>
          <w:tcPr>
            <w:tcW w:w="1187" w:type="pct"/>
            <w:shd w:val="clear" w:color="auto" w:fill="auto"/>
          </w:tcPr>
          <w:p w14:paraId="3C686C02" w14:textId="21EB9F6D" w:rsidR="00AD01B2" w:rsidRPr="00AC5315" w:rsidRDefault="00AD01B2" w:rsidP="00AD01B2">
            <w:pPr>
              <w:pStyle w:val="TableText0"/>
              <w:keepLines/>
              <w:jc w:val="both"/>
            </w:pPr>
            <w:r w:rsidRPr="00AC5315">
              <w:t>Changed RPBS listing</w:t>
            </w:r>
          </w:p>
        </w:tc>
        <w:tc>
          <w:tcPr>
            <w:tcW w:w="577" w:type="pct"/>
            <w:shd w:val="clear" w:color="auto" w:fill="auto"/>
          </w:tcPr>
          <w:p w14:paraId="0D0452C2" w14:textId="6DB65E3B"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79E7A1A2" w14:textId="382BAB8B"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4630B6CB" w14:textId="6059ABC8"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55E155CC" w14:textId="59A93970"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40A55AF6" w14:textId="7687AB8F"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8" w:type="pct"/>
            <w:shd w:val="clear" w:color="auto" w:fill="auto"/>
          </w:tcPr>
          <w:p w14:paraId="229F5FC4" w14:textId="6C20F523"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r>
      <w:tr w:rsidR="00AD01B2" w:rsidRPr="00AC5315" w14:paraId="0E58C774" w14:textId="77777777" w:rsidTr="002C3880">
        <w:trPr>
          <w:cantSplit/>
          <w:jc w:val="center"/>
        </w:trPr>
        <w:tc>
          <w:tcPr>
            <w:tcW w:w="1187" w:type="pct"/>
            <w:shd w:val="clear" w:color="auto" w:fill="auto"/>
          </w:tcPr>
          <w:p w14:paraId="67A9ADDF" w14:textId="59F95E2B" w:rsidR="00AD01B2" w:rsidRPr="00AC5315" w:rsidRDefault="00AD01B2" w:rsidP="00AD01B2">
            <w:pPr>
              <w:pStyle w:val="TableText0"/>
              <w:keepLines/>
              <w:jc w:val="both"/>
            </w:pPr>
            <w:r w:rsidRPr="00AC5315">
              <w:t>Net cost to RPBS</w:t>
            </w:r>
          </w:p>
        </w:tc>
        <w:tc>
          <w:tcPr>
            <w:tcW w:w="577" w:type="pct"/>
            <w:shd w:val="clear" w:color="auto" w:fill="auto"/>
          </w:tcPr>
          <w:p w14:paraId="738020D8" w14:textId="55D621E4"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157900B2" w14:textId="5144F380"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5E1C7AD0" w14:textId="45F7A08B"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05A068B7" w14:textId="753916F8"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7" w:type="pct"/>
            <w:shd w:val="clear" w:color="auto" w:fill="auto"/>
          </w:tcPr>
          <w:p w14:paraId="75DDDE36" w14:textId="76E69119"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473071">
              <w:rPr>
                <w:vertAlign w:val="superscript"/>
              </w:rPr>
              <w:t>2</w:t>
            </w:r>
          </w:p>
        </w:tc>
        <w:tc>
          <w:tcPr>
            <w:tcW w:w="648" w:type="pct"/>
            <w:shd w:val="clear" w:color="auto" w:fill="auto"/>
          </w:tcPr>
          <w:p w14:paraId="5BA2C47D" w14:textId="662148FA" w:rsidR="00AD01B2" w:rsidRPr="002C3880" w:rsidRDefault="00837453" w:rsidP="00AD01B2">
            <w:pPr>
              <w:pStyle w:val="TableText0"/>
              <w:keepLines/>
              <w:jc w:val="right"/>
              <w:rPr>
                <w:b/>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r>
      <w:tr w:rsidR="00AD01B2" w:rsidRPr="00AC5315" w14:paraId="3CD835A0" w14:textId="77777777" w:rsidTr="000C1AFF">
        <w:trPr>
          <w:cantSplit/>
          <w:jc w:val="center"/>
        </w:trPr>
        <w:tc>
          <w:tcPr>
            <w:tcW w:w="5000" w:type="pct"/>
            <w:gridSpan w:val="7"/>
            <w:shd w:val="clear" w:color="auto" w:fill="auto"/>
            <w:vAlign w:val="center"/>
          </w:tcPr>
          <w:p w14:paraId="0717F32A" w14:textId="1771C81A" w:rsidR="00AD01B2" w:rsidRPr="00AC5315" w:rsidRDefault="00AD01B2" w:rsidP="00AD01B2">
            <w:pPr>
              <w:pStyle w:val="TableText0"/>
              <w:keepLines/>
              <w:jc w:val="both"/>
              <w:rPr>
                <w:b/>
                <w:bCs w:val="0"/>
                <w:color w:val="000000"/>
              </w:rPr>
            </w:pPr>
          </w:p>
        </w:tc>
      </w:tr>
      <w:tr w:rsidR="00AD01B2" w:rsidRPr="00AC5315" w14:paraId="6DC7AAF7" w14:textId="77777777" w:rsidTr="002C3880">
        <w:trPr>
          <w:cantSplit/>
          <w:jc w:val="center"/>
        </w:trPr>
        <w:tc>
          <w:tcPr>
            <w:tcW w:w="1187" w:type="pct"/>
            <w:shd w:val="clear" w:color="auto" w:fill="auto"/>
            <w:vAlign w:val="center"/>
          </w:tcPr>
          <w:p w14:paraId="41FA959D" w14:textId="6A62CDCD" w:rsidR="00AD01B2" w:rsidRPr="00AC5315" w:rsidRDefault="00AD01B2" w:rsidP="00AD01B2">
            <w:pPr>
              <w:pStyle w:val="TableText0"/>
              <w:keepLines/>
              <w:jc w:val="both"/>
            </w:pPr>
            <w:r w:rsidRPr="00AC5315">
              <w:t>Net cost to PBS/RPBS</w:t>
            </w:r>
          </w:p>
        </w:tc>
        <w:tc>
          <w:tcPr>
            <w:tcW w:w="577" w:type="pct"/>
            <w:shd w:val="clear" w:color="auto" w:fill="auto"/>
          </w:tcPr>
          <w:p w14:paraId="454A7C1B" w14:textId="0BC5EB31" w:rsidR="00AD01B2" w:rsidRPr="002C3880" w:rsidRDefault="00837453" w:rsidP="00AD01B2">
            <w:pPr>
              <w:pStyle w:val="TableText0"/>
              <w:keepLines/>
              <w:jc w:val="right"/>
              <w:rPr>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5587EA01" w14:textId="56C01CE1" w:rsidR="00AD01B2" w:rsidRPr="002C3880" w:rsidRDefault="00837453" w:rsidP="00AD01B2">
            <w:pPr>
              <w:pStyle w:val="TableText0"/>
              <w:keepLines/>
              <w:jc w:val="right"/>
              <w:rPr>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5A290C2B" w14:textId="7A58CC29" w:rsidR="00AD01B2" w:rsidRPr="002C3880" w:rsidRDefault="00837453" w:rsidP="00AD01B2">
            <w:pPr>
              <w:pStyle w:val="TableText0"/>
              <w:keepLines/>
              <w:jc w:val="right"/>
              <w:rPr>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73C4A55C" w14:textId="0E11CFEC" w:rsidR="00AD01B2" w:rsidRPr="002C3880" w:rsidRDefault="00837453" w:rsidP="00AD01B2">
            <w:pPr>
              <w:pStyle w:val="TableText0"/>
              <w:keepLines/>
              <w:jc w:val="right"/>
              <w:rPr>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7" w:type="pct"/>
            <w:shd w:val="clear" w:color="auto" w:fill="auto"/>
          </w:tcPr>
          <w:p w14:paraId="5A08AF29" w14:textId="5C924AF5" w:rsidR="00AD01B2" w:rsidRPr="002C3880" w:rsidRDefault="00837453" w:rsidP="00AD01B2">
            <w:pPr>
              <w:pStyle w:val="TableText0"/>
              <w:keepLines/>
              <w:jc w:val="right"/>
              <w:rPr>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c>
          <w:tcPr>
            <w:tcW w:w="648" w:type="pct"/>
          </w:tcPr>
          <w:p w14:paraId="1A3491BC" w14:textId="4B74AE0C" w:rsidR="00AD01B2" w:rsidRPr="002C3880" w:rsidRDefault="00837453" w:rsidP="00AD01B2">
            <w:pPr>
              <w:pStyle w:val="TableText0"/>
              <w:keepLines/>
              <w:jc w:val="right"/>
              <w:rPr>
                <w:color w:val="000000"/>
                <w:highlight w:val="lightGray"/>
              </w:rPr>
            </w:pPr>
            <w:r w:rsidRPr="00837453">
              <w:rPr>
                <w:color w:val="000000"/>
                <w:shd w:val="solid" w:color="000000" w:fill="000000"/>
                <w14:textFill>
                  <w14:solidFill>
                    <w14:srgbClr w14:val="000000">
                      <w14:alpha w14:val="100000"/>
                    </w14:srgbClr>
                  </w14:solidFill>
                </w14:textFill>
              </w:rPr>
              <w:t>|</w:t>
            </w:r>
            <w:r w:rsidR="00AD01B2" w:rsidRPr="002C3880">
              <w:rPr>
                <w:vertAlign w:val="superscript"/>
              </w:rPr>
              <w:t>3</w:t>
            </w:r>
          </w:p>
        </w:tc>
      </w:tr>
    </w:tbl>
    <w:p w14:paraId="6F0105D7" w14:textId="61E738C0" w:rsidR="006867C3" w:rsidRPr="00AC5315" w:rsidRDefault="006867C3" w:rsidP="008C3377">
      <w:pPr>
        <w:pStyle w:val="TableFigureFooter"/>
        <w:keepNext/>
      </w:pPr>
      <w:r w:rsidRPr="006867C3">
        <w:t xml:space="preserve"> </w:t>
      </w:r>
      <w:r w:rsidRPr="00AC5315">
        <w:t>Source: Table 18 &amp; 19, pp. 31-32</w:t>
      </w:r>
      <w:r>
        <w:t>, Table 4-8 p. 34</w:t>
      </w:r>
      <w:r w:rsidRPr="00AC5315">
        <w:t xml:space="preserve"> of the submission.</w:t>
      </w:r>
    </w:p>
    <w:p w14:paraId="42320224" w14:textId="5F2B8D23" w:rsidR="00D70349" w:rsidRDefault="00AB4684" w:rsidP="008C3377">
      <w:pPr>
        <w:pStyle w:val="TableFigureFooter"/>
        <w:keepNext/>
      </w:pPr>
      <w:r w:rsidRPr="00AC5315">
        <w:t>Abbreviations: PBS = Pharmaceutical Benefits Scheme; RPBS = Repatriation Pharmaceutical Benefits Scheme.</w:t>
      </w:r>
    </w:p>
    <w:p w14:paraId="35081551" w14:textId="77777777" w:rsidR="00DD75A6" w:rsidRPr="009A6D58" w:rsidRDefault="00DD75A6" w:rsidP="00DD75A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2269B0C" w14:textId="2D44B73A" w:rsidR="00DD75A6" w:rsidRPr="009A6D58" w:rsidRDefault="00DD75A6" w:rsidP="00DD75A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DD75A6">
        <w:rPr>
          <w:rFonts w:ascii="Arial Narrow" w:hAnsi="Arial Narrow" w:cs="Arial"/>
          <w:i/>
          <w:sz w:val="18"/>
          <w:szCs w:val="18"/>
        </w:rPr>
        <w:t>&lt; 500</w:t>
      </w:r>
    </w:p>
    <w:p w14:paraId="6E16CDEF" w14:textId="2CBB9C11" w:rsidR="00DD75A6" w:rsidRPr="009A6D58" w:rsidRDefault="00DD75A6" w:rsidP="00DD75A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2C3880" w:rsidRPr="002C3880">
        <w:rPr>
          <w:rFonts w:ascii="Arial Narrow" w:hAnsi="Arial Narrow" w:cs="Arial"/>
          <w:i/>
          <w:sz w:val="18"/>
          <w:szCs w:val="18"/>
        </w:rPr>
        <w:t>$0 to &lt; $10 million</w:t>
      </w:r>
    </w:p>
    <w:p w14:paraId="7BE73AF6" w14:textId="5EDBAFB3" w:rsidR="00DD75A6" w:rsidRDefault="00DD75A6" w:rsidP="00DD75A6">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2C3880">
        <w:rPr>
          <w:rFonts w:ascii="Arial Narrow" w:hAnsi="Arial Narrow" w:cs="Arial"/>
          <w:i/>
          <w:sz w:val="18"/>
          <w:szCs w:val="18"/>
        </w:rPr>
        <w:t>net cost saving</w:t>
      </w:r>
    </w:p>
    <w:p w14:paraId="62A804CB" w14:textId="77777777" w:rsidR="00DD75A6" w:rsidRPr="00DD75A6" w:rsidRDefault="00DD75A6" w:rsidP="00DD75A6">
      <w:pPr>
        <w:rPr>
          <w:rFonts w:ascii="Arial Narrow" w:hAnsi="Arial Narrow" w:cs="Arial"/>
          <w:i/>
          <w:sz w:val="18"/>
          <w:szCs w:val="18"/>
        </w:rPr>
      </w:pPr>
    </w:p>
    <w:p w14:paraId="77F104E7" w14:textId="3160C432" w:rsidR="00DF4E87" w:rsidRPr="00473071" w:rsidRDefault="00DF4E87" w:rsidP="005A0504">
      <w:pPr>
        <w:pStyle w:val="3Bodytext"/>
        <w:jc w:val="both"/>
        <w:rPr>
          <w:color w:val="000000" w:themeColor="text1"/>
        </w:rPr>
      </w:pPr>
      <w:r w:rsidRPr="00AD01B2">
        <w:rPr>
          <w:color w:val="000000" w:themeColor="text1"/>
        </w:rPr>
        <w:t>The submission claimed that the cost of pomalidomide</w:t>
      </w:r>
      <w:r w:rsidR="006867C3" w:rsidRPr="00AD01B2">
        <w:rPr>
          <w:color w:val="000000" w:themeColor="text1"/>
        </w:rPr>
        <w:t xml:space="preserve"> 1</w:t>
      </w:r>
      <w:r w:rsidR="00D760D0" w:rsidRPr="00AD01B2">
        <w:rPr>
          <w:color w:val="000000" w:themeColor="text1"/>
        </w:rPr>
        <w:t> </w:t>
      </w:r>
      <w:r w:rsidR="006867C3" w:rsidRPr="00AD01B2">
        <w:rPr>
          <w:color w:val="000000" w:themeColor="text1"/>
        </w:rPr>
        <w:t>mg and 2 mg capsules</w:t>
      </w:r>
      <w:r w:rsidRPr="00AD01B2">
        <w:rPr>
          <w:color w:val="000000" w:themeColor="text1"/>
        </w:rPr>
        <w:t xml:space="preserve"> to the PBS/RPBS </w:t>
      </w:r>
      <w:r w:rsidR="006572C9" w:rsidRPr="00473071">
        <w:rPr>
          <w:color w:val="000000" w:themeColor="text1"/>
        </w:rPr>
        <w:t xml:space="preserve">was </w:t>
      </w:r>
      <w:r w:rsidRPr="00473071">
        <w:rPr>
          <w:color w:val="000000" w:themeColor="text1"/>
        </w:rPr>
        <w:t>expected to be $</w:t>
      </w:r>
      <w:r w:rsidR="00473071" w:rsidRPr="00473071">
        <w:rPr>
          <w:color w:val="000000" w:themeColor="text1"/>
        </w:rPr>
        <w:t>0</w:t>
      </w:r>
      <w:r w:rsidR="00B46084">
        <w:rPr>
          <w:color w:val="000000" w:themeColor="text1"/>
        </w:rPr>
        <w:t> </w:t>
      </w:r>
      <w:r w:rsidR="00473071" w:rsidRPr="00473071">
        <w:rPr>
          <w:color w:val="000000" w:themeColor="text1"/>
        </w:rPr>
        <w:t>to</w:t>
      </w:r>
      <w:r w:rsidR="00B46084">
        <w:rPr>
          <w:color w:val="000000" w:themeColor="text1"/>
        </w:rPr>
        <w:t> </w:t>
      </w:r>
      <w:r w:rsidR="00473071" w:rsidRPr="00473071">
        <w:rPr>
          <w:color w:val="000000" w:themeColor="text1"/>
        </w:rPr>
        <w:t>&lt;</w:t>
      </w:r>
      <w:r w:rsidR="00B46084">
        <w:rPr>
          <w:color w:val="000000" w:themeColor="text1"/>
        </w:rPr>
        <w:t> </w:t>
      </w:r>
      <w:r w:rsidR="00473071" w:rsidRPr="00473071">
        <w:rPr>
          <w:color w:val="000000" w:themeColor="text1"/>
        </w:rPr>
        <w:t>$10 million</w:t>
      </w:r>
      <w:r w:rsidRPr="00473071">
        <w:rPr>
          <w:color w:val="000000" w:themeColor="text1"/>
        </w:rPr>
        <w:t xml:space="preserve"> over six years (Year 1 $</w:t>
      </w:r>
      <w:r w:rsidR="00473071" w:rsidRPr="00473071">
        <w:rPr>
          <w:color w:val="000000" w:themeColor="text1"/>
        </w:rPr>
        <w:t>0</w:t>
      </w:r>
      <w:r w:rsidR="00D77095">
        <w:rPr>
          <w:color w:val="000000" w:themeColor="text1"/>
        </w:rPr>
        <w:t> </w:t>
      </w:r>
      <w:r w:rsidR="00473071" w:rsidRPr="00473071">
        <w:rPr>
          <w:color w:val="000000" w:themeColor="text1"/>
        </w:rPr>
        <w:t>to</w:t>
      </w:r>
      <w:r w:rsidR="00D77095">
        <w:rPr>
          <w:color w:val="000000" w:themeColor="text1"/>
        </w:rPr>
        <w:t> </w:t>
      </w:r>
      <w:r w:rsidR="00473071" w:rsidRPr="00473071">
        <w:rPr>
          <w:color w:val="000000" w:themeColor="text1"/>
        </w:rPr>
        <w:t>&lt;</w:t>
      </w:r>
      <w:r w:rsidR="00D77095">
        <w:rPr>
          <w:color w:val="000000" w:themeColor="text1"/>
        </w:rPr>
        <w:t> </w:t>
      </w:r>
      <w:r w:rsidR="00473071" w:rsidRPr="00473071">
        <w:rPr>
          <w:color w:val="000000" w:themeColor="text1"/>
        </w:rPr>
        <w:t>$10</w:t>
      </w:r>
      <w:r w:rsidR="00D77095">
        <w:rPr>
          <w:color w:val="000000" w:themeColor="text1"/>
        </w:rPr>
        <w:t> </w:t>
      </w:r>
      <w:r w:rsidR="00473071" w:rsidRPr="00473071">
        <w:rPr>
          <w:color w:val="000000" w:themeColor="text1"/>
        </w:rPr>
        <w:t>million</w:t>
      </w:r>
      <w:r w:rsidRPr="00473071">
        <w:rPr>
          <w:color w:val="000000" w:themeColor="text1"/>
        </w:rPr>
        <w:t xml:space="preserve"> to Year 6 </w:t>
      </w:r>
      <w:r w:rsidR="00370524" w:rsidRPr="00473071">
        <w:rPr>
          <w:color w:val="000000" w:themeColor="text1"/>
        </w:rPr>
        <w:t>$</w:t>
      </w:r>
      <w:r w:rsidR="00473071" w:rsidRPr="00473071">
        <w:rPr>
          <w:color w:val="000000" w:themeColor="text1"/>
        </w:rPr>
        <w:t>0</w:t>
      </w:r>
      <w:r w:rsidR="00B46084">
        <w:rPr>
          <w:color w:val="000000" w:themeColor="text1"/>
        </w:rPr>
        <w:t> </w:t>
      </w:r>
      <w:r w:rsidR="00473071" w:rsidRPr="00473071">
        <w:rPr>
          <w:color w:val="000000" w:themeColor="text1"/>
        </w:rPr>
        <w:t>to</w:t>
      </w:r>
      <w:r w:rsidR="00B46084">
        <w:rPr>
          <w:color w:val="000000" w:themeColor="text1"/>
        </w:rPr>
        <w:t> </w:t>
      </w:r>
      <w:r w:rsidR="00473071" w:rsidRPr="00473071">
        <w:rPr>
          <w:color w:val="000000" w:themeColor="text1"/>
        </w:rPr>
        <w:t>&lt;</w:t>
      </w:r>
      <w:r w:rsidR="00B46084">
        <w:rPr>
          <w:color w:val="000000" w:themeColor="text1"/>
        </w:rPr>
        <w:t> </w:t>
      </w:r>
      <w:r w:rsidR="00473071" w:rsidRPr="00473071">
        <w:rPr>
          <w:color w:val="000000" w:themeColor="text1"/>
        </w:rPr>
        <w:t>$10 million</w:t>
      </w:r>
      <w:r w:rsidRPr="00473071">
        <w:rPr>
          <w:color w:val="000000" w:themeColor="text1"/>
        </w:rPr>
        <w:t>).</w:t>
      </w:r>
    </w:p>
    <w:p w14:paraId="7FAD5012" w14:textId="440AD240" w:rsidR="00BD4085" w:rsidRPr="00416054" w:rsidRDefault="00DF4E87" w:rsidP="005A0504">
      <w:pPr>
        <w:pStyle w:val="3Bodytext"/>
        <w:jc w:val="both"/>
        <w:rPr>
          <w:color w:val="000000" w:themeColor="text1"/>
        </w:rPr>
      </w:pPr>
      <w:r w:rsidRPr="00473071">
        <w:rPr>
          <w:color w:val="000000" w:themeColor="text1"/>
        </w:rPr>
        <w:t xml:space="preserve">The submission stated that the estimated net financial impact to the PBS/RPBS for the listing of </w:t>
      </w:r>
      <w:r w:rsidR="006867C3" w:rsidRPr="00473071">
        <w:rPr>
          <w:color w:val="000000" w:themeColor="text1"/>
        </w:rPr>
        <w:t>pomalidomide 1 mg and 2 mg capsules</w:t>
      </w:r>
      <w:r w:rsidRPr="00473071">
        <w:rPr>
          <w:color w:val="000000" w:themeColor="text1"/>
        </w:rPr>
        <w:t xml:space="preserve"> </w:t>
      </w:r>
      <w:r w:rsidR="006572C9" w:rsidRPr="00473071">
        <w:rPr>
          <w:color w:val="000000" w:themeColor="text1"/>
        </w:rPr>
        <w:t xml:space="preserve">would be </w:t>
      </w:r>
      <w:r w:rsidR="00D760D0" w:rsidRPr="00473071">
        <w:rPr>
          <w:color w:val="000000" w:themeColor="text1"/>
        </w:rPr>
        <w:t xml:space="preserve">a </w:t>
      </w:r>
      <w:r w:rsidR="00473071" w:rsidRPr="00473071">
        <w:rPr>
          <w:color w:val="000000" w:themeColor="text1"/>
        </w:rPr>
        <w:t xml:space="preserve">cost </w:t>
      </w:r>
      <w:r w:rsidR="00D760D0" w:rsidRPr="00473071">
        <w:rPr>
          <w:color w:val="000000" w:themeColor="text1"/>
        </w:rPr>
        <w:t xml:space="preserve">save </w:t>
      </w:r>
      <w:r w:rsidRPr="00473071">
        <w:rPr>
          <w:color w:val="000000" w:themeColor="text1"/>
        </w:rPr>
        <w:t>over six years (Year 1 $</w:t>
      </w:r>
      <w:r w:rsidR="00473071" w:rsidRPr="00473071">
        <w:rPr>
          <w:color w:val="000000" w:themeColor="text1"/>
        </w:rPr>
        <w:t>0</w:t>
      </w:r>
      <w:r w:rsidR="00B46084">
        <w:rPr>
          <w:color w:val="000000" w:themeColor="text1"/>
        </w:rPr>
        <w:t> </w:t>
      </w:r>
      <w:r w:rsidR="00473071" w:rsidRPr="00473071">
        <w:rPr>
          <w:color w:val="000000" w:themeColor="text1"/>
        </w:rPr>
        <w:t>to</w:t>
      </w:r>
      <w:r w:rsidR="00B46084">
        <w:rPr>
          <w:color w:val="000000" w:themeColor="text1"/>
        </w:rPr>
        <w:t> </w:t>
      </w:r>
      <w:r w:rsidR="00473071" w:rsidRPr="00473071">
        <w:rPr>
          <w:color w:val="000000" w:themeColor="text1"/>
        </w:rPr>
        <w:t>&lt;</w:t>
      </w:r>
      <w:r w:rsidR="00B46084">
        <w:rPr>
          <w:color w:val="000000" w:themeColor="text1"/>
        </w:rPr>
        <w:t> </w:t>
      </w:r>
      <w:r w:rsidR="00473071" w:rsidRPr="00473071">
        <w:rPr>
          <w:color w:val="000000" w:themeColor="text1"/>
        </w:rPr>
        <w:t>$10 million</w:t>
      </w:r>
      <w:r w:rsidRPr="00473071">
        <w:rPr>
          <w:color w:val="000000" w:themeColor="text1"/>
        </w:rPr>
        <w:t xml:space="preserve"> to Year 6 $</w:t>
      </w:r>
      <w:r w:rsidR="00473071" w:rsidRPr="00473071">
        <w:rPr>
          <w:color w:val="000000" w:themeColor="text1"/>
        </w:rPr>
        <w:t>0</w:t>
      </w:r>
      <w:r w:rsidR="00B46084">
        <w:rPr>
          <w:color w:val="000000" w:themeColor="text1"/>
        </w:rPr>
        <w:t> </w:t>
      </w:r>
      <w:r w:rsidR="00473071" w:rsidRPr="00473071">
        <w:rPr>
          <w:color w:val="000000" w:themeColor="text1"/>
        </w:rPr>
        <w:t>to</w:t>
      </w:r>
      <w:r w:rsidR="00B46084">
        <w:rPr>
          <w:color w:val="000000" w:themeColor="text1"/>
        </w:rPr>
        <w:t> </w:t>
      </w:r>
      <w:r w:rsidR="00473071" w:rsidRPr="00473071">
        <w:rPr>
          <w:color w:val="000000" w:themeColor="text1"/>
        </w:rPr>
        <w:t>&lt;</w:t>
      </w:r>
      <w:r w:rsidR="00B46084">
        <w:rPr>
          <w:color w:val="000000" w:themeColor="text1"/>
        </w:rPr>
        <w:t> </w:t>
      </w:r>
      <w:r w:rsidR="00473071" w:rsidRPr="00473071">
        <w:rPr>
          <w:color w:val="000000" w:themeColor="text1"/>
        </w:rPr>
        <w:t>$10 million</w:t>
      </w:r>
      <w:r w:rsidRPr="00473071">
        <w:rPr>
          <w:color w:val="000000" w:themeColor="text1"/>
        </w:rPr>
        <w:t>)</w:t>
      </w:r>
      <w:r w:rsidR="00366907" w:rsidRPr="00473071">
        <w:rPr>
          <w:color w:val="000000" w:themeColor="text1"/>
        </w:rPr>
        <w:t xml:space="preserve"> </w:t>
      </w:r>
      <w:r w:rsidR="00D7299C" w:rsidRPr="00473071">
        <w:rPr>
          <w:color w:val="000000" w:themeColor="text1"/>
        </w:rPr>
        <w:t>due to an assumption that the less expensive lower strengths will substitute for the higher</w:t>
      </w:r>
      <w:r w:rsidR="00D7299C">
        <w:rPr>
          <w:color w:val="000000" w:themeColor="text1"/>
        </w:rPr>
        <w:t xml:space="preserve"> strengths in some patients</w:t>
      </w:r>
      <w:r w:rsidR="007E774E">
        <w:rPr>
          <w:color w:val="000000" w:themeColor="text1"/>
        </w:rPr>
        <w:t xml:space="preserve"> who</w:t>
      </w:r>
      <w:r w:rsidR="00D15690">
        <w:rPr>
          <w:color w:val="000000" w:themeColor="text1"/>
        </w:rPr>
        <w:t xml:space="preserve"> may</w:t>
      </w:r>
      <w:r w:rsidR="007E774E">
        <w:rPr>
          <w:color w:val="000000" w:themeColor="text1"/>
        </w:rPr>
        <w:t xml:space="preserve"> require dose adjustment</w:t>
      </w:r>
      <w:r w:rsidR="00D15690">
        <w:rPr>
          <w:color w:val="000000" w:themeColor="text1"/>
        </w:rPr>
        <w:t>s</w:t>
      </w:r>
      <w:r w:rsidR="00D7299C" w:rsidRPr="00416054">
        <w:rPr>
          <w:color w:val="000000" w:themeColor="text1"/>
        </w:rPr>
        <w:t>.</w:t>
      </w:r>
    </w:p>
    <w:p w14:paraId="28004AC5" w14:textId="77777777" w:rsidR="00875C3E" w:rsidRPr="00B75628" w:rsidRDefault="00875C3E" w:rsidP="00BD4085">
      <w:pPr>
        <w:pStyle w:val="2-SectionHeading"/>
      </w:pPr>
      <w:r w:rsidRPr="00B75628">
        <w:t>PBAC Outcome</w:t>
      </w:r>
    </w:p>
    <w:p w14:paraId="1AEE29D8" w14:textId="64961815" w:rsidR="002A2B4F" w:rsidRPr="00B75628" w:rsidRDefault="00875C3E" w:rsidP="005A0504">
      <w:pPr>
        <w:pStyle w:val="3Bodytext"/>
        <w:jc w:val="both"/>
        <w:rPr>
          <w:snapToGrid w:val="0"/>
          <w:lang w:val="en-GB"/>
        </w:rPr>
      </w:pPr>
      <w:r w:rsidRPr="00B75628">
        <w:rPr>
          <w:snapToGrid w:val="0"/>
          <w:lang w:val="en-GB"/>
        </w:rPr>
        <w:t xml:space="preserve">The PBAC recommended the listing of </w:t>
      </w:r>
      <w:r w:rsidR="002A2B4F" w:rsidRPr="00B75628">
        <w:rPr>
          <w:snapToGrid w:val="0"/>
          <w:lang w:val="en-GB"/>
        </w:rPr>
        <w:t>pomalidomide (Pomolide)</w:t>
      </w:r>
      <w:r w:rsidR="0049039D">
        <w:rPr>
          <w:snapToGrid w:val="0"/>
          <w:lang w:val="en-GB"/>
        </w:rPr>
        <w:t xml:space="preserve"> </w:t>
      </w:r>
      <w:r w:rsidR="0049039D" w:rsidRPr="0049039D">
        <w:rPr>
          <w:snapToGrid w:val="0"/>
          <w:lang w:val="en-GB"/>
        </w:rPr>
        <w:t>1 mg and 2 mg capsules under the same circumstances as the 3 mg and 4 mg capsule listings.</w:t>
      </w:r>
      <w:r w:rsidR="00F95E6E">
        <w:rPr>
          <w:snapToGrid w:val="0"/>
          <w:lang w:val="en-GB"/>
        </w:rPr>
        <w:t xml:space="preserve"> </w:t>
      </w:r>
      <w:r w:rsidR="00F95E6E" w:rsidRPr="00F95E6E">
        <w:rPr>
          <w:snapToGrid w:val="0"/>
          <w:lang w:val="en-GB"/>
        </w:rPr>
        <w:t>The PBAC considered that the claim of non-inferior comparative effectiveness and non-inferior comparative safety of Pomolide to Pomalyst was reasonable.</w:t>
      </w:r>
    </w:p>
    <w:p w14:paraId="39E1D7DE" w14:textId="17CF9CBE" w:rsidR="00F95E6E" w:rsidRPr="00B75628" w:rsidRDefault="00F95E6E" w:rsidP="005A0504">
      <w:pPr>
        <w:pStyle w:val="3Bodytext"/>
        <w:jc w:val="both"/>
        <w:rPr>
          <w:snapToGrid w:val="0"/>
        </w:rPr>
      </w:pPr>
      <w:r w:rsidRPr="00F95E6E">
        <w:t>The PBAC considered the lower strengths to be therapeutically relative to the higher strengths on a per mg basis.</w:t>
      </w:r>
    </w:p>
    <w:p w14:paraId="3B98E2E6" w14:textId="110E6AA6" w:rsidR="000A33F6" w:rsidRDefault="005D6944" w:rsidP="005A0504">
      <w:pPr>
        <w:pStyle w:val="3Bodytext"/>
        <w:jc w:val="both"/>
        <w:rPr>
          <w:snapToGrid w:val="0"/>
        </w:rPr>
      </w:pPr>
      <w:r>
        <w:rPr>
          <w:snapToGrid w:val="0"/>
        </w:rPr>
        <w:t xml:space="preserve">The PBAC </w:t>
      </w:r>
      <w:r w:rsidR="00C2091B">
        <w:rPr>
          <w:snapToGrid w:val="0"/>
        </w:rPr>
        <w:t xml:space="preserve">considered </w:t>
      </w:r>
      <w:r>
        <w:rPr>
          <w:snapToGrid w:val="0"/>
        </w:rPr>
        <w:t xml:space="preserve">that the listing of 1 mg and 2 mg of </w:t>
      </w:r>
      <w:r w:rsidR="00B86113">
        <w:t>pomalidomide</w:t>
      </w:r>
      <w:r w:rsidR="00B86113">
        <w:rPr>
          <w:snapToGrid w:val="0"/>
        </w:rPr>
        <w:t xml:space="preserve"> </w:t>
      </w:r>
      <w:r w:rsidR="00455CF6">
        <w:rPr>
          <w:snapToGrid w:val="0"/>
        </w:rPr>
        <w:t xml:space="preserve">would likely </w:t>
      </w:r>
      <w:r>
        <w:rPr>
          <w:snapToGrid w:val="0"/>
        </w:rPr>
        <w:t>not increase overall market utilisation.</w:t>
      </w:r>
    </w:p>
    <w:p w14:paraId="43F6B075" w14:textId="0FCD8446" w:rsidR="00455CF6" w:rsidRDefault="00455CF6" w:rsidP="005A0504">
      <w:pPr>
        <w:pStyle w:val="3Bodytext"/>
        <w:jc w:val="both"/>
        <w:rPr>
          <w:snapToGrid w:val="0"/>
        </w:rPr>
      </w:pPr>
      <w:r>
        <w:rPr>
          <w:snapToGrid w:val="0"/>
        </w:rPr>
        <w:t>The PBAC considered that the predicted cost saving presented in the submission may not be realised in practice but considered that the listing should be cost neutral.</w:t>
      </w:r>
    </w:p>
    <w:p w14:paraId="1AFF6811" w14:textId="4BF7CF75" w:rsidR="00B6249D" w:rsidRDefault="001D606B" w:rsidP="005A0504">
      <w:pPr>
        <w:pStyle w:val="3Bodytext"/>
        <w:jc w:val="both"/>
        <w:rPr>
          <w:snapToGrid w:val="0"/>
        </w:rPr>
      </w:pPr>
      <w:r w:rsidRPr="00766886">
        <w:rPr>
          <w:rFonts w:cstheme="minorHAnsi"/>
        </w:rPr>
        <w:t xml:space="preserve">The PBAC </w:t>
      </w:r>
      <w:r>
        <w:rPr>
          <w:rFonts w:cstheme="minorHAnsi"/>
        </w:rPr>
        <w:t>considered</w:t>
      </w:r>
      <w:r w:rsidRPr="00766886">
        <w:rPr>
          <w:rFonts w:cstheme="minorHAnsi"/>
        </w:rPr>
        <w:t xml:space="preserve"> that </w:t>
      </w:r>
      <w:r w:rsidRPr="00766886">
        <w:t xml:space="preserve">the </w:t>
      </w:r>
      <w:r w:rsidR="007B404C">
        <w:rPr>
          <w:snapToGrid w:val="0"/>
        </w:rPr>
        <w:t>maximum quantity and repeats should be consistent with the listing of the higher strengths as</w:t>
      </w:r>
      <w:r w:rsidRPr="00766886">
        <w:t xml:space="preserve"> a patient would</w:t>
      </w:r>
      <w:r w:rsidR="007B404C">
        <w:t xml:space="preserve"> likely</w:t>
      </w:r>
      <w:r w:rsidRPr="00766886">
        <w:t xml:space="preserve"> require treatment with</w:t>
      </w:r>
      <w:r w:rsidR="007B404C">
        <w:t xml:space="preserve"> the</w:t>
      </w:r>
      <w:r w:rsidRPr="00766886">
        <w:t xml:space="preserve"> lower strengths until the haematological toxicities resolve.</w:t>
      </w:r>
    </w:p>
    <w:p w14:paraId="6784EE3E" w14:textId="220D3D01" w:rsidR="00D7208E" w:rsidRPr="00D663F1" w:rsidRDefault="000A33F6" w:rsidP="005A0504">
      <w:pPr>
        <w:pStyle w:val="3Bodytext"/>
        <w:jc w:val="both"/>
      </w:pPr>
      <w:r w:rsidRPr="009639EE">
        <w:t>The PBAC noted that its recommendation was on a cost-minimisation basis an</w:t>
      </w:r>
      <w:r>
        <w:t xml:space="preserve">d advised that, because </w:t>
      </w:r>
      <w:r w:rsidR="00B86113">
        <w:t>pomalidomide</w:t>
      </w:r>
      <w:r>
        <w:t xml:space="preserve"> 1 mg and 2 mg are</w:t>
      </w:r>
      <w:r w:rsidR="00766886">
        <w:t xml:space="preserve"> not</w:t>
      </w:r>
      <w:r>
        <w:t xml:space="preserve"> </w:t>
      </w:r>
      <w:r w:rsidRPr="009843D2">
        <w:t>expected</w:t>
      </w:r>
      <w:r>
        <w:t xml:space="preserve"> to provide improvement in efficacy and reduction of toxicity over </w:t>
      </w:r>
      <w:r w:rsidR="00B86113">
        <w:t xml:space="preserve">pomalidomide </w:t>
      </w:r>
      <w:r>
        <w:t xml:space="preserve">2 mg and 3 mg, the criteria prescribed by the </w:t>
      </w:r>
      <w:r w:rsidRPr="00D121C5">
        <w:rPr>
          <w:rFonts w:cstheme="minorHAnsi"/>
          <w:i/>
          <w:lang w:val="en-GB"/>
        </w:rPr>
        <w:t>National Health (Pharmaceuticals and Vaccines – Cost Recovery) Regulations 20</w:t>
      </w:r>
      <w:r>
        <w:rPr>
          <w:rFonts w:cstheme="minorHAnsi"/>
          <w:i/>
          <w:lang w:val="en-GB"/>
        </w:rPr>
        <w:t>22</w:t>
      </w:r>
      <w:r w:rsidRPr="00D121C5">
        <w:rPr>
          <w:rFonts w:cstheme="minorHAnsi"/>
          <w:lang w:val="en-GB"/>
        </w:rPr>
        <w:t xml:space="preserve"> for Pricing Pathway A</w:t>
      </w:r>
      <w:r>
        <w:rPr>
          <w:rFonts w:cstheme="minorHAnsi"/>
          <w:lang w:val="en-GB"/>
        </w:rPr>
        <w:t xml:space="preserve"> were </w:t>
      </w:r>
      <w:r w:rsidR="00766886">
        <w:rPr>
          <w:rFonts w:cstheme="minorHAnsi"/>
          <w:lang w:val="en-GB"/>
        </w:rPr>
        <w:t xml:space="preserve">not </w:t>
      </w:r>
      <w:r>
        <w:rPr>
          <w:rFonts w:cstheme="minorHAnsi"/>
          <w:lang w:val="en-GB"/>
        </w:rPr>
        <w:t xml:space="preserve">met. </w:t>
      </w:r>
    </w:p>
    <w:p w14:paraId="530FE9DA" w14:textId="7CDEA36D" w:rsidR="00D663F1" w:rsidRPr="00766886" w:rsidRDefault="00D663F1" w:rsidP="00D663F1">
      <w:pPr>
        <w:widowControl w:val="0"/>
        <w:numPr>
          <w:ilvl w:val="1"/>
          <w:numId w:val="2"/>
        </w:numPr>
        <w:spacing w:after="120"/>
        <w:rPr>
          <w:rFonts w:asciiTheme="minorHAnsi" w:hAnsiTheme="minorHAnsi" w:cs="Arial"/>
          <w:b/>
          <w:bCs/>
          <w:snapToGrid w:val="0"/>
          <w:lang w:val="en-GB"/>
        </w:rPr>
      </w:pPr>
      <w:r w:rsidRPr="00525B39">
        <w:rPr>
          <w:rFonts w:asciiTheme="minorHAnsi" w:hAnsiTheme="minorHAnsi" w:cs="Arial"/>
          <w:bCs/>
          <w:snapToGrid w:val="0"/>
          <w:lang w:val="en-GB"/>
        </w:rPr>
        <w:t>The PBAC noted that this submission is not eligible for an Independent Review</w:t>
      </w:r>
      <w:r>
        <w:rPr>
          <w:rFonts w:asciiTheme="minorHAnsi" w:hAnsiTheme="minorHAnsi" w:cs="Arial"/>
          <w:bCs/>
          <w:snapToGrid w:val="0"/>
          <w:lang w:val="en-GB"/>
        </w:rPr>
        <w:t xml:space="preserve"> because it received a positive recommendation</w:t>
      </w:r>
      <w:r w:rsidRPr="00525B39">
        <w:rPr>
          <w:rFonts w:asciiTheme="minorHAnsi" w:hAnsiTheme="minorHAnsi" w:cs="Arial"/>
          <w:bCs/>
          <w:snapToGrid w:val="0"/>
          <w:lang w:val="en-GB"/>
        </w:rPr>
        <w:t>.</w:t>
      </w:r>
    </w:p>
    <w:p w14:paraId="711797B4" w14:textId="0EF1F271" w:rsidR="004D6CAC" w:rsidRDefault="00B86113" w:rsidP="005A0504">
      <w:pPr>
        <w:pStyle w:val="3Bodytext"/>
        <w:numPr>
          <w:ilvl w:val="0"/>
          <w:numId w:val="0"/>
        </w:numPr>
        <w:jc w:val="both"/>
      </w:pPr>
      <w:r w:rsidRPr="00171542">
        <w:rPr>
          <w:b/>
        </w:rPr>
        <w:t>Outcome:</w:t>
      </w:r>
      <w:r>
        <w:br/>
      </w:r>
      <w:r w:rsidRPr="00A67ABB">
        <w:t>Recommended</w:t>
      </w:r>
    </w:p>
    <w:p w14:paraId="048CC5F7" w14:textId="77777777" w:rsidR="00B86113" w:rsidRDefault="00B86113" w:rsidP="00B86113">
      <w:pPr>
        <w:pStyle w:val="Heading1"/>
        <w:keepLines/>
        <w:numPr>
          <w:ilvl w:val="0"/>
          <w:numId w:val="2"/>
        </w:numPr>
        <w:spacing w:before="240"/>
        <w:ind w:left="709" w:hanging="709"/>
        <w:rPr>
          <w:sz w:val="32"/>
          <w:szCs w:val="32"/>
        </w:rPr>
      </w:pPr>
      <w:r>
        <w:rPr>
          <w:sz w:val="32"/>
          <w:szCs w:val="32"/>
        </w:rPr>
        <w:t xml:space="preserve">Recommended listing </w:t>
      </w:r>
    </w:p>
    <w:p w14:paraId="7616FA99" w14:textId="0862B935" w:rsidR="00B86113" w:rsidRPr="00A941B6" w:rsidRDefault="00B86113" w:rsidP="005A0504">
      <w:pPr>
        <w:pStyle w:val="3Bodytext"/>
        <w:jc w:val="both"/>
        <w:rPr>
          <w:snapToGrid w:val="0"/>
        </w:rPr>
      </w:pPr>
      <w:r>
        <w:rPr>
          <w:snapToGrid w:val="0"/>
        </w:rPr>
        <w:t xml:space="preserve">Add </w:t>
      </w:r>
      <w:r>
        <w:t>new forms of pomalidomide for the treatment of multiple myeloma under the same conditions as the currently listed forms of pomalidomide</w:t>
      </w:r>
      <w:r w:rsidR="00F71D2F">
        <w:t>:</w:t>
      </w:r>
    </w:p>
    <w:p w14:paraId="27237ED6" w14:textId="065A9BCC" w:rsidR="00F71D2F" w:rsidRPr="00F71D2F" w:rsidRDefault="00F71D2F" w:rsidP="005A0504">
      <w:pPr>
        <w:pStyle w:val="3Bodytext"/>
        <w:numPr>
          <w:ilvl w:val="0"/>
          <w:numId w:val="0"/>
        </w:numPr>
        <w:ind w:left="720"/>
        <w:jc w:val="both"/>
        <w:rPr>
          <w:snapToGrid w:val="0"/>
        </w:rPr>
      </w:pPr>
      <w:r w:rsidRPr="00F71D2F">
        <w:rPr>
          <w:snapToGrid w:val="0"/>
        </w:rPr>
        <w:t>•</w:t>
      </w:r>
      <w:r w:rsidRPr="00F71D2F">
        <w:rPr>
          <w:snapToGrid w:val="0"/>
        </w:rPr>
        <w:tab/>
        <w:t>Pomalidomide 3</w:t>
      </w:r>
      <w:r w:rsidR="007A7493">
        <w:rPr>
          <w:snapToGrid w:val="0"/>
        </w:rPr>
        <w:t xml:space="preserve"> </w:t>
      </w:r>
      <w:r w:rsidRPr="00F71D2F">
        <w:rPr>
          <w:snapToGrid w:val="0"/>
        </w:rPr>
        <w:t>mg (21 capsules – PBS item codes 10406Q 10417G; 14 capsules - PBS item codes 12666P, 12668R)</w:t>
      </w:r>
    </w:p>
    <w:p w14:paraId="0C2DC1F0" w14:textId="17C592CA" w:rsidR="00F71D2F" w:rsidRPr="00B2229A" w:rsidRDefault="00F71D2F" w:rsidP="005A0504">
      <w:pPr>
        <w:pStyle w:val="3Bodytext"/>
        <w:numPr>
          <w:ilvl w:val="0"/>
          <w:numId w:val="0"/>
        </w:numPr>
        <w:ind w:left="720"/>
        <w:jc w:val="both"/>
        <w:rPr>
          <w:snapToGrid w:val="0"/>
        </w:rPr>
      </w:pPr>
      <w:r w:rsidRPr="00F71D2F">
        <w:rPr>
          <w:snapToGrid w:val="0"/>
        </w:rPr>
        <w:t>•</w:t>
      </w:r>
      <w:r w:rsidRPr="00F71D2F">
        <w:rPr>
          <w:snapToGrid w:val="0"/>
        </w:rPr>
        <w:tab/>
        <w:t>Pomalidomide 4 mg (21 capsules – PBS item codes 10386P, 10387Q; 14 capsules – PBS item codes 12661J, 12665N).</w:t>
      </w:r>
    </w:p>
    <w:p w14:paraId="04F11C06" w14:textId="1F25A69F" w:rsidR="00B2229A" w:rsidRPr="00B86113" w:rsidRDefault="00B2229A" w:rsidP="005A0504">
      <w:pPr>
        <w:pStyle w:val="3Bodytext"/>
        <w:jc w:val="both"/>
        <w:rPr>
          <w:snapToGrid w:val="0"/>
        </w:rPr>
      </w:pPr>
      <w:r>
        <w:t>Add new listing as follows:</w:t>
      </w:r>
    </w:p>
    <w:p w14:paraId="65991788" w14:textId="16DA6A38" w:rsidR="00B86113" w:rsidRPr="00B86113" w:rsidRDefault="00B2229A" w:rsidP="005A0504">
      <w:pPr>
        <w:pStyle w:val="3Bodytext"/>
        <w:numPr>
          <w:ilvl w:val="0"/>
          <w:numId w:val="39"/>
        </w:numPr>
        <w:jc w:val="both"/>
        <w:rPr>
          <w:snapToGrid w:val="0"/>
        </w:rPr>
      </w:pPr>
      <w:r>
        <w:t>S100 HSD Authority Required</w:t>
      </w:r>
      <w:r w:rsidR="00D663F1">
        <w:t xml:space="preserve"> (public/private)</w:t>
      </w:r>
      <w:r>
        <w:t xml:space="preserve"> </w:t>
      </w:r>
      <w:r w:rsidR="00B86113">
        <w:t>Pomolide™ 1 mg capsule</w:t>
      </w:r>
    </w:p>
    <w:p w14:paraId="3AFAC5D6" w14:textId="4D3D0BE0" w:rsidR="00D663F1" w:rsidRPr="00D663F1" w:rsidRDefault="00B2229A" w:rsidP="005A0504">
      <w:pPr>
        <w:pStyle w:val="3Bodytext"/>
        <w:numPr>
          <w:ilvl w:val="0"/>
          <w:numId w:val="39"/>
        </w:numPr>
        <w:jc w:val="both"/>
        <w:rPr>
          <w:snapToGrid w:val="0"/>
        </w:rPr>
      </w:pPr>
      <w:r>
        <w:t>S100 HSD Authority Required</w:t>
      </w:r>
      <w:r w:rsidR="00D663F1">
        <w:t xml:space="preserve"> (public/private)</w:t>
      </w:r>
      <w:r>
        <w:t xml:space="preserve"> </w:t>
      </w:r>
      <w:r w:rsidR="00B86113">
        <w:t>Pomolide™ 2 mg capsule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985"/>
        <w:gridCol w:w="1701"/>
        <w:gridCol w:w="614"/>
        <w:gridCol w:w="756"/>
        <w:gridCol w:w="756"/>
        <w:gridCol w:w="1933"/>
      </w:tblGrid>
      <w:tr w:rsidR="00D663F1" w:rsidRPr="001428E9" w14:paraId="5BDF9121" w14:textId="77777777" w:rsidTr="00E225BB">
        <w:trPr>
          <w:cantSplit/>
          <w:trHeight w:val="20"/>
        </w:trPr>
        <w:tc>
          <w:tcPr>
            <w:tcW w:w="3256" w:type="dxa"/>
            <w:gridSpan w:val="2"/>
            <w:vAlign w:val="center"/>
          </w:tcPr>
          <w:p w14:paraId="41846EDF" w14:textId="77777777" w:rsidR="00D663F1" w:rsidRPr="001428E9" w:rsidRDefault="00D663F1" w:rsidP="00E225BB">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109E2978" w14:textId="77777777" w:rsidR="00D663F1" w:rsidRPr="001428E9" w:rsidRDefault="00D663F1" w:rsidP="00E225BB">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701" w:type="dxa"/>
            <w:vAlign w:val="center"/>
          </w:tcPr>
          <w:p w14:paraId="1EA9ACE0" w14:textId="77777777" w:rsidR="00D663F1" w:rsidRPr="001428E9" w:rsidRDefault="00D663F1" w:rsidP="00E225BB">
            <w:pPr>
              <w:keepNext/>
              <w:keepLines/>
              <w:rPr>
                <w:rFonts w:ascii="Arial Narrow" w:hAnsi="Arial Narrow" w:cs="Arial"/>
                <w:b/>
                <w:sz w:val="20"/>
                <w:szCs w:val="20"/>
              </w:rPr>
            </w:pPr>
            <w:r w:rsidRPr="001428E9">
              <w:rPr>
                <w:rFonts w:ascii="Arial Narrow" w:hAnsi="Arial Narrow" w:cs="Arial"/>
                <w:b/>
                <w:sz w:val="20"/>
                <w:szCs w:val="20"/>
              </w:rPr>
              <w:t>PBS item code</w:t>
            </w:r>
          </w:p>
        </w:tc>
        <w:tc>
          <w:tcPr>
            <w:tcW w:w="614" w:type="dxa"/>
            <w:vAlign w:val="center"/>
          </w:tcPr>
          <w:p w14:paraId="6E59BD67" w14:textId="77777777" w:rsidR="00D663F1" w:rsidRPr="001428E9" w:rsidRDefault="00D663F1" w:rsidP="00E225BB">
            <w:pPr>
              <w:keepNext/>
              <w:keepLines/>
              <w:rPr>
                <w:rFonts w:ascii="Arial Narrow" w:hAnsi="Arial Narrow" w:cs="Arial"/>
                <w:b/>
                <w:sz w:val="20"/>
                <w:szCs w:val="20"/>
              </w:rPr>
            </w:pPr>
            <w:r w:rsidRPr="001428E9">
              <w:rPr>
                <w:rFonts w:ascii="Arial Narrow" w:hAnsi="Arial Narrow" w:cs="Arial"/>
                <w:b/>
                <w:sz w:val="20"/>
                <w:szCs w:val="20"/>
              </w:rPr>
              <w:t>Max. qty packs</w:t>
            </w:r>
          </w:p>
        </w:tc>
        <w:tc>
          <w:tcPr>
            <w:tcW w:w="756" w:type="dxa"/>
            <w:vAlign w:val="center"/>
          </w:tcPr>
          <w:p w14:paraId="03C402D2" w14:textId="77777777" w:rsidR="00D663F1" w:rsidRPr="001428E9" w:rsidRDefault="00D663F1" w:rsidP="00E225BB">
            <w:pPr>
              <w:keepNext/>
              <w:keepLines/>
              <w:rPr>
                <w:rFonts w:ascii="Arial Narrow" w:hAnsi="Arial Narrow" w:cs="Arial"/>
                <w:b/>
                <w:sz w:val="20"/>
                <w:szCs w:val="20"/>
              </w:rPr>
            </w:pPr>
            <w:r w:rsidRPr="001428E9">
              <w:rPr>
                <w:rFonts w:ascii="Arial Narrow" w:hAnsi="Arial Narrow" w:cs="Arial"/>
                <w:b/>
                <w:sz w:val="20"/>
                <w:szCs w:val="20"/>
              </w:rPr>
              <w:t>Max. qty units</w:t>
            </w:r>
          </w:p>
        </w:tc>
        <w:tc>
          <w:tcPr>
            <w:tcW w:w="756" w:type="dxa"/>
            <w:vAlign w:val="center"/>
          </w:tcPr>
          <w:p w14:paraId="11ACE312" w14:textId="77777777" w:rsidR="00D663F1" w:rsidRPr="001428E9" w:rsidRDefault="00D663F1" w:rsidP="00E225BB">
            <w:pPr>
              <w:keepNext/>
              <w:keepLines/>
              <w:rPr>
                <w:rFonts w:ascii="Arial Narrow" w:hAnsi="Arial Narrow" w:cs="Arial"/>
                <w:b/>
                <w:sz w:val="20"/>
                <w:szCs w:val="20"/>
              </w:rPr>
            </w:pPr>
            <w:r w:rsidRPr="001428E9">
              <w:rPr>
                <w:rFonts w:ascii="Arial Narrow" w:hAnsi="Arial Narrow" w:cs="Arial"/>
                <w:b/>
                <w:sz w:val="20"/>
                <w:szCs w:val="20"/>
              </w:rPr>
              <w:t>№.of</w:t>
            </w:r>
          </w:p>
          <w:p w14:paraId="308FE688" w14:textId="77777777" w:rsidR="00D663F1" w:rsidRPr="001428E9" w:rsidRDefault="00D663F1" w:rsidP="00E225BB">
            <w:pPr>
              <w:keepNext/>
              <w:keepLines/>
              <w:rPr>
                <w:rFonts w:ascii="Arial Narrow" w:hAnsi="Arial Narrow" w:cs="Arial"/>
                <w:b/>
                <w:sz w:val="20"/>
                <w:szCs w:val="20"/>
              </w:rPr>
            </w:pPr>
            <w:r w:rsidRPr="001428E9">
              <w:rPr>
                <w:rFonts w:ascii="Arial Narrow" w:hAnsi="Arial Narrow" w:cs="Arial"/>
                <w:b/>
                <w:sz w:val="20"/>
                <w:szCs w:val="20"/>
              </w:rPr>
              <w:t>Rpts</w:t>
            </w:r>
          </w:p>
        </w:tc>
        <w:tc>
          <w:tcPr>
            <w:tcW w:w="1933" w:type="dxa"/>
            <w:vAlign w:val="center"/>
          </w:tcPr>
          <w:p w14:paraId="1B8BC3B4" w14:textId="77777777" w:rsidR="00D663F1" w:rsidRPr="001428E9" w:rsidRDefault="00D663F1" w:rsidP="00E225BB">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D663F1" w:rsidRPr="001428E9" w14:paraId="73FF32D3" w14:textId="77777777" w:rsidTr="00E225BB">
        <w:trPr>
          <w:cantSplit/>
          <w:trHeight w:val="20"/>
        </w:trPr>
        <w:tc>
          <w:tcPr>
            <w:tcW w:w="9016" w:type="dxa"/>
            <w:gridSpan w:val="7"/>
            <w:shd w:val="clear" w:color="auto" w:fill="auto"/>
            <w:vAlign w:val="center"/>
          </w:tcPr>
          <w:p w14:paraId="2ACF766E" w14:textId="77777777" w:rsidR="00D663F1" w:rsidRPr="001937FE" w:rsidRDefault="00D663F1" w:rsidP="00E225BB">
            <w:pPr>
              <w:keepNext/>
              <w:keepLines/>
              <w:rPr>
                <w:rFonts w:ascii="Arial Narrow" w:hAnsi="Arial Narrow" w:cs="Arial"/>
                <w:sz w:val="20"/>
                <w:szCs w:val="20"/>
              </w:rPr>
            </w:pPr>
            <w:r w:rsidRPr="001937FE">
              <w:rPr>
                <w:rFonts w:ascii="Arial Narrow" w:hAnsi="Arial Narrow" w:cs="Arial"/>
                <w:sz w:val="20"/>
                <w:szCs w:val="20"/>
              </w:rPr>
              <w:t xml:space="preserve">POMALIDOMIDE </w:t>
            </w:r>
          </w:p>
        </w:tc>
      </w:tr>
      <w:tr w:rsidR="00D663F1" w:rsidRPr="001428E9" w14:paraId="52F62B21" w14:textId="77777777" w:rsidTr="00E225BB">
        <w:trPr>
          <w:cantSplit/>
          <w:trHeight w:val="20"/>
        </w:trPr>
        <w:tc>
          <w:tcPr>
            <w:tcW w:w="3256" w:type="dxa"/>
            <w:gridSpan w:val="2"/>
            <w:vMerge w:val="restart"/>
            <w:shd w:val="clear" w:color="auto" w:fill="auto"/>
            <w:vAlign w:val="center"/>
          </w:tcPr>
          <w:p w14:paraId="204DB2D4" w14:textId="77777777" w:rsidR="00D663F1" w:rsidRPr="004D6CAC" w:rsidRDefault="00D663F1" w:rsidP="00E225BB">
            <w:pPr>
              <w:keepNext/>
              <w:keepLines/>
              <w:jc w:val="left"/>
              <w:rPr>
                <w:rFonts w:ascii="Arial Narrow" w:hAnsi="Arial Narrow" w:cs="Arial"/>
                <w:sz w:val="20"/>
                <w:szCs w:val="20"/>
              </w:rPr>
            </w:pPr>
            <w:r w:rsidRPr="004D6CAC">
              <w:rPr>
                <w:rFonts w:ascii="Arial Narrow" w:hAnsi="Arial Narrow" w:cs="Arial"/>
                <w:sz w:val="20"/>
                <w:szCs w:val="20"/>
              </w:rPr>
              <w:t>pomalidomide 1 mg capsule, 14</w:t>
            </w:r>
          </w:p>
        </w:tc>
        <w:tc>
          <w:tcPr>
            <w:tcW w:w="1701" w:type="dxa"/>
            <w:shd w:val="clear" w:color="auto" w:fill="auto"/>
            <w:vAlign w:val="center"/>
          </w:tcPr>
          <w:p w14:paraId="5FD23153" w14:textId="77777777"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(HSD Public) </w:t>
            </w:r>
          </w:p>
        </w:tc>
        <w:tc>
          <w:tcPr>
            <w:tcW w:w="614" w:type="dxa"/>
            <w:vMerge w:val="restart"/>
            <w:shd w:val="clear" w:color="auto" w:fill="auto"/>
            <w:vAlign w:val="center"/>
          </w:tcPr>
          <w:p w14:paraId="1DBB33D7"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1</w:t>
            </w:r>
          </w:p>
        </w:tc>
        <w:tc>
          <w:tcPr>
            <w:tcW w:w="756" w:type="dxa"/>
            <w:vMerge w:val="restart"/>
            <w:shd w:val="clear" w:color="auto" w:fill="auto"/>
            <w:vAlign w:val="center"/>
          </w:tcPr>
          <w:p w14:paraId="31C08E28"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14</w:t>
            </w:r>
          </w:p>
        </w:tc>
        <w:tc>
          <w:tcPr>
            <w:tcW w:w="756" w:type="dxa"/>
            <w:vMerge w:val="restart"/>
            <w:shd w:val="clear" w:color="auto" w:fill="auto"/>
            <w:vAlign w:val="center"/>
          </w:tcPr>
          <w:p w14:paraId="431A6035"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2</w:t>
            </w:r>
          </w:p>
        </w:tc>
        <w:tc>
          <w:tcPr>
            <w:tcW w:w="1933" w:type="dxa"/>
            <w:vMerge w:val="restart"/>
            <w:shd w:val="clear" w:color="auto" w:fill="auto"/>
            <w:vAlign w:val="center"/>
          </w:tcPr>
          <w:p w14:paraId="65E9BCA0" w14:textId="77777777" w:rsidR="00D663F1" w:rsidRPr="00B33122" w:rsidRDefault="00D663F1" w:rsidP="00E225BB">
            <w:pPr>
              <w:keepNext/>
              <w:keepLines/>
              <w:rPr>
                <w:rFonts w:ascii="Arial Narrow" w:hAnsi="Arial Narrow" w:cs="Arial"/>
                <w:sz w:val="20"/>
                <w:szCs w:val="20"/>
              </w:rPr>
            </w:pPr>
            <w:r w:rsidRPr="00B33122">
              <w:rPr>
                <w:rFonts w:ascii="Arial Narrow" w:hAnsi="Arial Narrow" w:cs="Arial"/>
                <w:sz w:val="20"/>
                <w:szCs w:val="20"/>
              </w:rPr>
              <w:t>Pomolide</w:t>
            </w:r>
          </w:p>
        </w:tc>
      </w:tr>
      <w:tr w:rsidR="00D663F1" w:rsidRPr="001428E9" w14:paraId="569DAB5C" w14:textId="77777777" w:rsidTr="00E225BB">
        <w:trPr>
          <w:cantSplit/>
          <w:trHeight w:val="20"/>
        </w:trPr>
        <w:tc>
          <w:tcPr>
            <w:tcW w:w="3256" w:type="dxa"/>
            <w:gridSpan w:val="2"/>
            <w:vMerge/>
            <w:shd w:val="clear" w:color="auto" w:fill="auto"/>
            <w:vAlign w:val="center"/>
          </w:tcPr>
          <w:p w14:paraId="48E16522" w14:textId="77777777" w:rsidR="00D663F1" w:rsidRPr="004D6CAC" w:rsidDel="001937FE" w:rsidRDefault="00D663F1" w:rsidP="00E225BB">
            <w:pPr>
              <w:keepNext/>
              <w:keepLines/>
              <w:jc w:val="left"/>
              <w:rPr>
                <w:rFonts w:ascii="Arial Narrow" w:hAnsi="Arial Narrow" w:cs="Arial"/>
                <w:sz w:val="20"/>
                <w:szCs w:val="20"/>
              </w:rPr>
            </w:pPr>
          </w:p>
        </w:tc>
        <w:tc>
          <w:tcPr>
            <w:tcW w:w="1701" w:type="dxa"/>
            <w:shd w:val="clear" w:color="auto" w:fill="auto"/>
            <w:vAlign w:val="center"/>
          </w:tcPr>
          <w:p w14:paraId="09F1A285" w14:textId="77777777"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NEW (HSD Private)</w:t>
            </w:r>
          </w:p>
        </w:tc>
        <w:tc>
          <w:tcPr>
            <w:tcW w:w="614" w:type="dxa"/>
            <w:vMerge/>
            <w:shd w:val="clear" w:color="auto" w:fill="auto"/>
            <w:vAlign w:val="center"/>
          </w:tcPr>
          <w:p w14:paraId="15F481A4" w14:textId="77777777" w:rsidR="00D663F1" w:rsidRPr="00B33122"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601E2254" w14:textId="77777777" w:rsidR="00D663F1" w:rsidRPr="00B33122"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7F17E1BB" w14:textId="77777777" w:rsidR="00D663F1" w:rsidRPr="00B33122" w:rsidRDefault="00D663F1" w:rsidP="00E225BB">
            <w:pPr>
              <w:keepNext/>
              <w:keepLines/>
              <w:jc w:val="center"/>
              <w:rPr>
                <w:rFonts w:ascii="Arial Narrow" w:hAnsi="Arial Narrow" w:cs="Arial"/>
                <w:sz w:val="20"/>
                <w:szCs w:val="20"/>
              </w:rPr>
            </w:pPr>
          </w:p>
        </w:tc>
        <w:tc>
          <w:tcPr>
            <w:tcW w:w="1933" w:type="dxa"/>
            <w:vMerge/>
            <w:shd w:val="clear" w:color="auto" w:fill="auto"/>
            <w:vAlign w:val="center"/>
          </w:tcPr>
          <w:p w14:paraId="523BAE61" w14:textId="77777777" w:rsidR="00D663F1" w:rsidRPr="00AF0F00" w:rsidRDefault="00D663F1" w:rsidP="00E225BB">
            <w:pPr>
              <w:keepNext/>
              <w:keepLines/>
              <w:rPr>
                <w:rFonts w:ascii="Arial Narrow" w:hAnsi="Arial Narrow" w:cstheme="minorHAnsi"/>
                <w:sz w:val="20"/>
                <w:szCs w:val="20"/>
              </w:rPr>
            </w:pPr>
          </w:p>
        </w:tc>
      </w:tr>
      <w:tr w:rsidR="00D663F1" w:rsidRPr="001428E9" w14:paraId="66AC90A7" w14:textId="77777777" w:rsidTr="00E225BB">
        <w:trPr>
          <w:cantSplit/>
          <w:trHeight w:val="20"/>
        </w:trPr>
        <w:tc>
          <w:tcPr>
            <w:tcW w:w="3256" w:type="dxa"/>
            <w:gridSpan w:val="2"/>
            <w:vMerge w:val="restart"/>
            <w:shd w:val="clear" w:color="auto" w:fill="auto"/>
            <w:vAlign w:val="center"/>
          </w:tcPr>
          <w:p w14:paraId="79C3C661" w14:textId="77777777" w:rsidR="00D663F1" w:rsidRPr="004D6CAC" w:rsidDel="001937FE" w:rsidRDefault="00D663F1" w:rsidP="00E225BB">
            <w:pPr>
              <w:keepNext/>
              <w:keepLines/>
              <w:jc w:val="left"/>
              <w:rPr>
                <w:rFonts w:ascii="Arial Narrow" w:hAnsi="Arial Narrow" w:cs="Arial"/>
                <w:sz w:val="20"/>
                <w:szCs w:val="20"/>
              </w:rPr>
            </w:pPr>
            <w:r w:rsidRPr="004D6CAC">
              <w:rPr>
                <w:rFonts w:ascii="Arial Narrow" w:hAnsi="Arial Narrow" w:cs="Arial"/>
                <w:sz w:val="20"/>
                <w:szCs w:val="20"/>
              </w:rPr>
              <w:t>pomalidomide 1 mg capsule, 21</w:t>
            </w:r>
          </w:p>
        </w:tc>
        <w:tc>
          <w:tcPr>
            <w:tcW w:w="1701" w:type="dxa"/>
            <w:shd w:val="clear" w:color="auto" w:fill="auto"/>
            <w:vAlign w:val="center"/>
          </w:tcPr>
          <w:p w14:paraId="669E6EE6" w14:textId="22E9E858"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w:t>
            </w:r>
            <w:r w:rsidR="00F34EFE" w:rsidRPr="004D6CAC">
              <w:rPr>
                <w:rFonts w:ascii="Arial Narrow" w:hAnsi="Arial Narrow" w:cs="Arial"/>
                <w:sz w:val="20"/>
                <w:szCs w:val="20"/>
              </w:rPr>
              <w:t>(HSD Public)</w:t>
            </w:r>
          </w:p>
        </w:tc>
        <w:tc>
          <w:tcPr>
            <w:tcW w:w="614" w:type="dxa"/>
            <w:vMerge w:val="restart"/>
            <w:shd w:val="clear" w:color="auto" w:fill="auto"/>
            <w:vAlign w:val="center"/>
          </w:tcPr>
          <w:p w14:paraId="67114A8A"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1</w:t>
            </w:r>
          </w:p>
        </w:tc>
        <w:tc>
          <w:tcPr>
            <w:tcW w:w="756" w:type="dxa"/>
            <w:vMerge w:val="restart"/>
            <w:shd w:val="clear" w:color="auto" w:fill="auto"/>
            <w:vAlign w:val="center"/>
          </w:tcPr>
          <w:p w14:paraId="1D6579EF"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21</w:t>
            </w:r>
          </w:p>
        </w:tc>
        <w:tc>
          <w:tcPr>
            <w:tcW w:w="756" w:type="dxa"/>
            <w:vMerge w:val="restart"/>
            <w:shd w:val="clear" w:color="auto" w:fill="auto"/>
            <w:vAlign w:val="center"/>
          </w:tcPr>
          <w:p w14:paraId="59038B95"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0</w:t>
            </w:r>
          </w:p>
        </w:tc>
        <w:tc>
          <w:tcPr>
            <w:tcW w:w="1933" w:type="dxa"/>
            <w:vMerge/>
            <w:shd w:val="clear" w:color="auto" w:fill="auto"/>
            <w:vAlign w:val="center"/>
          </w:tcPr>
          <w:p w14:paraId="780EB116" w14:textId="77777777" w:rsidR="00D663F1" w:rsidRPr="00AF0F00" w:rsidRDefault="00D663F1" w:rsidP="00E225BB">
            <w:pPr>
              <w:keepNext/>
              <w:keepLines/>
              <w:rPr>
                <w:rFonts w:ascii="Arial Narrow" w:hAnsi="Arial Narrow" w:cstheme="minorHAnsi"/>
                <w:sz w:val="20"/>
                <w:szCs w:val="20"/>
              </w:rPr>
            </w:pPr>
          </w:p>
        </w:tc>
      </w:tr>
      <w:tr w:rsidR="00D663F1" w:rsidRPr="001428E9" w14:paraId="3278EB6E" w14:textId="77777777" w:rsidTr="00E225BB">
        <w:trPr>
          <w:cantSplit/>
          <w:trHeight w:val="20"/>
        </w:trPr>
        <w:tc>
          <w:tcPr>
            <w:tcW w:w="3256" w:type="dxa"/>
            <w:gridSpan w:val="2"/>
            <w:vMerge/>
            <w:shd w:val="clear" w:color="auto" w:fill="auto"/>
            <w:vAlign w:val="center"/>
          </w:tcPr>
          <w:p w14:paraId="053633A8" w14:textId="77777777" w:rsidR="00D663F1" w:rsidRPr="004D6CAC" w:rsidDel="001937FE" w:rsidRDefault="00D663F1" w:rsidP="00E225BB">
            <w:pPr>
              <w:keepNext/>
              <w:keepLines/>
              <w:jc w:val="left"/>
              <w:rPr>
                <w:rFonts w:ascii="Arial Narrow" w:hAnsi="Arial Narrow" w:cs="Arial"/>
                <w:sz w:val="20"/>
                <w:szCs w:val="20"/>
              </w:rPr>
            </w:pPr>
          </w:p>
        </w:tc>
        <w:tc>
          <w:tcPr>
            <w:tcW w:w="1701" w:type="dxa"/>
            <w:shd w:val="clear" w:color="auto" w:fill="auto"/>
            <w:vAlign w:val="center"/>
          </w:tcPr>
          <w:p w14:paraId="0B687778" w14:textId="028335A4"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w:t>
            </w:r>
            <w:r w:rsidR="00F34EFE" w:rsidRPr="004D6CAC">
              <w:rPr>
                <w:rFonts w:ascii="Arial Narrow" w:hAnsi="Arial Narrow" w:cs="Arial"/>
                <w:sz w:val="20"/>
                <w:szCs w:val="20"/>
              </w:rPr>
              <w:t>(HSD Private)</w:t>
            </w:r>
          </w:p>
        </w:tc>
        <w:tc>
          <w:tcPr>
            <w:tcW w:w="614" w:type="dxa"/>
            <w:vMerge/>
            <w:shd w:val="clear" w:color="auto" w:fill="auto"/>
            <w:vAlign w:val="center"/>
          </w:tcPr>
          <w:p w14:paraId="41BBFC5A" w14:textId="77777777" w:rsidR="00D663F1" w:rsidRPr="00B33122"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63CCE6A7" w14:textId="77777777" w:rsidR="00D663F1" w:rsidRPr="00B33122"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46B98C54" w14:textId="77777777" w:rsidR="00D663F1" w:rsidRPr="00B33122" w:rsidRDefault="00D663F1" w:rsidP="00E225BB">
            <w:pPr>
              <w:keepNext/>
              <w:keepLines/>
              <w:jc w:val="center"/>
              <w:rPr>
                <w:rFonts w:ascii="Arial Narrow" w:hAnsi="Arial Narrow" w:cs="Arial"/>
                <w:sz w:val="20"/>
                <w:szCs w:val="20"/>
              </w:rPr>
            </w:pPr>
          </w:p>
        </w:tc>
        <w:tc>
          <w:tcPr>
            <w:tcW w:w="1933" w:type="dxa"/>
            <w:vMerge/>
            <w:shd w:val="clear" w:color="auto" w:fill="auto"/>
            <w:vAlign w:val="center"/>
          </w:tcPr>
          <w:p w14:paraId="57494F6D" w14:textId="77777777" w:rsidR="00D663F1" w:rsidRPr="00AF0F00" w:rsidRDefault="00D663F1" w:rsidP="00E225BB">
            <w:pPr>
              <w:keepNext/>
              <w:keepLines/>
              <w:rPr>
                <w:rFonts w:ascii="Arial Narrow" w:hAnsi="Arial Narrow" w:cstheme="minorHAnsi"/>
                <w:sz w:val="20"/>
                <w:szCs w:val="20"/>
              </w:rPr>
            </w:pPr>
          </w:p>
        </w:tc>
      </w:tr>
      <w:tr w:rsidR="00D663F1" w:rsidRPr="001428E9" w14:paraId="23145F5E" w14:textId="77777777" w:rsidTr="00E225BB">
        <w:trPr>
          <w:cantSplit/>
          <w:trHeight w:val="20"/>
        </w:trPr>
        <w:tc>
          <w:tcPr>
            <w:tcW w:w="3256" w:type="dxa"/>
            <w:gridSpan w:val="2"/>
            <w:vMerge w:val="restart"/>
            <w:shd w:val="clear" w:color="auto" w:fill="auto"/>
            <w:vAlign w:val="center"/>
          </w:tcPr>
          <w:p w14:paraId="63ECA4D7" w14:textId="77777777" w:rsidR="00D663F1" w:rsidRPr="004D6CAC" w:rsidRDefault="00D663F1" w:rsidP="00E225BB">
            <w:pPr>
              <w:keepNext/>
              <w:keepLines/>
              <w:jc w:val="left"/>
              <w:rPr>
                <w:rFonts w:ascii="Arial Narrow" w:hAnsi="Arial Narrow" w:cs="Arial"/>
                <w:sz w:val="20"/>
                <w:szCs w:val="20"/>
              </w:rPr>
            </w:pPr>
            <w:r w:rsidRPr="004D6CAC">
              <w:rPr>
                <w:rFonts w:ascii="Arial Narrow" w:hAnsi="Arial Narrow" w:cs="Arial"/>
                <w:sz w:val="20"/>
                <w:szCs w:val="20"/>
              </w:rPr>
              <w:t>pomalidomide 2 mg capsule, 14</w:t>
            </w:r>
          </w:p>
        </w:tc>
        <w:tc>
          <w:tcPr>
            <w:tcW w:w="1701" w:type="dxa"/>
            <w:shd w:val="clear" w:color="auto" w:fill="auto"/>
            <w:vAlign w:val="center"/>
          </w:tcPr>
          <w:p w14:paraId="087CA9B2" w14:textId="7EAD747E"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w:t>
            </w:r>
            <w:r w:rsidR="00F34EFE" w:rsidRPr="004D6CAC">
              <w:rPr>
                <w:rFonts w:ascii="Arial Narrow" w:hAnsi="Arial Narrow" w:cs="Arial"/>
                <w:sz w:val="20"/>
                <w:szCs w:val="20"/>
              </w:rPr>
              <w:t>(HSD Public)</w:t>
            </w:r>
          </w:p>
        </w:tc>
        <w:tc>
          <w:tcPr>
            <w:tcW w:w="614" w:type="dxa"/>
            <w:vMerge w:val="restart"/>
            <w:shd w:val="clear" w:color="auto" w:fill="auto"/>
            <w:vAlign w:val="center"/>
          </w:tcPr>
          <w:p w14:paraId="3186C01F"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1</w:t>
            </w:r>
          </w:p>
        </w:tc>
        <w:tc>
          <w:tcPr>
            <w:tcW w:w="756" w:type="dxa"/>
            <w:vMerge w:val="restart"/>
            <w:shd w:val="clear" w:color="auto" w:fill="auto"/>
            <w:vAlign w:val="center"/>
          </w:tcPr>
          <w:p w14:paraId="1985306B"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14</w:t>
            </w:r>
          </w:p>
        </w:tc>
        <w:tc>
          <w:tcPr>
            <w:tcW w:w="756" w:type="dxa"/>
            <w:vMerge w:val="restart"/>
            <w:shd w:val="clear" w:color="auto" w:fill="auto"/>
            <w:vAlign w:val="center"/>
          </w:tcPr>
          <w:p w14:paraId="259F3378"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2</w:t>
            </w:r>
          </w:p>
        </w:tc>
        <w:tc>
          <w:tcPr>
            <w:tcW w:w="1933" w:type="dxa"/>
            <w:vMerge/>
            <w:shd w:val="clear" w:color="auto" w:fill="auto"/>
            <w:vAlign w:val="center"/>
          </w:tcPr>
          <w:p w14:paraId="678637B7" w14:textId="77777777" w:rsidR="00D663F1" w:rsidRPr="00AF0F00" w:rsidRDefault="00D663F1" w:rsidP="00E225BB">
            <w:pPr>
              <w:keepNext/>
              <w:keepLines/>
              <w:rPr>
                <w:rFonts w:ascii="Arial Narrow" w:hAnsi="Arial Narrow" w:cs="Arial"/>
                <w:sz w:val="20"/>
                <w:szCs w:val="20"/>
              </w:rPr>
            </w:pPr>
          </w:p>
        </w:tc>
      </w:tr>
      <w:tr w:rsidR="00D663F1" w:rsidRPr="001428E9" w14:paraId="594FB54C" w14:textId="77777777" w:rsidTr="00E225BB">
        <w:trPr>
          <w:cantSplit/>
          <w:trHeight w:val="20"/>
        </w:trPr>
        <w:tc>
          <w:tcPr>
            <w:tcW w:w="3256" w:type="dxa"/>
            <w:gridSpan w:val="2"/>
            <w:vMerge/>
            <w:shd w:val="clear" w:color="auto" w:fill="auto"/>
            <w:vAlign w:val="center"/>
          </w:tcPr>
          <w:p w14:paraId="5F9B649A" w14:textId="77777777" w:rsidR="00D663F1" w:rsidRPr="004D6CAC" w:rsidRDefault="00D663F1" w:rsidP="00E225BB">
            <w:pPr>
              <w:keepNext/>
              <w:keepLines/>
              <w:jc w:val="left"/>
              <w:rPr>
                <w:rFonts w:ascii="Arial Narrow" w:hAnsi="Arial Narrow" w:cs="Arial"/>
                <w:sz w:val="20"/>
                <w:szCs w:val="20"/>
              </w:rPr>
            </w:pPr>
          </w:p>
        </w:tc>
        <w:tc>
          <w:tcPr>
            <w:tcW w:w="1701" w:type="dxa"/>
            <w:shd w:val="clear" w:color="auto" w:fill="auto"/>
            <w:vAlign w:val="center"/>
          </w:tcPr>
          <w:p w14:paraId="676F3E69" w14:textId="5F5B1483"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w:t>
            </w:r>
            <w:r w:rsidR="00F34EFE" w:rsidRPr="004D6CAC">
              <w:rPr>
                <w:rFonts w:ascii="Arial Narrow" w:hAnsi="Arial Narrow" w:cs="Arial"/>
                <w:sz w:val="20"/>
                <w:szCs w:val="20"/>
              </w:rPr>
              <w:t>(HSD Private)</w:t>
            </w:r>
          </w:p>
        </w:tc>
        <w:tc>
          <w:tcPr>
            <w:tcW w:w="614" w:type="dxa"/>
            <w:vMerge/>
            <w:shd w:val="clear" w:color="auto" w:fill="auto"/>
            <w:vAlign w:val="center"/>
          </w:tcPr>
          <w:p w14:paraId="31BA3383" w14:textId="77777777" w:rsidR="00D663F1" w:rsidRPr="00B33122"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4F56FB9C" w14:textId="77777777" w:rsidR="00D663F1" w:rsidRPr="00B33122"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56FF7366" w14:textId="77777777" w:rsidR="00D663F1" w:rsidRPr="00B33122" w:rsidRDefault="00D663F1" w:rsidP="00E225BB">
            <w:pPr>
              <w:keepNext/>
              <w:keepLines/>
              <w:jc w:val="center"/>
              <w:rPr>
                <w:rFonts w:ascii="Arial Narrow" w:hAnsi="Arial Narrow" w:cs="Arial"/>
                <w:sz w:val="20"/>
                <w:szCs w:val="20"/>
              </w:rPr>
            </w:pPr>
          </w:p>
        </w:tc>
        <w:tc>
          <w:tcPr>
            <w:tcW w:w="1933" w:type="dxa"/>
            <w:vMerge/>
            <w:shd w:val="clear" w:color="auto" w:fill="auto"/>
            <w:vAlign w:val="center"/>
          </w:tcPr>
          <w:p w14:paraId="20FB0731" w14:textId="77777777" w:rsidR="00D663F1" w:rsidRPr="00AF0F00" w:rsidRDefault="00D663F1" w:rsidP="00E225BB">
            <w:pPr>
              <w:keepNext/>
              <w:keepLines/>
              <w:rPr>
                <w:rFonts w:ascii="Arial Narrow" w:hAnsi="Arial Narrow" w:cs="Arial"/>
                <w:sz w:val="20"/>
                <w:szCs w:val="20"/>
              </w:rPr>
            </w:pPr>
          </w:p>
        </w:tc>
      </w:tr>
      <w:tr w:rsidR="00D663F1" w:rsidRPr="001428E9" w14:paraId="22B11066" w14:textId="77777777" w:rsidTr="00E225BB">
        <w:trPr>
          <w:cantSplit/>
          <w:trHeight w:val="20"/>
        </w:trPr>
        <w:tc>
          <w:tcPr>
            <w:tcW w:w="3256" w:type="dxa"/>
            <w:gridSpan w:val="2"/>
            <w:vMerge w:val="restart"/>
            <w:shd w:val="clear" w:color="auto" w:fill="auto"/>
            <w:vAlign w:val="center"/>
          </w:tcPr>
          <w:p w14:paraId="61EAFDEC" w14:textId="77777777" w:rsidR="00D663F1" w:rsidRPr="004D6CAC" w:rsidRDefault="00D663F1" w:rsidP="00E225BB">
            <w:pPr>
              <w:keepNext/>
              <w:keepLines/>
              <w:jc w:val="left"/>
              <w:rPr>
                <w:rFonts w:ascii="Arial Narrow" w:hAnsi="Arial Narrow" w:cs="Arial"/>
                <w:sz w:val="20"/>
                <w:szCs w:val="20"/>
              </w:rPr>
            </w:pPr>
            <w:r w:rsidRPr="004D6CAC">
              <w:rPr>
                <w:rFonts w:ascii="Arial Narrow" w:hAnsi="Arial Narrow" w:cs="Arial"/>
                <w:sz w:val="20"/>
                <w:szCs w:val="20"/>
              </w:rPr>
              <w:t>pomalidomide 2 mg capsule, 21</w:t>
            </w:r>
          </w:p>
        </w:tc>
        <w:tc>
          <w:tcPr>
            <w:tcW w:w="1701" w:type="dxa"/>
            <w:shd w:val="clear" w:color="auto" w:fill="auto"/>
            <w:vAlign w:val="center"/>
          </w:tcPr>
          <w:p w14:paraId="0F1C345C" w14:textId="442ED768"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w:t>
            </w:r>
            <w:r w:rsidR="00F34EFE" w:rsidRPr="004D6CAC">
              <w:rPr>
                <w:rFonts w:ascii="Arial Narrow" w:hAnsi="Arial Narrow" w:cs="Arial"/>
                <w:sz w:val="20"/>
                <w:szCs w:val="20"/>
              </w:rPr>
              <w:t>(HSD Public)</w:t>
            </w:r>
          </w:p>
        </w:tc>
        <w:tc>
          <w:tcPr>
            <w:tcW w:w="614" w:type="dxa"/>
            <w:vMerge w:val="restart"/>
            <w:shd w:val="clear" w:color="auto" w:fill="auto"/>
            <w:vAlign w:val="center"/>
          </w:tcPr>
          <w:p w14:paraId="481156EF"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1</w:t>
            </w:r>
          </w:p>
        </w:tc>
        <w:tc>
          <w:tcPr>
            <w:tcW w:w="756" w:type="dxa"/>
            <w:vMerge w:val="restart"/>
            <w:shd w:val="clear" w:color="auto" w:fill="auto"/>
            <w:vAlign w:val="center"/>
          </w:tcPr>
          <w:p w14:paraId="5C40DA6D"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21</w:t>
            </w:r>
          </w:p>
        </w:tc>
        <w:tc>
          <w:tcPr>
            <w:tcW w:w="756" w:type="dxa"/>
            <w:vMerge w:val="restart"/>
            <w:shd w:val="clear" w:color="auto" w:fill="auto"/>
            <w:vAlign w:val="center"/>
          </w:tcPr>
          <w:p w14:paraId="3F086C00" w14:textId="77777777" w:rsidR="00D663F1" w:rsidRPr="00B33122" w:rsidRDefault="00D663F1" w:rsidP="00E225BB">
            <w:pPr>
              <w:keepNext/>
              <w:keepLines/>
              <w:jc w:val="center"/>
              <w:rPr>
                <w:rFonts w:ascii="Arial Narrow" w:hAnsi="Arial Narrow" w:cs="Arial"/>
                <w:sz w:val="20"/>
                <w:szCs w:val="20"/>
              </w:rPr>
            </w:pPr>
            <w:r w:rsidRPr="00B33122">
              <w:rPr>
                <w:rFonts w:ascii="Arial Narrow" w:hAnsi="Arial Narrow" w:cs="Arial"/>
                <w:sz w:val="20"/>
                <w:szCs w:val="20"/>
              </w:rPr>
              <w:t>0</w:t>
            </w:r>
          </w:p>
        </w:tc>
        <w:tc>
          <w:tcPr>
            <w:tcW w:w="1933" w:type="dxa"/>
            <w:vMerge/>
            <w:shd w:val="clear" w:color="auto" w:fill="auto"/>
            <w:vAlign w:val="center"/>
          </w:tcPr>
          <w:p w14:paraId="41242520" w14:textId="77777777" w:rsidR="00D663F1" w:rsidRPr="00AF0F00" w:rsidRDefault="00D663F1" w:rsidP="00E225BB">
            <w:pPr>
              <w:keepNext/>
              <w:keepLines/>
              <w:rPr>
                <w:rFonts w:ascii="Arial Narrow" w:hAnsi="Arial Narrow" w:cs="Arial"/>
                <w:sz w:val="20"/>
                <w:szCs w:val="20"/>
              </w:rPr>
            </w:pPr>
          </w:p>
        </w:tc>
      </w:tr>
      <w:tr w:rsidR="00D663F1" w:rsidRPr="001428E9" w14:paraId="216103D5" w14:textId="77777777" w:rsidTr="00E225BB">
        <w:trPr>
          <w:cantSplit/>
          <w:trHeight w:val="20"/>
        </w:trPr>
        <w:tc>
          <w:tcPr>
            <w:tcW w:w="3256" w:type="dxa"/>
            <w:gridSpan w:val="2"/>
            <w:vMerge/>
            <w:shd w:val="clear" w:color="auto" w:fill="auto"/>
            <w:vAlign w:val="center"/>
          </w:tcPr>
          <w:p w14:paraId="7DCECF60" w14:textId="77777777" w:rsidR="00D663F1" w:rsidRPr="004D6CAC" w:rsidRDefault="00D663F1" w:rsidP="00E225BB">
            <w:pPr>
              <w:keepNext/>
              <w:keepLines/>
              <w:jc w:val="left"/>
              <w:rPr>
                <w:rFonts w:ascii="Arial Narrow" w:hAnsi="Arial Narrow" w:cs="Arial"/>
                <w:sz w:val="20"/>
                <w:szCs w:val="20"/>
              </w:rPr>
            </w:pPr>
          </w:p>
        </w:tc>
        <w:tc>
          <w:tcPr>
            <w:tcW w:w="1701" w:type="dxa"/>
            <w:shd w:val="clear" w:color="auto" w:fill="auto"/>
            <w:vAlign w:val="center"/>
          </w:tcPr>
          <w:p w14:paraId="01F68A2B" w14:textId="540A873F" w:rsidR="00D663F1" w:rsidRPr="004D6CAC" w:rsidRDefault="00D663F1" w:rsidP="00E225BB">
            <w:pPr>
              <w:keepNext/>
              <w:keepLines/>
              <w:rPr>
                <w:rFonts w:ascii="Arial Narrow" w:hAnsi="Arial Narrow" w:cs="Arial"/>
                <w:sz w:val="20"/>
                <w:szCs w:val="20"/>
              </w:rPr>
            </w:pPr>
            <w:r w:rsidRPr="004D6CAC">
              <w:rPr>
                <w:rFonts w:ascii="Arial Narrow" w:hAnsi="Arial Narrow" w:cs="Arial"/>
                <w:sz w:val="20"/>
                <w:szCs w:val="20"/>
              </w:rPr>
              <w:t xml:space="preserve">NEW </w:t>
            </w:r>
            <w:r w:rsidR="00F34EFE" w:rsidRPr="004D6CAC">
              <w:rPr>
                <w:rFonts w:ascii="Arial Narrow" w:hAnsi="Arial Narrow" w:cs="Arial"/>
                <w:sz w:val="20"/>
                <w:szCs w:val="20"/>
              </w:rPr>
              <w:t>(HSD Private)</w:t>
            </w:r>
          </w:p>
        </w:tc>
        <w:tc>
          <w:tcPr>
            <w:tcW w:w="614" w:type="dxa"/>
            <w:vMerge/>
            <w:shd w:val="clear" w:color="auto" w:fill="auto"/>
            <w:vAlign w:val="center"/>
          </w:tcPr>
          <w:p w14:paraId="6A1F437F" w14:textId="77777777" w:rsidR="00D663F1" w:rsidRPr="001937FE"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4C6D61F7" w14:textId="77777777" w:rsidR="00D663F1" w:rsidRPr="001937FE" w:rsidRDefault="00D663F1" w:rsidP="00E225BB">
            <w:pPr>
              <w:keepNext/>
              <w:keepLines/>
              <w:jc w:val="center"/>
              <w:rPr>
                <w:rFonts w:ascii="Arial Narrow" w:hAnsi="Arial Narrow" w:cs="Arial"/>
                <w:sz w:val="20"/>
                <w:szCs w:val="20"/>
              </w:rPr>
            </w:pPr>
          </w:p>
        </w:tc>
        <w:tc>
          <w:tcPr>
            <w:tcW w:w="756" w:type="dxa"/>
            <w:vMerge/>
            <w:shd w:val="clear" w:color="auto" w:fill="auto"/>
            <w:vAlign w:val="center"/>
          </w:tcPr>
          <w:p w14:paraId="1B5410C2" w14:textId="77777777" w:rsidR="00D663F1" w:rsidRPr="001937FE" w:rsidRDefault="00D663F1" w:rsidP="00E225BB">
            <w:pPr>
              <w:keepNext/>
              <w:keepLines/>
              <w:jc w:val="center"/>
              <w:rPr>
                <w:rFonts w:ascii="Arial Narrow" w:hAnsi="Arial Narrow" w:cs="Arial"/>
                <w:sz w:val="20"/>
                <w:szCs w:val="20"/>
              </w:rPr>
            </w:pPr>
          </w:p>
        </w:tc>
        <w:tc>
          <w:tcPr>
            <w:tcW w:w="1933" w:type="dxa"/>
            <w:vMerge/>
            <w:shd w:val="clear" w:color="auto" w:fill="auto"/>
            <w:vAlign w:val="center"/>
          </w:tcPr>
          <w:p w14:paraId="031395A8" w14:textId="77777777" w:rsidR="00D663F1" w:rsidRPr="001937FE" w:rsidRDefault="00D663F1" w:rsidP="00E225BB">
            <w:pPr>
              <w:keepNext/>
              <w:keepLines/>
              <w:rPr>
                <w:rFonts w:ascii="Arial Narrow" w:hAnsi="Arial Narrow" w:cstheme="minorHAnsi"/>
                <w:sz w:val="20"/>
                <w:szCs w:val="20"/>
              </w:rPr>
            </w:pPr>
          </w:p>
        </w:tc>
      </w:tr>
      <w:tr w:rsidR="004D6CAC" w:rsidRPr="001428E9" w14:paraId="2D224B35" w14:textId="77777777" w:rsidTr="00E225BB">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CD687BD" w14:textId="1F5E3378" w:rsidR="004D6CAC" w:rsidRPr="001428E9" w:rsidRDefault="004D6CAC" w:rsidP="00E225BB">
            <w:pPr>
              <w:keepNext/>
              <w:keepLines/>
              <w:rPr>
                <w:rFonts w:ascii="Arial Narrow" w:hAnsi="Arial Narrow" w:cs="Arial"/>
                <w:b/>
                <w:sz w:val="20"/>
                <w:szCs w:val="20"/>
              </w:rPr>
            </w:pPr>
            <w:r w:rsidRPr="001428E9">
              <w:rPr>
                <w:rFonts w:ascii="Arial Narrow" w:hAnsi="Arial Narrow"/>
                <w:b/>
                <w:sz w:val="20"/>
                <w:szCs w:val="20"/>
              </w:rPr>
              <w:t xml:space="preserve">Restriction Summary </w:t>
            </w:r>
            <w:r w:rsidRPr="00787BA5">
              <w:rPr>
                <w:rFonts w:ascii="Arial Narrow" w:hAnsi="Arial Narrow"/>
                <w:b/>
                <w:sz w:val="20"/>
                <w:szCs w:val="20"/>
              </w:rPr>
              <w:t>13756</w:t>
            </w:r>
          </w:p>
        </w:tc>
      </w:tr>
      <w:tr w:rsidR="004D6CAC" w:rsidRPr="001428E9" w14:paraId="3CD5603F" w14:textId="77777777" w:rsidTr="00E225BB">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7ABF929" w14:textId="1E16619F" w:rsidR="004D6CAC" w:rsidRPr="001428E9" w:rsidRDefault="004D6CAC" w:rsidP="00E225BB">
            <w:pPr>
              <w:keepNext/>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B82699E" w14:textId="77777777" w:rsidR="004D6CAC" w:rsidRPr="001428E9" w:rsidRDefault="004D6CAC" w:rsidP="00E225BB">
            <w:pPr>
              <w:keepNext/>
              <w:keepLines/>
              <w:rPr>
                <w:rFonts w:ascii="Arial Narrow" w:hAnsi="Arial Narrow" w:cs="Arial"/>
                <w:sz w:val="20"/>
                <w:szCs w:val="20"/>
              </w:rPr>
            </w:pPr>
            <w:r w:rsidRPr="001428E9">
              <w:rPr>
                <w:rFonts w:ascii="Arial Narrow" w:hAnsi="Arial Narrow" w:cs="Arial"/>
                <w:b/>
                <w:sz w:val="20"/>
                <w:szCs w:val="20"/>
              </w:rPr>
              <w:t xml:space="preserve">Category / Program: </w:t>
            </w:r>
          </w:p>
          <w:p w14:paraId="151AB66E" w14:textId="32F36D41" w:rsidR="004D6CAC" w:rsidRPr="001428E9" w:rsidRDefault="004D6CAC" w:rsidP="00E225BB">
            <w:pPr>
              <w:keepNext/>
              <w:keepLines/>
              <w:rPr>
                <w:rFonts w:ascii="Arial Narrow" w:hAnsi="Arial Narrow" w:cs="Arial"/>
                <w:sz w:val="20"/>
                <w:szCs w:val="20"/>
              </w:rPr>
            </w:pPr>
            <w:r w:rsidRPr="001428E9">
              <w:rPr>
                <w:rFonts w:ascii="Arial Narrow" w:hAnsi="Arial Narrow" w:cs="Arial"/>
                <w:sz w:val="20"/>
                <w:szCs w:val="20"/>
              </w:rPr>
              <w:t xml:space="preserve">Section 100 – Highly Specialised Drugs Program </w:t>
            </w:r>
            <w:r w:rsidR="00F34EFE">
              <w:rPr>
                <w:rFonts w:ascii="Arial Narrow" w:hAnsi="Arial Narrow" w:cs="Arial"/>
                <w:sz w:val="20"/>
                <w:szCs w:val="20"/>
              </w:rPr>
              <w:t>(S100 HSD)</w:t>
            </w:r>
          </w:p>
        </w:tc>
      </w:tr>
      <w:tr w:rsidR="004D6CAC" w:rsidRPr="001428E9" w14:paraId="79F9E1AE" w14:textId="77777777" w:rsidTr="00E225BB">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DA12E6" w14:textId="77777777" w:rsidR="004D6CAC" w:rsidRPr="001428E9" w:rsidRDefault="004D6CAC" w:rsidP="00E225BB">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13DC5F" w14:textId="2E09166F" w:rsidR="004D6CAC" w:rsidRPr="001428E9" w:rsidRDefault="004D6CAC" w:rsidP="00E225BB">
            <w:pPr>
              <w:keepNext/>
              <w:keepLines/>
              <w:rPr>
                <w:rFonts w:ascii="Arial Narrow" w:hAnsi="Arial Narrow" w:cs="Arial"/>
                <w:b/>
                <w:sz w:val="20"/>
                <w:szCs w:val="20"/>
              </w:rPr>
            </w:pPr>
            <w:r w:rsidRPr="001428E9">
              <w:rPr>
                <w:rFonts w:ascii="Arial Narrow" w:hAnsi="Arial Narrow" w:cs="Arial"/>
                <w:b/>
                <w:sz w:val="20"/>
                <w:szCs w:val="20"/>
              </w:rPr>
              <w:t>Prescriber type:</w:t>
            </w:r>
            <w:r w:rsidR="001C2125">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3D386F">
              <w:rPr>
                <w:rFonts w:ascii="Arial Narrow" w:hAnsi="Arial Narrow" w:cs="Arial"/>
                <w:sz w:val="20"/>
                <w:szCs w:val="20"/>
              </w:rPr>
            </w:r>
            <w:r w:rsidR="003D386F">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4D6CAC" w:rsidRPr="00D56F94" w14:paraId="1420BEB3" w14:textId="77777777" w:rsidTr="00E225BB">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253C0C2" w14:textId="77777777" w:rsidR="004D6CAC" w:rsidRPr="001428E9" w:rsidRDefault="004D6CAC" w:rsidP="00E225BB">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2167F5B" w14:textId="77777777" w:rsidR="004D6CAC" w:rsidRPr="00D56F94" w:rsidRDefault="004D6CAC" w:rsidP="00E225BB">
            <w:pPr>
              <w:keepNext/>
              <w:keepLines/>
              <w:jc w:val="left"/>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Check3"/>
                  <w:enabled/>
                  <w:calcOnExit w:val="0"/>
                  <w:checkBox>
                    <w:sizeAuto/>
                    <w:default w:val="1"/>
                  </w:checkBox>
                </w:ffData>
              </w:fldChar>
            </w:r>
            <w:bookmarkStart w:id="2" w:name="Check3"/>
            <w:r>
              <w:rPr>
                <w:rFonts w:ascii="Arial Narrow" w:eastAsia="Calibri" w:hAnsi="Arial Narrow" w:cs="Arial"/>
                <w:sz w:val="20"/>
                <w:szCs w:val="20"/>
              </w:rPr>
              <w:instrText xml:space="preserve"> FORMCHECKBOX </w:instrText>
            </w:r>
            <w:r w:rsidR="003D386F">
              <w:rPr>
                <w:rFonts w:ascii="Arial Narrow" w:eastAsia="Calibri" w:hAnsi="Arial Narrow" w:cs="Arial"/>
                <w:sz w:val="20"/>
                <w:szCs w:val="20"/>
              </w:rPr>
            </w:r>
            <w:r w:rsidR="003D386F">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2"/>
            <w:r w:rsidRPr="001428E9">
              <w:rPr>
                <w:rFonts w:ascii="Arial Narrow" w:eastAsia="Calibri" w:hAnsi="Arial Narrow" w:cs="Arial"/>
                <w:sz w:val="20"/>
                <w:szCs w:val="20"/>
              </w:rPr>
              <w:t xml:space="preserve">Authority Required (telephone/online PBS Authorities system) </w:t>
            </w:r>
          </w:p>
        </w:tc>
      </w:tr>
      <w:tr w:rsidR="004D6CAC" w:rsidRPr="00787BA5" w14:paraId="47CA5661" w14:textId="77777777" w:rsidTr="00E225BB">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vAlign w:val="center"/>
          </w:tcPr>
          <w:p w14:paraId="47408E14" w14:textId="3EDDCA33" w:rsidR="004D6CAC" w:rsidRPr="001428E9" w:rsidRDefault="004D6CAC" w:rsidP="00E225BB">
            <w:pPr>
              <w:keepNext/>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975FD3" w14:textId="77777777" w:rsidR="004D6CAC" w:rsidRDefault="004D6CAC" w:rsidP="00E225BB">
            <w:pPr>
              <w:keepNext/>
              <w:keepLines/>
              <w:jc w:val="left"/>
              <w:rPr>
                <w:rFonts w:ascii="Arial Narrow" w:hAnsi="Arial Narrow" w:cs="Arial"/>
                <w:b/>
                <w:sz w:val="20"/>
                <w:szCs w:val="20"/>
              </w:rPr>
            </w:pPr>
            <w:r w:rsidRPr="00787BA5">
              <w:rPr>
                <w:rFonts w:ascii="Arial Narrow" w:hAnsi="Arial Narrow" w:cs="Arial"/>
                <w:b/>
                <w:sz w:val="20"/>
                <w:szCs w:val="20"/>
              </w:rPr>
              <w:t>Administrative Advice</w:t>
            </w:r>
            <w:r>
              <w:rPr>
                <w:rFonts w:ascii="Arial Narrow" w:hAnsi="Arial Narrow" w:cs="Arial"/>
                <w:b/>
                <w:sz w:val="20"/>
                <w:szCs w:val="20"/>
              </w:rPr>
              <w:t>:</w:t>
            </w:r>
          </w:p>
          <w:p w14:paraId="5443CADD" w14:textId="77777777" w:rsidR="004D6CAC" w:rsidRPr="00787BA5" w:rsidRDefault="004D6CAC" w:rsidP="00E225BB">
            <w:pPr>
              <w:keepNext/>
              <w:keepLines/>
              <w:jc w:val="left"/>
              <w:rPr>
                <w:rFonts w:ascii="Arial Narrow" w:hAnsi="Arial Narrow" w:cs="Arial"/>
                <w:bCs/>
                <w:sz w:val="20"/>
                <w:szCs w:val="20"/>
              </w:rPr>
            </w:pPr>
            <w:r w:rsidRPr="00787BA5">
              <w:rPr>
                <w:rFonts w:ascii="Arial Narrow" w:hAnsi="Arial Narrow" w:cs="Arial"/>
                <w:bCs/>
                <w:sz w:val="20"/>
                <w:szCs w:val="20"/>
              </w:rPr>
              <w:t>Patients receiving pomalidomide under the PBS listing must be registered in the risk management program relevant for the brand of pomalidomide being prescribed and dispensed: Pomolide - Juno's Pregnancy Prevention Program; Pomalyst - i-access program; Pomalidomide Sandoz - Pregnancy Prevention Program.</w:t>
            </w:r>
          </w:p>
        </w:tc>
      </w:tr>
    </w:tbl>
    <w:p w14:paraId="7B1B7692" w14:textId="67A0CB9A" w:rsidR="00D7208E" w:rsidRDefault="00D7208E" w:rsidP="005A0504"/>
    <w:p w14:paraId="27D11721" w14:textId="56AF4A47" w:rsidR="00864E1C" w:rsidRPr="00486BF4" w:rsidRDefault="00864E1C" w:rsidP="00864E1C">
      <w:pPr>
        <w:tabs>
          <w:tab w:val="left" w:pos="360"/>
        </w:tabs>
        <w:autoSpaceDE w:val="0"/>
        <w:autoSpaceDN w:val="0"/>
        <w:adjustRightInd w:val="0"/>
        <w:ind w:left="360"/>
        <w:rPr>
          <w:rFonts w:asciiTheme="minorHAnsi" w:hAnsiTheme="minorHAnsi" w:cstheme="minorHAnsi"/>
          <w:i/>
          <w:iCs/>
          <w:sz w:val="22"/>
          <w:szCs w:val="22"/>
        </w:rPr>
      </w:pPr>
      <w:r w:rsidRPr="00486BF4">
        <w:rPr>
          <w:rFonts w:asciiTheme="minorHAnsi" w:hAnsiTheme="minorHAnsi" w:cstheme="minorHAnsi"/>
          <w:b/>
          <w:bCs/>
          <w:i/>
          <w:iCs/>
        </w:rPr>
        <w:t>This restriction may be subject to further review. Should there be any changes made to the restriction the sponsor will be informed</w:t>
      </w:r>
      <w:r w:rsidRPr="00486BF4">
        <w:rPr>
          <w:rFonts w:asciiTheme="minorHAnsi" w:hAnsiTheme="minorHAnsi" w:cstheme="minorHAnsi"/>
        </w:rPr>
        <w:t>.</w:t>
      </w:r>
    </w:p>
    <w:p w14:paraId="0FBB89FF" w14:textId="568BDB48" w:rsidR="00360ED1" w:rsidRPr="00360ED1" w:rsidRDefault="00360ED1" w:rsidP="00360ED1">
      <w:pPr>
        <w:pStyle w:val="Heading1"/>
        <w:keepLines/>
        <w:numPr>
          <w:ilvl w:val="0"/>
          <w:numId w:val="2"/>
        </w:numPr>
        <w:spacing w:before="240"/>
        <w:ind w:left="709" w:hanging="709"/>
        <w:rPr>
          <w:sz w:val="32"/>
          <w:szCs w:val="32"/>
        </w:rPr>
      </w:pPr>
      <w:r w:rsidRPr="00360ED1">
        <w:rPr>
          <w:sz w:val="32"/>
          <w:szCs w:val="32"/>
        </w:rPr>
        <w:t>Context for Decision</w:t>
      </w:r>
    </w:p>
    <w:p w14:paraId="28A9A2FA" w14:textId="77777777" w:rsidR="00360ED1" w:rsidRPr="007129F2" w:rsidRDefault="00360ED1" w:rsidP="00837453">
      <w:pPr>
        <w:spacing w:after="120"/>
        <w:ind w:left="709"/>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cs="Arial"/>
          <w:bCs/>
          <w:lang w:val="en-GB"/>
        </w:rPr>
        <w:t>be made</w:t>
      </w:r>
      <w:proofErr w:type="gramEnd"/>
      <w:r w:rsidRPr="007129F2">
        <w:rPr>
          <w:rFonts w:asciiTheme="minorHAnsi" w:hAnsiTheme="minorHAnsi" w:cs="Arial"/>
          <w:bCs/>
          <w:lang w:val="en-GB"/>
        </w:rPr>
        <w:t xml:space="preserve"> available through the PBS. The PBAC welcomes applications containing </w:t>
      </w:r>
      <w:proofErr w:type="gramStart"/>
      <w:r w:rsidRPr="007129F2">
        <w:rPr>
          <w:rFonts w:asciiTheme="minorHAnsi" w:hAnsiTheme="minorHAnsi" w:cs="Arial"/>
          <w:bCs/>
          <w:lang w:val="en-GB"/>
        </w:rPr>
        <w:t>new information</w:t>
      </w:r>
      <w:proofErr w:type="gramEnd"/>
      <w:r w:rsidRPr="007129F2">
        <w:rPr>
          <w:rFonts w:asciiTheme="minorHAnsi" w:hAnsiTheme="minorHAnsi" w:cs="Arial"/>
          <w:bCs/>
          <w:lang w:val="en-GB"/>
        </w:rPr>
        <w:t xml:space="preserve"> at any time.</w:t>
      </w:r>
    </w:p>
    <w:p w14:paraId="0EDE1229" w14:textId="6F8FEBC8" w:rsidR="00360ED1" w:rsidRPr="00C07617" w:rsidRDefault="00360ED1" w:rsidP="00360ED1">
      <w:pPr>
        <w:pStyle w:val="Heading1"/>
        <w:keepLines/>
        <w:numPr>
          <w:ilvl w:val="0"/>
          <w:numId w:val="2"/>
        </w:numPr>
        <w:spacing w:before="240"/>
        <w:ind w:left="709" w:hanging="709"/>
        <w:rPr>
          <w:b w:val="0"/>
          <w:sz w:val="32"/>
        </w:rPr>
      </w:pPr>
      <w:r w:rsidRPr="00360ED1">
        <w:rPr>
          <w:sz w:val="32"/>
          <w:szCs w:val="32"/>
        </w:rPr>
        <w:t>Sponsor’s</w:t>
      </w:r>
      <w:r>
        <w:rPr>
          <w:sz w:val="32"/>
        </w:rPr>
        <w:t xml:space="preserve"> Comment</w:t>
      </w:r>
    </w:p>
    <w:p w14:paraId="4CE88E51" w14:textId="77777777" w:rsidR="00360ED1" w:rsidRPr="001179AC" w:rsidRDefault="00360ED1" w:rsidP="00837453">
      <w:pPr>
        <w:spacing w:after="120"/>
        <w:ind w:left="426" w:firstLine="294"/>
        <w:rPr>
          <w:rFonts w:asciiTheme="minorHAnsi" w:hAnsiTheme="minorHAnsi" w:cs="Arial"/>
          <w:bCs/>
        </w:rPr>
      </w:pPr>
      <w:r w:rsidRPr="00C07617">
        <w:rPr>
          <w:rFonts w:asciiTheme="minorHAnsi" w:hAnsiTheme="minorHAnsi" w:cs="Arial"/>
          <w:bCs/>
        </w:rPr>
        <w:t>The sponsor had no comment.</w:t>
      </w:r>
    </w:p>
    <w:p w14:paraId="1EAFC9DC" w14:textId="77777777" w:rsidR="00D7208E" w:rsidRPr="00B86113" w:rsidRDefault="00D7208E" w:rsidP="005A0504">
      <w:pPr>
        <w:pStyle w:val="3Bodytext"/>
        <w:numPr>
          <w:ilvl w:val="0"/>
          <w:numId w:val="0"/>
        </w:numPr>
        <w:ind w:left="720" w:hanging="720"/>
        <w:jc w:val="both"/>
        <w:rPr>
          <w:snapToGrid w:val="0"/>
        </w:rPr>
      </w:pPr>
    </w:p>
    <w:sectPr w:rsidR="00D7208E" w:rsidRPr="00B8611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Arial-Italic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28970"/>
      <w:docPartObj>
        <w:docPartGallery w:val="Page Numbers (Bottom of Page)"/>
        <w:docPartUnique/>
      </w:docPartObj>
    </w:sdtPr>
    <w:sdtEndPr>
      <w:rPr>
        <w:b/>
        <w:bCs/>
        <w:noProof/>
      </w:rPr>
    </w:sdtEndPr>
    <w:sdtContent>
      <w:p w14:paraId="41DAFF09" w14:textId="77777777" w:rsidR="006B01FD" w:rsidRDefault="006B01FD">
        <w:pPr>
          <w:pStyle w:val="Footer"/>
          <w:jc w:val="center"/>
        </w:pPr>
      </w:p>
      <w:p w14:paraId="355827FE" w14:textId="73E25FF6" w:rsidR="009C26AA" w:rsidRPr="00476741" w:rsidRDefault="00476741" w:rsidP="006B01FD">
        <w:pPr>
          <w:pStyle w:val="Footer"/>
          <w:jc w:val="center"/>
          <w:rPr>
            <w:b/>
            <w:bCs/>
          </w:rPr>
        </w:pPr>
        <w:r w:rsidRPr="00476741">
          <w:rPr>
            <w:b/>
            <w:bCs/>
          </w:rPr>
          <w:fldChar w:fldCharType="begin"/>
        </w:r>
        <w:r w:rsidRPr="00476741">
          <w:rPr>
            <w:b/>
            <w:bCs/>
          </w:rPr>
          <w:instrText xml:space="preserve"> PAGE   \* MERGEFORMAT </w:instrText>
        </w:r>
        <w:r w:rsidRPr="00476741">
          <w:rPr>
            <w:b/>
            <w:bCs/>
          </w:rPr>
          <w:fldChar w:fldCharType="separate"/>
        </w:r>
        <w:r w:rsidRPr="00476741">
          <w:rPr>
            <w:b/>
            <w:bCs/>
            <w:noProof/>
          </w:rPr>
          <w:t>2</w:t>
        </w:r>
        <w:r w:rsidRPr="00476741">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1D8F4DDD" w:rsidR="00C56D78" w:rsidRPr="007D6D2A" w:rsidRDefault="00DD75A6" w:rsidP="00C56D78">
    <w:pPr>
      <w:keepNext/>
      <w:tabs>
        <w:tab w:val="center" w:pos="4513"/>
        <w:tab w:val="right" w:pos="9026"/>
      </w:tabs>
      <w:jc w:val="center"/>
      <w:rPr>
        <w:rFonts w:asciiTheme="minorHAnsi" w:eastAsiaTheme="minorEastAsia" w:hAnsiTheme="minorHAnsi" w:cstheme="minorHAnsi"/>
        <w:i/>
      </w:rPr>
    </w:pPr>
    <w:r>
      <w:rPr>
        <w:rFonts w:asciiTheme="minorHAnsi" w:eastAsiaTheme="minorEastAsia" w:hAnsiTheme="minorHAnsi" w:cstheme="minorHAnsi"/>
        <w:i/>
      </w:rPr>
      <w:t>Public Summary Document</w:t>
    </w:r>
    <w:r w:rsidR="00476741">
      <w:rPr>
        <w:rFonts w:asciiTheme="minorHAnsi" w:eastAsiaTheme="minorEastAsia" w:hAnsiTheme="minorHAnsi" w:cstheme="minorHAnsi"/>
        <w:i/>
      </w:rPr>
      <w:t xml:space="preserve"> - </w:t>
    </w:r>
    <w:r w:rsidR="003165E3" w:rsidRPr="007D6D2A">
      <w:rPr>
        <w:rFonts w:asciiTheme="minorHAnsi" w:eastAsiaTheme="minorEastAsia" w:hAnsiTheme="minorHAnsi" w:cstheme="minorHAnsi"/>
        <w:i/>
      </w:rPr>
      <w:t>July 2023</w:t>
    </w:r>
    <w:r w:rsidR="00C56D78" w:rsidRPr="007D6D2A">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87E7" w14:textId="77777777" w:rsidR="00837453" w:rsidRDefault="0083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C23A0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6C740C"/>
    <w:multiLevelType w:val="hybridMultilevel"/>
    <w:tmpl w:val="F872F37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21422365"/>
    <w:multiLevelType w:val="hybridMultilevel"/>
    <w:tmpl w:val="0B5410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495A54BC"/>
    <w:lvl w:ilvl="0" w:tplc="3F74D34A">
      <w:start w:val="1"/>
      <w:numFmt w:val="upperLetter"/>
      <w:lvlText w:val="%1."/>
      <w:lvlJc w:val="left"/>
      <w:pPr>
        <w:ind w:left="360" w:hanging="360"/>
      </w:pPr>
      <w:rPr>
        <w:strike w:val="0"/>
      </w:rPr>
    </w:lvl>
    <w:lvl w:ilvl="1" w:tplc="442A8F9A">
      <w:start w:val="1"/>
      <w:numFmt w:val="lowerLetter"/>
      <w:lvlText w:val="%2."/>
      <w:lvlJc w:val="left"/>
      <w:pPr>
        <w:ind w:left="1440" w:hanging="360"/>
      </w:pPr>
    </w:lvl>
    <w:lvl w:ilvl="2" w:tplc="AE6252A8">
      <w:start w:val="1"/>
      <w:numFmt w:val="lowerRoman"/>
      <w:lvlText w:val="%3."/>
      <w:lvlJc w:val="right"/>
      <w:pPr>
        <w:ind w:left="1456"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1456"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A2514F1"/>
    <w:multiLevelType w:val="hybridMultilevel"/>
    <w:tmpl w:val="7EBC8882"/>
    <w:lvl w:ilvl="0" w:tplc="A2865E6A">
      <w:start w:val="6"/>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B91E61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B8E72F3"/>
    <w:multiLevelType w:val="hybridMultilevel"/>
    <w:tmpl w:val="5D1A2BD2"/>
    <w:lvl w:ilvl="0" w:tplc="AE6252A8">
      <w:start w:val="1"/>
      <w:numFmt w:val="lowerRoman"/>
      <w:lvlText w:val="%1."/>
      <w:lvlJc w:val="right"/>
      <w:pPr>
        <w:ind w:left="1456"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EC02A8"/>
    <w:multiLevelType w:val="hybridMultilevel"/>
    <w:tmpl w:val="7054C2AE"/>
    <w:lvl w:ilvl="0" w:tplc="104442C0">
      <w:start w:val="1"/>
      <w:numFmt w:val="lowerRoman"/>
      <w:lvlText w:val="%1."/>
      <w:lvlJc w:val="left"/>
      <w:pPr>
        <w:ind w:left="1440" w:hanging="360"/>
      </w:pPr>
      <w:rPr>
        <w:rFonts w:ascii="Calibri" w:eastAsia="Times New Roman" w:hAnsi="Calibri" w:cs="Times New Roman"/>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84D033C"/>
    <w:multiLevelType w:val="multilevel"/>
    <w:tmpl w:val="BFC47548"/>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strike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24282939">
    <w:abstractNumId w:val="12"/>
  </w:num>
  <w:num w:numId="2" w16cid:durableId="1319580175">
    <w:abstractNumId w:val="28"/>
  </w:num>
  <w:num w:numId="3" w16cid:durableId="2120291132">
    <w:abstractNumId w:val="0"/>
  </w:num>
  <w:num w:numId="4" w16cid:durableId="1007293956">
    <w:abstractNumId w:val="21"/>
  </w:num>
  <w:num w:numId="5" w16cid:durableId="1648434187">
    <w:abstractNumId w:val="30"/>
  </w:num>
  <w:num w:numId="6" w16cid:durableId="1027635789">
    <w:abstractNumId w:val="26"/>
  </w:num>
  <w:num w:numId="7" w16cid:durableId="1229343815">
    <w:abstractNumId w:val="17"/>
  </w:num>
  <w:num w:numId="8" w16cid:durableId="431703843">
    <w:abstractNumId w:val="15"/>
  </w:num>
  <w:num w:numId="9" w16cid:durableId="570046108">
    <w:abstractNumId w:val="1"/>
  </w:num>
  <w:num w:numId="10" w16cid:durableId="1038047947">
    <w:abstractNumId w:val="28"/>
  </w:num>
  <w:num w:numId="11" w16cid:durableId="2107381806">
    <w:abstractNumId w:val="24"/>
  </w:num>
  <w:num w:numId="12" w16cid:durableId="871915439">
    <w:abstractNumId w:val="27"/>
  </w:num>
  <w:num w:numId="13" w16cid:durableId="2053996090">
    <w:abstractNumId w:val="11"/>
  </w:num>
  <w:num w:numId="14" w16cid:durableId="389692469">
    <w:abstractNumId w:val="8"/>
  </w:num>
  <w:num w:numId="15" w16cid:durableId="1199203709">
    <w:abstractNumId w:val="22"/>
  </w:num>
  <w:num w:numId="16" w16cid:durableId="691347159">
    <w:abstractNumId w:val="2"/>
  </w:num>
  <w:num w:numId="17" w16cid:durableId="516693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025702">
    <w:abstractNumId w:val="29"/>
  </w:num>
  <w:num w:numId="19" w16cid:durableId="2098819906">
    <w:abstractNumId w:val="20"/>
  </w:num>
  <w:num w:numId="20" w16cid:durableId="1694309485">
    <w:abstractNumId w:val="6"/>
  </w:num>
  <w:num w:numId="21" w16cid:durableId="1796679452">
    <w:abstractNumId w:val="4"/>
  </w:num>
  <w:num w:numId="22" w16cid:durableId="152793697">
    <w:abstractNumId w:val="16"/>
  </w:num>
  <w:num w:numId="23" w16cid:durableId="1740439926">
    <w:abstractNumId w:val="7"/>
  </w:num>
  <w:num w:numId="24" w16cid:durableId="474613179">
    <w:abstractNumId w:val="3"/>
  </w:num>
  <w:num w:numId="25" w16cid:durableId="670764246">
    <w:abstractNumId w:val="13"/>
  </w:num>
  <w:num w:numId="26" w16cid:durableId="215287220">
    <w:abstractNumId w:val="18"/>
  </w:num>
  <w:num w:numId="27" w16cid:durableId="684788905">
    <w:abstractNumId w:val="14"/>
  </w:num>
  <w:num w:numId="28" w16cid:durableId="1262640182">
    <w:abstractNumId w:val="5"/>
  </w:num>
  <w:num w:numId="29" w16cid:durableId="1085420787">
    <w:abstractNumId w:val="9"/>
  </w:num>
  <w:num w:numId="30" w16cid:durableId="1137260620">
    <w:abstractNumId w:val="25"/>
  </w:num>
  <w:num w:numId="31" w16cid:durableId="1774133394">
    <w:abstractNumId w:val="28"/>
  </w:num>
  <w:num w:numId="32" w16cid:durableId="870606061">
    <w:abstractNumId w:val="28"/>
  </w:num>
  <w:num w:numId="33" w16cid:durableId="338041767">
    <w:abstractNumId w:val="28"/>
  </w:num>
  <w:num w:numId="34" w16cid:durableId="1873155068">
    <w:abstractNumId w:val="28"/>
  </w:num>
  <w:num w:numId="35" w16cid:durableId="1185092211">
    <w:abstractNumId w:val="28"/>
  </w:num>
  <w:num w:numId="36" w16cid:durableId="1317302600">
    <w:abstractNumId w:val="10"/>
  </w:num>
  <w:num w:numId="37" w16cid:durableId="1966229088">
    <w:abstractNumId w:val="28"/>
  </w:num>
  <w:num w:numId="38" w16cid:durableId="140469283">
    <w:abstractNumId w:val="28"/>
  </w:num>
  <w:num w:numId="39" w16cid:durableId="174719269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2AEF"/>
    <w:rsid w:val="00013B85"/>
    <w:rsid w:val="00014AEC"/>
    <w:rsid w:val="00014D69"/>
    <w:rsid w:val="00016A41"/>
    <w:rsid w:val="000204F1"/>
    <w:rsid w:val="000214D1"/>
    <w:rsid w:val="00021F20"/>
    <w:rsid w:val="0002464A"/>
    <w:rsid w:val="00025A04"/>
    <w:rsid w:val="0002693D"/>
    <w:rsid w:val="0003050E"/>
    <w:rsid w:val="0003106B"/>
    <w:rsid w:val="000335B9"/>
    <w:rsid w:val="00034905"/>
    <w:rsid w:val="00037906"/>
    <w:rsid w:val="00040A30"/>
    <w:rsid w:val="000421A1"/>
    <w:rsid w:val="0004240E"/>
    <w:rsid w:val="00042512"/>
    <w:rsid w:val="000425A2"/>
    <w:rsid w:val="00044D8C"/>
    <w:rsid w:val="00044E52"/>
    <w:rsid w:val="00044EC4"/>
    <w:rsid w:val="00045E26"/>
    <w:rsid w:val="00045F17"/>
    <w:rsid w:val="00046903"/>
    <w:rsid w:val="000514B5"/>
    <w:rsid w:val="000521ED"/>
    <w:rsid w:val="0005322E"/>
    <w:rsid w:val="00054E2B"/>
    <w:rsid w:val="00057F0F"/>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2112"/>
    <w:rsid w:val="000A33F6"/>
    <w:rsid w:val="000A3AA2"/>
    <w:rsid w:val="000A3E61"/>
    <w:rsid w:val="000A42EF"/>
    <w:rsid w:val="000A44B2"/>
    <w:rsid w:val="000A52F6"/>
    <w:rsid w:val="000A58B8"/>
    <w:rsid w:val="000B44C3"/>
    <w:rsid w:val="000B558D"/>
    <w:rsid w:val="000B5A89"/>
    <w:rsid w:val="000B65F6"/>
    <w:rsid w:val="000B7767"/>
    <w:rsid w:val="000C1AFF"/>
    <w:rsid w:val="000C5740"/>
    <w:rsid w:val="000C5F95"/>
    <w:rsid w:val="000C610F"/>
    <w:rsid w:val="000C6996"/>
    <w:rsid w:val="000C7C46"/>
    <w:rsid w:val="000D0401"/>
    <w:rsid w:val="000D09E9"/>
    <w:rsid w:val="000D113F"/>
    <w:rsid w:val="000D23BA"/>
    <w:rsid w:val="000E19B7"/>
    <w:rsid w:val="000E20FC"/>
    <w:rsid w:val="000E3C1D"/>
    <w:rsid w:val="000E3DFB"/>
    <w:rsid w:val="000E58C4"/>
    <w:rsid w:val="000E5EA1"/>
    <w:rsid w:val="000E681E"/>
    <w:rsid w:val="000E696B"/>
    <w:rsid w:val="000E7E52"/>
    <w:rsid w:val="000E7E90"/>
    <w:rsid w:val="000EE1C7"/>
    <w:rsid w:val="000F0003"/>
    <w:rsid w:val="000F3384"/>
    <w:rsid w:val="000F4E6A"/>
    <w:rsid w:val="000F6ABB"/>
    <w:rsid w:val="000F7354"/>
    <w:rsid w:val="000F7C27"/>
    <w:rsid w:val="00101ABE"/>
    <w:rsid w:val="00101E7B"/>
    <w:rsid w:val="00102202"/>
    <w:rsid w:val="00102700"/>
    <w:rsid w:val="00102A78"/>
    <w:rsid w:val="00102ED6"/>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D09"/>
    <w:rsid w:val="00144E06"/>
    <w:rsid w:val="001452ED"/>
    <w:rsid w:val="00145BAB"/>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0A22"/>
    <w:rsid w:val="00176B9D"/>
    <w:rsid w:val="00180713"/>
    <w:rsid w:val="00180720"/>
    <w:rsid w:val="001830CE"/>
    <w:rsid w:val="001836E3"/>
    <w:rsid w:val="00184659"/>
    <w:rsid w:val="001860E5"/>
    <w:rsid w:val="0018643B"/>
    <w:rsid w:val="00191C38"/>
    <w:rsid w:val="001937FE"/>
    <w:rsid w:val="00196307"/>
    <w:rsid w:val="00197C70"/>
    <w:rsid w:val="00197F03"/>
    <w:rsid w:val="001A0D10"/>
    <w:rsid w:val="001A33EA"/>
    <w:rsid w:val="001A3615"/>
    <w:rsid w:val="001A4413"/>
    <w:rsid w:val="001A4C4F"/>
    <w:rsid w:val="001A4D63"/>
    <w:rsid w:val="001A5722"/>
    <w:rsid w:val="001A5A2B"/>
    <w:rsid w:val="001A76FB"/>
    <w:rsid w:val="001B017F"/>
    <w:rsid w:val="001B0B79"/>
    <w:rsid w:val="001B19EA"/>
    <w:rsid w:val="001B2BBC"/>
    <w:rsid w:val="001B2BCD"/>
    <w:rsid w:val="001B3A40"/>
    <w:rsid w:val="001B3EC0"/>
    <w:rsid w:val="001B3FFE"/>
    <w:rsid w:val="001B5129"/>
    <w:rsid w:val="001C0B4C"/>
    <w:rsid w:val="001C0EC4"/>
    <w:rsid w:val="001C1195"/>
    <w:rsid w:val="001C12AE"/>
    <w:rsid w:val="001C1E84"/>
    <w:rsid w:val="001C20E1"/>
    <w:rsid w:val="001C2125"/>
    <w:rsid w:val="001C2A0F"/>
    <w:rsid w:val="001C2DAC"/>
    <w:rsid w:val="001C2E42"/>
    <w:rsid w:val="001D14A6"/>
    <w:rsid w:val="001D1F5F"/>
    <w:rsid w:val="001D55A1"/>
    <w:rsid w:val="001D606B"/>
    <w:rsid w:val="001E06D2"/>
    <w:rsid w:val="001E17C4"/>
    <w:rsid w:val="001E2D65"/>
    <w:rsid w:val="001E5FF3"/>
    <w:rsid w:val="001E741F"/>
    <w:rsid w:val="001E7B10"/>
    <w:rsid w:val="001F005B"/>
    <w:rsid w:val="001F1850"/>
    <w:rsid w:val="001F1FBF"/>
    <w:rsid w:val="001F2311"/>
    <w:rsid w:val="001F2B80"/>
    <w:rsid w:val="001F2F1C"/>
    <w:rsid w:val="001F3189"/>
    <w:rsid w:val="00200BEA"/>
    <w:rsid w:val="00201FB8"/>
    <w:rsid w:val="00203FAC"/>
    <w:rsid w:val="00206168"/>
    <w:rsid w:val="002133FB"/>
    <w:rsid w:val="00213CFB"/>
    <w:rsid w:val="0021553C"/>
    <w:rsid w:val="0021557B"/>
    <w:rsid w:val="00216B87"/>
    <w:rsid w:val="002174FD"/>
    <w:rsid w:val="00217BE1"/>
    <w:rsid w:val="00221361"/>
    <w:rsid w:val="002214B9"/>
    <w:rsid w:val="00222680"/>
    <w:rsid w:val="00223370"/>
    <w:rsid w:val="00224D1E"/>
    <w:rsid w:val="00225F92"/>
    <w:rsid w:val="00226611"/>
    <w:rsid w:val="00226BDF"/>
    <w:rsid w:val="00227BC5"/>
    <w:rsid w:val="00230F63"/>
    <w:rsid w:val="00234252"/>
    <w:rsid w:val="0023466E"/>
    <w:rsid w:val="00237AC6"/>
    <w:rsid w:val="00242B64"/>
    <w:rsid w:val="00242BFD"/>
    <w:rsid w:val="00243F98"/>
    <w:rsid w:val="00244139"/>
    <w:rsid w:val="00244490"/>
    <w:rsid w:val="00244BEC"/>
    <w:rsid w:val="00245B9C"/>
    <w:rsid w:val="00252587"/>
    <w:rsid w:val="00253499"/>
    <w:rsid w:val="00253D97"/>
    <w:rsid w:val="002551A4"/>
    <w:rsid w:val="00257664"/>
    <w:rsid w:val="00260165"/>
    <w:rsid w:val="00263B4D"/>
    <w:rsid w:val="00265151"/>
    <w:rsid w:val="00265C2C"/>
    <w:rsid w:val="00266509"/>
    <w:rsid w:val="00271BA1"/>
    <w:rsid w:val="00272BEA"/>
    <w:rsid w:val="00273AC5"/>
    <w:rsid w:val="002762FA"/>
    <w:rsid w:val="00276BE3"/>
    <w:rsid w:val="00277505"/>
    <w:rsid w:val="00277873"/>
    <w:rsid w:val="0028158C"/>
    <w:rsid w:val="002823B6"/>
    <w:rsid w:val="002838F4"/>
    <w:rsid w:val="00290C03"/>
    <w:rsid w:val="00292392"/>
    <w:rsid w:val="00292E3B"/>
    <w:rsid w:val="002933A8"/>
    <w:rsid w:val="00294274"/>
    <w:rsid w:val="0029458F"/>
    <w:rsid w:val="00297025"/>
    <w:rsid w:val="00297A63"/>
    <w:rsid w:val="002A018F"/>
    <w:rsid w:val="002A0E04"/>
    <w:rsid w:val="002A104C"/>
    <w:rsid w:val="002A1EF7"/>
    <w:rsid w:val="002A2B4F"/>
    <w:rsid w:val="002A2B7B"/>
    <w:rsid w:val="002A494D"/>
    <w:rsid w:val="002A4960"/>
    <w:rsid w:val="002A636A"/>
    <w:rsid w:val="002A755F"/>
    <w:rsid w:val="002B0AE0"/>
    <w:rsid w:val="002B1AE6"/>
    <w:rsid w:val="002B1D51"/>
    <w:rsid w:val="002B1EB3"/>
    <w:rsid w:val="002B2DE8"/>
    <w:rsid w:val="002B30F8"/>
    <w:rsid w:val="002B388A"/>
    <w:rsid w:val="002B3BFE"/>
    <w:rsid w:val="002B3C1A"/>
    <w:rsid w:val="002B4C2A"/>
    <w:rsid w:val="002B4CD6"/>
    <w:rsid w:val="002B5596"/>
    <w:rsid w:val="002B77D7"/>
    <w:rsid w:val="002C0763"/>
    <w:rsid w:val="002C212F"/>
    <w:rsid w:val="002C2F35"/>
    <w:rsid w:val="002C3880"/>
    <w:rsid w:val="002C6AA9"/>
    <w:rsid w:val="002C7485"/>
    <w:rsid w:val="002D2641"/>
    <w:rsid w:val="002D283A"/>
    <w:rsid w:val="002D3ECC"/>
    <w:rsid w:val="002D4543"/>
    <w:rsid w:val="002D715F"/>
    <w:rsid w:val="002D7C60"/>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65E3"/>
    <w:rsid w:val="003173FC"/>
    <w:rsid w:val="00317C6C"/>
    <w:rsid w:val="00320B80"/>
    <w:rsid w:val="00320CD3"/>
    <w:rsid w:val="003215FF"/>
    <w:rsid w:val="00322667"/>
    <w:rsid w:val="0032607C"/>
    <w:rsid w:val="00326E79"/>
    <w:rsid w:val="0032748A"/>
    <w:rsid w:val="003301B1"/>
    <w:rsid w:val="00331189"/>
    <w:rsid w:val="00331C54"/>
    <w:rsid w:val="0033263D"/>
    <w:rsid w:val="00334E69"/>
    <w:rsid w:val="0033518A"/>
    <w:rsid w:val="00335535"/>
    <w:rsid w:val="003367EF"/>
    <w:rsid w:val="00341472"/>
    <w:rsid w:val="00341AE4"/>
    <w:rsid w:val="003425CA"/>
    <w:rsid w:val="00343FB7"/>
    <w:rsid w:val="003476EE"/>
    <w:rsid w:val="003541DD"/>
    <w:rsid w:val="00356E5B"/>
    <w:rsid w:val="00360887"/>
    <w:rsid w:val="00360ED1"/>
    <w:rsid w:val="0036249F"/>
    <w:rsid w:val="00362D7F"/>
    <w:rsid w:val="003650C0"/>
    <w:rsid w:val="00366907"/>
    <w:rsid w:val="00366AF5"/>
    <w:rsid w:val="00370524"/>
    <w:rsid w:val="003710B9"/>
    <w:rsid w:val="00371246"/>
    <w:rsid w:val="003736C9"/>
    <w:rsid w:val="003815CB"/>
    <w:rsid w:val="00383B77"/>
    <w:rsid w:val="00383CFC"/>
    <w:rsid w:val="00384988"/>
    <w:rsid w:val="003872CF"/>
    <w:rsid w:val="003874CB"/>
    <w:rsid w:val="00396E08"/>
    <w:rsid w:val="003970DD"/>
    <w:rsid w:val="00397827"/>
    <w:rsid w:val="0039782C"/>
    <w:rsid w:val="003A0431"/>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6E16"/>
    <w:rsid w:val="003B7960"/>
    <w:rsid w:val="003C0908"/>
    <w:rsid w:val="003C093A"/>
    <w:rsid w:val="003C1ECF"/>
    <w:rsid w:val="003C2FB5"/>
    <w:rsid w:val="003C52B2"/>
    <w:rsid w:val="003D24C5"/>
    <w:rsid w:val="003D4594"/>
    <w:rsid w:val="003D4AC4"/>
    <w:rsid w:val="003D5433"/>
    <w:rsid w:val="003D63B7"/>
    <w:rsid w:val="003D74C5"/>
    <w:rsid w:val="003E105C"/>
    <w:rsid w:val="003E4374"/>
    <w:rsid w:val="003E468B"/>
    <w:rsid w:val="003E5A55"/>
    <w:rsid w:val="003E62BD"/>
    <w:rsid w:val="003E658D"/>
    <w:rsid w:val="003E69AA"/>
    <w:rsid w:val="003F044F"/>
    <w:rsid w:val="003F0C3A"/>
    <w:rsid w:val="003F15F0"/>
    <w:rsid w:val="003F19B8"/>
    <w:rsid w:val="003F2AD9"/>
    <w:rsid w:val="003F3228"/>
    <w:rsid w:val="003F4337"/>
    <w:rsid w:val="003F5C8C"/>
    <w:rsid w:val="003F63CE"/>
    <w:rsid w:val="003F775A"/>
    <w:rsid w:val="00400E55"/>
    <w:rsid w:val="0040128E"/>
    <w:rsid w:val="00401640"/>
    <w:rsid w:val="0040216B"/>
    <w:rsid w:val="00404852"/>
    <w:rsid w:val="0040590E"/>
    <w:rsid w:val="00407CC8"/>
    <w:rsid w:val="00407D00"/>
    <w:rsid w:val="00411A06"/>
    <w:rsid w:val="00414F0C"/>
    <w:rsid w:val="00415EB5"/>
    <w:rsid w:val="00416054"/>
    <w:rsid w:val="00420400"/>
    <w:rsid w:val="00423E78"/>
    <w:rsid w:val="004252EC"/>
    <w:rsid w:val="00430D39"/>
    <w:rsid w:val="0043784A"/>
    <w:rsid w:val="004403C6"/>
    <w:rsid w:val="00441989"/>
    <w:rsid w:val="00442C91"/>
    <w:rsid w:val="00444E9D"/>
    <w:rsid w:val="004465BD"/>
    <w:rsid w:val="00446938"/>
    <w:rsid w:val="004472B7"/>
    <w:rsid w:val="004528FA"/>
    <w:rsid w:val="00452A6C"/>
    <w:rsid w:val="00455CF6"/>
    <w:rsid w:val="00461A44"/>
    <w:rsid w:val="00462D26"/>
    <w:rsid w:val="0046368B"/>
    <w:rsid w:val="0046385A"/>
    <w:rsid w:val="00464039"/>
    <w:rsid w:val="00466ADA"/>
    <w:rsid w:val="004702BB"/>
    <w:rsid w:val="00472F55"/>
    <w:rsid w:val="00473071"/>
    <w:rsid w:val="0047494B"/>
    <w:rsid w:val="00475B24"/>
    <w:rsid w:val="00476245"/>
    <w:rsid w:val="00476741"/>
    <w:rsid w:val="00477705"/>
    <w:rsid w:val="00477A9B"/>
    <w:rsid w:val="00482AE4"/>
    <w:rsid w:val="00483035"/>
    <w:rsid w:val="00485940"/>
    <w:rsid w:val="00486B32"/>
    <w:rsid w:val="00486BF4"/>
    <w:rsid w:val="00486C95"/>
    <w:rsid w:val="004877C2"/>
    <w:rsid w:val="0049026B"/>
    <w:rsid w:val="0049039D"/>
    <w:rsid w:val="004904B9"/>
    <w:rsid w:val="00491EDC"/>
    <w:rsid w:val="004928E1"/>
    <w:rsid w:val="00492D8D"/>
    <w:rsid w:val="0049324C"/>
    <w:rsid w:val="00496662"/>
    <w:rsid w:val="004A1431"/>
    <w:rsid w:val="004A2484"/>
    <w:rsid w:val="004A5A85"/>
    <w:rsid w:val="004A71D1"/>
    <w:rsid w:val="004A7C5B"/>
    <w:rsid w:val="004B1845"/>
    <w:rsid w:val="004B2348"/>
    <w:rsid w:val="004B2E01"/>
    <w:rsid w:val="004B2E98"/>
    <w:rsid w:val="004B3411"/>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198E"/>
    <w:rsid w:val="004D248C"/>
    <w:rsid w:val="004D2CD1"/>
    <w:rsid w:val="004D365C"/>
    <w:rsid w:val="004D4FF6"/>
    <w:rsid w:val="004D5ADD"/>
    <w:rsid w:val="004D6CAC"/>
    <w:rsid w:val="004D7075"/>
    <w:rsid w:val="004E0CC3"/>
    <w:rsid w:val="004E692D"/>
    <w:rsid w:val="004E7230"/>
    <w:rsid w:val="004E7B48"/>
    <w:rsid w:val="004E7D87"/>
    <w:rsid w:val="004F2553"/>
    <w:rsid w:val="004F306A"/>
    <w:rsid w:val="004F53C6"/>
    <w:rsid w:val="004F5B22"/>
    <w:rsid w:val="00501554"/>
    <w:rsid w:val="00502AFE"/>
    <w:rsid w:val="00502E64"/>
    <w:rsid w:val="00503A31"/>
    <w:rsid w:val="00503AD7"/>
    <w:rsid w:val="00503E89"/>
    <w:rsid w:val="00504E0C"/>
    <w:rsid w:val="00504E13"/>
    <w:rsid w:val="005109D4"/>
    <w:rsid w:val="0051230A"/>
    <w:rsid w:val="00512E22"/>
    <w:rsid w:val="00514CD7"/>
    <w:rsid w:val="005167EC"/>
    <w:rsid w:val="005170DA"/>
    <w:rsid w:val="00520D6A"/>
    <w:rsid w:val="00522DB6"/>
    <w:rsid w:val="00523EFA"/>
    <w:rsid w:val="00524627"/>
    <w:rsid w:val="005264A7"/>
    <w:rsid w:val="0052792D"/>
    <w:rsid w:val="005319B2"/>
    <w:rsid w:val="00532402"/>
    <w:rsid w:val="00532C74"/>
    <w:rsid w:val="00533239"/>
    <w:rsid w:val="00534E2E"/>
    <w:rsid w:val="00535133"/>
    <w:rsid w:val="0054064C"/>
    <w:rsid w:val="00544552"/>
    <w:rsid w:val="00544617"/>
    <w:rsid w:val="00545130"/>
    <w:rsid w:val="00546B36"/>
    <w:rsid w:val="00552642"/>
    <w:rsid w:val="0055286A"/>
    <w:rsid w:val="00555745"/>
    <w:rsid w:val="00557D4F"/>
    <w:rsid w:val="0056122E"/>
    <w:rsid w:val="0056484E"/>
    <w:rsid w:val="00565999"/>
    <w:rsid w:val="00567D8A"/>
    <w:rsid w:val="00570231"/>
    <w:rsid w:val="005714B7"/>
    <w:rsid w:val="00572AC2"/>
    <w:rsid w:val="005764CD"/>
    <w:rsid w:val="00577C4D"/>
    <w:rsid w:val="00580532"/>
    <w:rsid w:val="00581932"/>
    <w:rsid w:val="00583002"/>
    <w:rsid w:val="005903BB"/>
    <w:rsid w:val="00593893"/>
    <w:rsid w:val="005963BB"/>
    <w:rsid w:val="0059645C"/>
    <w:rsid w:val="00596D37"/>
    <w:rsid w:val="005A0504"/>
    <w:rsid w:val="005A15D2"/>
    <w:rsid w:val="005A3173"/>
    <w:rsid w:val="005A3223"/>
    <w:rsid w:val="005A3DA3"/>
    <w:rsid w:val="005A52C4"/>
    <w:rsid w:val="005A63A1"/>
    <w:rsid w:val="005A7C96"/>
    <w:rsid w:val="005B0486"/>
    <w:rsid w:val="005B1032"/>
    <w:rsid w:val="005B1473"/>
    <w:rsid w:val="005B36FA"/>
    <w:rsid w:val="005C1034"/>
    <w:rsid w:val="005C4F73"/>
    <w:rsid w:val="005D03AB"/>
    <w:rsid w:val="005D17F5"/>
    <w:rsid w:val="005D401D"/>
    <w:rsid w:val="005D5017"/>
    <w:rsid w:val="005D5708"/>
    <w:rsid w:val="005D63FA"/>
    <w:rsid w:val="005D643D"/>
    <w:rsid w:val="005D6944"/>
    <w:rsid w:val="005D73C7"/>
    <w:rsid w:val="005E0C2D"/>
    <w:rsid w:val="005E0D82"/>
    <w:rsid w:val="005E0F59"/>
    <w:rsid w:val="005E1333"/>
    <w:rsid w:val="005E3136"/>
    <w:rsid w:val="005E4C1E"/>
    <w:rsid w:val="005E507D"/>
    <w:rsid w:val="005F0AD0"/>
    <w:rsid w:val="00601A91"/>
    <w:rsid w:val="00602BA3"/>
    <w:rsid w:val="00605789"/>
    <w:rsid w:val="00605B63"/>
    <w:rsid w:val="00605F9A"/>
    <w:rsid w:val="00606442"/>
    <w:rsid w:val="00606EED"/>
    <w:rsid w:val="00607DDB"/>
    <w:rsid w:val="00612A95"/>
    <w:rsid w:val="00612E34"/>
    <w:rsid w:val="00614159"/>
    <w:rsid w:val="00614688"/>
    <w:rsid w:val="006158A3"/>
    <w:rsid w:val="00616C5F"/>
    <w:rsid w:val="00616DAC"/>
    <w:rsid w:val="00617725"/>
    <w:rsid w:val="00617C00"/>
    <w:rsid w:val="00620C54"/>
    <w:rsid w:val="006263BF"/>
    <w:rsid w:val="0062748A"/>
    <w:rsid w:val="00630546"/>
    <w:rsid w:val="00630A2C"/>
    <w:rsid w:val="00634A75"/>
    <w:rsid w:val="00636143"/>
    <w:rsid w:val="0063682E"/>
    <w:rsid w:val="00640088"/>
    <w:rsid w:val="00642672"/>
    <w:rsid w:val="00642DA8"/>
    <w:rsid w:val="006436CD"/>
    <w:rsid w:val="0064442D"/>
    <w:rsid w:val="00650976"/>
    <w:rsid w:val="00651169"/>
    <w:rsid w:val="00653D69"/>
    <w:rsid w:val="00654BCC"/>
    <w:rsid w:val="006552E6"/>
    <w:rsid w:val="00655794"/>
    <w:rsid w:val="00655AD0"/>
    <w:rsid w:val="00656F2F"/>
    <w:rsid w:val="006572C9"/>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6559"/>
    <w:rsid w:val="006867C3"/>
    <w:rsid w:val="0069039D"/>
    <w:rsid w:val="006906DB"/>
    <w:rsid w:val="00691900"/>
    <w:rsid w:val="00691E6C"/>
    <w:rsid w:val="00692ABD"/>
    <w:rsid w:val="00693425"/>
    <w:rsid w:val="0069342D"/>
    <w:rsid w:val="00693DFB"/>
    <w:rsid w:val="00694FD5"/>
    <w:rsid w:val="0069501D"/>
    <w:rsid w:val="00696129"/>
    <w:rsid w:val="006961B1"/>
    <w:rsid w:val="00697CF2"/>
    <w:rsid w:val="006A12A5"/>
    <w:rsid w:val="006A2515"/>
    <w:rsid w:val="006A4792"/>
    <w:rsid w:val="006A572D"/>
    <w:rsid w:val="006A5E20"/>
    <w:rsid w:val="006B01FD"/>
    <w:rsid w:val="006B0D94"/>
    <w:rsid w:val="006B16B6"/>
    <w:rsid w:val="006B485D"/>
    <w:rsid w:val="006B7DDA"/>
    <w:rsid w:val="006C0C45"/>
    <w:rsid w:val="006C0C47"/>
    <w:rsid w:val="006C2806"/>
    <w:rsid w:val="006C32A9"/>
    <w:rsid w:val="006C334C"/>
    <w:rsid w:val="006C6C10"/>
    <w:rsid w:val="006C708E"/>
    <w:rsid w:val="006D0749"/>
    <w:rsid w:val="006D14E7"/>
    <w:rsid w:val="006D4444"/>
    <w:rsid w:val="006D6493"/>
    <w:rsid w:val="006D6EC7"/>
    <w:rsid w:val="006D70AB"/>
    <w:rsid w:val="006D7B05"/>
    <w:rsid w:val="006D7E45"/>
    <w:rsid w:val="006E1143"/>
    <w:rsid w:val="006E1BCD"/>
    <w:rsid w:val="006E2732"/>
    <w:rsid w:val="006E33B4"/>
    <w:rsid w:val="006E59CD"/>
    <w:rsid w:val="006E6026"/>
    <w:rsid w:val="006F00ED"/>
    <w:rsid w:val="006F026F"/>
    <w:rsid w:val="006F0A71"/>
    <w:rsid w:val="006F1C6B"/>
    <w:rsid w:val="006F40C2"/>
    <w:rsid w:val="006F5125"/>
    <w:rsid w:val="006F733D"/>
    <w:rsid w:val="00700765"/>
    <w:rsid w:val="007026DF"/>
    <w:rsid w:val="00702959"/>
    <w:rsid w:val="00702B6F"/>
    <w:rsid w:val="007030B4"/>
    <w:rsid w:val="00703B86"/>
    <w:rsid w:val="00704069"/>
    <w:rsid w:val="00704FB5"/>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26737"/>
    <w:rsid w:val="0073137C"/>
    <w:rsid w:val="007340B9"/>
    <w:rsid w:val="007353D3"/>
    <w:rsid w:val="0074156B"/>
    <w:rsid w:val="00741619"/>
    <w:rsid w:val="00742885"/>
    <w:rsid w:val="0074401D"/>
    <w:rsid w:val="007442C3"/>
    <w:rsid w:val="00747092"/>
    <w:rsid w:val="007477FF"/>
    <w:rsid w:val="007526E6"/>
    <w:rsid w:val="00753CCA"/>
    <w:rsid w:val="00754DF9"/>
    <w:rsid w:val="007555E8"/>
    <w:rsid w:val="00755CC5"/>
    <w:rsid w:val="00762862"/>
    <w:rsid w:val="0076420C"/>
    <w:rsid w:val="00764465"/>
    <w:rsid w:val="00766886"/>
    <w:rsid w:val="00771D07"/>
    <w:rsid w:val="00772649"/>
    <w:rsid w:val="00773225"/>
    <w:rsid w:val="00773BE3"/>
    <w:rsid w:val="007743DD"/>
    <w:rsid w:val="00774E2C"/>
    <w:rsid w:val="0077503C"/>
    <w:rsid w:val="0077518D"/>
    <w:rsid w:val="007753C2"/>
    <w:rsid w:val="00776068"/>
    <w:rsid w:val="007760A0"/>
    <w:rsid w:val="0077694F"/>
    <w:rsid w:val="00777EEC"/>
    <w:rsid w:val="00780CD2"/>
    <w:rsid w:val="007838B8"/>
    <w:rsid w:val="00785779"/>
    <w:rsid w:val="007863D6"/>
    <w:rsid w:val="00787BA5"/>
    <w:rsid w:val="00787FD8"/>
    <w:rsid w:val="007915BA"/>
    <w:rsid w:val="00791844"/>
    <w:rsid w:val="0079314C"/>
    <w:rsid w:val="00793CE9"/>
    <w:rsid w:val="007952BF"/>
    <w:rsid w:val="00796667"/>
    <w:rsid w:val="00797068"/>
    <w:rsid w:val="007979BD"/>
    <w:rsid w:val="00797CAE"/>
    <w:rsid w:val="007A0128"/>
    <w:rsid w:val="007A3D8E"/>
    <w:rsid w:val="007A5104"/>
    <w:rsid w:val="007A5C88"/>
    <w:rsid w:val="007A6A2F"/>
    <w:rsid w:val="007A7493"/>
    <w:rsid w:val="007B024E"/>
    <w:rsid w:val="007B3BAF"/>
    <w:rsid w:val="007B3DDC"/>
    <w:rsid w:val="007B404C"/>
    <w:rsid w:val="007B72A6"/>
    <w:rsid w:val="007C06D2"/>
    <w:rsid w:val="007C08E0"/>
    <w:rsid w:val="007C0F57"/>
    <w:rsid w:val="007C2F4B"/>
    <w:rsid w:val="007C40B6"/>
    <w:rsid w:val="007C5975"/>
    <w:rsid w:val="007C63EA"/>
    <w:rsid w:val="007C729F"/>
    <w:rsid w:val="007C72AD"/>
    <w:rsid w:val="007D503D"/>
    <w:rsid w:val="007D59E7"/>
    <w:rsid w:val="007D5F2A"/>
    <w:rsid w:val="007D6D2A"/>
    <w:rsid w:val="007E07AC"/>
    <w:rsid w:val="007E1014"/>
    <w:rsid w:val="007E1033"/>
    <w:rsid w:val="007E12F8"/>
    <w:rsid w:val="007E1596"/>
    <w:rsid w:val="007E1D28"/>
    <w:rsid w:val="007E1DB6"/>
    <w:rsid w:val="007E4564"/>
    <w:rsid w:val="007E490F"/>
    <w:rsid w:val="007E4D27"/>
    <w:rsid w:val="007E6533"/>
    <w:rsid w:val="007E774E"/>
    <w:rsid w:val="007F0021"/>
    <w:rsid w:val="007F2641"/>
    <w:rsid w:val="007F4CE2"/>
    <w:rsid w:val="007F7C36"/>
    <w:rsid w:val="007F7F45"/>
    <w:rsid w:val="0080001F"/>
    <w:rsid w:val="00801958"/>
    <w:rsid w:val="008055AF"/>
    <w:rsid w:val="008057CD"/>
    <w:rsid w:val="00806043"/>
    <w:rsid w:val="008066B8"/>
    <w:rsid w:val="00806796"/>
    <w:rsid w:val="008073B7"/>
    <w:rsid w:val="00810167"/>
    <w:rsid w:val="008104D0"/>
    <w:rsid w:val="00811CC0"/>
    <w:rsid w:val="00811D37"/>
    <w:rsid w:val="00814276"/>
    <w:rsid w:val="008151D6"/>
    <w:rsid w:val="00820803"/>
    <w:rsid w:val="00820AC6"/>
    <w:rsid w:val="00821527"/>
    <w:rsid w:val="008225CE"/>
    <w:rsid w:val="00822696"/>
    <w:rsid w:val="00825A6C"/>
    <w:rsid w:val="0082617E"/>
    <w:rsid w:val="008268BB"/>
    <w:rsid w:val="00826F6D"/>
    <w:rsid w:val="008306F3"/>
    <w:rsid w:val="00830E40"/>
    <w:rsid w:val="00832D9A"/>
    <w:rsid w:val="008345A1"/>
    <w:rsid w:val="0083582F"/>
    <w:rsid w:val="00835C62"/>
    <w:rsid w:val="008368A1"/>
    <w:rsid w:val="00837453"/>
    <w:rsid w:val="00840EF7"/>
    <w:rsid w:val="00842482"/>
    <w:rsid w:val="00843408"/>
    <w:rsid w:val="00844C0A"/>
    <w:rsid w:val="00845DB1"/>
    <w:rsid w:val="00846056"/>
    <w:rsid w:val="0084681F"/>
    <w:rsid w:val="00847D08"/>
    <w:rsid w:val="00847EC0"/>
    <w:rsid w:val="00851F05"/>
    <w:rsid w:val="00854506"/>
    <w:rsid w:val="00855FD6"/>
    <w:rsid w:val="00856DDD"/>
    <w:rsid w:val="00860233"/>
    <w:rsid w:val="00860E8C"/>
    <w:rsid w:val="00863E68"/>
    <w:rsid w:val="008647B5"/>
    <w:rsid w:val="00864E1C"/>
    <w:rsid w:val="00867D64"/>
    <w:rsid w:val="00872E8F"/>
    <w:rsid w:val="00875C3E"/>
    <w:rsid w:val="00875DCB"/>
    <w:rsid w:val="00876D15"/>
    <w:rsid w:val="00876FBF"/>
    <w:rsid w:val="008771C4"/>
    <w:rsid w:val="0087755A"/>
    <w:rsid w:val="00882085"/>
    <w:rsid w:val="00883188"/>
    <w:rsid w:val="00884A0C"/>
    <w:rsid w:val="00886ACA"/>
    <w:rsid w:val="00886B01"/>
    <w:rsid w:val="0089031E"/>
    <w:rsid w:val="0089109A"/>
    <w:rsid w:val="00893D5C"/>
    <w:rsid w:val="0089460B"/>
    <w:rsid w:val="0089535A"/>
    <w:rsid w:val="00897D58"/>
    <w:rsid w:val="00897F22"/>
    <w:rsid w:val="008A0B39"/>
    <w:rsid w:val="008A17A3"/>
    <w:rsid w:val="008A1955"/>
    <w:rsid w:val="008A1956"/>
    <w:rsid w:val="008A1E85"/>
    <w:rsid w:val="008A2419"/>
    <w:rsid w:val="008A47D1"/>
    <w:rsid w:val="008A4937"/>
    <w:rsid w:val="008A50F1"/>
    <w:rsid w:val="008A59D9"/>
    <w:rsid w:val="008A643E"/>
    <w:rsid w:val="008A6819"/>
    <w:rsid w:val="008B007A"/>
    <w:rsid w:val="008B2EC0"/>
    <w:rsid w:val="008B6DCF"/>
    <w:rsid w:val="008C220E"/>
    <w:rsid w:val="008C3377"/>
    <w:rsid w:val="008C4D49"/>
    <w:rsid w:val="008D0945"/>
    <w:rsid w:val="008D1409"/>
    <w:rsid w:val="008D15CC"/>
    <w:rsid w:val="008D1729"/>
    <w:rsid w:val="008D1B5C"/>
    <w:rsid w:val="008D3C82"/>
    <w:rsid w:val="008D447E"/>
    <w:rsid w:val="008D6ACF"/>
    <w:rsid w:val="008D7A41"/>
    <w:rsid w:val="008E2C72"/>
    <w:rsid w:val="008E3680"/>
    <w:rsid w:val="008E4F87"/>
    <w:rsid w:val="008E5870"/>
    <w:rsid w:val="008E59D4"/>
    <w:rsid w:val="008E6B74"/>
    <w:rsid w:val="008E77E4"/>
    <w:rsid w:val="008E7F3F"/>
    <w:rsid w:val="008F0213"/>
    <w:rsid w:val="008F07ED"/>
    <w:rsid w:val="008F11F8"/>
    <w:rsid w:val="008F1434"/>
    <w:rsid w:val="008F2BB9"/>
    <w:rsid w:val="008F3D6A"/>
    <w:rsid w:val="008F54C3"/>
    <w:rsid w:val="008F7355"/>
    <w:rsid w:val="009023DC"/>
    <w:rsid w:val="009027C5"/>
    <w:rsid w:val="00904413"/>
    <w:rsid w:val="009067B7"/>
    <w:rsid w:val="00906E7A"/>
    <w:rsid w:val="00906E7F"/>
    <w:rsid w:val="0090775A"/>
    <w:rsid w:val="00907DFD"/>
    <w:rsid w:val="00910327"/>
    <w:rsid w:val="00913C99"/>
    <w:rsid w:val="00917D69"/>
    <w:rsid w:val="00920B6D"/>
    <w:rsid w:val="00921B8E"/>
    <w:rsid w:val="00926560"/>
    <w:rsid w:val="00926B15"/>
    <w:rsid w:val="009270AE"/>
    <w:rsid w:val="00930291"/>
    <w:rsid w:val="009304B9"/>
    <w:rsid w:val="00930937"/>
    <w:rsid w:val="009324A6"/>
    <w:rsid w:val="00933B7D"/>
    <w:rsid w:val="00933E6C"/>
    <w:rsid w:val="00935A6E"/>
    <w:rsid w:val="00937958"/>
    <w:rsid w:val="009406E5"/>
    <w:rsid w:val="00941602"/>
    <w:rsid w:val="00942160"/>
    <w:rsid w:val="00943B93"/>
    <w:rsid w:val="00944975"/>
    <w:rsid w:val="00946921"/>
    <w:rsid w:val="00947343"/>
    <w:rsid w:val="0095146F"/>
    <w:rsid w:val="00951F2D"/>
    <w:rsid w:val="00952839"/>
    <w:rsid w:val="009534C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5DCC"/>
    <w:rsid w:val="009772FD"/>
    <w:rsid w:val="00977BF3"/>
    <w:rsid w:val="009803E4"/>
    <w:rsid w:val="00980B0E"/>
    <w:rsid w:val="00980B33"/>
    <w:rsid w:val="00982B39"/>
    <w:rsid w:val="009836A3"/>
    <w:rsid w:val="00983D48"/>
    <w:rsid w:val="009843D2"/>
    <w:rsid w:val="00984C58"/>
    <w:rsid w:val="009855A8"/>
    <w:rsid w:val="00985CBE"/>
    <w:rsid w:val="00985D1A"/>
    <w:rsid w:val="00990CF8"/>
    <w:rsid w:val="009913F4"/>
    <w:rsid w:val="00991782"/>
    <w:rsid w:val="009937F7"/>
    <w:rsid w:val="0099465B"/>
    <w:rsid w:val="009951A1"/>
    <w:rsid w:val="00996330"/>
    <w:rsid w:val="00997A44"/>
    <w:rsid w:val="009A0CDD"/>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26AA"/>
    <w:rsid w:val="009C4595"/>
    <w:rsid w:val="009C4673"/>
    <w:rsid w:val="009C5443"/>
    <w:rsid w:val="009C703C"/>
    <w:rsid w:val="009D0C29"/>
    <w:rsid w:val="009D206E"/>
    <w:rsid w:val="009D3917"/>
    <w:rsid w:val="009D3CAA"/>
    <w:rsid w:val="009D3D62"/>
    <w:rsid w:val="009D507A"/>
    <w:rsid w:val="009D6532"/>
    <w:rsid w:val="009D71FD"/>
    <w:rsid w:val="009E06F0"/>
    <w:rsid w:val="009E0755"/>
    <w:rsid w:val="009E10AD"/>
    <w:rsid w:val="009E2588"/>
    <w:rsid w:val="009E2E8E"/>
    <w:rsid w:val="009E40E1"/>
    <w:rsid w:val="009E5740"/>
    <w:rsid w:val="009F0EFA"/>
    <w:rsid w:val="009F4E46"/>
    <w:rsid w:val="009F5B65"/>
    <w:rsid w:val="009F5F2E"/>
    <w:rsid w:val="00A00AC1"/>
    <w:rsid w:val="00A01432"/>
    <w:rsid w:val="00A0435F"/>
    <w:rsid w:val="00A06225"/>
    <w:rsid w:val="00A066E6"/>
    <w:rsid w:val="00A110D1"/>
    <w:rsid w:val="00A12587"/>
    <w:rsid w:val="00A128E6"/>
    <w:rsid w:val="00A12D1A"/>
    <w:rsid w:val="00A144D3"/>
    <w:rsid w:val="00A17EA7"/>
    <w:rsid w:val="00A21D7D"/>
    <w:rsid w:val="00A22AC3"/>
    <w:rsid w:val="00A2351E"/>
    <w:rsid w:val="00A23F3F"/>
    <w:rsid w:val="00A24067"/>
    <w:rsid w:val="00A24A4B"/>
    <w:rsid w:val="00A2744D"/>
    <w:rsid w:val="00A30040"/>
    <w:rsid w:val="00A30D16"/>
    <w:rsid w:val="00A33EB7"/>
    <w:rsid w:val="00A34E6C"/>
    <w:rsid w:val="00A34FD0"/>
    <w:rsid w:val="00A36398"/>
    <w:rsid w:val="00A37C8D"/>
    <w:rsid w:val="00A37C97"/>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3CE7"/>
    <w:rsid w:val="00A6426D"/>
    <w:rsid w:val="00A665C1"/>
    <w:rsid w:val="00A673A4"/>
    <w:rsid w:val="00A67ABB"/>
    <w:rsid w:val="00A7001A"/>
    <w:rsid w:val="00A70622"/>
    <w:rsid w:val="00A70977"/>
    <w:rsid w:val="00A70D58"/>
    <w:rsid w:val="00A744F9"/>
    <w:rsid w:val="00A753A1"/>
    <w:rsid w:val="00A77613"/>
    <w:rsid w:val="00A77B87"/>
    <w:rsid w:val="00A801AD"/>
    <w:rsid w:val="00A81851"/>
    <w:rsid w:val="00A8390C"/>
    <w:rsid w:val="00A86AE0"/>
    <w:rsid w:val="00A912B0"/>
    <w:rsid w:val="00A91362"/>
    <w:rsid w:val="00A9151C"/>
    <w:rsid w:val="00A919C6"/>
    <w:rsid w:val="00A928BD"/>
    <w:rsid w:val="00A92D61"/>
    <w:rsid w:val="00A941B6"/>
    <w:rsid w:val="00A95765"/>
    <w:rsid w:val="00A95FB4"/>
    <w:rsid w:val="00A97DE9"/>
    <w:rsid w:val="00AA0582"/>
    <w:rsid w:val="00AA0DFE"/>
    <w:rsid w:val="00AA12CD"/>
    <w:rsid w:val="00AA4D1C"/>
    <w:rsid w:val="00AA52FD"/>
    <w:rsid w:val="00AA7006"/>
    <w:rsid w:val="00AB0A4E"/>
    <w:rsid w:val="00AB17BC"/>
    <w:rsid w:val="00AB3138"/>
    <w:rsid w:val="00AB4684"/>
    <w:rsid w:val="00AB5202"/>
    <w:rsid w:val="00AB5856"/>
    <w:rsid w:val="00AB6B14"/>
    <w:rsid w:val="00AC081D"/>
    <w:rsid w:val="00AC0C6F"/>
    <w:rsid w:val="00AC1266"/>
    <w:rsid w:val="00AC193C"/>
    <w:rsid w:val="00AC30C1"/>
    <w:rsid w:val="00AC4DE5"/>
    <w:rsid w:val="00AC5206"/>
    <w:rsid w:val="00AC5315"/>
    <w:rsid w:val="00AC6038"/>
    <w:rsid w:val="00AD01B2"/>
    <w:rsid w:val="00AD095B"/>
    <w:rsid w:val="00AD1090"/>
    <w:rsid w:val="00AD3106"/>
    <w:rsid w:val="00AD4322"/>
    <w:rsid w:val="00AE116F"/>
    <w:rsid w:val="00AE11A5"/>
    <w:rsid w:val="00AE13E2"/>
    <w:rsid w:val="00AE22D3"/>
    <w:rsid w:val="00AE5A49"/>
    <w:rsid w:val="00AF03E6"/>
    <w:rsid w:val="00AF0F00"/>
    <w:rsid w:val="00AF11D8"/>
    <w:rsid w:val="00AF2560"/>
    <w:rsid w:val="00AF5867"/>
    <w:rsid w:val="00AF62DF"/>
    <w:rsid w:val="00AF68CC"/>
    <w:rsid w:val="00AF6E6B"/>
    <w:rsid w:val="00AF70D7"/>
    <w:rsid w:val="00B00086"/>
    <w:rsid w:val="00B00CD0"/>
    <w:rsid w:val="00B00E7F"/>
    <w:rsid w:val="00B01FF4"/>
    <w:rsid w:val="00B0297A"/>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29A"/>
    <w:rsid w:val="00B22E84"/>
    <w:rsid w:val="00B233AD"/>
    <w:rsid w:val="00B23E25"/>
    <w:rsid w:val="00B24BF3"/>
    <w:rsid w:val="00B25F75"/>
    <w:rsid w:val="00B26B3F"/>
    <w:rsid w:val="00B2778F"/>
    <w:rsid w:val="00B30E62"/>
    <w:rsid w:val="00B32775"/>
    <w:rsid w:val="00B327E2"/>
    <w:rsid w:val="00B33122"/>
    <w:rsid w:val="00B33635"/>
    <w:rsid w:val="00B37A23"/>
    <w:rsid w:val="00B37CF8"/>
    <w:rsid w:val="00B41D98"/>
    <w:rsid w:val="00B42AF4"/>
    <w:rsid w:val="00B43E90"/>
    <w:rsid w:val="00B44308"/>
    <w:rsid w:val="00B45722"/>
    <w:rsid w:val="00B46084"/>
    <w:rsid w:val="00B460F4"/>
    <w:rsid w:val="00B467DC"/>
    <w:rsid w:val="00B468E7"/>
    <w:rsid w:val="00B47A88"/>
    <w:rsid w:val="00B52303"/>
    <w:rsid w:val="00B5392A"/>
    <w:rsid w:val="00B539EF"/>
    <w:rsid w:val="00B56118"/>
    <w:rsid w:val="00B566E1"/>
    <w:rsid w:val="00B56AFB"/>
    <w:rsid w:val="00B602F6"/>
    <w:rsid w:val="00B6249D"/>
    <w:rsid w:val="00B62EC1"/>
    <w:rsid w:val="00B63E85"/>
    <w:rsid w:val="00B64A96"/>
    <w:rsid w:val="00B6533B"/>
    <w:rsid w:val="00B6773F"/>
    <w:rsid w:val="00B70EB3"/>
    <w:rsid w:val="00B72906"/>
    <w:rsid w:val="00B74F48"/>
    <w:rsid w:val="00B7525E"/>
    <w:rsid w:val="00B75433"/>
    <w:rsid w:val="00B75628"/>
    <w:rsid w:val="00B75F70"/>
    <w:rsid w:val="00B760FB"/>
    <w:rsid w:val="00B76765"/>
    <w:rsid w:val="00B767AB"/>
    <w:rsid w:val="00B801BA"/>
    <w:rsid w:val="00B80370"/>
    <w:rsid w:val="00B8071A"/>
    <w:rsid w:val="00B812D6"/>
    <w:rsid w:val="00B8178F"/>
    <w:rsid w:val="00B846E6"/>
    <w:rsid w:val="00B84D4D"/>
    <w:rsid w:val="00B84D5C"/>
    <w:rsid w:val="00B85AF6"/>
    <w:rsid w:val="00B86113"/>
    <w:rsid w:val="00B92E46"/>
    <w:rsid w:val="00B93EED"/>
    <w:rsid w:val="00B941ED"/>
    <w:rsid w:val="00B956ED"/>
    <w:rsid w:val="00BA1386"/>
    <w:rsid w:val="00BA2DA8"/>
    <w:rsid w:val="00BA347C"/>
    <w:rsid w:val="00BA4240"/>
    <w:rsid w:val="00BA4C79"/>
    <w:rsid w:val="00BB298A"/>
    <w:rsid w:val="00BB3469"/>
    <w:rsid w:val="00BB5C49"/>
    <w:rsid w:val="00BB6240"/>
    <w:rsid w:val="00BB6285"/>
    <w:rsid w:val="00BB69F5"/>
    <w:rsid w:val="00BB6E48"/>
    <w:rsid w:val="00BB7EC3"/>
    <w:rsid w:val="00BC04B1"/>
    <w:rsid w:val="00BC470E"/>
    <w:rsid w:val="00BC4B9A"/>
    <w:rsid w:val="00BD02C3"/>
    <w:rsid w:val="00BD4085"/>
    <w:rsid w:val="00BD7483"/>
    <w:rsid w:val="00BD784C"/>
    <w:rsid w:val="00BE020A"/>
    <w:rsid w:val="00BE13DF"/>
    <w:rsid w:val="00BE1EF0"/>
    <w:rsid w:val="00BE25D7"/>
    <w:rsid w:val="00BE590D"/>
    <w:rsid w:val="00BF092C"/>
    <w:rsid w:val="00BF1631"/>
    <w:rsid w:val="00BF27A0"/>
    <w:rsid w:val="00BF390D"/>
    <w:rsid w:val="00BF4CB6"/>
    <w:rsid w:val="00BF51E1"/>
    <w:rsid w:val="00BF5D23"/>
    <w:rsid w:val="00BF6CBD"/>
    <w:rsid w:val="00C00DA7"/>
    <w:rsid w:val="00C034FB"/>
    <w:rsid w:val="00C04CDE"/>
    <w:rsid w:val="00C059D5"/>
    <w:rsid w:val="00C068A6"/>
    <w:rsid w:val="00C0766B"/>
    <w:rsid w:val="00C12768"/>
    <w:rsid w:val="00C12D70"/>
    <w:rsid w:val="00C16724"/>
    <w:rsid w:val="00C17B5B"/>
    <w:rsid w:val="00C2091B"/>
    <w:rsid w:val="00C21B09"/>
    <w:rsid w:val="00C25EFF"/>
    <w:rsid w:val="00C26488"/>
    <w:rsid w:val="00C2673A"/>
    <w:rsid w:val="00C278CD"/>
    <w:rsid w:val="00C27B58"/>
    <w:rsid w:val="00C27C1C"/>
    <w:rsid w:val="00C3166C"/>
    <w:rsid w:val="00C3189D"/>
    <w:rsid w:val="00C33186"/>
    <w:rsid w:val="00C35996"/>
    <w:rsid w:val="00C42BCD"/>
    <w:rsid w:val="00C4485F"/>
    <w:rsid w:val="00C46C13"/>
    <w:rsid w:val="00C4747E"/>
    <w:rsid w:val="00C5151E"/>
    <w:rsid w:val="00C52256"/>
    <w:rsid w:val="00C5342C"/>
    <w:rsid w:val="00C53B2B"/>
    <w:rsid w:val="00C56D78"/>
    <w:rsid w:val="00C57465"/>
    <w:rsid w:val="00C60272"/>
    <w:rsid w:val="00C603D4"/>
    <w:rsid w:val="00C6256A"/>
    <w:rsid w:val="00C62F0B"/>
    <w:rsid w:val="00C63FDA"/>
    <w:rsid w:val="00C64EBC"/>
    <w:rsid w:val="00C664D2"/>
    <w:rsid w:val="00C677E1"/>
    <w:rsid w:val="00C7016E"/>
    <w:rsid w:val="00C70E6E"/>
    <w:rsid w:val="00C710E2"/>
    <w:rsid w:val="00C71C3F"/>
    <w:rsid w:val="00C73E67"/>
    <w:rsid w:val="00C7409E"/>
    <w:rsid w:val="00C74D6D"/>
    <w:rsid w:val="00C756B3"/>
    <w:rsid w:val="00C76E76"/>
    <w:rsid w:val="00C77891"/>
    <w:rsid w:val="00C77B74"/>
    <w:rsid w:val="00C82062"/>
    <w:rsid w:val="00C829A9"/>
    <w:rsid w:val="00C8393B"/>
    <w:rsid w:val="00C87B80"/>
    <w:rsid w:val="00C90330"/>
    <w:rsid w:val="00C91449"/>
    <w:rsid w:val="00C92287"/>
    <w:rsid w:val="00C92D10"/>
    <w:rsid w:val="00C92F79"/>
    <w:rsid w:val="00C95200"/>
    <w:rsid w:val="00C96EC0"/>
    <w:rsid w:val="00CA06F9"/>
    <w:rsid w:val="00CA14BB"/>
    <w:rsid w:val="00CA22EF"/>
    <w:rsid w:val="00CA230C"/>
    <w:rsid w:val="00CA48D9"/>
    <w:rsid w:val="00CA48F0"/>
    <w:rsid w:val="00CB1193"/>
    <w:rsid w:val="00CB4767"/>
    <w:rsid w:val="00CB493D"/>
    <w:rsid w:val="00CC0907"/>
    <w:rsid w:val="00CC3B97"/>
    <w:rsid w:val="00CD6257"/>
    <w:rsid w:val="00CD7C0B"/>
    <w:rsid w:val="00CE10C4"/>
    <w:rsid w:val="00CE2343"/>
    <w:rsid w:val="00CE27B5"/>
    <w:rsid w:val="00CE2BDF"/>
    <w:rsid w:val="00CE5EEF"/>
    <w:rsid w:val="00CE6D24"/>
    <w:rsid w:val="00CE6DAF"/>
    <w:rsid w:val="00CF322B"/>
    <w:rsid w:val="00CF410A"/>
    <w:rsid w:val="00CF7528"/>
    <w:rsid w:val="00CF7FDE"/>
    <w:rsid w:val="00D012AF"/>
    <w:rsid w:val="00D0321E"/>
    <w:rsid w:val="00D05457"/>
    <w:rsid w:val="00D069EB"/>
    <w:rsid w:val="00D07A8A"/>
    <w:rsid w:val="00D10E31"/>
    <w:rsid w:val="00D11199"/>
    <w:rsid w:val="00D1455A"/>
    <w:rsid w:val="00D14573"/>
    <w:rsid w:val="00D14A70"/>
    <w:rsid w:val="00D15690"/>
    <w:rsid w:val="00D207EA"/>
    <w:rsid w:val="00D211FB"/>
    <w:rsid w:val="00D22093"/>
    <w:rsid w:val="00D236F1"/>
    <w:rsid w:val="00D245ED"/>
    <w:rsid w:val="00D31150"/>
    <w:rsid w:val="00D3138B"/>
    <w:rsid w:val="00D31FCE"/>
    <w:rsid w:val="00D3280C"/>
    <w:rsid w:val="00D3406A"/>
    <w:rsid w:val="00D34D24"/>
    <w:rsid w:val="00D40B11"/>
    <w:rsid w:val="00D41341"/>
    <w:rsid w:val="00D42864"/>
    <w:rsid w:val="00D429EC"/>
    <w:rsid w:val="00D441F1"/>
    <w:rsid w:val="00D4572C"/>
    <w:rsid w:val="00D469B2"/>
    <w:rsid w:val="00D52B24"/>
    <w:rsid w:val="00D52EAA"/>
    <w:rsid w:val="00D52ECF"/>
    <w:rsid w:val="00D54B09"/>
    <w:rsid w:val="00D55551"/>
    <w:rsid w:val="00D6243E"/>
    <w:rsid w:val="00D65658"/>
    <w:rsid w:val="00D663F1"/>
    <w:rsid w:val="00D67EB2"/>
    <w:rsid w:val="00D70349"/>
    <w:rsid w:val="00D7208E"/>
    <w:rsid w:val="00D7299C"/>
    <w:rsid w:val="00D72B6F"/>
    <w:rsid w:val="00D7362B"/>
    <w:rsid w:val="00D73A2B"/>
    <w:rsid w:val="00D741EB"/>
    <w:rsid w:val="00D74CEA"/>
    <w:rsid w:val="00D74DC2"/>
    <w:rsid w:val="00D760D0"/>
    <w:rsid w:val="00D7679C"/>
    <w:rsid w:val="00D76D5C"/>
    <w:rsid w:val="00D77095"/>
    <w:rsid w:val="00D77FF3"/>
    <w:rsid w:val="00D817A9"/>
    <w:rsid w:val="00D820F3"/>
    <w:rsid w:val="00D83605"/>
    <w:rsid w:val="00D84934"/>
    <w:rsid w:val="00D866EB"/>
    <w:rsid w:val="00D8712E"/>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A7CC2"/>
    <w:rsid w:val="00DB0151"/>
    <w:rsid w:val="00DB0160"/>
    <w:rsid w:val="00DB04D7"/>
    <w:rsid w:val="00DB50E1"/>
    <w:rsid w:val="00DB7C48"/>
    <w:rsid w:val="00DC0566"/>
    <w:rsid w:val="00DC05E1"/>
    <w:rsid w:val="00DC1499"/>
    <w:rsid w:val="00DC16CF"/>
    <w:rsid w:val="00DC1938"/>
    <w:rsid w:val="00DC2C3E"/>
    <w:rsid w:val="00DC3137"/>
    <w:rsid w:val="00DC3A71"/>
    <w:rsid w:val="00DC4880"/>
    <w:rsid w:val="00DC5E90"/>
    <w:rsid w:val="00DC6BEC"/>
    <w:rsid w:val="00DD0BE9"/>
    <w:rsid w:val="00DD23CC"/>
    <w:rsid w:val="00DD26F9"/>
    <w:rsid w:val="00DD350E"/>
    <w:rsid w:val="00DD3819"/>
    <w:rsid w:val="00DD42AB"/>
    <w:rsid w:val="00DD75A6"/>
    <w:rsid w:val="00DE04D6"/>
    <w:rsid w:val="00DE06AF"/>
    <w:rsid w:val="00DE2AE2"/>
    <w:rsid w:val="00DE6D27"/>
    <w:rsid w:val="00DE735E"/>
    <w:rsid w:val="00DE76EA"/>
    <w:rsid w:val="00DF01F8"/>
    <w:rsid w:val="00DF021D"/>
    <w:rsid w:val="00DF14EE"/>
    <w:rsid w:val="00DF217D"/>
    <w:rsid w:val="00DF26A7"/>
    <w:rsid w:val="00DF3277"/>
    <w:rsid w:val="00DF4E87"/>
    <w:rsid w:val="00DF6A31"/>
    <w:rsid w:val="00DF77A1"/>
    <w:rsid w:val="00DF7919"/>
    <w:rsid w:val="00E001FD"/>
    <w:rsid w:val="00E01337"/>
    <w:rsid w:val="00E0207E"/>
    <w:rsid w:val="00E02AE6"/>
    <w:rsid w:val="00E03912"/>
    <w:rsid w:val="00E04748"/>
    <w:rsid w:val="00E060AF"/>
    <w:rsid w:val="00E078D9"/>
    <w:rsid w:val="00E10293"/>
    <w:rsid w:val="00E103A0"/>
    <w:rsid w:val="00E1043F"/>
    <w:rsid w:val="00E11F44"/>
    <w:rsid w:val="00E12725"/>
    <w:rsid w:val="00E1275D"/>
    <w:rsid w:val="00E13E60"/>
    <w:rsid w:val="00E15627"/>
    <w:rsid w:val="00E164B3"/>
    <w:rsid w:val="00E16910"/>
    <w:rsid w:val="00E21164"/>
    <w:rsid w:val="00E239E2"/>
    <w:rsid w:val="00E23F15"/>
    <w:rsid w:val="00E24E09"/>
    <w:rsid w:val="00E27234"/>
    <w:rsid w:val="00E3495C"/>
    <w:rsid w:val="00E36950"/>
    <w:rsid w:val="00E42BDB"/>
    <w:rsid w:val="00E438A7"/>
    <w:rsid w:val="00E44BE3"/>
    <w:rsid w:val="00E464D1"/>
    <w:rsid w:val="00E524A9"/>
    <w:rsid w:val="00E53641"/>
    <w:rsid w:val="00E53F1A"/>
    <w:rsid w:val="00E544F5"/>
    <w:rsid w:val="00E5726D"/>
    <w:rsid w:val="00E57EEB"/>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228C"/>
    <w:rsid w:val="00E848C0"/>
    <w:rsid w:val="00E84BB8"/>
    <w:rsid w:val="00E86F92"/>
    <w:rsid w:val="00E90338"/>
    <w:rsid w:val="00E91B96"/>
    <w:rsid w:val="00E92F2E"/>
    <w:rsid w:val="00E935DA"/>
    <w:rsid w:val="00E93D1E"/>
    <w:rsid w:val="00E941A1"/>
    <w:rsid w:val="00E95CE3"/>
    <w:rsid w:val="00E95F9A"/>
    <w:rsid w:val="00EA0856"/>
    <w:rsid w:val="00EA1DC4"/>
    <w:rsid w:val="00EA252F"/>
    <w:rsid w:val="00EA2825"/>
    <w:rsid w:val="00EA5027"/>
    <w:rsid w:val="00EA6147"/>
    <w:rsid w:val="00EA64C2"/>
    <w:rsid w:val="00EA6518"/>
    <w:rsid w:val="00EA6B5C"/>
    <w:rsid w:val="00EA71A2"/>
    <w:rsid w:val="00EA7466"/>
    <w:rsid w:val="00EA7EDE"/>
    <w:rsid w:val="00EB0B63"/>
    <w:rsid w:val="00EB1936"/>
    <w:rsid w:val="00EB3545"/>
    <w:rsid w:val="00EB37BE"/>
    <w:rsid w:val="00EB4BAE"/>
    <w:rsid w:val="00EB5088"/>
    <w:rsid w:val="00EB7210"/>
    <w:rsid w:val="00EC2726"/>
    <w:rsid w:val="00EC681C"/>
    <w:rsid w:val="00EC705E"/>
    <w:rsid w:val="00EC748A"/>
    <w:rsid w:val="00EC7B87"/>
    <w:rsid w:val="00ED1644"/>
    <w:rsid w:val="00ED2593"/>
    <w:rsid w:val="00ED3709"/>
    <w:rsid w:val="00ED7D55"/>
    <w:rsid w:val="00ED7D9C"/>
    <w:rsid w:val="00EE00A7"/>
    <w:rsid w:val="00EE18DE"/>
    <w:rsid w:val="00EE2A2B"/>
    <w:rsid w:val="00EE2BD4"/>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8D7"/>
    <w:rsid w:val="00F12C74"/>
    <w:rsid w:val="00F13214"/>
    <w:rsid w:val="00F1559A"/>
    <w:rsid w:val="00F1784A"/>
    <w:rsid w:val="00F17ED6"/>
    <w:rsid w:val="00F20676"/>
    <w:rsid w:val="00F209E2"/>
    <w:rsid w:val="00F2398F"/>
    <w:rsid w:val="00F25578"/>
    <w:rsid w:val="00F258E5"/>
    <w:rsid w:val="00F25B9C"/>
    <w:rsid w:val="00F2675A"/>
    <w:rsid w:val="00F26CC6"/>
    <w:rsid w:val="00F300BC"/>
    <w:rsid w:val="00F305FA"/>
    <w:rsid w:val="00F3263C"/>
    <w:rsid w:val="00F3334E"/>
    <w:rsid w:val="00F34EFE"/>
    <w:rsid w:val="00F3573A"/>
    <w:rsid w:val="00F35D69"/>
    <w:rsid w:val="00F36CCB"/>
    <w:rsid w:val="00F374E5"/>
    <w:rsid w:val="00F37B93"/>
    <w:rsid w:val="00F37BAD"/>
    <w:rsid w:val="00F37ECA"/>
    <w:rsid w:val="00F40A1C"/>
    <w:rsid w:val="00F43AF2"/>
    <w:rsid w:val="00F45216"/>
    <w:rsid w:val="00F45248"/>
    <w:rsid w:val="00F47723"/>
    <w:rsid w:val="00F5007E"/>
    <w:rsid w:val="00F508F6"/>
    <w:rsid w:val="00F50EC4"/>
    <w:rsid w:val="00F52232"/>
    <w:rsid w:val="00F527B1"/>
    <w:rsid w:val="00F52DC2"/>
    <w:rsid w:val="00F54AF9"/>
    <w:rsid w:val="00F550CF"/>
    <w:rsid w:val="00F553D2"/>
    <w:rsid w:val="00F5646F"/>
    <w:rsid w:val="00F56A2D"/>
    <w:rsid w:val="00F57A6D"/>
    <w:rsid w:val="00F6044B"/>
    <w:rsid w:val="00F60B50"/>
    <w:rsid w:val="00F62F19"/>
    <w:rsid w:val="00F638CC"/>
    <w:rsid w:val="00F64C9E"/>
    <w:rsid w:val="00F64CC1"/>
    <w:rsid w:val="00F708B1"/>
    <w:rsid w:val="00F70D66"/>
    <w:rsid w:val="00F71D2F"/>
    <w:rsid w:val="00F721C2"/>
    <w:rsid w:val="00F72317"/>
    <w:rsid w:val="00F73DC1"/>
    <w:rsid w:val="00F75BB8"/>
    <w:rsid w:val="00F77714"/>
    <w:rsid w:val="00F80475"/>
    <w:rsid w:val="00F805B1"/>
    <w:rsid w:val="00F80E6E"/>
    <w:rsid w:val="00F81390"/>
    <w:rsid w:val="00F81F7A"/>
    <w:rsid w:val="00F8247A"/>
    <w:rsid w:val="00F82E5C"/>
    <w:rsid w:val="00F83E86"/>
    <w:rsid w:val="00F83F58"/>
    <w:rsid w:val="00F85206"/>
    <w:rsid w:val="00F87C7A"/>
    <w:rsid w:val="00F87CEA"/>
    <w:rsid w:val="00F90333"/>
    <w:rsid w:val="00F9265D"/>
    <w:rsid w:val="00F95E6E"/>
    <w:rsid w:val="00F9629A"/>
    <w:rsid w:val="00F97EFC"/>
    <w:rsid w:val="00FA0B04"/>
    <w:rsid w:val="00FA0C7C"/>
    <w:rsid w:val="00FA1BDD"/>
    <w:rsid w:val="00FA305C"/>
    <w:rsid w:val="00FA3FDB"/>
    <w:rsid w:val="00FA462E"/>
    <w:rsid w:val="00FA4DD5"/>
    <w:rsid w:val="00FA5883"/>
    <w:rsid w:val="00FA6055"/>
    <w:rsid w:val="00FB0B39"/>
    <w:rsid w:val="00FB322F"/>
    <w:rsid w:val="00FB442F"/>
    <w:rsid w:val="00FC057B"/>
    <w:rsid w:val="00FC118C"/>
    <w:rsid w:val="00FC1929"/>
    <w:rsid w:val="00FC5B46"/>
    <w:rsid w:val="00FD1D4F"/>
    <w:rsid w:val="00FD24BF"/>
    <w:rsid w:val="00FD2915"/>
    <w:rsid w:val="00FD3B6E"/>
    <w:rsid w:val="00FD4140"/>
    <w:rsid w:val="00FD57EB"/>
    <w:rsid w:val="00FD6D8E"/>
    <w:rsid w:val="00FD7BF5"/>
    <w:rsid w:val="00FE0663"/>
    <w:rsid w:val="00FE0E94"/>
    <w:rsid w:val="00FE369C"/>
    <w:rsid w:val="00FE3CD9"/>
    <w:rsid w:val="00FE42A1"/>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Submissionstandard1">
    <w:name w:val="Submission standard1"/>
    <w:basedOn w:val="TableNormal"/>
    <w:uiPriority w:val="99"/>
    <w:qFormat/>
    <w:rsid w:val="00012AEF"/>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ItalicMT" w:hAnsi="Arial-ItalicMT" w:hint="default"/>
        <w:b/>
        <w:sz w:val="20"/>
        <w:szCs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7952BF"/>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952BF"/>
    <w:rPr>
      <w:rFonts w:ascii="Calibri" w:eastAsiaTheme="majorEastAsia" w:hAnsi="Calibri" w:cstheme="majorBidi"/>
      <w:sz w:val="18"/>
      <w:szCs w:val="22"/>
      <w:lang w:eastAsia="en-US" w:bidi="en-US"/>
    </w:rPr>
  </w:style>
  <w:style w:type="character" w:customStyle="1" w:styleId="form-strength">
    <w:name w:val="form-strength"/>
    <w:basedOn w:val="DefaultParagraphFont"/>
    <w:rsid w:val="00E53641"/>
  </w:style>
  <w:style w:type="character" w:styleId="PlaceholderText">
    <w:name w:val="Placeholder Text"/>
    <w:basedOn w:val="DefaultParagraphFont"/>
    <w:uiPriority w:val="99"/>
    <w:unhideWhenUsed/>
    <w:rsid w:val="00845DB1"/>
    <w:rPr>
      <w:color w:val="808080"/>
    </w:rPr>
  </w:style>
  <w:style w:type="paragraph" w:styleId="NormalWeb">
    <w:name w:val="Normal (Web)"/>
    <w:basedOn w:val="Normal"/>
    <w:uiPriority w:val="99"/>
    <w:semiHidden/>
    <w:unhideWhenUsed/>
    <w:rsid w:val="00226BDF"/>
    <w:pPr>
      <w:spacing w:before="100" w:beforeAutospacing="1" w:after="100" w:afterAutospacing="1"/>
      <w:jc w:val="left"/>
    </w:pPr>
    <w:rPr>
      <w:rFonts w:eastAsiaTheme="minorHAnsi" w:cs="Calibri"/>
      <w:sz w:val="22"/>
      <w:szCs w:val="22"/>
    </w:rPr>
  </w:style>
  <w:style w:type="paragraph" w:customStyle="1" w:styleId="3-SubsectionHeading">
    <w:name w:val="3-Subsection Heading"/>
    <w:basedOn w:val="Heading2"/>
    <w:next w:val="Normal"/>
    <w:link w:val="3-SubsectionHeadingChar"/>
    <w:qFormat/>
    <w:rsid w:val="00875C3E"/>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875C3E"/>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5371755">
      <w:bodyDiv w:val="1"/>
      <w:marLeft w:val="0"/>
      <w:marRight w:val="0"/>
      <w:marTop w:val="0"/>
      <w:marBottom w:val="0"/>
      <w:divBdr>
        <w:top w:val="none" w:sz="0" w:space="0" w:color="auto"/>
        <w:left w:val="none" w:sz="0" w:space="0" w:color="auto"/>
        <w:bottom w:val="none" w:sz="0" w:space="0" w:color="auto"/>
        <w:right w:val="none" w:sz="0" w:space="0" w:color="auto"/>
      </w:divBdr>
    </w:div>
    <w:div w:id="122845490">
      <w:bodyDiv w:val="1"/>
      <w:marLeft w:val="0"/>
      <w:marRight w:val="0"/>
      <w:marTop w:val="0"/>
      <w:marBottom w:val="0"/>
      <w:divBdr>
        <w:top w:val="none" w:sz="0" w:space="0" w:color="auto"/>
        <w:left w:val="none" w:sz="0" w:space="0" w:color="auto"/>
        <w:bottom w:val="none" w:sz="0" w:space="0" w:color="auto"/>
        <w:right w:val="none" w:sz="0" w:space="0" w:color="auto"/>
      </w:divBdr>
    </w:div>
    <w:div w:id="185600562">
      <w:bodyDiv w:val="1"/>
      <w:marLeft w:val="0"/>
      <w:marRight w:val="0"/>
      <w:marTop w:val="0"/>
      <w:marBottom w:val="0"/>
      <w:divBdr>
        <w:top w:val="none" w:sz="0" w:space="0" w:color="auto"/>
        <w:left w:val="none" w:sz="0" w:space="0" w:color="auto"/>
        <w:bottom w:val="none" w:sz="0" w:space="0" w:color="auto"/>
        <w:right w:val="none" w:sz="0" w:space="0" w:color="auto"/>
      </w:divBdr>
    </w:div>
    <w:div w:id="22290817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17886006">
      <w:bodyDiv w:val="1"/>
      <w:marLeft w:val="0"/>
      <w:marRight w:val="0"/>
      <w:marTop w:val="0"/>
      <w:marBottom w:val="0"/>
      <w:divBdr>
        <w:top w:val="none" w:sz="0" w:space="0" w:color="auto"/>
        <w:left w:val="none" w:sz="0" w:space="0" w:color="auto"/>
        <w:bottom w:val="none" w:sz="0" w:space="0" w:color="auto"/>
        <w:right w:val="none" w:sz="0" w:space="0" w:color="auto"/>
      </w:divBdr>
    </w:div>
    <w:div w:id="653949034">
      <w:bodyDiv w:val="1"/>
      <w:marLeft w:val="0"/>
      <w:marRight w:val="0"/>
      <w:marTop w:val="0"/>
      <w:marBottom w:val="0"/>
      <w:divBdr>
        <w:top w:val="none" w:sz="0" w:space="0" w:color="auto"/>
        <w:left w:val="none" w:sz="0" w:space="0" w:color="auto"/>
        <w:bottom w:val="none" w:sz="0" w:space="0" w:color="auto"/>
        <w:right w:val="none" w:sz="0" w:space="0" w:color="auto"/>
      </w:divBdr>
    </w:div>
    <w:div w:id="65603926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95907249">
      <w:bodyDiv w:val="1"/>
      <w:marLeft w:val="0"/>
      <w:marRight w:val="0"/>
      <w:marTop w:val="0"/>
      <w:marBottom w:val="0"/>
      <w:divBdr>
        <w:top w:val="none" w:sz="0" w:space="0" w:color="auto"/>
        <w:left w:val="none" w:sz="0" w:space="0" w:color="auto"/>
        <w:bottom w:val="none" w:sz="0" w:space="0" w:color="auto"/>
        <w:right w:val="none" w:sz="0" w:space="0" w:color="auto"/>
      </w:divBdr>
    </w:div>
    <w:div w:id="110199597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4096655">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04653566">
      <w:bodyDiv w:val="1"/>
      <w:marLeft w:val="0"/>
      <w:marRight w:val="0"/>
      <w:marTop w:val="0"/>
      <w:marBottom w:val="0"/>
      <w:divBdr>
        <w:top w:val="none" w:sz="0" w:space="0" w:color="auto"/>
        <w:left w:val="none" w:sz="0" w:space="0" w:color="auto"/>
        <w:bottom w:val="none" w:sz="0" w:space="0" w:color="auto"/>
        <w:right w:val="none" w:sz="0" w:space="0" w:color="auto"/>
      </w:divBdr>
    </w:div>
    <w:div w:id="161613355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1285433">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343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2023-10-20T05:29:00Z</dcterms:created>
  <dcterms:modified xsi:type="dcterms:W3CDTF">2023-10-20T05:30:00Z</dcterms:modified>
</cp:coreProperties>
</file>