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4C8A5291" w:rsidR="00BF27A0" w:rsidRPr="00EF4580" w:rsidRDefault="00BB2F85" w:rsidP="006C5B33">
      <w:pPr>
        <w:pStyle w:val="1-MainHeading"/>
        <w:rPr>
          <w:rFonts w:eastAsia="Calibri"/>
          <w:lang w:eastAsia="en-US"/>
        </w:rPr>
      </w:pPr>
      <w:r>
        <w:t>7.10</w:t>
      </w:r>
      <w:r w:rsidR="000B7767" w:rsidRPr="00EF4580">
        <w:tab/>
      </w:r>
      <w:r w:rsidR="00BD15EA" w:rsidRPr="00647CF4">
        <w:rPr>
          <w:caps/>
        </w:rPr>
        <w:t>Pembrolizumab</w:t>
      </w:r>
      <w:r w:rsidR="00BD15EA" w:rsidRPr="00EF4580">
        <w:t>,</w:t>
      </w:r>
      <w:r w:rsidR="000B7767" w:rsidRPr="00EF4580">
        <w:br/>
      </w:r>
      <w:r w:rsidR="00647CF4">
        <w:t>Solution concentrate for I.V. infusion 100 mg in 4 mL</w:t>
      </w:r>
      <w:r w:rsidR="0CF130DF" w:rsidRPr="00EF4580">
        <w:t>,</w:t>
      </w:r>
      <w:r w:rsidR="000B7767" w:rsidRPr="00EF4580">
        <w:br/>
      </w:r>
      <w:r w:rsidR="00647CF4">
        <w:t>Keytruda</w:t>
      </w:r>
      <w:r w:rsidR="1E938E64" w:rsidRPr="00EF4580">
        <w:t>®</w:t>
      </w:r>
      <w:r w:rsidR="0CF130DF" w:rsidRPr="00EF4580">
        <w:t>,</w:t>
      </w:r>
      <w:r w:rsidR="000B7767" w:rsidRPr="00EF4580">
        <w:br/>
      </w:r>
      <w:r w:rsidR="00647CF4">
        <w:t>Merck Sharp &amp; Dohme (Australia) P</w:t>
      </w:r>
      <w:r w:rsidR="00FB3BC4">
        <w:t>ty Ltd</w:t>
      </w:r>
    </w:p>
    <w:p w14:paraId="1DE8D195" w14:textId="40C679A1" w:rsidR="003F044F" w:rsidRPr="006C5B33" w:rsidRDefault="009C5B72" w:rsidP="006C5B33">
      <w:pPr>
        <w:pStyle w:val="2-SectionHeading"/>
        <w:rPr>
          <w:rFonts w:eastAsia="Calibri"/>
        </w:rPr>
      </w:pPr>
      <w:r w:rsidRPr="006C5B33">
        <w:t>Purpose</w:t>
      </w:r>
    </w:p>
    <w:p w14:paraId="209B29E3" w14:textId="77777777" w:rsidR="00647CF4" w:rsidRPr="006919A9" w:rsidRDefault="00F81F7A" w:rsidP="00647CF4">
      <w:pPr>
        <w:pStyle w:val="3-BodyText"/>
        <w:numPr>
          <w:ilvl w:val="1"/>
          <w:numId w:val="1"/>
        </w:numPr>
      </w:pPr>
      <w:r w:rsidRPr="00F81F7A">
        <w:t xml:space="preserve">The </w:t>
      </w:r>
      <w:r w:rsidR="009D55E2" w:rsidRPr="002C633F">
        <w:t>early re-entry re</w:t>
      </w:r>
      <w:r w:rsidRPr="002C633F">
        <w:t xml:space="preserve">submission </w:t>
      </w:r>
      <w:r w:rsidR="00647CF4" w:rsidRPr="006919A9">
        <w:t>requested a Section 100 (Efficient Funding of Chemotherapy) Authority Required (STREAMLINED) listing for the treatment of early stage triple negative breast cancer in patients who have not received prior systemic therapy.</w:t>
      </w:r>
    </w:p>
    <w:p w14:paraId="5AB68F30" w14:textId="7874D05E" w:rsidR="009D55E2" w:rsidRPr="00D34011" w:rsidRDefault="6657D135" w:rsidP="00526BA3">
      <w:pPr>
        <w:pStyle w:val="3-BodyText"/>
        <w:numPr>
          <w:ilvl w:val="1"/>
          <w:numId w:val="1"/>
        </w:numPr>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decision </w:t>
      </w:r>
      <w:r w:rsidR="00DF4821" w:rsidRPr="00AD6E3F">
        <w:t xml:space="preserve">to not recommend </w:t>
      </w:r>
      <w:r w:rsidR="00647CF4" w:rsidRPr="00AD6E3F">
        <w:t>pembrolizumab</w:t>
      </w:r>
      <w:r w:rsidR="00DF4821" w:rsidRPr="00AD6E3F">
        <w:t xml:space="preserve"> for this indication </w:t>
      </w:r>
      <w:r w:rsidR="00AD6E3F">
        <w:t>at the</w:t>
      </w:r>
      <w:r w:rsidR="009D55E2" w:rsidRPr="002C633F">
        <w:t xml:space="preserve"> </w:t>
      </w:r>
      <w:r w:rsidR="00647CF4">
        <w:t>March 2023</w:t>
      </w:r>
      <w:r w:rsidR="009D55E2" w:rsidRPr="002C633F">
        <w:t xml:space="preserve"> </w:t>
      </w:r>
      <w:r w:rsidR="00AD6E3F">
        <w:t xml:space="preserve">meeting. </w:t>
      </w:r>
      <w:r w:rsidRPr="00AD6E3F">
        <w:t xml:space="preserve">This </w:t>
      </w:r>
      <w:r w:rsidR="009D55E2" w:rsidRPr="00AD6E3F">
        <w:t>resubmission</w:t>
      </w:r>
      <w:r w:rsidR="009D55E2">
        <w:rPr>
          <w:snapToGrid w:val="0"/>
        </w:rPr>
        <w:t xml:space="preserve">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9D55E2" w:rsidRPr="009D55E2">
        <w:rPr>
          <w:snapToGrid w:val="0"/>
        </w:rPr>
        <w:t>PBAC</w:t>
      </w:r>
      <w:r w:rsidR="009B750F">
        <w:rPr>
          <w:snapToGrid w:val="0"/>
        </w:rPr>
        <w:t>;</w:t>
      </w:r>
      <w:r w:rsidR="009D55E2" w:rsidRPr="009D55E2">
        <w:rPr>
          <w:snapToGrid w:val="0"/>
        </w:rPr>
        <w:t xml:space="preserve"> </w:t>
      </w:r>
      <w:r w:rsidR="009B750F">
        <w:rPr>
          <w:snapToGrid w:val="0"/>
        </w:rPr>
        <w:t>see t</w:t>
      </w:r>
      <w:r w:rsidR="009D55E2" w:rsidRPr="009D55E2">
        <w:rPr>
          <w:snapToGrid w:val="0"/>
        </w:rPr>
        <w:t>able below.</w:t>
      </w:r>
      <w:r w:rsidR="00D34011">
        <w:rPr>
          <w:snapToGrid w:val="0"/>
        </w:rPr>
        <w:t xml:space="preserve"> </w:t>
      </w:r>
    </w:p>
    <w:p w14:paraId="13DC54C9" w14:textId="2EA6EEAD" w:rsidR="009D55E2" w:rsidRPr="002C633F" w:rsidRDefault="00AD6E3F" w:rsidP="00AD6E3F">
      <w:pPr>
        <w:pStyle w:val="TableFigureHeading"/>
      </w:pPr>
      <w:r>
        <w:t xml:space="preserve">Table </w:t>
      </w:r>
      <w:fldSimple w:instr=" SEQ Table \* ARABIC ">
        <w:r w:rsidR="00AB351A">
          <w:rPr>
            <w:noProof/>
          </w:rPr>
          <w:t>1</w:t>
        </w:r>
      </w:fldSimple>
      <w:r>
        <w:tab/>
      </w:r>
      <w:r w:rsidR="009D55E2" w:rsidRPr="002C633F">
        <w:t xml:space="preserve">Summary of key matters to be </w:t>
      </w:r>
      <w:proofErr w:type="gramStart"/>
      <w:r w:rsidR="009D55E2" w:rsidRPr="002C633F">
        <w:t>addressed</w:t>
      </w:r>
      <w:proofErr w:type="gramEnd"/>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1560"/>
        <w:gridCol w:w="567"/>
        <w:gridCol w:w="322"/>
        <w:gridCol w:w="1164"/>
      </w:tblGrid>
      <w:tr w:rsidR="002C633F" w:rsidRPr="002C633F" w14:paraId="5D2DC7BB" w14:textId="77777777" w:rsidTr="00A009C4">
        <w:trPr>
          <w:cantSplit/>
          <w:tblHeader/>
        </w:trPr>
        <w:tc>
          <w:tcPr>
            <w:tcW w:w="2992" w:type="pct"/>
            <w:tcBorders>
              <w:bottom w:val="single" w:sz="4" w:space="0" w:color="auto"/>
            </w:tcBorders>
            <w:vAlign w:val="center"/>
          </w:tcPr>
          <w:p w14:paraId="47875CEE" w14:textId="719157E8" w:rsidR="00D34011" w:rsidRPr="002C633F" w:rsidRDefault="00D34011" w:rsidP="00A009C4">
            <w:pPr>
              <w:pStyle w:val="In-tableHeading"/>
              <w:keepNext w:val="0"/>
              <w:widowControl w:val="0"/>
            </w:pPr>
            <w:r w:rsidRPr="002C633F">
              <w:t>Matter of concern</w:t>
            </w:r>
          </w:p>
        </w:tc>
        <w:tc>
          <w:tcPr>
            <w:tcW w:w="1361" w:type="pct"/>
            <w:gridSpan w:val="3"/>
            <w:tcBorders>
              <w:bottom w:val="single" w:sz="4" w:space="0" w:color="auto"/>
            </w:tcBorders>
            <w:vAlign w:val="center"/>
          </w:tcPr>
          <w:p w14:paraId="2F0501E9" w14:textId="41F16558" w:rsidR="00D34011" w:rsidRPr="002C633F" w:rsidRDefault="00D34011" w:rsidP="00A009C4">
            <w:pPr>
              <w:pStyle w:val="In-tableHeading"/>
              <w:keepNext w:val="0"/>
              <w:widowControl w:val="0"/>
            </w:pPr>
            <w:r w:rsidRPr="002C633F">
              <w:t>Response</w:t>
            </w:r>
          </w:p>
        </w:tc>
        <w:tc>
          <w:tcPr>
            <w:tcW w:w="647" w:type="pct"/>
            <w:tcBorders>
              <w:bottom w:val="single" w:sz="4" w:space="0" w:color="auto"/>
            </w:tcBorders>
            <w:vAlign w:val="center"/>
          </w:tcPr>
          <w:p w14:paraId="06AD57D9" w14:textId="3EBE6476" w:rsidR="00D34011" w:rsidRPr="002C633F" w:rsidRDefault="00D34011" w:rsidP="00A009C4">
            <w:pPr>
              <w:pStyle w:val="In-tableHeading"/>
              <w:keepNext w:val="0"/>
              <w:widowControl w:val="0"/>
            </w:pPr>
            <w:r w:rsidRPr="002C633F">
              <w:t>Addressed</w:t>
            </w:r>
          </w:p>
        </w:tc>
      </w:tr>
      <w:tr w:rsidR="00AD6E3F" w:rsidRPr="00AD6E3F" w14:paraId="76CF3D23" w14:textId="77777777" w:rsidTr="00590825">
        <w:trPr>
          <w:cantSplit/>
          <w:trHeight w:val="104"/>
        </w:trPr>
        <w:tc>
          <w:tcPr>
            <w:tcW w:w="3859" w:type="pct"/>
            <w:gridSpan w:val="2"/>
            <w:tcBorders>
              <w:right w:val="nil"/>
            </w:tcBorders>
            <w:vAlign w:val="center"/>
          </w:tcPr>
          <w:p w14:paraId="122BE47F" w14:textId="77777777" w:rsidR="00AD6E3F" w:rsidRPr="00AD6E3F" w:rsidRDefault="00AD6E3F" w:rsidP="00A009C4">
            <w:pPr>
              <w:pStyle w:val="TableText"/>
              <w:keepNext w:val="0"/>
              <w:widowControl w:val="0"/>
              <w:rPr>
                <w:b/>
                <w:bCs w:val="0"/>
              </w:rPr>
            </w:pPr>
          </w:p>
          <w:p w14:paraId="1BF17598" w14:textId="2E23100F" w:rsidR="00AD6E3F" w:rsidRPr="00AD6E3F" w:rsidRDefault="00AD6E3F" w:rsidP="00A009C4">
            <w:pPr>
              <w:pStyle w:val="TableText"/>
              <w:keepNext w:val="0"/>
              <w:widowControl w:val="0"/>
              <w:rPr>
                <w:b/>
                <w:bCs w:val="0"/>
              </w:rPr>
            </w:pPr>
            <w:r w:rsidRPr="00AD6E3F">
              <w:rPr>
                <w:b/>
                <w:bCs w:val="0"/>
              </w:rPr>
              <w:t>Revision of inputs to the economic evaluation</w:t>
            </w:r>
          </w:p>
        </w:tc>
        <w:tc>
          <w:tcPr>
            <w:tcW w:w="494" w:type="pct"/>
            <w:gridSpan w:val="2"/>
            <w:tcBorders>
              <w:left w:val="nil"/>
              <w:right w:val="nil"/>
            </w:tcBorders>
            <w:vAlign w:val="center"/>
          </w:tcPr>
          <w:p w14:paraId="19390C7B" w14:textId="77777777" w:rsidR="00AD6E3F" w:rsidRPr="00AD6E3F" w:rsidRDefault="00AD6E3F" w:rsidP="00A009C4">
            <w:pPr>
              <w:pStyle w:val="TableText"/>
              <w:keepNext w:val="0"/>
              <w:widowControl w:val="0"/>
              <w:rPr>
                <w:b/>
                <w:bCs w:val="0"/>
              </w:rPr>
            </w:pPr>
          </w:p>
        </w:tc>
        <w:tc>
          <w:tcPr>
            <w:tcW w:w="647" w:type="pct"/>
            <w:tcBorders>
              <w:left w:val="nil"/>
            </w:tcBorders>
            <w:vAlign w:val="center"/>
          </w:tcPr>
          <w:p w14:paraId="3CA0905E" w14:textId="77777777" w:rsidR="00AD6E3F" w:rsidRPr="00AD6E3F" w:rsidRDefault="00AD6E3F" w:rsidP="00A009C4">
            <w:pPr>
              <w:pStyle w:val="TableText"/>
              <w:keepNext w:val="0"/>
              <w:widowControl w:val="0"/>
              <w:rPr>
                <w:b/>
                <w:bCs w:val="0"/>
              </w:rPr>
            </w:pPr>
          </w:p>
        </w:tc>
      </w:tr>
      <w:tr w:rsidR="002C633F" w:rsidRPr="002C633F" w14:paraId="41739F84" w14:textId="77777777" w:rsidTr="00A009C4">
        <w:trPr>
          <w:cantSplit/>
        </w:trPr>
        <w:tc>
          <w:tcPr>
            <w:tcW w:w="2992" w:type="pct"/>
          </w:tcPr>
          <w:p w14:paraId="21A7AE9B" w14:textId="77777777" w:rsidR="00D34011" w:rsidRPr="00940DC3" w:rsidRDefault="00AD6E3F" w:rsidP="00A009C4">
            <w:pPr>
              <w:pStyle w:val="TableText"/>
              <w:keepNext w:val="0"/>
              <w:widowControl w:val="0"/>
              <w:rPr>
                <w:u w:val="single"/>
                <w:lang w:val="en-GB"/>
              </w:rPr>
            </w:pPr>
            <w:r w:rsidRPr="00940DC3">
              <w:rPr>
                <w:u w:val="single"/>
                <w:lang w:val="en-GB"/>
              </w:rPr>
              <w:t>Time horizon of 30 years</w:t>
            </w:r>
          </w:p>
          <w:p w14:paraId="6B3446A2" w14:textId="2C596EEE" w:rsidR="00940DC3" w:rsidRPr="002C633F" w:rsidRDefault="00940DC3" w:rsidP="00A009C4">
            <w:pPr>
              <w:pStyle w:val="TableText"/>
              <w:keepNext w:val="0"/>
              <w:widowControl w:val="0"/>
            </w:pPr>
            <w:r>
              <w:t xml:space="preserve">The PBAC considered that a 30-year time horizon was reasonable, </w:t>
            </w:r>
            <w:r>
              <w:rPr>
                <w:szCs w:val="20"/>
              </w:rPr>
              <w:t xml:space="preserve">in the context of more conservative treatment waning </w:t>
            </w:r>
            <w:r>
              <w:rPr>
                <w:iCs/>
              </w:rPr>
              <w:t xml:space="preserve">and given the aim of treatment is cure, in </w:t>
            </w:r>
            <w:r>
              <w:t>patients with eTNBC who are typically relatively young (para 7.8).</w:t>
            </w:r>
          </w:p>
        </w:tc>
        <w:tc>
          <w:tcPr>
            <w:tcW w:w="1361" w:type="pct"/>
            <w:gridSpan w:val="3"/>
          </w:tcPr>
          <w:p w14:paraId="7EFD147F" w14:textId="77777777" w:rsidR="00940DC3" w:rsidRPr="00940DC3" w:rsidRDefault="00940DC3" w:rsidP="00A009C4">
            <w:pPr>
              <w:widowControl w:val="0"/>
              <w:jc w:val="left"/>
              <w:rPr>
                <w:rFonts w:ascii="Arial Narrow" w:eastAsiaTheme="majorEastAsia" w:hAnsi="Arial Narrow" w:cstheme="majorBidi"/>
                <w:bCs/>
                <w:sz w:val="20"/>
                <w:szCs w:val="20"/>
              </w:rPr>
            </w:pPr>
            <w:r w:rsidRPr="00940DC3">
              <w:rPr>
                <w:rFonts w:ascii="Arial Narrow" w:eastAsiaTheme="majorEastAsia" w:hAnsi="Arial Narrow" w:cstheme="majorBidi"/>
                <w:bCs/>
                <w:sz w:val="20"/>
                <w:szCs w:val="20"/>
              </w:rPr>
              <w:t>A time horizon of 30 years has been applied in the economic evaluation.</w:t>
            </w:r>
          </w:p>
          <w:p w14:paraId="4F86B4C1" w14:textId="1224DDF5" w:rsidR="00D34011" w:rsidRPr="002C633F" w:rsidRDefault="00D34011" w:rsidP="00A009C4">
            <w:pPr>
              <w:pStyle w:val="TableText"/>
              <w:keepNext w:val="0"/>
              <w:widowControl w:val="0"/>
            </w:pPr>
          </w:p>
        </w:tc>
        <w:tc>
          <w:tcPr>
            <w:tcW w:w="647" w:type="pct"/>
            <w:vAlign w:val="center"/>
          </w:tcPr>
          <w:p w14:paraId="40542A06" w14:textId="40979EB4" w:rsidR="00D34011" w:rsidRPr="002C633F" w:rsidRDefault="00D34011" w:rsidP="00A009C4">
            <w:pPr>
              <w:pStyle w:val="TableText"/>
              <w:keepNext w:val="0"/>
              <w:widowControl w:val="0"/>
            </w:pPr>
            <w:r w:rsidRPr="002C633F">
              <w:t>Y</w:t>
            </w:r>
            <w:r w:rsidR="00940DC3">
              <w:t>es</w:t>
            </w:r>
          </w:p>
        </w:tc>
      </w:tr>
      <w:tr w:rsidR="002C633F" w:rsidRPr="002C633F" w14:paraId="6E83CDA9" w14:textId="77777777" w:rsidTr="00A009C4">
        <w:trPr>
          <w:cantSplit/>
        </w:trPr>
        <w:tc>
          <w:tcPr>
            <w:tcW w:w="2992" w:type="pct"/>
          </w:tcPr>
          <w:p w14:paraId="66D7DB2B" w14:textId="77777777" w:rsidR="00D34011" w:rsidRPr="00940DC3" w:rsidRDefault="00AD6E3F" w:rsidP="00A009C4">
            <w:pPr>
              <w:pStyle w:val="TableText"/>
              <w:keepNext w:val="0"/>
              <w:widowControl w:val="0"/>
              <w:rPr>
                <w:u w:val="single"/>
              </w:rPr>
            </w:pPr>
            <w:r w:rsidRPr="00940DC3">
              <w:rPr>
                <w:u w:val="single"/>
              </w:rPr>
              <w:t>Application of treatment waning from 5 years</w:t>
            </w:r>
          </w:p>
          <w:p w14:paraId="5C9F432C" w14:textId="6481965A" w:rsidR="00940DC3" w:rsidRPr="002C633F" w:rsidRDefault="00940DC3" w:rsidP="00A009C4">
            <w:pPr>
              <w:pStyle w:val="TableText"/>
              <w:keepNext w:val="0"/>
              <w:widowControl w:val="0"/>
            </w:pPr>
            <w:r>
              <w:t>The PBAC noted that the pre-PBAC response proposed applying treatment waning from 8 years, which resulted in a 9.35% OS benefit after 30 years. The PBAC considered that this remained optimistic, particularly in the context of immature OS data, and considered it would be appropriate to apply treatment waning from 5 years to reflect the clinical course of eTNBC (para 7.8).</w:t>
            </w:r>
          </w:p>
        </w:tc>
        <w:tc>
          <w:tcPr>
            <w:tcW w:w="1361" w:type="pct"/>
            <w:gridSpan w:val="3"/>
          </w:tcPr>
          <w:p w14:paraId="64E0DE1A" w14:textId="6E627FC6" w:rsidR="00D34011" w:rsidRPr="002C633F" w:rsidRDefault="00940DC3" w:rsidP="00A009C4">
            <w:pPr>
              <w:pStyle w:val="TableText"/>
              <w:keepNext w:val="0"/>
              <w:widowControl w:val="0"/>
            </w:pPr>
            <w:r>
              <w:t>The application of treatment waning has been applied at 5.5 years.</w:t>
            </w:r>
          </w:p>
        </w:tc>
        <w:tc>
          <w:tcPr>
            <w:tcW w:w="647" w:type="pct"/>
            <w:vAlign w:val="center"/>
          </w:tcPr>
          <w:p w14:paraId="7A6D4E21" w14:textId="38E711F8" w:rsidR="00D34011" w:rsidRPr="002C633F" w:rsidRDefault="00940DC3" w:rsidP="00A009C4">
            <w:pPr>
              <w:pStyle w:val="TableText"/>
              <w:keepNext w:val="0"/>
              <w:widowControl w:val="0"/>
            </w:pPr>
            <w:r>
              <w:t>Not fully addressed</w:t>
            </w:r>
          </w:p>
        </w:tc>
      </w:tr>
      <w:tr w:rsidR="002C633F" w:rsidRPr="002C633F" w14:paraId="2DF1DD08" w14:textId="77777777" w:rsidTr="00A009C4">
        <w:trPr>
          <w:cantSplit/>
        </w:trPr>
        <w:tc>
          <w:tcPr>
            <w:tcW w:w="2992" w:type="pct"/>
          </w:tcPr>
          <w:p w14:paraId="73702104" w14:textId="77777777" w:rsidR="00D34011" w:rsidRDefault="00AD6E3F" w:rsidP="00A009C4">
            <w:pPr>
              <w:pStyle w:val="TableText"/>
              <w:keepNext w:val="0"/>
              <w:widowControl w:val="0"/>
              <w:rPr>
                <w:u w:val="single"/>
                <w:lang w:val="en-GB"/>
              </w:rPr>
            </w:pPr>
            <w:r w:rsidRPr="00940DC3">
              <w:rPr>
                <w:u w:val="single"/>
                <w:lang w:val="en-GB"/>
              </w:rPr>
              <w:t xml:space="preserve">Inclusion of adjustment of costs and outcomes to include adjuvant </w:t>
            </w:r>
            <w:proofErr w:type="gramStart"/>
            <w:r w:rsidRPr="00940DC3">
              <w:rPr>
                <w:u w:val="single"/>
                <w:lang w:val="en-GB"/>
              </w:rPr>
              <w:t>capecitabine</w:t>
            </w:r>
            <w:proofErr w:type="gramEnd"/>
          </w:p>
          <w:p w14:paraId="49207A7D" w14:textId="28294846" w:rsidR="00940DC3" w:rsidRPr="00940DC3" w:rsidRDefault="00940DC3" w:rsidP="00A009C4">
            <w:pPr>
              <w:pStyle w:val="TableText"/>
              <w:keepNext w:val="0"/>
              <w:widowControl w:val="0"/>
              <w:rPr>
                <w:u w:val="single"/>
              </w:rPr>
            </w:pPr>
            <w:r>
              <w:t>As adjuvant capecitabine was considered an appropriate comparator to pembrolizumab for patients with residual disease, the PBAC</w:t>
            </w:r>
            <w:r w:rsidRPr="00F756C7">
              <w:t xml:space="preserve"> considered that it would be appropriate for the model to include adjustment to account for capecitabine use in these patients</w:t>
            </w:r>
            <w:r>
              <w:t>, as applied in the pre-PBAC revised base case (para 7.9).</w:t>
            </w:r>
          </w:p>
        </w:tc>
        <w:tc>
          <w:tcPr>
            <w:tcW w:w="1361" w:type="pct"/>
            <w:gridSpan w:val="3"/>
          </w:tcPr>
          <w:p w14:paraId="7E07F94E" w14:textId="3055CA43" w:rsidR="00D34011" w:rsidRPr="002C633F" w:rsidRDefault="00940DC3" w:rsidP="00A009C4">
            <w:pPr>
              <w:widowControl w:val="0"/>
              <w:jc w:val="left"/>
            </w:pPr>
            <w:r w:rsidRPr="00940DC3">
              <w:rPr>
                <w:rFonts w:ascii="Arial Narrow" w:eastAsiaTheme="majorEastAsia" w:hAnsi="Arial Narrow" w:cstheme="majorBidi"/>
                <w:bCs/>
                <w:sz w:val="20"/>
              </w:rPr>
              <w:t>Adjustment of costs and outcomes to include adjuvant capecitabine to the comparator arm have been applied in the economic evaluation.</w:t>
            </w:r>
          </w:p>
        </w:tc>
        <w:tc>
          <w:tcPr>
            <w:tcW w:w="647" w:type="pct"/>
            <w:vAlign w:val="center"/>
          </w:tcPr>
          <w:p w14:paraId="5175BB10" w14:textId="28CA86F4" w:rsidR="00D34011" w:rsidRPr="002C633F" w:rsidRDefault="00940DC3" w:rsidP="00A009C4">
            <w:pPr>
              <w:pStyle w:val="TableText"/>
              <w:keepNext w:val="0"/>
              <w:widowControl w:val="0"/>
            </w:pPr>
            <w:r>
              <w:t>Yes</w:t>
            </w:r>
          </w:p>
        </w:tc>
      </w:tr>
      <w:tr w:rsidR="002C633F" w:rsidRPr="002C633F" w14:paraId="3B47EDB5" w14:textId="77777777" w:rsidTr="00A009C4">
        <w:trPr>
          <w:cantSplit/>
        </w:trPr>
        <w:tc>
          <w:tcPr>
            <w:tcW w:w="2992" w:type="pct"/>
          </w:tcPr>
          <w:p w14:paraId="167C4105" w14:textId="77777777" w:rsidR="00D34011" w:rsidRDefault="00AD6E3F" w:rsidP="00A009C4">
            <w:pPr>
              <w:pStyle w:val="TableText"/>
              <w:keepNext w:val="0"/>
              <w:widowControl w:val="0"/>
              <w:rPr>
                <w:u w:val="single"/>
              </w:rPr>
            </w:pPr>
            <w:r w:rsidRPr="00940DC3">
              <w:rPr>
                <w:u w:val="single"/>
                <w:lang w:val="en-GB"/>
              </w:rPr>
              <w:t xml:space="preserve">Revision of terminal care costs </w:t>
            </w:r>
            <w:r w:rsidRPr="00940DC3">
              <w:rPr>
                <w:u w:val="single"/>
              </w:rPr>
              <w:t>to $6,050</w:t>
            </w:r>
          </w:p>
          <w:p w14:paraId="1FA45752" w14:textId="0E7BC76F" w:rsidR="00940DC3" w:rsidRPr="00940DC3" w:rsidRDefault="00940DC3" w:rsidP="00A009C4">
            <w:pPr>
              <w:pStyle w:val="TableText"/>
              <w:keepNext w:val="0"/>
              <w:widowControl w:val="0"/>
              <w:rPr>
                <w:u w:val="single"/>
              </w:rPr>
            </w:pPr>
            <w:r>
              <w:t>The PBAC also considered that revision of the terminal care costs to $6,050, in the pre-PBAC revised base case was appropriate</w:t>
            </w:r>
            <w:r w:rsidRPr="003D3FD9">
              <w:t xml:space="preserve"> </w:t>
            </w:r>
            <w:r>
              <w:t>and consistent with terminal care costs in the sacituzumab govitecan submission (para 7.9).</w:t>
            </w:r>
          </w:p>
        </w:tc>
        <w:tc>
          <w:tcPr>
            <w:tcW w:w="1361" w:type="pct"/>
            <w:gridSpan w:val="3"/>
          </w:tcPr>
          <w:p w14:paraId="7EB6A7C5" w14:textId="13F53175" w:rsidR="00D34011" w:rsidRPr="00940DC3" w:rsidRDefault="00940DC3" w:rsidP="00A009C4">
            <w:pPr>
              <w:widowControl w:val="0"/>
              <w:jc w:val="left"/>
              <w:rPr>
                <w:rFonts w:ascii="Arial Narrow" w:eastAsiaTheme="majorEastAsia" w:hAnsi="Arial Narrow" w:cstheme="majorBidi"/>
                <w:bCs/>
                <w:sz w:val="20"/>
              </w:rPr>
            </w:pPr>
            <w:r w:rsidRPr="00940DC3">
              <w:rPr>
                <w:rFonts w:ascii="Arial Narrow" w:eastAsiaTheme="majorEastAsia" w:hAnsi="Arial Narrow" w:cstheme="majorBidi"/>
                <w:bCs/>
                <w:sz w:val="20"/>
              </w:rPr>
              <w:t>Terminal care costs of $6,050 have been applied in the economic evaluation.</w:t>
            </w:r>
          </w:p>
        </w:tc>
        <w:tc>
          <w:tcPr>
            <w:tcW w:w="647" w:type="pct"/>
            <w:vAlign w:val="center"/>
          </w:tcPr>
          <w:p w14:paraId="404F3F9B" w14:textId="0D2FCFA2" w:rsidR="00D34011" w:rsidRPr="002C633F" w:rsidRDefault="00940DC3" w:rsidP="00A009C4">
            <w:pPr>
              <w:pStyle w:val="TableText"/>
              <w:keepNext w:val="0"/>
              <w:widowControl w:val="0"/>
            </w:pPr>
            <w:r>
              <w:t>Yes</w:t>
            </w:r>
          </w:p>
        </w:tc>
      </w:tr>
      <w:tr w:rsidR="00AD6E3F" w:rsidRPr="002C633F" w14:paraId="030180CB" w14:textId="77777777" w:rsidTr="00A009C4">
        <w:trPr>
          <w:cantSplit/>
        </w:trPr>
        <w:tc>
          <w:tcPr>
            <w:tcW w:w="2992" w:type="pct"/>
            <w:tcBorders>
              <w:bottom w:val="single" w:sz="4" w:space="0" w:color="auto"/>
            </w:tcBorders>
          </w:tcPr>
          <w:p w14:paraId="1BC0B61E" w14:textId="77777777" w:rsidR="00AD6E3F" w:rsidRPr="00940DC3" w:rsidRDefault="00AD6E3F" w:rsidP="00A009C4">
            <w:pPr>
              <w:pStyle w:val="TableText"/>
              <w:keepNext w:val="0"/>
              <w:widowControl w:val="0"/>
              <w:rPr>
                <w:u w:val="single"/>
                <w:lang w:val="en-GB"/>
              </w:rPr>
            </w:pPr>
            <w:r w:rsidRPr="00940DC3">
              <w:rPr>
                <w:u w:val="single"/>
                <w:lang w:val="en-GB"/>
              </w:rPr>
              <w:lastRenderedPageBreak/>
              <w:t>ICER of less than $35,000 per QALY</w:t>
            </w:r>
          </w:p>
          <w:p w14:paraId="36B04488" w14:textId="71394128" w:rsidR="00940DC3" w:rsidRDefault="00940DC3" w:rsidP="00A009C4">
            <w:pPr>
              <w:pStyle w:val="TableText"/>
              <w:keepNext w:val="0"/>
              <w:widowControl w:val="0"/>
              <w:rPr>
                <w:lang w:val="en-GB"/>
              </w:rPr>
            </w:pPr>
            <w:r>
              <w:t>The PBAC considered that an ICER of up to $35,000/QALY gained would account for the uncertainty regarding the modelled outcomes (para 7.10).</w:t>
            </w:r>
          </w:p>
        </w:tc>
        <w:tc>
          <w:tcPr>
            <w:tcW w:w="1361" w:type="pct"/>
            <w:gridSpan w:val="3"/>
            <w:tcBorders>
              <w:bottom w:val="single" w:sz="4" w:space="0" w:color="auto"/>
            </w:tcBorders>
          </w:tcPr>
          <w:p w14:paraId="2341EAD4" w14:textId="39A0CD34" w:rsidR="00AD6E3F" w:rsidRPr="00940DC3" w:rsidRDefault="00940DC3" w:rsidP="00A009C4">
            <w:pPr>
              <w:widowControl w:val="0"/>
              <w:jc w:val="left"/>
              <w:rPr>
                <w:rFonts w:ascii="Arial Narrow" w:eastAsiaTheme="majorEastAsia" w:hAnsi="Arial Narrow" w:cstheme="majorBidi"/>
                <w:bCs/>
                <w:sz w:val="20"/>
              </w:rPr>
            </w:pPr>
            <w:r w:rsidRPr="00940DC3">
              <w:rPr>
                <w:rFonts w:ascii="Arial Narrow" w:eastAsiaTheme="majorEastAsia" w:hAnsi="Arial Narrow" w:cstheme="majorBidi"/>
                <w:bCs/>
                <w:sz w:val="20"/>
              </w:rPr>
              <w:t>The price of pembrolizumab has been reduced from $</w:t>
            </w:r>
            <w:r w:rsidR="009215AC" w:rsidRPr="009215AC">
              <w:rPr>
                <w:rFonts w:ascii="Arial Narrow" w:eastAsiaTheme="majorEastAsia" w:hAnsi="Arial Narrow" w:cstheme="majorBidi"/>
                <w:bCs/>
                <w:color w:val="000000"/>
                <w:spacing w:val="40"/>
                <w:sz w:val="20"/>
                <w:shd w:val="solid" w:color="000000" w:fill="000000"/>
                <w:fitText w:val="318" w:id="-1168380416"/>
                <w14:textFill>
                  <w14:solidFill>
                    <w14:srgbClr w14:val="000000">
                      <w14:alpha w14:val="100000"/>
                    </w14:srgbClr>
                  </w14:solidFill>
                </w14:textFill>
              </w:rPr>
              <w:t>|||</w:t>
            </w:r>
            <w:r w:rsidR="009215AC" w:rsidRPr="009215AC">
              <w:rPr>
                <w:rFonts w:ascii="Arial Narrow" w:eastAsiaTheme="majorEastAsia" w:hAnsi="Arial Narrow" w:cstheme="majorBidi"/>
                <w:bCs/>
                <w:color w:val="000000"/>
                <w:spacing w:val="27"/>
                <w:sz w:val="20"/>
                <w:shd w:val="solid" w:color="000000" w:fill="000000"/>
                <w:fitText w:val="318" w:id="-1168380416"/>
                <w14:textFill>
                  <w14:solidFill>
                    <w14:srgbClr w14:val="000000">
                      <w14:alpha w14:val="100000"/>
                    </w14:srgbClr>
                  </w14:solidFill>
                </w14:textFill>
              </w:rPr>
              <w:t>|</w:t>
            </w:r>
            <w:r w:rsidRPr="00940DC3">
              <w:rPr>
                <w:rFonts w:ascii="Arial Narrow" w:eastAsiaTheme="majorEastAsia" w:hAnsi="Arial Narrow" w:cstheme="majorBidi"/>
                <w:bCs/>
                <w:sz w:val="20"/>
              </w:rPr>
              <w:t xml:space="preserve"> to $</w:t>
            </w:r>
            <w:r w:rsidR="009215AC" w:rsidRPr="009215AC">
              <w:rPr>
                <w:rFonts w:ascii="Arial Narrow" w:eastAsiaTheme="majorEastAsia" w:hAnsi="Arial Narrow" w:cstheme="majorBidi"/>
                <w:bCs/>
                <w:color w:val="000000"/>
                <w:spacing w:val="40"/>
                <w:sz w:val="20"/>
                <w:shd w:val="solid" w:color="000000" w:fill="000000"/>
                <w:fitText w:val="319" w:id="-1168380415"/>
                <w14:textFill>
                  <w14:solidFill>
                    <w14:srgbClr w14:val="000000">
                      <w14:alpha w14:val="100000"/>
                    </w14:srgbClr>
                  </w14:solidFill>
                </w14:textFill>
              </w:rPr>
              <w:t>|||</w:t>
            </w:r>
            <w:r w:rsidR="009215AC" w:rsidRPr="009215AC">
              <w:rPr>
                <w:rFonts w:ascii="Arial Narrow" w:eastAsiaTheme="majorEastAsia" w:hAnsi="Arial Narrow" w:cstheme="majorBidi"/>
                <w:bCs/>
                <w:color w:val="000000"/>
                <w:spacing w:val="27"/>
                <w:sz w:val="20"/>
                <w:shd w:val="solid" w:color="000000" w:fill="000000"/>
                <w:fitText w:val="319" w:id="-1168380415"/>
                <w14:textFill>
                  <w14:solidFill>
                    <w14:srgbClr w14:val="000000">
                      <w14:alpha w14:val="100000"/>
                    </w14:srgbClr>
                  </w14:solidFill>
                </w14:textFill>
              </w:rPr>
              <w:t>|</w:t>
            </w:r>
            <w:r w:rsidRPr="00940DC3">
              <w:rPr>
                <w:rFonts w:ascii="Arial Narrow" w:eastAsiaTheme="majorEastAsia" w:hAnsi="Arial Narrow" w:cstheme="majorBidi"/>
                <w:bCs/>
                <w:sz w:val="20"/>
              </w:rPr>
              <w:t xml:space="preserve"> AEMP per 100</w:t>
            </w:r>
            <w:r>
              <w:rPr>
                <w:rFonts w:ascii="Arial Narrow" w:eastAsiaTheme="majorEastAsia" w:hAnsi="Arial Narrow" w:cstheme="majorBidi"/>
                <w:bCs/>
                <w:sz w:val="20"/>
              </w:rPr>
              <w:t xml:space="preserve"> </w:t>
            </w:r>
            <w:r w:rsidRPr="00940DC3">
              <w:rPr>
                <w:rFonts w:ascii="Arial Narrow" w:eastAsiaTheme="majorEastAsia" w:hAnsi="Arial Narrow" w:cstheme="majorBidi"/>
                <w:bCs/>
                <w:sz w:val="20"/>
              </w:rPr>
              <w:t>mg vial</w:t>
            </w:r>
            <w:r>
              <w:rPr>
                <w:rFonts w:ascii="Arial Narrow" w:eastAsiaTheme="majorEastAsia" w:hAnsi="Arial Narrow" w:cstheme="majorBidi"/>
                <w:bCs/>
                <w:sz w:val="20"/>
              </w:rPr>
              <w:t xml:space="preserve">, resulting </w:t>
            </w:r>
            <w:r w:rsidRPr="00940DC3">
              <w:rPr>
                <w:rFonts w:ascii="Arial Narrow" w:eastAsiaTheme="majorEastAsia" w:hAnsi="Arial Narrow" w:cstheme="majorBidi"/>
                <w:bCs/>
                <w:sz w:val="20"/>
              </w:rPr>
              <w:t>in an ICER of $</w:t>
            </w:r>
            <w:r w:rsidR="00F678E8">
              <w:rPr>
                <w:rFonts w:ascii="Arial Narrow" w:eastAsiaTheme="majorEastAsia" w:hAnsi="Arial Narrow" w:cstheme="majorBidi"/>
                <w:bCs/>
                <w:sz w:val="20"/>
                <w:highlight w:val="lightGray"/>
              </w:rPr>
              <w:t xml:space="preserve"> </w:t>
            </w:r>
            <w:r w:rsidR="009215AC" w:rsidRPr="009215AC">
              <w:rPr>
                <w:rFonts w:ascii="Arial Narrow" w:eastAsiaTheme="majorEastAsia" w:hAnsi="Arial Narrow" w:cstheme="majorBidi"/>
                <w:bCs/>
                <w:color w:val="000000"/>
                <w:spacing w:val="40"/>
                <w:sz w:val="20"/>
                <w:shd w:val="solid" w:color="000000" w:fill="000000"/>
                <w:fitText w:val="318" w:id="-1168380414"/>
                <w14:textFill>
                  <w14:solidFill>
                    <w14:srgbClr w14:val="000000">
                      <w14:alpha w14:val="100000"/>
                    </w14:srgbClr>
                  </w14:solidFill>
                </w14:textFill>
              </w:rPr>
              <w:t>|||</w:t>
            </w:r>
            <w:r w:rsidR="009215AC" w:rsidRPr="009215AC">
              <w:rPr>
                <w:rFonts w:ascii="Arial Narrow" w:eastAsiaTheme="majorEastAsia" w:hAnsi="Arial Narrow" w:cstheme="majorBidi"/>
                <w:bCs/>
                <w:color w:val="000000"/>
                <w:spacing w:val="27"/>
                <w:sz w:val="20"/>
                <w:shd w:val="solid" w:color="000000" w:fill="000000"/>
                <w:fitText w:val="318" w:id="-1168380414"/>
                <w14:textFill>
                  <w14:solidFill>
                    <w14:srgbClr w14:val="000000">
                      <w14:alpha w14:val="100000"/>
                    </w14:srgbClr>
                  </w14:solidFill>
                </w14:textFill>
              </w:rPr>
              <w:t>|</w:t>
            </w:r>
            <w:r w:rsidR="00BD15EA">
              <w:rPr>
                <w:rFonts w:ascii="Arial Narrow" w:eastAsiaTheme="majorEastAsia" w:hAnsi="Arial Narrow" w:cstheme="majorBidi"/>
                <w:bCs/>
                <w:sz w:val="20"/>
                <w:vertAlign w:val="superscript"/>
              </w:rPr>
              <w:t>3</w:t>
            </w:r>
            <w:r w:rsidR="00BD15EA" w:rsidRPr="00940DC3">
              <w:rPr>
                <w:rFonts w:ascii="Arial Narrow" w:eastAsiaTheme="majorEastAsia" w:hAnsi="Arial Narrow" w:cstheme="majorBidi"/>
                <w:bCs/>
                <w:sz w:val="20"/>
              </w:rPr>
              <w:t>/</w:t>
            </w:r>
            <w:r w:rsidRPr="00940DC3">
              <w:rPr>
                <w:rFonts w:ascii="Arial Narrow" w:eastAsiaTheme="majorEastAsia" w:hAnsi="Arial Narrow" w:cstheme="majorBidi"/>
                <w:bCs/>
                <w:sz w:val="20"/>
              </w:rPr>
              <w:t>/QALY.</w:t>
            </w:r>
          </w:p>
        </w:tc>
        <w:tc>
          <w:tcPr>
            <w:tcW w:w="647" w:type="pct"/>
            <w:tcBorders>
              <w:bottom w:val="single" w:sz="4" w:space="0" w:color="auto"/>
            </w:tcBorders>
            <w:vAlign w:val="center"/>
          </w:tcPr>
          <w:p w14:paraId="32DA7D31" w14:textId="6D9091A8" w:rsidR="00AD6E3F" w:rsidRPr="002C633F" w:rsidRDefault="00940DC3" w:rsidP="00A009C4">
            <w:pPr>
              <w:pStyle w:val="TableText"/>
              <w:keepNext w:val="0"/>
              <w:widowControl w:val="0"/>
            </w:pPr>
            <w:r>
              <w:t>Not fully addressed</w:t>
            </w:r>
          </w:p>
        </w:tc>
      </w:tr>
      <w:tr w:rsidR="00AD6E3F" w:rsidRPr="00AD6E3F" w14:paraId="467717FC" w14:textId="77777777" w:rsidTr="00AD6E3F">
        <w:trPr>
          <w:cantSplit/>
        </w:trPr>
        <w:tc>
          <w:tcPr>
            <w:tcW w:w="4174" w:type="pct"/>
            <w:gridSpan w:val="3"/>
            <w:tcBorders>
              <w:right w:val="nil"/>
            </w:tcBorders>
            <w:vAlign w:val="center"/>
          </w:tcPr>
          <w:p w14:paraId="2438F87A" w14:textId="77777777" w:rsidR="00AD6E3F" w:rsidRPr="00AD6E3F" w:rsidRDefault="00AD6E3F" w:rsidP="00A009C4">
            <w:pPr>
              <w:pStyle w:val="TableText"/>
              <w:keepNext w:val="0"/>
              <w:widowControl w:val="0"/>
              <w:rPr>
                <w:b/>
                <w:bCs w:val="0"/>
                <w:lang w:val="en-GB"/>
              </w:rPr>
            </w:pPr>
          </w:p>
          <w:p w14:paraId="08360022" w14:textId="151312ED" w:rsidR="00AD6E3F" w:rsidRPr="00AD6E3F" w:rsidRDefault="00AD6E3F" w:rsidP="00A009C4">
            <w:pPr>
              <w:pStyle w:val="TableText"/>
              <w:keepNext w:val="0"/>
              <w:widowControl w:val="0"/>
              <w:rPr>
                <w:b/>
                <w:bCs w:val="0"/>
                <w:lang w:val="en-GB"/>
              </w:rPr>
            </w:pPr>
            <w:r w:rsidRPr="00AD6E3F">
              <w:rPr>
                <w:b/>
                <w:bCs w:val="0"/>
                <w:lang w:val="en-GB"/>
              </w:rPr>
              <w:t xml:space="preserve">Revision of inputs to the financial estimates </w:t>
            </w:r>
          </w:p>
        </w:tc>
        <w:tc>
          <w:tcPr>
            <w:tcW w:w="179" w:type="pct"/>
            <w:tcBorders>
              <w:left w:val="nil"/>
              <w:right w:val="nil"/>
            </w:tcBorders>
            <w:vAlign w:val="center"/>
          </w:tcPr>
          <w:p w14:paraId="1AAFD02D" w14:textId="77777777" w:rsidR="00AD6E3F" w:rsidRPr="00AD6E3F" w:rsidRDefault="00AD6E3F" w:rsidP="00A009C4">
            <w:pPr>
              <w:pStyle w:val="TableText"/>
              <w:keepNext w:val="0"/>
              <w:widowControl w:val="0"/>
              <w:rPr>
                <w:b/>
                <w:bCs w:val="0"/>
              </w:rPr>
            </w:pPr>
          </w:p>
        </w:tc>
        <w:tc>
          <w:tcPr>
            <w:tcW w:w="647" w:type="pct"/>
            <w:tcBorders>
              <w:left w:val="nil"/>
            </w:tcBorders>
            <w:vAlign w:val="center"/>
          </w:tcPr>
          <w:p w14:paraId="65D20E2F" w14:textId="77777777" w:rsidR="00AD6E3F" w:rsidRPr="00AD6E3F" w:rsidRDefault="00AD6E3F" w:rsidP="00A009C4">
            <w:pPr>
              <w:pStyle w:val="TableText"/>
              <w:keepNext w:val="0"/>
              <w:widowControl w:val="0"/>
              <w:rPr>
                <w:b/>
                <w:bCs w:val="0"/>
              </w:rPr>
            </w:pPr>
          </w:p>
        </w:tc>
      </w:tr>
      <w:tr w:rsidR="00AD6E3F" w:rsidRPr="002C633F" w14:paraId="429A5F68" w14:textId="77777777" w:rsidTr="00A009C4">
        <w:trPr>
          <w:cantSplit/>
        </w:trPr>
        <w:tc>
          <w:tcPr>
            <w:tcW w:w="2992" w:type="pct"/>
            <w:vAlign w:val="center"/>
          </w:tcPr>
          <w:p w14:paraId="2B3F674F" w14:textId="77777777" w:rsidR="00AD6E3F" w:rsidRPr="009C07CA" w:rsidRDefault="00AD6E3F" w:rsidP="00A009C4">
            <w:pPr>
              <w:pStyle w:val="TableText"/>
              <w:keepNext w:val="0"/>
              <w:widowControl w:val="0"/>
              <w:rPr>
                <w:u w:val="single"/>
                <w:lang w:val="en-GB"/>
              </w:rPr>
            </w:pPr>
            <w:r w:rsidRPr="009C07CA">
              <w:rPr>
                <w:u w:val="single"/>
                <w:lang w:val="en-GB"/>
              </w:rPr>
              <w:t>Removal of the prevalent population from the patient numbers</w:t>
            </w:r>
          </w:p>
          <w:p w14:paraId="404F3188" w14:textId="1BA263C2" w:rsidR="009C07CA" w:rsidRDefault="009C07CA" w:rsidP="00A009C4">
            <w:pPr>
              <w:pStyle w:val="TableText"/>
              <w:keepNext w:val="0"/>
              <w:widowControl w:val="0"/>
              <w:rPr>
                <w:lang w:val="en-GB"/>
              </w:rPr>
            </w:pPr>
            <w:r w:rsidRPr="00993732">
              <w:rPr>
                <w:lang w:val="en-GB"/>
              </w:rPr>
              <w:t xml:space="preserve">The PBAC considered that newly diagnosed eTNBC patients would begin treatment immediately or </w:t>
            </w:r>
            <w:proofErr w:type="gramStart"/>
            <w:r w:rsidRPr="00993732">
              <w:rPr>
                <w:lang w:val="en-GB"/>
              </w:rPr>
              <w:t>be enrolled</w:t>
            </w:r>
            <w:proofErr w:type="gramEnd"/>
            <w:r w:rsidRPr="00993732">
              <w:rPr>
                <w:lang w:val="en-GB"/>
              </w:rPr>
              <w:t xml:space="preserve"> on an access program, therefore inclusion of a prevalent pool of patients (other than Grandfather patients) overestimated the number of patients in year 1</w:t>
            </w:r>
            <w:r>
              <w:rPr>
                <w:lang w:val="en-GB"/>
              </w:rPr>
              <w:t xml:space="preserve"> (para 7.11).</w:t>
            </w:r>
          </w:p>
        </w:tc>
        <w:tc>
          <w:tcPr>
            <w:tcW w:w="1361" w:type="pct"/>
            <w:gridSpan w:val="3"/>
            <w:vAlign w:val="center"/>
          </w:tcPr>
          <w:p w14:paraId="392C1489" w14:textId="5CB1B08F" w:rsidR="00AD6E3F" w:rsidRPr="002C633F" w:rsidRDefault="009C07CA" w:rsidP="00A009C4">
            <w:pPr>
              <w:pStyle w:val="TableText"/>
              <w:keepNext w:val="0"/>
              <w:widowControl w:val="0"/>
            </w:pPr>
            <w:r w:rsidRPr="009C07CA">
              <w:t xml:space="preserve">The prevalent population was removed from the eligible pool. </w:t>
            </w:r>
            <w:r>
              <w:t xml:space="preserve">The number of patients eligible for grandfathering was also increased </w:t>
            </w:r>
            <w:proofErr w:type="gramStart"/>
            <w:r>
              <w:t xml:space="preserve">from </w:t>
            </w:r>
            <w:r w:rsidR="00F678E8">
              <w:rPr>
                <w:highlight w:val="lightGray"/>
              </w:rPr>
              <w:t xml:space="preserve"> </w:t>
            </w:r>
            <w:r w:rsidR="009215AC" w:rsidRPr="009215AC">
              <w:rPr>
                <w:color w:val="000000"/>
                <w:spacing w:val="54"/>
                <w:shd w:val="solid" w:color="000000" w:fill="000000"/>
                <w:fitText w:val="335" w:id="-1168380413"/>
                <w14:textFill>
                  <w14:solidFill>
                    <w14:srgbClr w14:val="000000">
                      <w14:alpha w14:val="100000"/>
                    </w14:srgbClr>
                  </w14:solidFill>
                </w14:textFill>
              </w:rPr>
              <w:t>|</w:t>
            </w:r>
            <w:proofErr w:type="gramEnd"/>
            <w:r w:rsidR="009215AC" w:rsidRPr="009215AC">
              <w:rPr>
                <w:color w:val="000000"/>
                <w:spacing w:val="54"/>
                <w:shd w:val="solid" w:color="000000" w:fill="000000"/>
                <w:fitText w:val="335" w:id="-1168380413"/>
                <w14:textFill>
                  <w14:solidFill>
                    <w14:srgbClr w14:val="000000">
                      <w14:alpha w14:val="100000"/>
                    </w14:srgbClr>
                  </w14:solidFill>
                </w14:textFill>
              </w:rPr>
              <w:t>||</w:t>
            </w:r>
            <w:r w:rsidR="009215AC" w:rsidRPr="009215AC">
              <w:rPr>
                <w:color w:val="000000"/>
                <w:spacing w:val="3"/>
                <w:shd w:val="solid" w:color="000000" w:fill="000000"/>
                <w:fitText w:val="335" w:id="-1168380413"/>
                <w14:textFill>
                  <w14:solidFill>
                    <w14:srgbClr w14:val="000000">
                      <w14:alpha w14:val="100000"/>
                    </w14:srgbClr>
                  </w14:solidFill>
                </w14:textFill>
              </w:rPr>
              <w:t>|</w:t>
            </w:r>
            <w:r w:rsidR="00C44929">
              <w:rPr>
                <w:vertAlign w:val="superscript"/>
              </w:rPr>
              <w:t>1</w:t>
            </w:r>
            <w:r>
              <w:t xml:space="preserve"> to</w:t>
            </w:r>
            <w:r w:rsidR="009215AC">
              <w:t xml:space="preserve"> </w:t>
            </w:r>
            <w:r w:rsidR="009215AC" w:rsidRPr="009215AC">
              <w:rPr>
                <w:color w:val="000000"/>
                <w:spacing w:val="40"/>
                <w:shd w:val="solid" w:color="000000" w:fill="000000"/>
                <w:fitText w:val="318" w:id="-1168380412"/>
                <w14:textFill>
                  <w14:solidFill>
                    <w14:srgbClr w14:val="000000">
                      <w14:alpha w14:val="100000"/>
                    </w14:srgbClr>
                  </w14:solidFill>
                </w14:textFill>
              </w:rPr>
              <w:t>|||</w:t>
            </w:r>
            <w:r w:rsidR="009215AC" w:rsidRPr="009215AC">
              <w:rPr>
                <w:color w:val="000000"/>
                <w:spacing w:val="27"/>
                <w:shd w:val="solid" w:color="000000" w:fill="000000"/>
                <w:fitText w:val="318" w:id="-1168380412"/>
                <w14:textFill>
                  <w14:solidFill>
                    <w14:srgbClr w14:val="000000">
                      <w14:alpha w14:val="100000"/>
                    </w14:srgbClr>
                  </w14:solidFill>
                </w14:textFill>
              </w:rPr>
              <w:t>|</w:t>
            </w:r>
            <w:r w:rsidR="00C44929">
              <w:rPr>
                <w:vertAlign w:val="superscript"/>
              </w:rPr>
              <w:t>2</w:t>
            </w:r>
            <w:r>
              <w:t>.</w:t>
            </w:r>
          </w:p>
        </w:tc>
        <w:tc>
          <w:tcPr>
            <w:tcW w:w="647" w:type="pct"/>
            <w:vAlign w:val="center"/>
          </w:tcPr>
          <w:p w14:paraId="6B1C9559" w14:textId="07A653E7" w:rsidR="00AD6E3F" w:rsidRPr="002C633F" w:rsidRDefault="00412D7B" w:rsidP="00A009C4">
            <w:pPr>
              <w:pStyle w:val="TableText"/>
              <w:keepNext w:val="0"/>
              <w:widowControl w:val="0"/>
            </w:pPr>
            <w:r>
              <w:t>Yes</w:t>
            </w:r>
          </w:p>
        </w:tc>
      </w:tr>
      <w:tr w:rsidR="00AD6E3F" w:rsidRPr="002C633F" w14:paraId="76C32DA8" w14:textId="77777777" w:rsidTr="00A009C4">
        <w:trPr>
          <w:cantSplit/>
        </w:trPr>
        <w:tc>
          <w:tcPr>
            <w:tcW w:w="2992" w:type="pct"/>
            <w:tcBorders>
              <w:bottom w:val="single" w:sz="4" w:space="0" w:color="auto"/>
            </w:tcBorders>
            <w:vAlign w:val="center"/>
          </w:tcPr>
          <w:p w14:paraId="0A9324F8" w14:textId="12725115" w:rsidR="00AD6E3F" w:rsidRPr="009C07CA" w:rsidRDefault="009C07CA" w:rsidP="00A009C4">
            <w:pPr>
              <w:pStyle w:val="TableText"/>
              <w:keepNext w:val="0"/>
              <w:widowControl w:val="0"/>
              <w:rPr>
                <w:u w:val="single"/>
                <w:lang w:val="en-GB"/>
              </w:rPr>
            </w:pPr>
            <w:r w:rsidRPr="009C07CA">
              <w:rPr>
                <w:u w:val="single"/>
                <w:lang w:val="en-GB"/>
              </w:rPr>
              <w:t>U</w:t>
            </w:r>
            <w:r w:rsidR="00AD6E3F" w:rsidRPr="009C07CA">
              <w:rPr>
                <w:u w:val="single"/>
                <w:lang w:val="en-GB"/>
              </w:rPr>
              <w:t xml:space="preserve">ptake in the adjuvant </w:t>
            </w:r>
            <w:proofErr w:type="gramStart"/>
            <w:r w:rsidR="00AD6E3F" w:rsidRPr="009C07CA">
              <w:rPr>
                <w:u w:val="single"/>
                <w:lang w:val="en-GB"/>
              </w:rPr>
              <w:t>setting</w:t>
            </w:r>
            <w:proofErr w:type="gramEnd"/>
          </w:p>
          <w:p w14:paraId="10B009F7" w14:textId="64E9BF89" w:rsidR="009C07CA" w:rsidRDefault="009C07CA" w:rsidP="00A009C4">
            <w:pPr>
              <w:pStyle w:val="TableText"/>
              <w:keepNext w:val="0"/>
              <w:widowControl w:val="0"/>
              <w:rPr>
                <w:lang w:val="en-GB"/>
              </w:rPr>
            </w:pPr>
            <w:r w:rsidRPr="00993732">
              <w:rPr>
                <w:lang w:val="en-GB"/>
              </w:rPr>
              <w:t xml:space="preserve">The PBAC considered the amendment of uptake in the adjuvant setting from 100% of patients treated in the neo-adjuvant setting to 75% was reasonable and was consistent with the KN-522 trial. However, the PBAC noted that if olaparib </w:t>
            </w:r>
            <w:proofErr w:type="gramStart"/>
            <w:r w:rsidRPr="00993732">
              <w:rPr>
                <w:lang w:val="en-GB"/>
              </w:rPr>
              <w:t>is listed</w:t>
            </w:r>
            <w:proofErr w:type="gramEnd"/>
            <w:r w:rsidRPr="00993732">
              <w:rPr>
                <w:lang w:val="en-GB"/>
              </w:rPr>
              <w:t xml:space="preserve"> for patients with BRCAm early breast cancer the utilisation of adjuvant pembrolizumab would be expected to decrease to around 60% of neo-adjuvant patients as olaparib would be the preferred adjuvant treatment for the 15% of patients with BRCAm</w:t>
            </w:r>
            <w:r>
              <w:rPr>
                <w:lang w:val="en-GB"/>
              </w:rPr>
              <w:t xml:space="preserve"> (para 7.11)</w:t>
            </w:r>
            <w:r w:rsidRPr="00993732">
              <w:rPr>
                <w:lang w:val="en-GB"/>
              </w:rPr>
              <w:t>.</w:t>
            </w:r>
          </w:p>
        </w:tc>
        <w:tc>
          <w:tcPr>
            <w:tcW w:w="1361" w:type="pct"/>
            <w:gridSpan w:val="3"/>
            <w:tcBorders>
              <w:bottom w:val="single" w:sz="4" w:space="0" w:color="auto"/>
            </w:tcBorders>
            <w:vAlign w:val="center"/>
          </w:tcPr>
          <w:p w14:paraId="50744131" w14:textId="502EB782" w:rsidR="009C07CA" w:rsidRPr="009C07CA" w:rsidRDefault="009C07CA" w:rsidP="00A009C4">
            <w:pPr>
              <w:pStyle w:val="TableText"/>
              <w:keepNext w:val="0"/>
              <w:widowControl w:val="0"/>
            </w:pPr>
            <w:r w:rsidRPr="009C07CA">
              <w:t>The proportion of patients receiving adjuvant treatment set at 75%</w:t>
            </w:r>
            <w:r>
              <w:t xml:space="preserve"> in the financial </w:t>
            </w:r>
            <w:r w:rsidR="00412D7B">
              <w:t>estimates</w:t>
            </w:r>
            <w:r w:rsidRPr="009C07CA">
              <w:t>.</w:t>
            </w:r>
            <w:r>
              <w:t xml:space="preserve"> </w:t>
            </w:r>
            <w:r w:rsidR="00412D7B">
              <w:t xml:space="preserve">Olaparib was not recommended at the March 2023 PBAC meeting. </w:t>
            </w:r>
            <w:r>
              <w:t xml:space="preserve"> </w:t>
            </w:r>
          </w:p>
          <w:p w14:paraId="4C7AFED4" w14:textId="77777777" w:rsidR="00AD6E3F" w:rsidRPr="002C633F" w:rsidRDefault="00AD6E3F" w:rsidP="00A009C4">
            <w:pPr>
              <w:pStyle w:val="TableText"/>
              <w:keepNext w:val="0"/>
              <w:widowControl w:val="0"/>
            </w:pPr>
          </w:p>
        </w:tc>
        <w:tc>
          <w:tcPr>
            <w:tcW w:w="647" w:type="pct"/>
            <w:tcBorders>
              <w:bottom w:val="single" w:sz="4" w:space="0" w:color="auto"/>
            </w:tcBorders>
            <w:vAlign w:val="center"/>
          </w:tcPr>
          <w:p w14:paraId="258EEA67" w14:textId="410030A7" w:rsidR="00AD6E3F" w:rsidRPr="002C633F" w:rsidRDefault="00412D7B" w:rsidP="00A009C4">
            <w:pPr>
              <w:pStyle w:val="TableText"/>
              <w:keepNext w:val="0"/>
              <w:widowControl w:val="0"/>
            </w:pPr>
            <w:r>
              <w:t>Yes</w:t>
            </w:r>
          </w:p>
        </w:tc>
      </w:tr>
      <w:tr w:rsidR="00AD6E3F" w:rsidRPr="00AD6E3F" w14:paraId="7F2C65E9" w14:textId="77777777" w:rsidTr="00A009C4">
        <w:trPr>
          <w:cantSplit/>
        </w:trPr>
        <w:tc>
          <w:tcPr>
            <w:tcW w:w="2992" w:type="pct"/>
            <w:tcBorders>
              <w:right w:val="nil"/>
            </w:tcBorders>
            <w:vAlign w:val="center"/>
          </w:tcPr>
          <w:p w14:paraId="55AB58B3" w14:textId="77777777" w:rsidR="00AD6E3F" w:rsidRPr="00AD6E3F" w:rsidRDefault="00AD6E3F" w:rsidP="00AD44DC">
            <w:pPr>
              <w:pStyle w:val="TableText"/>
              <w:keepLines/>
              <w:widowControl w:val="0"/>
              <w:rPr>
                <w:b/>
                <w:bCs w:val="0"/>
                <w:lang w:val="en-GB"/>
              </w:rPr>
            </w:pPr>
          </w:p>
          <w:p w14:paraId="1229968D" w14:textId="40FD5490" w:rsidR="00AD6E3F" w:rsidRPr="00AD6E3F" w:rsidRDefault="00AD6E3F" w:rsidP="00AD44DC">
            <w:pPr>
              <w:pStyle w:val="TableText"/>
              <w:keepLines/>
              <w:widowControl w:val="0"/>
              <w:rPr>
                <w:b/>
                <w:bCs w:val="0"/>
                <w:lang w:val="en-GB"/>
              </w:rPr>
            </w:pPr>
            <w:r w:rsidRPr="00AD6E3F">
              <w:rPr>
                <w:b/>
                <w:bCs w:val="0"/>
                <w:lang w:val="en-GB"/>
              </w:rPr>
              <w:t>RSA across early and metastatic settings</w:t>
            </w:r>
          </w:p>
        </w:tc>
        <w:tc>
          <w:tcPr>
            <w:tcW w:w="1361" w:type="pct"/>
            <w:gridSpan w:val="3"/>
            <w:tcBorders>
              <w:left w:val="nil"/>
              <w:right w:val="nil"/>
            </w:tcBorders>
            <w:vAlign w:val="center"/>
          </w:tcPr>
          <w:p w14:paraId="6081504D" w14:textId="77777777" w:rsidR="00AD6E3F" w:rsidRPr="00AD6E3F" w:rsidRDefault="00AD6E3F" w:rsidP="00AD44DC">
            <w:pPr>
              <w:pStyle w:val="TableText"/>
              <w:keepLines/>
              <w:widowControl w:val="0"/>
              <w:rPr>
                <w:b/>
                <w:bCs w:val="0"/>
              </w:rPr>
            </w:pPr>
          </w:p>
        </w:tc>
        <w:tc>
          <w:tcPr>
            <w:tcW w:w="647" w:type="pct"/>
            <w:tcBorders>
              <w:left w:val="nil"/>
            </w:tcBorders>
            <w:vAlign w:val="center"/>
          </w:tcPr>
          <w:p w14:paraId="5BF272D6" w14:textId="77777777" w:rsidR="00AD6E3F" w:rsidRPr="00AD6E3F" w:rsidRDefault="00AD6E3F" w:rsidP="00AD44DC">
            <w:pPr>
              <w:pStyle w:val="TableText"/>
              <w:keepLines/>
              <w:widowControl w:val="0"/>
              <w:rPr>
                <w:b/>
                <w:bCs w:val="0"/>
              </w:rPr>
            </w:pPr>
          </w:p>
        </w:tc>
      </w:tr>
      <w:tr w:rsidR="00AD6E3F" w:rsidRPr="002C633F" w14:paraId="0F9D2ACE" w14:textId="77777777" w:rsidTr="00A009C4">
        <w:trPr>
          <w:cantSplit/>
        </w:trPr>
        <w:tc>
          <w:tcPr>
            <w:tcW w:w="2992" w:type="pct"/>
            <w:vAlign w:val="center"/>
          </w:tcPr>
          <w:p w14:paraId="10A4003C" w14:textId="2E5B5132" w:rsidR="00AD6E3F" w:rsidRDefault="00BE5083" w:rsidP="00AD44DC">
            <w:pPr>
              <w:pStyle w:val="TableText"/>
              <w:keepLines/>
              <w:widowControl w:val="0"/>
              <w:rPr>
                <w:lang w:val="en-GB"/>
              </w:rPr>
            </w:pPr>
            <w:r w:rsidRPr="00993732">
              <w:rPr>
                <w:lang w:val="en-GB"/>
              </w:rPr>
              <w:t xml:space="preserve">The PBAC </w:t>
            </w:r>
            <w:r>
              <w:rPr>
                <w:lang w:val="en-GB"/>
              </w:rPr>
              <w:t>considered</w:t>
            </w:r>
            <w:r w:rsidRPr="00993732">
              <w:rPr>
                <w:lang w:val="en-GB"/>
              </w:rPr>
              <w:t xml:space="preserve"> that </w:t>
            </w:r>
            <w:r>
              <w:rPr>
                <w:lang w:val="en-GB"/>
              </w:rPr>
              <w:t>listing of pembrolizumab in eTNBC sh</w:t>
            </w:r>
            <w:r w:rsidRPr="00993732">
              <w:rPr>
                <w:lang w:val="en-GB"/>
              </w:rPr>
              <w:t xml:space="preserve">ould </w:t>
            </w:r>
            <w:r>
              <w:rPr>
                <w:lang w:val="en-GB"/>
              </w:rPr>
              <w:t>result in</w:t>
            </w:r>
            <w:r w:rsidRPr="00993732">
              <w:rPr>
                <w:lang w:val="en-GB"/>
              </w:rPr>
              <w:t xml:space="preserve"> offsets for pembrolizumab utilisation in the locally advanced metastatic TNBC setting from patients without disease progression and patients who progress but are not eligible for retreatment with pembrolizumab</w:t>
            </w:r>
            <w:r>
              <w:rPr>
                <w:lang w:val="en-GB"/>
              </w:rPr>
              <w:t xml:space="preserve"> (para 7.11). The PBAC considered that an RSA across early and metastatic settings would be required, with </w:t>
            </w:r>
            <w:r w:rsidR="00AD6E3F">
              <w:rPr>
                <w:lang w:val="en-GB"/>
              </w:rPr>
              <w:t xml:space="preserve">appropriate offsets in mTNBC to account for cured patients and early </w:t>
            </w:r>
            <w:proofErr w:type="gramStart"/>
            <w:r w:rsidR="00AD6E3F">
              <w:rPr>
                <w:lang w:val="en-GB"/>
              </w:rPr>
              <w:t>relapsers</w:t>
            </w:r>
            <w:proofErr w:type="gramEnd"/>
          </w:p>
          <w:p w14:paraId="3101DB0D" w14:textId="77777777" w:rsidR="00AD6E3F" w:rsidRPr="00AD6E3F" w:rsidRDefault="00AD6E3F" w:rsidP="00AD44DC">
            <w:pPr>
              <w:pStyle w:val="ListBullet"/>
              <w:keepNext/>
              <w:keepLines/>
              <w:widowControl w:val="0"/>
              <w:numPr>
                <w:ilvl w:val="0"/>
                <w:numId w:val="16"/>
              </w:numPr>
              <w:ind w:left="317" w:hanging="142"/>
              <w:rPr>
                <w:rFonts w:ascii="Arial Narrow" w:hAnsi="Arial Narrow"/>
                <w:sz w:val="20"/>
                <w:szCs w:val="20"/>
                <w:lang w:val="en-GB"/>
              </w:rPr>
            </w:pPr>
            <w:r w:rsidRPr="00AD6E3F">
              <w:rPr>
                <w:rFonts w:ascii="Arial Narrow" w:hAnsi="Arial Narrow"/>
                <w:sz w:val="20"/>
                <w:szCs w:val="20"/>
                <w:lang w:val="en-GB"/>
              </w:rPr>
              <w:t>Assuming 8% cured</w:t>
            </w:r>
          </w:p>
          <w:p w14:paraId="7F28AAF8" w14:textId="67EA95A8" w:rsidR="00AD6E3F" w:rsidRPr="00AD6E3F" w:rsidRDefault="00AD6E3F" w:rsidP="00AD44DC">
            <w:pPr>
              <w:pStyle w:val="ListBullet"/>
              <w:keepNext/>
              <w:keepLines/>
              <w:widowControl w:val="0"/>
              <w:numPr>
                <w:ilvl w:val="0"/>
                <w:numId w:val="16"/>
              </w:numPr>
              <w:spacing w:after="120"/>
              <w:ind w:left="317" w:hanging="142"/>
              <w:jc w:val="left"/>
              <w:rPr>
                <w:rFonts w:ascii="Arial Narrow" w:hAnsi="Arial Narrow"/>
                <w:sz w:val="20"/>
                <w:szCs w:val="20"/>
                <w:lang w:val="en-GB"/>
              </w:rPr>
            </w:pPr>
            <w:r w:rsidRPr="00AD6E3F">
              <w:rPr>
                <w:rFonts w:ascii="Arial Narrow" w:hAnsi="Arial Narrow"/>
                <w:sz w:val="20"/>
                <w:szCs w:val="20"/>
                <w:lang w:val="en-GB"/>
              </w:rPr>
              <w:t>At least 16% patients who have relapsed following eTNBC treatment with pembrolizumab (not eligible for retreatment with pembrolizumab)</w:t>
            </w:r>
            <w:r w:rsidR="00BE5083">
              <w:rPr>
                <w:rFonts w:ascii="Arial Narrow" w:hAnsi="Arial Narrow"/>
                <w:sz w:val="20"/>
                <w:szCs w:val="20"/>
                <w:lang w:val="en-GB"/>
              </w:rPr>
              <w:t xml:space="preserve"> (para 7.12)</w:t>
            </w:r>
          </w:p>
        </w:tc>
        <w:tc>
          <w:tcPr>
            <w:tcW w:w="1361" w:type="pct"/>
            <w:gridSpan w:val="3"/>
            <w:vAlign w:val="center"/>
          </w:tcPr>
          <w:p w14:paraId="5633D631" w14:textId="532849FA" w:rsidR="00AD6E3F" w:rsidRPr="002C633F" w:rsidRDefault="00BE5083" w:rsidP="00AD44DC">
            <w:pPr>
              <w:pStyle w:val="TableText"/>
              <w:keepLines/>
              <w:widowControl w:val="0"/>
            </w:pPr>
            <w:r>
              <w:t>The submission noted t</w:t>
            </w:r>
            <w:r w:rsidRPr="00AB41A9">
              <w:t>his will be addressed post recommendation as part of the Deed negotiations</w:t>
            </w:r>
            <w:r w:rsidR="00A009C4">
              <w:t>.</w:t>
            </w:r>
          </w:p>
        </w:tc>
        <w:tc>
          <w:tcPr>
            <w:tcW w:w="647" w:type="pct"/>
            <w:vAlign w:val="center"/>
          </w:tcPr>
          <w:p w14:paraId="1DACF76F" w14:textId="4F64D25F" w:rsidR="00AD6E3F" w:rsidRPr="002C633F" w:rsidRDefault="006374E9" w:rsidP="00AD44DC">
            <w:pPr>
              <w:pStyle w:val="TableText"/>
              <w:keepLines/>
              <w:widowControl w:val="0"/>
            </w:pPr>
            <w:r>
              <w:t>Not fully addressed</w:t>
            </w:r>
          </w:p>
        </w:tc>
      </w:tr>
    </w:tbl>
    <w:p w14:paraId="32B95A78" w14:textId="0318B47E" w:rsidR="009D55E2" w:rsidRDefault="009D55E2" w:rsidP="00A07C4C">
      <w:pPr>
        <w:pStyle w:val="TableFigureFooter"/>
      </w:pPr>
      <w:r w:rsidRPr="002C633F">
        <w:t xml:space="preserve">Source: </w:t>
      </w:r>
      <w:r w:rsidR="00AD6E3F">
        <w:t xml:space="preserve">6.08 pembrolizumab </w:t>
      </w:r>
      <w:r w:rsidR="00C44929">
        <w:t>Public Summary Document (PSD)</w:t>
      </w:r>
      <w:r w:rsidR="00AD6E3F">
        <w:t>, March 2023 PBAC meeting</w:t>
      </w:r>
    </w:p>
    <w:p w14:paraId="17EB03D6" w14:textId="77777777" w:rsidR="00AA17F8" w:rsidRPr="009A6D58" w:rsidRDefault="00AA17F8" w:rsidP="00AA17F8">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DFEFA6A" w14:textId="3D41C05E" w:rsidR="00AA17F8" w:rsidRPr="009A6D58" w:rsidRDefault="00AA17F8" w:rsidP="00AA17F8">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&lt;500</w:t>
      </w:r>
    </w:p>
    <w:p w14:paraId="7A23B35A" w14:textId="7FFC2805" w:rsidR="00C44929" w:rsidRDefault="00C44929" w:rsidP="00C44929">
      <w:pPr>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500 to &lt;5,000</w:t>
      </w:r>
    </w:p>
    <w:p w14:paraId="079847DF" w14:textId="13EABAEC" w:rsidR="00C44929" w:rsidRPr="00C44929" w:rsidRDefault="00C44929" w:rsidP="00C44929">
      <w:pPr>
        <w:rPr>
          <w:rFonts w:ascii="Arial Narrow" w:hAnsi="Arial Narrow" w:cs="Arial"/>
          <w:i/>
          <w:sz w:val="18"/>
          <w:szCs w:val="18"/>
        </w:rPr>
      </w:pPr>
      <w:r w:rsidRPr="00C44929">
        <w:rPr>
          <w:rFonts w:ascii="Arial Narrow" w:hAnsi="Arial Narrow" w:cs="Arial"/>
          <w:i/>
          <w:sz w:val="18"/>
          <w:szCs w:val="18"/>
          <w:vertAlign w:val="superscript"/>
        </w:rPr>
        <w:t>3</w:t>
      </w:r>
      <w:r w:rsidRPr="00C44929">
        <w:rPr>
          <w:rFonts w:ascii="Arial Narrow" w:hAnsi="Arial Narrow" w:cs="Arial"/>
          <w:i/>
          <w:sz w:val="18"/>
          <w:szCs w:val="18"/>
        </w:rPr>
        <w:t xml:space="preserve"> </w:t>
      </w:r>
      <w:r w:rsidRPr="00C44929">
        <w:rPr>
          <w:rFonts w:ascii="Arial Narrow" w:eastAsiaTheme="majorEastAsia" w:hAnsi="Arial Narrow" w:cstheme="majorBidi"/>
          <w:bCs/>
          <w:i/>
          <w:sz w:val="18"/>
          <w:szCs w:val="18"/>
        </w:rPr>
        <w:t>$35,000 to &lt; $45,000</w:t>
      </w:r>
    </w:p>
    <w:p w14:paraId="659F9F50" w14:textId="77777777" w:rsidR="00AA17F8" w:rsidRPr="002C633F" w:rsidRDefault="00AA17F8" w:rsidP="00A07C4C">
      <w:pPr>
        <w:pStyle w:val="TableFigureFooter"/>
      </w:pPr>
    </w:p>
    <w:p w14:paraId="0935F4B2" w14:textId="15DE73BB" w:rsidR="5D80A09E" w:rsidRPr="006C5B33" w:rsidRDefault="004877C2" w:rsidP="00526BA3">
      <w:pPr>
        <w:pStyle w:val="2-SectionHeading"/>
        <w:numPr>
          <w:ilvl w:val="0"/>
          <w:numId w:val="1"/>
        </w:numPr>
        <w:rPr>
          <w:rFonts w:eastAsiaTheme="minorEastAsia"/>
        </w:rPr>
      </w:pPr>
      <w:r w:rsidRPr="006C5B33">
        <w:t>Background</w:t>
      </w:r>
    </w:p>
    <w:p w14:paraId="6C8AAAE0" w14:textId="77777777" w:rsidR="00A009C4" w:rsidRPr="006919A9" w:rsidRDefault="00A009C4" w:rsidP="00526BA3">
      <w:pPr>
        <w:pStyle w:val="3-BodyText"/>
        <w:numPr>
          <w:ilvl w:val="1"/>
          <w:numId w:val="1"/>
        </w:numPr>
      </w:pPr>
      <w:r w:rsidRPr="006919A9">
        <w:t xml:space="preserve">Pembrolizumab was </w:t>
      </w:r>
      <w:r w:rsidRPr="00FD2109">
        <w:t xml:space="preserve">approved by the TGA on </w:t>
      </w:r>
      <w:r>
        <w:t>2 September</w:t>
      </w:r>
      <w:r w:rsidRPr="00FD2109">
        <w:t xml:space="preserve"> 2022 </w:t>
      </w:r>
      <w:r w:rsidRPr="006919A9">
        <w:t>for the treatment of patients with high-risk early-stage triple-negative breast cancer (TNBC) in combination with chemotherapy as neoadjuvant treatment, and then continued as monotherapy as adjuvant treatment after surgery.</w:t>
      </w:r>
    </w:p>
    <w:p w14:paraId="256C712D" w14:textId="08908553" w:rsidR="0090775A" w:rsidRPr="00DE06AF" w:rsidRDefault="004F6160" w:rsidP="00526BA3">
      <w:pPr>
        <w:pStyle w:val="3-BodyText"/>
        <w:numPr>
          <w:ilvl w:val="1"/>
          <w:numId w:val="1"/>
        </w:numPr>
      </w:pPr>
      <w:r>
        <w:t xml:space="preserve">The </w:t>
      </w:r>
      <w:r w:rsidRPr="002C633F">
        <w:t>PICO from the previous submission is presented below</w:t>
      </w:r>
      <w:r w:rsidR="00A07C4C" w:rsidRPr="002C633F">
        <w:t>.</w:t>
      </w:r>
    </w:p>
    <w:p w14:paraId="57CAD8DE" w14:textId="6E6467C1" w:rsidR="00BE25D7" w:rsidRPr="00C5151E" w:rsidRDefault="00A009C4" w:rsidP="00A009C4">
      <w:pPr>
        <w:pStyle w:val="TableFigureHeading"/>
      </w:pPr>
      <w:r>
        <w:lastRenderedPageBreak/>
        <w:t xml:space="preserve">Table </w:t>
      </w:r>
      <w:fldSimple w:instr=" SEQ Table \* ARABIC ">
        <w:r w:rsidR="00AB351A">
          <w:rPr>
            <w:noProof/>
          </w:rPr>
          <w:t>2</w:t>
        </w:r>
      </w:fldSimple>
      <w:r>
        <w:tab/>
      </w:r>
      <w:r w:rsidR="00BE25D7" w:rsidRPr="00C5151E">
        <w:t xml:space="preserve">Key components of the clinical issue addressed by the submission (as stated in the </w:t>
      </w:r>
      <w:r>
        <w:t xml:space="preserve">Mar 2023 </w:t>
      </w:r>
      <w:r w:rsidR="00BE25D7" w:rsidRPr="00C5151E">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2"/>
      </w:tblGrid>
      <w:tr w:rsidR="00BE25D7" w:rsidRPr="00C5151E" w14:paraId="060BB961" w14:textId="77777777" w:rsidTr="00A009C4">
        <w:trPr>
          <w:cantSplit/>
          <w:tblHeader/>
        </w:trPr>
        <w:tc>
          <w:tcPr>
            <w:tcW w:w="784" w:type="pct"/>
            <w:shd w:val="clear" w:color="auto" w:fill="auto"/>
          </w:tcPr>
          <w:p w14:paraId="1BEE92D2" w14:textId="77777777" w:rsidR="00BE25D7" w:rsidRPr="00A07C4C" w:rsidRDefault="00BE25D7" w:rsidP="00A07C4C">
            <w:pPr>
              <w:pStyle w:val="In-tableHeading"/>
            </w:pPr>
            <w:r w:rsidRPr="00A07C4C">
              <w:t>Component</w:t>
            </w:r>
          </w:p>
        </w:tc>
        <w:tc>
          <w:tcPr>
            <w:tcW w:w="4216" w:type="pct"/>
            <w:shd w:val="clear" w:color="auto" w:fill="auto"/>
          </w:tcPr>
          <w:p w14:paraId="2A83316C" w14:textId="77777777" w:rsidR="00BE25D7" w:rsidRPr="00A07C4C" w:rsidRDefault="00BE25D7" w:rsidP="00A07C4C">
            <w:pPr>
              <w:pStyle w:val="In-tableHeading"/>
            </w:pPr>
            <w:r w:rsidRPr="00A07C4C">
              <w:t>Description</w:t>
            </w:r>
          </w:p>
        </w:tc>
      </w:tr>
      <w:tr w:rsidR="00A009C4" w:rsidRPr="00C5151E" w14:paraId="7C5D82F5" w14:textId="77777777" w:rsidTr="00A009C4">
        <w:trPr>
          <w:cantSplit/>
        </w:trPr>
        <w:tc>
          <w:tcPr>
            <w:tcW w:w="784" w:type="pct"/>
            <w:shd w:val="clear" w:color="auto" w:fill="auto"/>
          </w:tcPr>
          <w:p w14:paraId="0AD37A1C" w14:textId="77777777" w:rsidR="00A009C4" w:rsidRPr="00C5151E" w:rsidRDefault="00A009C4" w:rsidP="00A009C4">
            <w:pPr>
              <w:pStyle w:val="TableText"/>
            </w:pPr>
            <w:r w:rsidRPr="00C5151E">
              <w:t>Population</w:t>
            </w:r>
          </w:p>
        </w:tc>
        <w:tc>
          <w:tcPr>
            <w:tcW w:w="4216" w:type="pct"/>
            <w:shd w:val="clear" w:color="auto" w:fill="auto"/>
            <w:vAlign w:val="center"/>
          </w:tcPr>
          <w:p w14:paraId="1A244450" w14:textId="262D2D68" w:rsidR="00A009C4" w:rsidRPr="002C633F" w:rsidRDefault="00A009C4" w:rsidP="00A009C4">
            <w:pPr>
              <w:pStyle w:val="TableText"/>
              <w:rPr>
                <w:szCs w:val="20"/>
              </w:rPr>
            </w:pPr>
            <w:r w:rsidRPr="006919A9">
              <w:t>High risk early-stage triple negative breast cancer (TNBC) patients who have not had prior systemic therapy administered for newly diagnosed, locally advanced, centrally confirmed TNBC.</w:t>
            </w:r>
          </w:p>
        </w:tc>
      </w:tr>
      <w:tr w:rsidR="00A009C4" w:rsidRPr="00C5151E" w14:paraId="055C792E" w14:textId="77777777" w:rsidTr="00A009C4">
        <w:trPr>
          <w:cantSplit/>
        </w:trPr>
        <w:tc>
          <w:tcPr>
            <w:tcW w:w="784" w:type="pct"/>
            <w:shd w:val="clear" w:color="auto" w:fill="auto"/>
          </w:tcPr>
          <w:p w14:paraId="2A75DF4D" w14:textId="77777777" w:rsidR="00A009C4" w:rsidRPr="00C5151E" w:rsidRDefault="00A009C4" w:rsidP="00A009C4">
            <w:pPr>
              <w:pStyle w:val="TableText"/>
            </w:pPr>
            <w:r w:rsidRPr="00C5151E">
              <w:t>Intervention</w:t>
            </w:r>
          </w:p>
        </w:tc>
        <w:tc>
          <w:tcPr>
            <w:tcW w:w="4216" w:type="pct"/>
            <w:shd w:val="clear" w:color="auto" w:fill="auto"/>
            <w:vAlign w:val="center"/>
          </w:tcPr>
          <w:p w14:paraId="114B8877" w14:textId="77777777" w:rsidR="00A009C4" w:rsidRPr="006919A9" w:rsidRDefault="00A009C4" w:rsidP="00A009C4">
            <w:pPr>
              <w:pStyle w:val="TableText"/>
            </w:pPr>
            <w:r w:rsidRPr="006919A9">
              <w:t xml:space="preserve">Neoadjuvant: Pembrolizumab (200 mg IV) every 3 weeks in combination with paclitaxel + carboplatin for 4 cycles then pembrolizumab + doxorubicin/epirubicin + cyclophosphamide for 4 cycles, for a total of 8 cycles (24 weeks) </w:t>
            </w:r>
            <w:r w:rsidRPr="002B270E">
              <w:t>followed by:</w:t>
            </w:r>
          </w:p>
          <w:p w14:paraId="4B51349E" w14:textId="19BF0191" w:rsidR="00A009C4" w:rsidRPr="00C5151E" w:rsidRDefault="00A009C4" w:rsidP="00A009C4">
            <w:pPr>
              <w:pStyle w:val="TableText"/>
            </w:pPr>
            <w:r w:rsidRPr="006919A9">
              <w:t>Adjuvant: Pembrolizumab (200 mg IV) every 3 weeks as a single agent for up to 9 cycles (27 weeks)</w:t>
            </w:r>
          </w:p>
        </w:tc>
      </w:tr>
      <w:tr w:rsidR="00A009C4" w:rsidRPr="00C5151E" w14:paraId="3EE9E122" w14:textId="77777777" w:rsidTr="00A009C4">
        <w:trPr>
          <w:cantSplit/>
        </w:trPr>
        <w:tc>
          <w:tcPr>
            <w:tcW w:w="784" w:type="pct"/>
            <w:shd w:val="clear" w:color="auto" w:fill="auto"/>
          </w:tcPr>
          <w:p w14:paraId="47A17CC7" w14:textId="77777777" w:rsidR="00A009C4" w:rsidRPr="00C5151E" w:rsidRDefault="00A009C4" w:rsidP="00A009C4">
            <w:pPr>
              <w:pStyle w:val="TableText"/>
            </w:pPr>
            <w:r w:rsidRPr="00C5151E">
              <w:t>Comparator</w:t>
            </w:r>
          </w:p>
        </w:tc>
        <w:tc>
          <w:tcPr>
            <w:tcW w:w="4216" w:type="pct"/>
            <w:shd w:val="clear" w:color="auto" w:fill="auto"/>
            <w:vAlign w:val="center"/>
          </w:tcPr>
          <w:p w14:paraId="497C4181" w14:textId="10633D64" w:rsidR="00A009C4" w:rsidRPr="00C5151E" w:rsidRDefault="00A009C4" w:rsidP="00A009C4">
            <w:pPr>
              <w:pStyle w:val="TableText"/>
            </w:pPr>
            <w:r w:rsidRPr="006919A9">
              <w:t>Standard chemotherapy guided by physician for the neoadjuvant phase, and placebo in the adjuvant phase</w:t>
            </w:r>
          </w:p>
        </w:tc>
      </w:tr>
      <w:tr w:rsidR="00A009C4" w:rsidRPr="00C5151E" w14:paraId="2659A430" w14:textId="77777777" w:rsidTr="00A009C4">
        <w:trPr>
          <w:cantSplit/>
        </w:trPr>
        <w:tc>
          <w:tcPr>
            <w:tcW w:w="784" w:type="pct"/>
            <w:shd w:val="clear" w:color="auto" w:fill="auto"/>
          </w:tcPr>
          <w:p w14:paraId="2D6EA514" w14:textId="77777777" w:rsidR="00A009C4" w:rsidRPr="00C5151E" w:rsidRDefault="00A009C4" w:rsidP="00A009C4">
            <w:pPr>
              <w:pStyle w:val="TableText"/>
            </w:pPr>
            <w:r w:rsidRPr="00C5151E">
              <w:t>Outcomes</w:t>
            </w:r>
          </w:p>
        </w:tc>
        <w:tc>
          <w:tcPr>
            <w:tcW w:w="4216" w:type="pct"/>
            <w:shd w:val="clear" w:color="auto" w:fill="auto"/>
            <w:vAlign w:val="center"/>
          </w:tcPr>
          <w:p w14:paraId="3C80701C" w14:textId="348CEF7E" w:rsidR="00A009C4" w:rsidRPr="00C5151E" w:rsidRDefault="00A009C4" w:rsidP="00A009C4">
            <w:pPr>
              <w:pStyle w:val="TableText"/>
              <w:rPr>
                <w:rFonts w:cs="Arial"/>
                <w:snapToGrid w:val="0"/>
                <w:color w:val="0066FF"/>
                <w:szCs w:val="20"/>
              </w:rPr>
            </w:pPr>
            <w:r w:rsidRPr="006919A9">
              <w:t>Pathological complete response (pCR), event-free survival (EFS), overall survival (OS), safety, quality of life (QoL)</w:t>
            </w:r>
          </w:p>
        </w:tc>
      </w:tr>
      <w:tr w:rsidR="00A009C4" w:rsidRPr="00C5151E" w14:paraId="18507ACF" w14:textId="77777777" w:rsidTr="00A009C4">
        <w:trPr>
          <w:cantSplit/>
        </w:trPr>
        <w:tc>
          <w:tcPr>
            <w:tcW w:w="784" w:type="pct"/>
            <w:shd w:val="clear" w:color="auto" w:fill="auto"/>
          </w:tcPr>
          <w:p w14:paraId="57FC79E3" w14:textId="77777777" w:rsidR="00A009C4" w:rsidRPr="00C5151E" w:rsidRDefault="00A009C4" w:rsidP="00A009C4">
            <w:pPr>
              <w:pStyle w:val="TableText"/>
            </w:pPr>
            <w:r w:rsidRPr="00C5151E">
              <w:t>Clinical claim</w:t>
            </w:r>
          </w:p>
        </w:tc>
        <w:tc>
          <w:tcPr>
            <w:tcW w:w="4216" w:type="pct"/>
            <w:shd w:val="clear" w:color="auto" w:fill="auto"/>
            <w:vAlign w:val="center"/>
          </w:tcPr>
          <w:p w14:paraId="327D9F2E" w14:textId="4A517CAD" w:rsidR="00A009C4" w:rsidRPr="00C5151E" w:rsidRDefault="00A009C4" w:rsidP="00A009C4">
            <w:pPr>
              <w:pStyle w:val="TableText"/>
              <w:rPr>
                <w:rFonts w:cs="Arial"/>
                <w:snapToGrid w:val="0"/>
                <w:color w:val="0066FF"/>
                <w:szCs w:val="20"/>
              </w:rPr>
            </w:pPr>
            <w:r w:rsidRPr="006919A9">
              <w:t xml:space="preserve">In patients with high-risk </w:t>
            </w:r>
            <w:proofErr w:type="gramStart"/>
            <w:r w:rsidRPr="006919A9">
              <w:t>early-stage</w:t>
            </w:r>
            <w:proofErr w:type="gramEnd"/>
            <w:r w:rsidRPr="006919A9">
              <w:t xml:space="preserve"> triple negative breast cancer, who have not had prior systemic therapy administered, pembrolizumab in combination with chemotherapy as neoadjuvant therapy, followed by pembrolizumab monotherapy post-surgery is superior to chemotherapy alone in terms of efficacy and inferior in terms of safety.</w:t>
            </w:r>
          </w:p>
        </w:tc>
      </w:tr>
    </w:tbl>
    <w:p w14:paraId="62841B88" w14:textId="75DF1C8C" w:rsidR="00BE25D7" w:rsidRDefault="002C633F" w:rsidP="00A07C4C">
      <w:pPr>
        <w:pStyle w:val="TableFigureFooter"/>
      </w:pPr>
      <w:r w:rsidRPr="002C633F">
        <w:t xml:space="preserve">Source: </w:t>
      </w:r>
      <w:r w:rsidR="00A009C4" w:rsidRPr="006919A9">
        <w:t>Table 1.1-1, p4 of the</w:t>
      </w:r>
      <w:r w:rsidR="00A009C4">
        <w:t xml:space="preserve"> March 2023</w:t>
      </w:r>
      <w:r w:rsidR="00A009C4" w:rsidRPr="006919A9">
        <w:t xml:space="preserve"> submission.</w:t>
      </w:r>
    </w:p>
    <w:p w14:paraId="0B570DD0" w14:textId="2C44D304" w:rsidR="004513B9" w:rsidRPr="00494B2D" w:rsidRDefault="004513B9" w:rsidP="00494B2D">
      <w:pPr>
        <w:pStyle w:val="ListParagraph"/>
        <w:ind w:left="720"/>
        <w:rPr>
          <w:i/>
        </w:rPr>
      </w:pPr>
      <w:r w:rsidRPr="008F01DF">
        <w:rPr>
          <w:i/>
        </w:rPr>
        <w:t xml:space="preserve">For more detail on PBAC’s view, see section </w:t>
      </w:r>
      <w:r>
        <w:rPr>
          <w:i/>
        </w:rPr>
        <w:t>5</w:t>
      </w:r>
      <w:r w:rsidRPr="008F01DF">
        <w:rPr>
          <w:i/>
        </w:rPr>
        <w:t xml:space="preserve"> PBAC outcome.</w:t>
      </w:r>
    </w:p>
    <w:p w14:paraId="587432E9" w14:textId="77777777" w:rsidR="00C068A6" w:rsidRPr="006C5B33" w:rsidRDefault="004B2E01" w:rsidP="00526BA3">
      <w:pPr>
        <w:pStyle w:val="2-SectionHeading"/>
        <w:numPr>
          <w:ilvl w:val="0"/>
          <w:numId w:val="1"/>
        </w:numPr>
      </w:pPr>
      <w:r w:rsidRPr="006C5B33">
        <w:t xml:space="preserve">Requested </w:t>
      </w:r>
      <w:proofErr w:type="gramStart"/>
      <w:r w:rsidRPr="006C5B33">
        <w:t>listing</w:t>
      </w:r>
      <w:proofErr w:type="gramEnd"/>
      <w:r w:rsidR="007C08E0" w:rsidRPr="006C5B33">
        <w:t xml:space="preserve"> </w:t>
      </w:r>
    </w:p>
    <w:p w14:paraId="387E8AF2" w14:textId="65D10456" w:rsidR="00B97736" w:rsidRDefault="002B2E69" w:rsidP="00526BA3">
      <w:pPr>
        <w:pStyle w:val="3-BodyText"/>
        <w:numPr>
          <w:ilvl w:val="1"/>
          <w:numId w:val="1"/>
        </w:numPr>
      </w:pPr>
      <w:bookmarkStart w:id="0" w:name="_Ref139973038"/>
      <w:r w:rsidRPr="00EF4580">
        <w:t xml:space="preserve">The </w:t>
      </w:r>
      <w:r w:rsidRPr="002C633F">
        <w:t xml:space="preserve">resubmission </w:t>
      </w:r>
      <w:r>
        <w:t>made amendments</w:t>
      </w:r>
      <w:r w:rsidRPr="002C633F">
        <w:t xml:space="preserve"> to the previously considered PBS restriction</w:t>
      </w:r>
      <w:r>
        <w:t xml:space="preserve"> in response to the PBAC’s recommendations (para 7.2</w:t>
      </w:r>
      <w:r w:rsidR="00036628">
        <w:t>-7.3</w:t>
      </w:r>
      <w:r>
        <w:t xml:space="preserve">, pembrolizumab </w:t>
      </w:r>
      <w:r w:rsidR="00C44929">
        <w:t>PSD</w:t>
      </w:r>
      <w:r>
        <w:t>, March 2023 PBAC meeting):</w:t>
      </w:r>
      <w:bookmarkEnd w:id="0"/>
      <w:r>
        <w:t xml:space="preserve"> </w:t>
      </w:r>
    </w:p>
    <w:p w14:paraId="49C22024" w14:textId="2198DFCF" w:rsidR="00B97736" w:rsidRDefault="00080D80" w:rsidP="00080D80">
      <w:pPr>
        <w:pStyle w:val="3-BodyText"/>
        <w:numPr>
          <w:ilvl w:val="1"/>
          <w:numId w:val="19"/>
        </w:numPr>
        <w:ind w:left="993" w:hanging="294"/>
      </w:pPr>
      <w:r>
        <w:t>I</w:t>
      </w:r>
      <w:r w:rsidR="00B97736">
        <w:t xml:space="preserve">t would be appropriate for the indication to specify Stage 2-3 eTNBC to limit use to the high-risk population and considered it was not necessary to include criteria specifying HER2 and HR status in the restriction as TNBC in the indication was sufficient to define the patient population. </w:t>
      </w:r>
    </w:p>
    <w:p w14:paraId="7D2CD848" w14:textId="688A1D58" w:rsidR="00B97736" w:rsidRDefault="00080D80" w:rsidP="00080D80">
      <w:pPr>
        <w:pStyle w:val="3-BodyText"/>
        <w:numPr>
          <w:ilvl w:val="1"/>
          <w:numId w:val="19"/>
        </w:numPr>
        <w:ind w:left="993" w:hanging="294"/>
      </w:pPr>
      <w:r>
        <w:t>A</w:t>
      </w:r>
      <w:r w:rsidR="00B97736">
        <w:t xml:space="preserve"> single restriction combining neoadjuvant and adjuvant treatment would be preferable, with a limit on the total treatment duration aligned with the KN-522 trial and a requirement for patients to discontinue treatment where disease recurrence is evident. </w:t>
      </w:r>
    </w:p>
    <w:p w14:paraId="70DA38E4" w14:textId="0351301E" w:rsidR="00B97736" w:rsidRDefault="00080D80" w:rsidP="00080D80">
      <w:pPr>
        <w:pStyle w:val="3-BodyText"/>
        <w:numPr>
          <w:ilvl w:val="1"/>
          <w:numId w:val="19"/>
        </w:numPr>
        <w:ind w:left="993" w:hanging="294"/>
      </w:pPr>
      <w:r>
        <w:t>T</w:t>
      </w:r>
      <w:r w:rsidR="00B97736">
        <w:t xml:space="preserve">he restrictions should specify that treatment initiation is in combination with chemotherapy. </w:t>
      </w:r>
    </w:p>
    <w:p w14:paraId="6D73E254" w14:textId="77777777" w:rsidR="002B2E69" w:rsidRDefault="002B2E69" w:rsidP="002B2E69">
      <w:pPr>
        <w:pStyle w:val="3-BodyText"/>
        <w:numPr>
          <w:ilvl w:val="1"/>
          <w:numId w:val="19"/>
        </w:numPr>
        <w:ind w:left="993" w:hanging="294"/>
      </w:pPr>
      <w:r>
        <w:t>It would be appropriate for the listing to remain silent regarding capecitabine use, to allow use in combination with adjuvant pembrolizumab where clinically appropriate, noting that there is some safety data for this combination from other settings.</w:t>
      </w:r>
    </w:p>
    <w:p w14:paraId="11BE9CCA" w14:textId="100091CF" w:rsidR="002B2E69" w:rsidRPr="002B2E69" w:rsidRDefault="002B2E69" w:rsidP="00526BA3">
      <w:pPr>
        <w:pStyle w:val="3-BodyText"/>
        <w:numPr>
          <w:ilvl w:val="1"/>
          <w:numId w:val="1"/>
        </w:numPr>
      </w:pPr>
      <w:r>
        <w:t xml:space="preserve">The </w:t>
      </w:r>
      <w:r w:rsidR="00036628">
        <w:t xml:space="preserve">resubmission’s </w:t>
      </w:r>
      <w:r>
        <w:t xml:space="preserve">proposed restrictions did not address the PBAC’s recommendation that </w:t>
      </w:r>
      <w:r w:rsidR="005F0F4D">
        <w:t xml:space="preserve">the restrictions should exclude </w:t>
      </w:r>
      <w:r>
        <w:t>c</w:t>
      </w:r>
      <w:r w:rsidRPr="002B2E69">
        <w:t>ombination use of pembrolizumab and olaparib (for patients with BRCAm) as this combination is unlikely to be cost-effective and there is a lack of safety and efficacy data to support it</w:t>
      </w:r>
      <w:r w:rsidR="005F0F4D">
        <w:t xml:space="preserve"> </w:t>
      </w:r>
      <w:r w:rsidR="00036628">
        <w:t xml:space="preserve">(para 7.3, pembrolizumab </w:t>
      </w:r>
      <w:r w:rsidR="00C44929">
        <w:t>PSD</w:t>
      </w:r>
      <w:r w:rsidR="00036628">
        <w:t>, March 2023 PBAC meeting)</w:t>
      </w:r>
      <w:r w:rsidRPr="002B2E69">
        <w:t>.</w:t>
      </w:r>
      <w:r>
        <w:t xml:space="preserve"> </w:t>
      </w:r>
      <w:r w:rsidR="00F91E8B">
        <w:t xml:space="preserve">As </w:t>
      </w:r>
      <w:r>
        <w:t xml:space="preserve">olaparib was not recommended for early breast cancer at the </w:t>
      </w:r>
      <w:r>
        <w:lastRenderedPageBreak/>
        <w:t xml:space="preserve">March 2023 PBAC meeting, the PBAC </w:t>
      </w:r>
      <w:r w:rsidR="00F91E8B">
        <w:t>considered the restriction need not specifically exclude combination use with olaparib</w:t>
      </w:r>
      <w:r>
        <w:t>.</w:t>
      </w:r>
    </w:p>
    <w:p w14:paraId="063CE9F8" w14:textId="5B0A02A7" w:rsidR="00036628" w:rsidRDefault="002B2E69" w:rsidP="00526BA3">
      <w:pPr>
        <w:pStyle w:val="3-BodyText"/>
        <w:numPr>
          <w:ilvl w:val="1"/>
          <w:numId w:val="1"/>
        </w:numPr>
      </w:pPr>
      <w:r>
        <w:t xml:space="preserve">The resubmission also noted that the restriction has been revised to allow treatment </w:t>
      </w:r>
      <w:r w:rsidR="00F13CE1">
        <w:t>initiated via non-PBS subsidised supply (</w:t>
      </w:r>
      <w:proofErr w:type="gramStart"/>
      <w:r w:rsidR="00F13CE1">
        <w:t>i.e.</w:t>
      </w:r>
      <w:proofErr w:type="gramEnd"/>
      <w:r w:rsidR="00F13CE1">
        <w:t xml:space="preserve"> ‘</w:t>
      </w:r>
      <w:r w:rsidR="00172B64">
        <w:t>grandfathered’ patients</w:t>
      </w:r>
      <w:r w:rsidR="00F13CE1">
        <w:t>, sponsor compassionate access programs)</w:t>
      </w:r>
      <w:r>
        <w:t>.</w:t>
      </w:r>
      <w:r w:rsidR="00036628">
        <w:t xml:space="preserve"> </w:t>
      </w:r>
    </w:p>
    <w:p w14:paraId="053A389C" w14:textId="1663B0DF" w:rsidR="002B2E69" w:rsidRDefault="00036628" w:rsidP="00526BA3">
      <w:pPr>
        <w:pStyle w:val="3-BodyText"/>
        <w:numPr>
          <w:ilvl w:val="1"/>
          <w:numId w:val="1"/>
        </w:numPr>
      </w:pPr>
      <w:r>
        <w:t xml:space="preserve">The resubmission’s </w:t>
      </w:r>
      <w:r w:rsidR="002B2E69">
        <w:t>revised restrictions a</w:t>
      </w:r>
      <w:r>
        <w:t>re</w:t>
      </w:r>
      <w:r w:rsidR="002B2E69">
        <w:t xml:space="preserve"> outlined below</w:t>
      </w:r>
      <w: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1898"/>
        <w:gridCol w:w="1898"/>
        <w:gridCol w:w="2283"/>
      </w:tblGrid>
      <w:tr w:rsidR="002B2E69" w:rsidRPr="0090456D" w14:paraId="2EE45C01" w14:textId="77777777" w:rsidTr="001C756D">
        <w:trPr>
          <w:trHeight w:val="20"/>
        </w:trPr>
        <w:tc>
          <w:tcPr>
            <w:tcW w:w="4999" w:type="pct"/>
            <w:gridSpan w:val="4"/>
            <w:tcBorders>
              <w:top w:val="single" w:sz="4" w:space="0" w:color="auto"/>
              <w:left w:val="single" w:sz="4" w:space="0" w:color="auto"/>
              <w:bottom w:val="single" w:sz="4" w:space="0" w:color="auto"/>
              <w:right w:val="single" w:sz="4" w:space="0" w:color="auto"/>
            </w:tcBorders>
          </w:tcPr>
          <w:p w14:paraId="259A65C8" w14:textId="77777777" w:rsidR="002B2E69" w:rsidRPr="0090456D" w:rsidRDefault="002B2E69" w:rsidP="00707351">
            <w:pPr>
              <w:pStyle w:val="TableText"/>
              <w:keepNext w:val="0"/>
              <w:ind w:left="-57"/>
              <w:rPr>
                <w:rFonts w:eastAsia="Times New Roman"/>
              </w:rPr>
            </w:pPr>
            <w:r w:rsidRPr="0090456D">
              <w:rPr>
                <w:rFonts w:eastAsia="Times New Roman"/>
                <w:b/>
              </w:rPr>
              <w:t xml:space="preserve">Category / Program: </w:t>
            </w:r>
            <w:r w:rsidRPr="0090456D">
              <w:rPr>
                <w:rFonts w:eastAsia="Times New Roman"/>
              </w:rPr>
              <w:t>Section 100 – Efficient Funding of Chemotherapy Public/Private hospitals</w:t>
            </w:r>
          </w:p>
          <w:p w14:paraId="2F3F6A78" w14:textId="77777777" w:rsidR="002B2E69" w:rsidRPr="0090456D" w:rsidRDefault="002B2E69" w:rsidP="00707351">
            <w:pPr>
              <w:pStyle w:val="TableText"/>
              <w:keepNext w:val="0"/>
              <w:ind w:left="-57"/>
              <w:rPr>
                <w:rFonts w:eastAsia="Times New Roman"/>
                <w:b/>
              </w:rPr>
            </w:pPr>
            <w:r w:rsidRPr="0090456D">
              <w:rPr>
                <w:rFonts w:eastAsia="Times New Roman"/>
              </w:rPr>
              <w:t xml:space="preserve">     </w:t>
            </w:r>
          </w:p>
        </w:tc>
      </w:tr>
      <w:tr w:rsidR="002B2E69" w:rsidRPr="0090456D" w14:paraId="7BC68B81" w14:textId="77777777" w:rsidTr="001C756D">
        <w:trPr>
          <w:trHeight w:val="20"/>
        </w:trPr>
        <w:tc>
          <w:tcPr>
            <w:tcW w:w="1647" w:type="pct"/>
            <w:vAlign w:val="center"/>
          </w:tcPr>
          <w:p w14:paraId="09AA671C" w14:textId="77777777" w:rsidR="002B2E69" w:rsidRPr="0090456D" w:rsidRDefault="002B2E69" w:rsidP="00707351">
            <w:pPr>
              <w:pStyle w:val="TableText"/>
              <w:keepNext w:val="0"/>
              <w:ind w:left="-57"/>
              <w:rPr>
                <w:rFonts w:eastAsia="Times New Roman"/>
                <w:b/>
              </w:rPr>
            </w:pPr>
            <w:r w:rsidRPr="0090456D">
              <w:rPr>
                <w:rFonts w:eastAsia="Times New Roman"/>
                <w:b/>
              </w:rPr>
              <w:t>MEDICINAL PRODUCT</w:t>
            </w:r>
          </w:p>
          <w:p w14:paraId="6942615B" w14:textId="77777777" w:rsidR="002B2E69" w:rsidRPr="0090456D" w:rsidRDefault="002B2E69" w:rsidP="00707351">
            <w:pPr>
              <w:pStyle w:val="TableText"/>
              <w:keepNext w:val="0"/>
              <w:ind w:left="-57"/>
              <w:rPr>
                <w:rFonts w:eastAsia="Times New Roman"/>
                <w:b/>
              </w:rPr>
            </w:pPr>
            <w:r w:rsidRPr="0090456D">
              <w:rPr>
                <w:rFonts w:eastAsia="Times New Roman"/>
                <w:b/>
              </w:rPr>
              <w:t>Form</w:t>
            </w:r>
          </w:p>
        </w:tc>
        <w:tc>
          <w:tcPr>
            <w:tcW w:w="1047" w:type="pct"/>
            <w:vAlign w:val="center"/>
          </w:tcPr>
          <w:p w14:paraId="329DC523" w14:textId="77777777" w:rsidR="002B2E69" w:rsidRPr="0090456D" w:rsidRDefault="002B2E69" w:rsidP="00A1026D">
            <w:pPr>
              <w:pStyle w:val="TableText"/>
              <w:keepNext w:val="0"/>
              <w:ind w:left="-57"/>
              <w:jc w:val="center"/>
              <w:rPr>
                <w:rFonts w:eastAsia="Times New Roman"/>
                <w:b/>
              </w:rPr>
            </w:pPr>
            <w:r w:rsidRPr="0090456D">
              <w:rPr>
                <w:rFonts w:eastAsia="Times New Roman"/>
                <w:b/>
              </w:rPr>
              <w:t>PBS item code</w:t>
            </w:r>
          </w:p>
        </w:tc>
        <w:tc>
          <w:tcPr>
            <w:tcW w:w="1047" w:type="pct"/>
            <w:vAlign w:val="center"/>
          </w:tcPr>
          <w:p w14:paraId="69A0AAD3" w14:textId="77777777" w:rsidR="002B2E69" w:rsidRPr="0090456D" w:rsidRDefault="002B2E69" w:rsidP="0083570F">
            <w:pPr>
              <w:pStyle w:val="TableText"/>
              <w:keepNext w:val="0"/>
              <w:ind w:left="-57"/>
              <w:jc w:val="center"/>
              <w:rPr>
                <w:rFonts w:eastAsia="Times New Roman"/>
                <w:b/>
              </w:rPr>
            </w:pPr>
            <w:r w:rsidRPr="0090456D">
              <w:rPr>
                <w:rFonts w:eastAsia="Times New Roman"/>
                <w:b/>
              </w:rPr>
              <w:t>Max. Amount</w:t>
            </w:r>
          </w:p>
        </w:tc>
        <w:tc>
          <w:tcPr>
            <w:tcW w:w="1260" w:type="pct"/>
            <w:vAlign w:val="center"/>
          </w:tcPr>
          <w:p w14:paraId="53C65C0F" w14:textId="77777777" w:rsidR="002B2E69" w:rsidRPr="0090456D" w:rsidRDefault="002B2E69" w:rsidP="0083570F">
            <w:pPr>
              <w:pStyle w:val="TableText"/>
              <w:keepNext w:val="0"/>
              <w:ind w:left="-57"/>
              <w:jc w:val="center"/>
              <w:rPr>
                <w:rFonts w:eastAsia="Times New Roman"/>
                <w:b/>
              </w:rPr>
            </w:pPr>
            <w:proofErr w:type="gramStart"/>
            <w:r w:rsidRPr="0090456D">
              <w:rPr>
                <w:rFonts w:eastAsia="Times New Roman"/>
                <w:b/>
              </w:rPr>
              <w:t>№.of</w:t>
            </w:r>
            <w:proofErr w:type="gramEnd"/>
            <w:r w:rsidRPr="0090456D">
              <w:rPr>
                <w:rFonts w:eastAsia="Times New Roman"/>
                <w:b/>
              </w:rPr>
              <w:t xml:space="preserve"> Rpts</w:t>
            </w:r>
          </w:p>
        </w:tc>
      </w:tr>
      <w:tr w:rsidR="002B2E69" w:rsidRPr="0090456D" w14:paraId="61D64600" w14:textId="77777777" w:rsidTr="001C756D">
        <w:trPr>
          <w:trHeight w:val="20"/>
        </w:trPr>
        <w:tc>
          <w:tcPr>
            <w:tcW w:w="1647" w:type="pct"/>
            <w:vAlign w:val="center"/>
          </w:tcPr>
          <w:p w14:paraId="0AE2CED3" w14:textId="77777777" w:rsidR="002B2E69" w:rsidRPr="0090456D" w:rsidRDefault="002B2E69" w:rsidP="00707351">
            <w:pPr>
              <w:pStyle w:val="TableText"/>
              <w:keepNext w:val="0"/>
              <w:ind w:left="-57"/>
              <w:rPr>
                <w:rFonts w:eastAsia="Times New Roman"/>
              </w:rPr>
            </w:pPr>
            <w:r w:rsidRPr="0090456D">
              <w:rPr>
                <w:rFonts w:eastAsia="Times New Roman"/>
                <w:caps/>
              </w:rPr>
              <w:t>pembrolizumab</w:t>
            </w:r>
            <w:r w:rsidRPr="0090456D">
              <w:rPr>
                <w:rFonts w:eastAsia="Times New Roman"/>
              </w:rPr>
              <w:t xml:space="preserve"> </w:t>
            </w:r>
          </w:p>
          <w:p w14:paraId="3A252AFA" w14:textId="77777777" w:rsidR="002B2E69" w:rsidRPr="0090456D" w:rsidRDefault="002B2E69" w:rsidP="00707351">
            <w:pPr>
              <w:pStyle w:val="TableText"/>
              <w:keepNext w:val="0"/>
              <w:ind w:left="-57"/>
              <w:rPr>
                <w:rFonts w:eastAsia="Times New Roman"/>
              </w:rPr>
            </w:pPr>
            <w:r w:rsidRPr="0090456D">
              <w:rPr>
                <w:rFonts w:eastAsia="Times New Roman"/>
              </w:rPr>
              <w:t>Injection</w:t>
            </w:r>
          </w:p>
        </w:tc>
        <w:tc>
          <w:tcPr>
            <w:tcW w:w="1047" w:type="pct"/>
            <w:vAlign w:val="center"/>
          </w:tcPr>
          <w:p w14:paraId="5FB423A1" w14:textId="7F9164B0" w:rsidR="002B2E69" w:rsidRPr="002B2E69" w:rsidRDefault="002B2E69" w:rsidP="00A1026D">
            <w:pPr>
              <w:pStyle w:val="TableText"/>
              <w:keepNext w:val="0"/>
              <w:ind w:left="-57"/>
              <w:jc w:val="center"/>
              <w:rPr>
                <w:rFonts w:eastAsia="Times New Roman"/>
              </w:rPr>
            </w:pPr>
            <w:r w:rsidRPr="0090456D">
              <w:rPr>
                <w:rFonts w:eastAsia="Times New Roman"/>
              </w:rPr>
              <w:t>NEW (Public)</w:t>
            </w:r>
            <w:r w:rsidRPr="0090456D">
              <w:rPr>
                <w:rFonts w:eastAsia="Times New Roman"/>
              </w:rPr>
              <w:br/>
              <w:t>NEW (Private)</w:t>
            </w:r>
          </w:p>
        </w:tc>
        <w:tc>
          <w:tcPr>
            <w:tcW w:w="1047" w:type="pct"/>
            <w:vAlign w:val="center"/>
          </w:tcPr>
          <w:p w14:paraId="1CC7B3F4" w14:textId="77777777" w:rsidR="002B2E69" w:rsidRPr="0090456D" w:rsidRDefault="002B2E69" w:rsidP="0083570F">
            <w:pPr>
              <w:pStyle w:val="TableText"/>
              <w:keepNext w:val="0"/>
              <w:ind w:left="-57"/>
              <w:jc w:val="center"/>
              <w:rPr>
                <w:rFonts w:eastAsia="Times New Roman"/>
              </w:rPr>
            </w:pPr>
            <w:r w:rsidRPr="0090456D">
              <w:rPr>
                <w:rFonts w:eastAsia="Times New Roman"/>
              </w:rPr>
              <w:t>400 mg</w:t>
            </w:r>
          </w:p>
        </w:tc>
        <w:tc>
          <w:tcPr>
            <w:tcW w:w="1260" w:type="pct"/>
            <w:vAlign w:val="center"/>
          </w:tcPr>
          <w:p w14:paraId="344F50A9" w14:textId="77777777" w:rsidR="002B2E69" w:rsidRPr="0090456D" w:rsidRDefault="002B2E69" w:rsidP="0083570F">
            <w:pPr>
              <w:pStyle w:val="TableText"/>
              <w:keepNext w:val="0"/>
              <w:ind w:left="-57"/>
              <w:jc w:val="center"/>
              <w:rPr>
                <w:rFonts w:eastAsia="Times New Roman"/>
              </w:rPr>
            </w:pPr>
            <w:r>
              <w:rPr>
                <w:rFonts w:eastAsia="Times New Roman"/>
              </w:rPr>
              <w:t>7</w:t>
            </w:r>
          </w:p>
        </w:tc>
      </w:tr>
      <w:tr w:rsidR="002B2E69" w:rsidRPr="0090456D" w14:paraId="14325232" w14:textId="77777777" w:rsidTr="001C756D">
        <w:trPr>
          <w:trHeight w:val="20"/>
        </w:trPr>
        <w:tc>
          <w:tcPr>
            <w:tcW w:w="4999" w:type="pct"/>
            <w:gridSpan w:val="4"/>
            <w:vAlign w:val="center"/>
          </w:tcPr>
          <w:p w14:paraId="74484956" w14:textId="77777777" w:rsidR="002B2E69" w:rsidRPr="0090456D" w:rsidRDefault="002B2E69" w:rsidP="00707351">
            <w:pPr>
              <w:pStyle w:val="TableText"/>
              <w:keepNext w:val="0"/>
              <w:ind w:left="-57"/>
              <w:rPr>
                <w:rFonts w:eastAsia="Times New Roman"/>
                <w:b/>
              </w:rPr>
            </w:pPr>
            <w:r w:rsidRPr="0090456D">
              <w:rPr>
                <w:rFonts w:eastAsia="Times New Roman"/>
                <w:b/>
              </w:rPr>
              <w:t xml:space="preserve">Available brands </w:t>
            </w:r>
          </w:p>
        </w:tc>
      </w:tr>
      <w:tr w:rsidR="002B2E69" w:rsidRPr="0090456D" w14:paraId="13BC1D64" w14:textId="77777777" w:rsidTr="001C756D">
        <w:trPr>
          <w:trHeight w:val="20"/>
        </w:trPr>
        <w:tc>
          <w:tcPr>
            <w:tcW w:w="4999" w:type="pct"/>
            <w:gridSpan w:val="4"/>
            <w:vAlign w:val="center"/>
          </w:tcPr>
          <w:p w14:paraId="6987F5A5" w14:textId="77777777" w:rsidR="002B2E69" w:rsidRPr="0090456D" w:rsidRDefault="002B2E69" w:rsidP="00707351">
            <w:pPr>
              <w:pStyle w:val="TableText"/>
              <w:keepNext w:val="0"/>
              <w:ind w:left="-57"/>
              <w:rPr>
                <w:rFonts w:eastAsia="Times New Roman"/>
              </w:rPr>
            </w:pPr>
            <w:r w:rsidRPr="0090456D">
              <w:rPr>
                <w:rFonts w:eastAsia="Times New Roman"/>
              </w:rPr>
              <w:t xml:space="preserve">Keytruda </w:t>
            </w:r>
          </w:p>
          <w:p w14:paraId="1FE79E99" w14:textId="77777777" w:rsidR="002B2E69" w:rsidRPr="0090456D" w:rsidRDefault="002B2E69" w:rsidP="00707351">
            <w:pPr>
              <w:pStyle w:val="TableText"/>
              <w:keepNext w:val="0"/>
              <w:ind w:left="-57"/>
              <w:rPr>
                <w:rFonts w:eastAsia="Times New Roman"/>
              </w:rPr>
            </w:pPr>
            <w:r w:rsidRPr="0090456D">
              <w:rPr>
                <w:rFonts w:eastAsia="Times New Roman"/>
              </w:rPr>
              <w:t>(</w:t>
            </w:r>
            <w:proofErr w:type="gramStart"/>
            <w:r w:rsidRPr="0090456D">
              <w:rPr>
                <w:rFonts w:eastAsia="Times New Roman"/>
              </w:rPr>
              <w:t>pembrolizumab</w:t>
            </w:r>
            <w:proofErr w:type="gramEnd"/>
            <w:r w:rsidRPr="0090456D">
              <w:rPr>
                <w:rFonts w:eastAsia="Times New Roman"/>
              </w:rPr>
              <w:t xml:space="preserve"> 100 mg/4 ml injection, 4 ml vial)</w:t>
            </w:r>
          </w:p>
        </w:tc>
      </w:tr>
      <w:tr w:rsidR="002B2E69" w:rsidRPr="0090456D" w14:paraId="12D46E12" w14:textId="77777777" w:rsidTr="001C756D">
        <w:trPr>
          <w:trHeight w:val="20"/>
        </w:trPr>
        <w:tc>
          <w:tcPr>
            <w:tcW w:w="4999" w:type="pct"/>
            <w:gridSpan w:val="4"/>
            <w:vAlign w:val="center"/>
          </w:tcPr>
          <w:p w14:paraId="32C03595" w14:textId="77777777" w:rsidR="002B2E69" w:rsidRPr="0090456D" w:rsidRDefault="002B2E69" w:rsidP="002B2E69">
            <w:pPr>
              <w:pStyle w:val="TableText"/>
              <w:keepNext w:val="0"/>
              <w:rPr>
                <w:rFonts w:eastAsia="Times New Roman"/>
                <w:color w:val="FF0000"/>
              </w:rPr>
            </w:pPr>
          </w:p>
        </w:tc>
      </w:tr>
      <w:tr w:rsidR="002B2E69" w:rsidRPr="0090456D" w14:paraId="19D96417" w14:textId="77777777" w:rsidTr="001C756D">
        <w:trPr>
          <w:trHeight w:val="20"/>
        </w:trPr>
        <w:tc>
          <w:tcPr>
            <w:tcW w:w="4999" w:type="pct"/>
            <w:gridSpan w:val="4"/>
            <w:tcBorders>
              <w:top w:val="single" w:sz="4" w:space="0" w:color="auto"/>
              <w:left w:val="single" w:sz="4" w:space="0" w:color="auto"/>
              <w:bottom w:val="single" w:sz="4" w:space="0" w:color="auto"/>
              <w:right w:val="single" w:sz="4" w:space="0" w:color="auto"/>
            </w:tcBorders>
            <w:vAlign w:val="center"/>
          </w:tcPr>
          <w:p w14:paraId="7A8F7350" w14:textId="151420B1" w:rsidR="002B2E69" w:rsidRPr="0090456D" w:rsidRDefault="002B2E69" w:rsidP="002B2E69">
            <w:pPr>
              <w:pStyle w:val="TableText"/>
              <w:keepNext w:val="0"/>
              <w:rPr>
                <w:rFonts w:eastAsia="Times New Roman"/>
                <w:b/>
              </w:rPr>
            </w:pPr>
            <w:r w:rsidRPr="0090456D">
              <w:rPr>
                <w:rFonts w:eastAsia="Times New Roman"/>
                <w:b/>
              </w:rPr>
              <w:t>Authority Required (STREAMLINED)</w:t>
            </w:r>
          </w:p>
          <w:p w14:paraId="6C47CEE7" w14:textId="77777777" w:rsidR="002B2E69" w:rsidRPr="0090456D" w:rsidRDefault="002B2E69" w:rsidP="002B2E69">
            <w:pPr>
              <w:pStyle w:val="TableText"/>
              <w:keepNext w:val="0"/>
              <w:rPr>
                <w:rFonts w:eastAsia="Times New Roman"/>
              </w:rPr>
            </w:pPr>
          </w:p>
        </w:tc>
      </w:tr>
      <w:tr w:rsidR="001C756D" w:rsidRPr="0090456D" w14:paraId="102D16B5" w14:textId="77777777" w:rsidTr="001C756D">
        <w:tblPrEx>
          <w:tblCellMar>
            <w:top w:w="15" w:type="dxa"/>
            <w:left w:w="15" w:type="dxa"/>
            <w:bottom w:w="15" w:type="dxa"/>
            <w:right w:w="15" w:type="dxa"/>
          </w:tblCellMar>
          <w:tblLook w:val="04A0" w:firstRow="1" w:lastRow="0" w:firstColumn="1" w:lastColumn="0" w:noHBand="0" w:noVBand="1"/>
        </w:tblPrEx>
        <w:trPr>
          <w:trHeight w:val="306"/>
        </w:trPr>
        <w:tc>
          <w:tcPr>
            <w:tcW w:w="5000" w:type="pct"/>
            <w:gridSpan w:val="4"/>
            <w:vAlign w:val="center"/>
          </w:tcPr>
          <w:p w14:paraId="3B92F77C" w14:textId="77777777" w:rsidR="001C756D" w:rsidRPr="0083570F" w:rsidRDefault="001C756D" w:rsidP="002B2E69">
            <w:pPr>
              <w:pStyle w:val="TableText"/>
              <w:keepNext w:val="0"/>
              <w:rPr>
                <w:rFonts w:eastAsia="Arial"/>
                <w:color w:val="BFBFBF" w:themeColor="background1" w:themeShade="BF"/>
              </w:rPr>
            </w:pPr>
            <w:r w:rsidRPr="0083570F">
              <w:rPr>
                <w:rFonts w:eastAsia="Arial"/>
                <w:b/>
                <w:color w:val="BFBFBF" w:themeColor="background1" w:themeShade="BF"/>
              </w:rPr>
              <w:t xml:space="preserve">Severity: </w:t>
            </w:r>
            <w:r w:rsidRPr="0083570F">
              <w:rPr>
                <w:rFonts w:eastAsia="Arial"/>
                <w:color w:val="BFBFBF" w:themeColor="background1" w:themeShade="BF"/>
              </w:rPr>
              <w:t>Stage II or Stage III</w:t>
            </w:r>
          </w:p>
        </w:tc>
      </w:tr>
      <w:tr w:rsidR="001C756D" w:rsidRPr="0090456D" w14:paraId="4D913120"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4A2A2318" w14:textId="77777777" w:rsidR="001C756D" w:rsidRPr="0083570F" w:rsidRDefault="001C756D" w:rsidP="002B2E69">
            <w:pPr>
              <w:pStyle w:val="TableText"/>
              <w:keepNext w:val="0"/>
              <w:rPr>
                <w:rFonts w:eastAsia="Times New Roman"/>
                <w:color w:val="BFBFBF" w:themeColor="background1" w:themeShade="BF"/>
              </w:rPr>
            </w:pPr>
            <w:r w:rsidRPr="0083570F">
              <w:rPr>
                <w:rFonts w:eastAsia="Arial"/>
                <w:b/>
                <w:color w:val="BFBFBF" w:themeColor="background1" w:themeShade="BF"/>
              </w:rPr>
              <w:t>Condition:</w:t>
            </w:r>
            <w:r w:rsidRPr="0083570F">
              <w:rPr>
                <w:rFonts w:eastAsia="Arial"/>
                <w:color w:val="BFBFBF" w:themeColor="background1" w:themeShade="BF"/>
              </w:rPr>
              <w:t xml:space="preserve"> triple negative breast cancer</w:t>
            </w:r>
          </w:p>
        </w:tc>
      </w:tr>
      <w:tr w:rsidR="001C756D" w:rsidRPr="0090456D" w14:paraId="047367E0"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hideMark/>
          </w:tcPr>
          <w:p w14:paraId="36F5881C" w14:textId="77777777" w:rsidR="001C756D" w:rsidRPr="0090456D" w:rsidRDefault="001C756D" w:rsidP="002B2E69">
            <w:pPr>
              <w:pStyle w:val="TableText"/>
              <w:keepNext w:val="0"/>
              <w:rPr>
                <w:rFonts w:eastAsia="Times New Roman"/>
              </w:rPr>
            </w:pPr>
            <w:r w:rsidRPr="0090456D">
              <w:rPr>
                <w:rFonts w:eastAsia="Arial"/>
                <w:b/>
              </w:rPr>
              <w:t>Indication:</w:t>
            </w:r>
            <w:r w:rsidRPr="0090456D">
              <w:rPr>
                <w:rFonts w:eastAsia="Arial"/>
              </w:rPr>
              <w:t xml:space="preserve"> </w:t>
            </w:r>
            <w:r>
              <w:rPr>
                <w:rFonts w:eastAsia="Arial"/>
              </w:rPr>
              <w:t>Stage II or Stage III</w:t>
            </w:r>
            <w:r w:rsidRPr="0090456D">
              <w:rPr>
                <w:rFonts w:eastAsia="Arial"/>
              </w:rPr>
              <w:t xml:space="preserve"> triple negative breast cancer</w:t>
            </w:r>
          </w:p>
        </w:tc>
      </w:tr>
      <w:tr w:rsidR="001C756D" w:rsidRPr="0090456D" w14:paraId="4B3F16CF"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65CED7F1" w14:textId="77777777" w:rsidR="001C756D" w:rsidRPr="0090456D" w:rsidRDefault="001C756D" w:rsidP="002B2E69">
            <w:pPr>
              <w:pStyle w:val="TableText"/>
              <w:keepNext w:val="0"/>
              <w:rPr>
                <w:rFonts w:eastAsia="Arial"/>
                <w:b/>
              </w:rPr>
            </w:pPr>
          </w:p>
        </w:tc>
      </w:tr>
      <w:tr w:rsidR="001C756D" w:rsidRPr="0090456D" w14:paraId="2FC93385"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shd w:val="clear" w:color="auto" w:fill="auto"/>
            <w:vAlign w:val="center"/>
            <w:hideMark/>
          </w:tcPr>
          <w:p w14:paraId="11C438F1" w14:textId="77777777" w:rsidR="001C756D" w:rsidRPr="0090456D" w:rsidRDefault="001C756D" w:rsidP="002B2E69">
            <w:pPr>
              <w:pStyle w:val="TableText"/>
              <w:keepNext w:val="0"/>
              <w:rPr>
                <w:rFonts w:eastAsia="Times New Roman"/>
              </w:rPr>
            </w:pPr>
            <w:r w:rsidRPr="0083570F">
              <w:rPr>
                <w:rFonts w:eastAsia="Times New Roman"/>
                <w:b/>
                <w:color w:val="BFBFBF" w:themeColor="background1" w:themeShade="BF"/>
              </w:rPr>
              <w:t>Treatment Phase:</w:t>
            </w:r>
            <w:r w:rsidRPr="0083570F">
              <w:rPr>
                <w:rFonts w:eastAsia="Times New Roman"/>
                <w:color w:val="BFBFBF" w:themeColor="background1" w:themeShade="BF"/>
              </w:rPr>
              <w:t xml:space="preserve"> [blank] </w:t>
            </w:r>
          </w:p>
        </w:tc>
      </w:tr>
      <w:tr w:rsidR="001C756D" w:rsidRPr="0090456D" w14:paraId="5FA95D1F"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shd w:val="clear" w:color="auto" w:fill="auto"/>
            <w:vAlign w:val="center"/>
          </w:tcPr>
          <w:p w14:paraId="6BCAD70F" w14:textId="77777777" w:rsidR="001C756D" w:rsidRPr="0090456D" w:rsidRDefault="001C756D" w:rsidP="002B2E69">
            <w:pPr>
              <w:pStyle w:val="TableText"/>
              <w:keepNext w:val="0"/>
              <w:rPr>
                <w:rFonts w:eastAsia="Times New Roman"/>
                <w:b/>
              </w:rPr>
            </w:pPr>
          </w:p>
        </w:tc>
      </w:tr>
      <w:tr w:rsidR="001C756D" w:rsidRPr="0090456D" w14:paraId="7BC9CFB3"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hideMark/>
          </w:tcPr>
          <w:p w14:paraId="1666AB64" w14:textId="77777777" w:rsidR="001C756D" w:rsidRPr="0090456D" w:rsidRDefault="001C756D" w:rsidP="002B2E69">
            <w:pPr>
              <w:pStyle w:val="TableText"/>
              <w:keepNext w:val="0"/>
              <w:rPr>
                <w:rFonts w:eastAsia="Times New Roman"/>
              </w:rPr>
            </w:pPr>
            <w:r w:rsidRPr="0090456D">
              <w:rPr>
                <w:rFonts w:eastAsia="Times New Roman"/>
                <w:b/>
              </w:rPr>
              <w:t>Clinical criteria:</w:t>
            </w:r>
          </w:p>
        </w:tc>
      </w:tr>
      <w:tr w:rsidR="001C756D" w:rsidRPr="0090456D" w14:paraId="2E12B7CD"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01F4F975" w14:textId="77777777" w:rsidR="001C756D" w:rsidRPr="0090456D" w:rsidRDefault="001C756D" w:rsidP="002B2E69">
            <w:pPr>
              <w:pStyle w:val="TableText"/>
              <w:keepNext w:val="0"/>
              <w:rPr>
                <w:rFonts w:eastAsia="Arial"/>
              </w:rPr>
            </w:pPr>
            <w:r w:rsidRPr="0090456D">
              <w:rPr>
                <w:rFonts w:eastAsia="Arial"/>
              </w:rPr>
              <w:t>The condition must have been (up until this drug therapy) untreated</w:t>
            </w:r>
          </w:p>
        </w:tc>
      </w:tr>
      <w:tr w:rsidR="001C756D" w:rsidRPr="0090456D" w14:paraId="2942C341"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hideMark/>
          </w:tcPr>
          <w:p w14:paraId="74778C00" w14:textId="77777777" w:rsidR="001C756D" w:rsidRPr="0090456D" w:rsidRDefault="001C756D" w:rsidP="002B2E69">
            <w:pPr>
              <w:pStyle w:val="TableText"/>
              <w:keepNext w:val="0"/>
              <w:rPr>
                <w:rFonts w:eastAsia="Arial"/>
              </w:rPr>
            </w:pPr>
            <w:r w:rsidRPr="0090456D">
              <w:rPr>
                <w:rFonts w:eastAsia="Arial"/>
                <w:b/>
              </w:rPr>
              <w:t>AND</w:t>
            </w:r>
          </w:p>
        </w:tc>
      </w:tr>
      <w:tr w:rsidR="001C756D" w:rsidRPr="0090456D" w14:paraId="61A8A8E0"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751FD7D9" w14:textId="77777777" w:rsidR="001C756D" w:rsidRPr="0090456D" w:rsidRDefault="001C756D" w:rsidP="002B2E69">
            <w:pPr>
              <w:pStyle w:val="TableText"/>
              <w:keepNext w:val="0"/>
              <w:rPr>
                <w:rFonts w:eastAsia="Times New Roman"/>
                <w:b/>
              </w:rPr>
            </w:pPr>
            <w:r w:rsidRPr="0090456D">
              <w:rPr>
                <w:rFonts w:eastAsia="Arial"/>
                <w:b/>
              </w:rPr>
              <w:t>Clinical criteria:</w:t>
            </w:r>
          </w:p>
        </w:tc>
      </w:tr>
      <w:tr w:rsidR="001C756D" w:rsidRPr="0090456D" w14:paraId="18B978C2"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6B4A33FE" w14:textId="77777777" w:rsidR="001C756D" w:rsidRPr="0090456D" w:rsidRDefault="001C756D" w:rsidP="002B2E69">
            <w:pPr>
              <w:pStyle w:val="TableText"/>
              <w:keepNext w:val="0"/>
              <w:rPr>
                <w:rFonts w:eastAsia="Times New Roman"/>
                <w:b/>
              </w:rPr>
            </w:pPr>
            <w:r w:rsidRPr="0090456D">
              <w:rPr>
                <w:rFonts w:eastAsia="Arial"/>
              </w:rPr>
              <w:t>The condition must have been (up until this drug therapy) untreated with programmed cell death-1/ligand 1-1 (PD-1/PD-L1) inhibitor therapy in breast cancer</w:t>
            </w:r>
          </w:p>
        </w:tc>
      </w:tr>
      <w:tr w:rsidR="001C756D" w:rsidRPr="0090456D" w14:paraId="07C077BE"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0DA4D65D" w14:textId="77777777" w:rsidR="001C756D" w:rsidRPr="0090456D" w:rsidRDefault="001C756D" w:rsidP="002B2E69">
            <w:pPr>
              <w:pStyle w:val="TableText"/>
              <w:keepNext w:val="0"/>
              <w:rPr>
                <w:rFonts w:eastAsia="Times New Roman"/>
                <w:b/>
              </w:rPr>
            </w:pPr>
            <w:r w:rsidRPr="0090456D">
              <w:rPr>
                <w:rFonts w:eastAsia="Arial"/>
                <w:b/>
              </w:rPr>
              <w:t>AND</w:t>
            </w:r>
          </w:p>
        </w:tc>
      </w:tr>
      <w:tr w:rsidR="001C756D" w:rsidRPr="0090456D" w14:paraId="749276D0"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hideMark/>
          </w:tcPr>
          <w:p w14:paraId="0E3078AE" w14:textId="77777777" w:rsidR="001C756D" w:rsidRPr="0090456D" w:rsidRDefault="001C756D" w:rsidP="002B2E69">
            <w:pPr>
              <w:pStyle w:val="TableText"/>
              <w:keepNext w:val="0"/>
              <w:rPr>
                <w:rFonts w:eastAsia="Times New Roman"/>
              </w:rPr>
            </w:pPr>
            <w:r w:rsidRPr="0090456D">
              <w:rPr>
                <w:rFonts w:eastAsia="Times New Roman"/>
                <w:b/>
              </w:rPr>
              <w:t>Clinical criteria:</w:t>
            </w:r>
          </w:p>
        </w:tc>
      </w:tr>
      <w:tr w:rsidR="001C756D" w:rsidRPr="0090456D" w14:paraId="680F7654"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hideMark/>
          </w:tcPr>
          <w:p w14:paraId="368A05DB" w14:textId="77777777" w:rsidR="001C756D" w:rsidRPr="0090456D" w:rsidRDefault="001C756D" w:rsidP="002B2E69">
            <w:pPr>
              <w:pStyle w:val="TableText"/>
              <w:keepNext w:val="0"/>
              <w:rPr>
                <w:rFonts w:eastAsia="Times New Roman"/>
                <w:iCs/>
              </w:rPr>
            </w:pPr>
            <w:r w:rsidRPr="0090456D">
              <w:rPr>
                <w:rFonts w:eastAsia="Times New Roman"/>
                <w:iCs/>
              </w:rPr>
              <w:t>Patient must have a World Health Organisation (WHO) Eastern Cooperative Oncology Group (ECOG) performance status score of no higher than 1 prior to treatment initiation</w:t>
            </w:r>
          </w:p>
        </w:tc>
      </w:tr>
      <w:tr w:rsidR="001C756D" w:rsidRPr="0090456D" w14:paraId="3C96F92B"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62A705D0" w14:textId="77777777" w:rsidR="001C756D" w:rsidRPr="0090456D" w:rsidRDefault="001C756D" w:rsidP="002B2E69">
            <w:pPr>
              <w:pStyle w:val="TableText"/>
              <w:keepNext w:val="0"/>
              <w:rPr>
                <w:rFonts w:eastAsia="Times New Roman"/>
                <w:b/>
              </w:rPr>
            </w:pPr>
            <w:r w:rsidRPr="0090456D">
              <w:rPr>
                <w:rFonts w:eastAsia="Times New Roman"/>
                <w:b/>
              </w:rPr>
              <w:t>AND</w:t>
            </w:r>
          </w:p>
        </w:tc>
      </w:tr>
      <w:tr w:rsidR="001C756D" w:rsidRPr="0090456D" w14:paraId="61D641B2"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hideMark/>
          </w:tcPr>
          <w:p w14:paraId="1E05DC04" w14:textId="77777777" w:rsidR="001C756D" w:rsidRPr="0090456D" w:rsidRDefault="001C756D" w:rsidP="002B2E69">
            <w:pPr>
              <w:pStyle w:val="TableText"/>
              <w:keepNext w:val="0"/>
              <w:rPr>
                <w:rFonts w:eastAsia="Times New Roman"/>
              </w:rPr>
            </w:pPr>
            <w:r w:rsidRPr="0090456D">
              <w:rPr>
                <w:rFonts w:eastAsia="Times New Roman"/>
                <w:b/>
              </w:rPr>
              <w:t xml:space="preserve">Clinical criteria: </w:t>
            </w:r>
          </w:p>
        </w:tc>
      </w:tr>
      <w:tr w:rsidR="001C756D" w:rsidRPr="0090456D" w14:paraId="31E0F020"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hideMark/>
          </w:tcPr>
          <w:p w14:paraId="54CF5AF3" w14:textId="77777777" w:rsidR="001C756D" w:rsidRPr="0090456D" w:rsidRDefault="001C756D" w:rsidP="002B2E69">
            <w:pPr>
              <w:pStyle w:val="TableText"/>
              <w:keepNext w:val="0"/>
              <w:rPr>
                <w:rFonts w:eastAsia="Times New Roman"/>
              </w:rPr>
            </w:pPr>
            <w:r w:rsidRPr="0090456D">
              <w:rPr>
                <w:rFonts w:eastAsia="Times New Roman"/>
              </w:rPr>
              <w:t>The treatment must be in</w:t>
            </w:r>
            <w:r>
              <w:rPr>
                <w:rFonts w:eastAsia="Times New Roman"/>
              </w:rPr>
              <w:t>itiated in</w:t>
            </w:r>
            <w:r w:rsidRPr="0090456D">
              <w:rPr>
                <w:rFonts w:eastAsia="Times New Roman"/>
              </w:rPr>
              <w:t xml:space="preserve"> combination with chemotherapy</w:t>
            </w:r>
          </w:p>
        </w:tc>
      </w:tr>
      <w:tr w:rsidR="001C756D" w:rsidRPr="0090456D" w14:paraId="4ABA69F7"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558AD92D" w14:textId="77777777" w:rsidR="001C756D" w:rsidRPr="0090456D" w:rsidRDefault="001C756D" w:rsidP="002B2E69">
            <w:pPr>
              <w:pStyle w:val="TableText"/>
              <w:keepNext w:val="0"/>
              <w:rPr>
                <w:rFonts w:eastAsia="Times New Roman"/>
                <w:b/>
              </w:rPr>
            </w:pPr>
            <w:r w:rsidRPr="0090456D">
              <w:rPr>
                <w:rFonts w:eastAsia="Times New Roman"/>
                <w:b/>
              </w:rPr>
              <w:t>AND</w:t>
            </w:r>
          </w:p>
        </w:tc>
      </w:tr>
      <w:tr w:rsidR="001C756D" w:rsidRPr="0090456D" w14:paraId="21DD64F9"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05CCEE44" w14:textId="77777777" w:rsidR="001C756D" w:rsidRPr="0090456D" w:rsidRDefault="001C756D" w:rsidP="002B2E69">
            <w:pPr>
              <w:pStyle w:val="TableText"/>
              <w:keepNext w:val="0"/>
              <w:rPr>
                <w:rFonts w:eastAsia="Times New Roman"/>
                <w:b/>
              </w:rPr>
            </w:pPr>
            <w:r w:rsidRPr="0090456D">
              <w:rPr>
                <w:rFonts w:eastAsia="Times New Roman"/>
                <w:b/>
              </w:rPr>
              <w:t>Clinical criteria:</w:t>
            </w:r>
          </w:p>
        </w:tc>
      </w:tr>
      <w:tr w:rsidR="001C756D" w:rsidRPr="0090456D" w14:paraId="44CB0BB2"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0E21E140" w14:textId="0482723B" w:rsidR="001C756D" w:rsidRPr="00F13CE1" w:rsidRDefault="001C756D" w:rsidP="002B2E69">
            <w:pPr>
              <w:pStyle w:val="TableText"/>
              <w:keepNext w:val="0"/>
              <w:rPr>
                <w:rFonts w:eastAsia="Arial"/>
              </w:rPr>
            </w:pPr>
          </w:p>
        </w:tc>
      </w:tr>
      <w:tr w:rsidR="001C756D" w:rsidRPr="0090456D" w14:paraId="11484CFC"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784BDC1D" w14:textId="77777777" w:rsidR="001C756D" w:rsidRPr="0090456D" w:rsidRDefault="001C756D" w:rsidP="002B2E69">
            <w:pPr>
              <w:pStyle w:val="TableText"/>
              <w:keepNext w:val="0"/>
              <w:rPr>
                <w:rFonts w:eastAsia="Arial"/>
              </w:rPr>
            </w:pPr>
            <w:r w:rsidRPr="0090456D">
              <w:rPr>
                <w:rFonts w:eastAsia="Times New Roman"/>
                <w:b/>
              </w:rPr>
              <w:t>Treatment criteria:</w:t>
            </w:r>
          </w:p>
        </w:tc>
      </w:tr>
      <w:tr w:rsidR="001C756D" w:rsidRPr="0090456D" w14:paraId="7F221B7C"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1E996E1D" w14:textId="77777777" w:rsidR="001C756D" w:rsidRPr="0090456D" w:rsidRDefault="001C756D" w:rsidP="002B2E69">
            <w:pPr>
              <w:pStyle w:val="TableText"/>
              <w:keepNext w:val="0"/>
              <w:rPr>
                <w:rFonts w:eastAsia="Arial"/>
              </w:rPr>
            </w:pPr>
            <w:r w:rsidRPr="0090456D">
              <w:rPr>
                <w:rFonts w:eastAsia="Arial"/>
              </w:rPr>
              <w:t>Patient must be undergoing initial treatment with this drug – this is the first prescription for this drug; or</w:t>
            </w:r>
          </w:p>
        </w:tc>
      </w:tr>
      <w:tr w:rsidR="001C756D" w:rsidRPr="0090456D" w14:paraId="1142E258"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47C5FB34" w14:textId="77777777" w:rsidR="001C756D" w:rsidRPr="0090456D" w:rsidRDefault="001C756D" w:rsidP="002B2E69">
            <w:pPr>
              <w:pStyle w:val="TableText"/>
              <w:keepNext w:val="0"/>
              <w:rPr>
                <w:rFonts w:eastAsia="Arial"/>
              </w:rPr>
            </w:pPr>
            <w:r w:rsidRPr="0090456D">
              <w:rPr>
                <w:rFonts w:eastAsia="Arial"/>
              </w:rPr>
              <w:t xml:space="preserve">Patient must be undergoing continuing treatment with this drug – both the following are true: (i) the condition has not progressed on active treatment with this drug, (ii) this prescription does not extend PBS subsidy beyond </w:t>
            </w:r>
            <w:r>
              <w:rPr>
                <w:rFonts w:eastAsia="Arial"/>
              </w:rPr>
              <w:t>12</w:t>
            </w:r>
            <w:r w:rsidRPr="0090456D">
              <w:rPr>
                <w:rFonts w:eastAsia="Arial"/>
              </w:rPr>
              <w:t xml:space="preserve"> cumulative months from the first administered dose</w:t>
            </w:r>
          </w:p>
        </w:tc>
      </w:tr>
      <w:tr w:rsidR="001C756D" w:rsidRPr="0090456D" w14:paraId="2C278DCB" w14:textId="77777777" w:rsidTr="001C756D">
        <w:tblPrEx>
          <w:tblCellMar>
            <w:top w:w="15" w:type="dxa"/>
            <w:left w:w="15" w:type="dxa"/>
            <w:bottom w:w="15" w:type="dxa"/>
            <w:right w:w="15" w:type="dxa"/>
          </w:tblCellMar>
          <w:tblLook w:val="04A0" w:firstRow="1" w:lastRow="0" w:firstColumn="1" w:lastColumn="0" w:noHBand="0" w:noVBand="1"/>
        </w:tblPrEx>
        <w:trPr>
          <w:trHeight w:val="57"/>
        </w:trPr>
        <w:tc>
          <w:tcPr>
            <w:tcW w:w="5000" w:type="pct"/>
            <w:gridSpan w:val="4"/>
            <w:vAlign w:val="center"/>
          </w:tcPr>
          <w:p w14:paraId="58C58260" w14:textId="77777777" w:rsidR="001C756D" w:rsidRPr="0090456D" w:rsidRDefault="001C756D" w:rsidP="002B2E69">
            <w:pPr>
              <w:pStyle w:val="TableText"/>
              <w:keepNext w:val="0"/>
              <w:rPr>
                <w:rFonts w:eastAsia="Arial"/>
                <w:b/>
              </w:rPr>
            </w:pPr>
            <w:r w:rsidRPr="0090456D">
              <w:rPr>
                <w:rFonts w:eastAsia="Arial"/>
                <w:b/>
              </w:rPr>
              <w:t>AND</w:t>
            </w:r>
          </w:p>
        </w:tc>
      </w:tr>
      <w:tr w:rsidR="001C756D" w:rsidRPr="0090456D" w14:paraId="6C5703A0" w14:textId="77777777" w:rsidTr="001C756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5B643E1" w14:textId="77777777" w:rsidR="001C756D" w:rsidRPr="0090456D" w:rsidRDefault="001C756D" w:rsidP="00F13CE1">
            <w:pPr>
              <w:pStyle w:val="TableText"/>
              <w:keepNext w:val="0"/>
              <w:ind w:left="-57"/>
              <w:rPr>
                <w:rFonts w:eastAsia="Times New Roman"/>
                <w:b/>
              </w:rPr>
            </w:pPr>
            <w:r w:rsidRPr="0090456D">
              <w:rPr>
                <w:rFonts w:eastAsia="Times New Roman"/>
                <w:b/>
              </w:rPr>
              <w:lastRenderedPageBreak/>
              <w:t>Treatment criteria:</w:t>
            </w:r>
          </w:p>
        </w:tc>
      </w:tr>
      <w:tr w:rsidR="001C756D" w:rsidRPr="0090456D" w14:paraId="222F5F90" w14:textId="77777777" w:rsidTr="001C756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B7DBFAE" w14:textId="77777777" w:rsidR="001C756D" w:rsidRPr="0090456D" w:rsidRDefault="001C756D" w:rsidP="00F13CE1">
            <w:pPr>
              <w:pStyle w:val="TableText"/>
              <w:keepNext w:val="0"/>
              <w:ind w:left="-57"/>
              <w:rPr>
                <w:rFonts w:eastAsia="Times New Roman"/>
              </w:rPr>
            </w:pPr>
            <w:r w:rsidRPr="0090456D">
              <w:rPr>
                <w:rFonts w:eastAsia="Times New Roman"/>
              </w:rPr>
              <w:t xml:space="preserve">Patient must be undergoing treatment with this drug administered once every 3 weeks - prescribe up to </w:t>
            </w:r>
            <w:r>
              <w:rPr>
                <w:rFonts w:eastAsia="Times New Roman"/>
              </w:rPr>
              <w:t>7</w:t>
            </w:r>
            <w:r w:rsidRPr="0090456D">
              <w:rPr>
                <w:rFonts w:eastAsia="Times New Roman"/>
              </w:rPr>
              <w:t xml:space="preserve"> repeat </w:t>
            </w:r>
            <w:proofErr w:type="gramStart"/>
            <w:r w:rsidRPr="0090456D">
              <w:rPr>
                <w:rFonts w:eastAsia="Times New Roman"/>
              </w:rPr>
              <w:t>prescriptions;</w:t>
            </w:r>
            <w:proofErr w:type="gramEnd"/>
            <w:r w:rsidRPr="0090456D">
              <w:rPr>
                <w:rFonts w:eastAsia="Times New Roman"/>
              </w:rPr>
              <w:t xml:space="preserve"> or</w:t>
            </w:r>
          </w:p>
        </w:tc>
      </w:tr>
      <w:tr w:rsidR="001C756D" w:rsidRPr="0090456D" w14:paraId="159CA19C" w14:textId="77777777" w:rsidTr="001C756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0BC5F31" w14:textId="77777777" w:rsidR="001C756D" w:rsidRPr="0090456D" w:rsidRDefault="001C756D" w:rsidP="00F13CE1">
            <w:pPr>
              <w:pStyle w:val="TableText"/>
              <w:keepNext w:val="0"/>
              <w:ind w:left="-57"/>
              <w:rPr>
                <w:rFonts w:eastAsia="Times New Roman"/>
              </w:rPr>
            </w:pPr>
            <w:r w:rsidRPr="0090456D">
              <w:rPr>
                <w:rFonts w:eastAsia="Times New Roman"/>
              </w:rPr>
              <w:t xml:space="preserve">Patient must be undergoing treatment with this drug administered once every 6 weeks - prescribe up to </w:t>
            </w:r>
            <w:r>
              <w:rPr>
                <w:rFonts w:eastAsia="Times New Roman"/>
              </w:rPr>
              <w:t>4</w:t>
            </w:r>
            <w:r w:rsidRPr="0090456D">
              <w:rPr>
                <w:rFonts w:eastAsia="Times New Roman"/>
              </w:rPr>
              <w:t xml:space="preserve"> repeat prescriptions.</w:t>
            </w:r>
          </w:p>
        </w:tc>
      </w:tr>
      <w:tr w:rsidR="001C756D" w:rsidRPr="0090456D" w14:paraId="7CD14F4C" w14:textId="77777777" w:rsidTr="001C756D">
        <w:tblPrEx>
          <w:tblCellMar>
            <w:top w:w="15" w:type="dxa"/>
            <w:bottom w:w="15" w:type="dxa"/>
          </w:tblCellMar>
          <w:tblLook w:val="04A0" w:firstRow="1" w:lastRow="0" w:firstColumn="1" w:lastColumn="0" w:noHBand="0" w:noVBand="1"/>
        </w:tblPrEx>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FBA656A" w14:textId="77777777" w:rsidR="001C756D" w:rsidRPr="0090456D" w:rsidRDefault="001C756D" w:rsidP="002B2E69">
            <w:pPr>
              <w:pStyle w:val="TableText"/>
              <w:keepNext w:val="0"/>
              <w:rPr>
                <w:rFonts w:eastAsia="Times New Roman"/>
                <w:b/>
              </w:rPr>
            </w:pPr>
          </w:p>
        </w:tc>
      </w:tr>
      <w:tr w:rsidR="001C756D" w:rsidRPr="0090456D" w14:paraId="058624E7" w14:textId="77777777" w:rsidTr="001C756D">
        <w:tblPrEx>
          <w:tblCellMar>
            <w:top w:w="15" w:type="dxa"/>
            <w:bottom w:w="15" w:type="dxa"/>
          </w:tblCellMar>
          <w:tblLook w:val="04A0" w:firstRow="1" w:lastRow="0" w:firstColumn="1" w:lastColumn="0" w:noHBand="0" w:noVBand="1"/>
        </w:tblPrEx>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A193EAD" w14:textId="77777777" w:rsidR="001C756D" w:rsidRPr="0090456D" w:rsidRDefault="001C756D" w:rsidP="00F13CE1">
            <w:pPr>
              <w:pStyle w:val="TableText"/>
              <w:keepNext w:val="0"/>
              <w:ind w:left="-57"/>
              <w:rPr>
                <w:rFonts w:eastAsia="Times New Roman"/>
              </w:rPr>
            </w:pPr>
            <w:r w:rsidRPr="0090456D">
              <w:rPr>
                <w:rFonts w:eastAsia="Times New Roman"/>
                <w:b/>
              </w:rPr>
              <w:t xml:space="preserve">Administrative Advice: </w:t>
            </w:r>
            <w:r w:rsidRPr="0090456D">
              <w:rPr>
                <w:rFonts w:eastAsia="Times New Roman"/>
              </w:rPr>
              <w:t>No increase in the maximum amount or number of units may be authorised.</w:t>
            </w:r>
          </w:p>
        </w:tc>
      </w:tr>
      <w:tr w:rsidR="001C756D" w:rsidRPr="0090456D" w14:paraId="7B7BDF5E" w14:textId="77777777" w:rsidTr="001C756D">
        <w:tblPrEx>
          <w:tblCellMar>
            <w:top w:w="15" w:type="dxa"/>
            <w:bottom w:w="15" w:type="dxa"/>
          </w:tblCellMar>
          <w:tblLook w:val="04A0" w:firstRow="1" w:lastRow="0" w:firstColumn="1" w:lastColumn="0" w:noHBand="0" w:noVBand="1"/>
        </w:tblPrEx>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E270F1F" w14:textId="77777777" w:rsidR="001C756D" w:rsidRPr="0090456D" w:rsidRDefault="001C756D" w:rsidP="00F13CE1">
            <w:pPr>
              <w:pStyle w:val="TableText"/>
              <w:keepNext w:val="0"/>
              <w:ind w:left="-57"/>
              <w:rPr>
                <w:rFonts w:eastAsia="Times New Roman"/>
              </w:rPr>
            </w:pPr>
            <w:r w:rsidRPr="0090456D">
              <w:rPr>
                <w:rFonts w:eastAsia="Times New Roman"/>
                <w:b/>
              </w:rPr>
              <w:t xml:space="preserve">Administrative Advice: </w:t>
            </w:r>
            <w:r w:rsidRPr="0090456D">
              <w:rPr>
                <w:rFonts w:eastAsia="Times New Roman"/>
              </w:rPr>
              <w:t>No increase in the maximum number of repeats may be authorised</w:t>
            </w:r>
          </w:p>
        </w:tc>
      </w:tr>
    </w:tbl>
    <w:p w14:paraId="02D4F363" w14:textId="058605AF" w:rsidR="00080D80" w:rsidRDefault="00080D80" w:rsidP="00080D80">
      <w:pPr>
        <w:pStyle w:val="3-BodyText"/>
        <w:numPr>
          <w:ilvl w:val="0"/>
          <w:numId w:val="0"/>
        </w:numPr>
      </w:pPr>
    </w:p>
    <w:p w14:paraId="1762BB1C" w14:textId="02E0B072" w:rsidR="005F0F4D" w:rsidRPr="007E72DB" w:rsidRDefault="005F0F4D" w:rsidP="00AB0A36">
      <w:pPr>
        <w:pStyle w:val="3-BodyText"/>
        <w:numPr>
          <w:ilvl w:val="1"/>
          <w:numId w:val="1"/>
        </w:numPr>
      </w:pPr>
      <w:r w:rsidRPr="007E72DB">
        <w:t xml:space="preserve">The PBAC </w:t>
      </w:r>
      <w:r w:rsidRPr="00AB0A36">
        <w:t>considered that the restriction could be silent on the patient’s WHO performance status</w:t>
      </w:r>
      <w:r w:rsidR="007E72DB">
        <w:t xml:space="preserve"> as </w:t>
      </w:r>
      <w:proofErr w:type="gramStart"/>
      <w:r w:rsidR="007E72DB">
        <w:t>the majority of</w:t>
      </w:r>
      <w:proofErr w:type="gramEnd"/>
      <w:r w:rsidR="007E72DB">
        <w:t xml:space="preserve"> patients with early stage TNBC would be expected to have a WHO ECOG &lt;2 at treatment initiation.</w:t>
      </w:r>
    </w:p>
    <w:p w14:paraId="654473DD" w14:textId="1AA72B3B" w:rsidR="000309AD" w:rsidRDefault="00AB0A36" w:rsidP="000309AD">
      <w:pPr>
        <w:pStyle w:val="3-BodyText"/>
        <w:numPr>
          <w:ilvl w:val="1"/>
          <w:numId w:val="1"/>
        </w:numPr>
      </w:pPr>
      <w:r>
        <w:t xml:space="preserve">The PBAC reiterated that the restriction should ensure that treatment </w:t>
      </w:r>
      <w:r w:rsidR="002963D0">
        <w:t xml:space="preserve">with pembrolizumab </w:t>
      </w:r>
      <w:r>
        <w:t xml:space="preserve">is </w:t>
      </w:r>
      <w:r w:rsidR="00073CC7">
        <w:t xml:space="preserve">initiated </w:t>
      </w:r>
      <w:r>
        <w:t xml:space="preserve">in combination with </w:t>
      </w:r>
      <w:r w:rsidR="00D038B2">
        <w:t xml:space="preserve">neoadjuvant </w:t>
      </w:r>
      <w:r>
        <w:t>chemotherapy</w:t>
      </w:r>
      <w:r w:rsidR="000309AD">
        <w:t xml:space="preserve">. The PBAC considered that it would be reasonable to allow prevalent patients already initiated on neoadjuvant chemotherapy to begin treatment with pembrolizumab prior to surgery. However, PBAC considered it would not be appropriate for patients to initiate pembrolizumab after surgery (in the adjuvant setting) as </w:t>
      </w:r>
      <w:r w:rsidR="002963D0">
        <w:t xml:space="preserve">effectiveness and </w:t>
      </w:r>
      <w:r w:rsidR="000309AD">
        <w:t xml:space="preserve">cost-effectiveness </w:t>
      </w:r>
      <w:r w:rsidR="002963D0">
        <w:t>have not been established for adjuvant treatment alone.</w:t>
      </w:r>
    </w:p>
    <w:p w14:paraId="0EDCCC66" w14:textId="78626DA9" w:rsidR="00032C72" w:rsidRDefault="002963D0" w:rsidP="00B95D1C">
      <w:pPr>
        <w:pStyle w:val="3-BodyText"/>
        <w:numPr>
          <w:ilvl w:val="1"/>
          <w:numId w:val="1"/>
        </w:numPr>
      </w:pPr>
      <w:r>
        <w:t>The PBAC considered that treatment with pembrolizumab under this restriction should be</w:t>
      </w:r>
      <w:r w:rsidR="00AB0A36">
        <w:t xml:space="preserve"> limited to a total of 52 weeks of treatment </w:t>
      </w:r>
      <w:r w:rsidR="00073CC7">
        <w:t xml:space="preserve">covering </w:t>
      </w:r>
      <w:r w:rsidR="00AB0A36">
        <w:t>both adjuvant and neoadjuvant</w:t>
      </w:r>
      <w:r w:rsidR="001C756D">
        <w:t xml:space="preserve"> </w:t>
      </w:r>
      <w:r>
        <w:t>phases</w:t>
      </w:r>
      <w:r w:rsidR="002246DB">
        <w:t>, assuming disease progression/recurrence had not occurred first</w:t>
      </w:r>
      <w:r w:rsidR="00D038B2">
        <w:t xml:space="preserve">. </w:t>
      </w:r>
    </w:p>
    <w:p w14:paraId="0194C9AB" w14:textId="5C00F85C" w:rsidR="005F0F4D" w:rsidRPr="00A009C4" w:rsidRDefault="005F0F4D" w:rsidP="00494B2D">
      <w:pPr>
        <w:pStyle w:val="3-BodyText"/>
        <w:numPr>
          <w:ilvl w:val="1"/>
          <w:numId w:val="1"/>
        </w:numPr>
      </w:pPr>
      <w:r w:rsidRPr="007E72DB">
        <w:t xml:space="preserve">With respect to the potential for re-treatment with PDL-1 inhibitor therapy in the event of metastatic disease, the PBAC considered that PBS-subsidy for re-treatment </w:t>
      </w:r>
      <w:r>
        <w:t xml:space="preserve">with pembrolizumab </w:t>
      </w:r>
      <w:r w:rsidRPr="007E72DB">
        <w:t xml:space="preserve">should not be available </w:t>
      </w:r>
      <w:r w:rsidR="002963D0">
        <w:t>as there is no</w:t>
      </w:r>
      <w:r w:rsidRPr="007E72DB">
        <w:t xml:space="preserve"> clinical evidence to support such use. The PBAC noted that </w:t>
      </w:r>
      <w:r>
        <w:t>the restrictions for mTNBC</w:t>
      </w:r>
      <w:r w:rsidRPr="007E72DB">
        <w:t xml:space="preserve"> recommended at the March 2023 PBAC meeting </w:t>
      </w:r>
      <w:r>
        <w:t xml:space="preserve">include criteria preventing </w:t>
      </w:r>
      <w:r w:rsidR="00032C72">
        <w:t xml:space="preserve">PBS-subsidised </w:t>
      </w:r>
      <w:r>
        <w:t>retreatment with pembrolizumab.</w:t>
      </w:r>
    </w:p>
    <w:p w14:paraId="46F1A464" w14:textId="1D3CD2B6" w:rsidR="008F01DF" w:rsidRPr="008F01DF" w:rsidRDefault="008F01DF" w:rsidP="008F01DF">
      <w:pPr>
        <w:pStyle w:val="ListParagraph"/>
        <w:ind w:left="720"/>
        <w:rPr>
          <w:i/>
        </w:rPr>
      </w:pPr>
      <w:bookmarkStart w:id="1" w:name="_Hlk76375324"/>
      <w:r w:rsidRPr="008F01DF">
        <w:rPr>
          <w:i/>
        </w:rPr>
        <w:t xml:space="preserve">For more detail on PBAC’s view, see section </w:t>
      </w:r>
      <w:r w:rsidR="004513B9">
        <w:rPr>
          <w:i/>
        </w:rPr>
        <w:t>5</w:t>
      </w:r>
      <w:r w:rsidRPr="008F01DF">
        <w:rPr>
          <w:i/>
        </w:rPr>
        <w:t xml:space="preserve"> PBAC outcome.</w:t>
      </w:r>
    </w:p>
    <w:bookmarkEnd w:id="1"/>
    <w:p w14:paraId="1DB457C6" w14:textId="7709567F" w:rsidR="00A009C4" w:rsidRDefault="00A009C4" w:rsidP="00526BA3">
      <w:pPr>
        <w:pStyle w:val="2-SectionHeading"/>
        <w:numPr>
          <w:ilvl w:val="0"/>
          <w:numId w:val="1"/>
        </w:numPr>
      </w:pPr>
      <w:r>
        <w:t>Consideration of the evidence</w:t>
      </w:r>
    </w:p>
    <w:p w14:paraId="04C1E3EA" w14:textId="77777777" w:rsidR="008F01DF" w:rsidRPr="006E1229" w:rsidRDefault="008F01DF" w:rsidP="008F01DF">
      <w:pPr>
        <w:pStyle w:val="4-SubsectionHeading"/>
      </w:pPr>
      <w:bookmarkStart w:id="2" w:name="_Hlk76375935"/>
      <w:r w:rsidRPr="006E1229">
        <w:t>Sponsor hearing</w:t>
      </w:r>
    </w:p>
    <w:p w14:paraId="2D0FB727" w14:textId="54BA620A" w:rsidR="008F01DF" w:rsidRPr="008F01DF" w:rsidRDefault="008F01DF" w:rsidP="00763EE1">
      <w:pPr>
        <w:widowControl w:val="0"/>
        <w:numPr>
          <w:ilvl w:val="1"/>
          <w:numId w:val="1"/>
        </w:numPr>
        <w:spacing w:after="120"/>
        <w:rPr>
          <w:rFonts w:cs="Calibri"/>
          <w:bCs/>
          <w:snapToGrid w:val="0"/>
        </w:rPr>
      </w:pPr>
      <w:r w:rsidRPr="008F01DF">
        <w:rPr>
          <w:rFonts w:cs="Calibri"/>
          <w:bCs/>
          <w:snapToGrid w:val="0"/>
        </w:rPr>
        <w:t>There was no hearing for this item.</w:t>
      </w:r>
    </w:p>
    <w:p w14:paraId="4EF21EEB" w14:textId="77777777" w:rsidR="008F01DF" w:rsidRPr="006E1229" w:rsidRDefault="008F01DF" w:rsidP="008F01DF">
      <w:pPr>
        <w:pStyle w:val="4-SubsectionHeading"/>
      </w:pPr>
      <w:r w:rsidRPr="006E1229">
        <w:t>Consumer comments</w:t>
      </w:r>
    </w:p>
    <w:p w14:paraId="2CF97C39" w14:textId="1F26F2FA" w:rsidR="000F393E" w:rsidRDefault="00845D70" w:rsidP="000F393E">
      <w:pPr>
        <w:widowControl w:val="0"/>
        <w:numPr>
          <w:ilvl w:val="1"/>
          <w:numId w:val="1"/>
        </w:numPr>
        <w:spacing w:after="120"/>
        <w:rPr>
          <w:rFonts w:asciiTheme="minorHAnsi" w:hAnsiTheme="minorHAnsi"/>
          <w:bCs/>
          <w:snapToGrid w:val="0"/>
        </w:rPr>
      </w:pPr>
      <w:bookmarkStart w:id="3" w:name="_Hlk76382618"/>
      <w:r w:rsidRPr="00836F75">
        <w:rPr>
          <w:rFonts w:asciiTheme="minorHAnsi" w:hAnsiTheme="minorHAnsi" w:cs="Arial"/>
          <w:bCs/>
          <w:snapToGrid w:val="0"/>
        </w:rPr>
        <w:t>The PBAC noted and welcomed the input from individuals (</w:t>
      </w:r>
      <w:r>
        <w:rPr>
          <w:rFonts w:asciiTheme="minorHAnsi" w:hAnsiTheme="minorHAnsi" w:cs="Arial"/>
          <w:bCs/>
          <w:snapToGrid w:val="0"/>
        </w:rPr>
        <w:t>53</w:t>
      </w:r>
      <w:r w:rsidRPr="00836F75">
        <w:rPr>
          <w:rFonts w:asciiTheme="minorHAnsi" w:hAnsiTheme="minorHAnsi" w:cs="Arial"/>
          <w:bCs/>
          <w:snapToGrid w:val="0"/>
        </w:rPr>
        <w:t>), health care professionals (</w:t>
      </w:r>
      <w:r>
        <w:rPr>
          <w:rFonts w:asciiTheme="minorHAnsi" w:hAnsiTheme="minorHAnsi" w:cs="Arial"/>
          <w:bCs/>
          <w:snapToGrid w:val="0"/>
        </w:rPr>
        <w:t>2</w:t>
      </w:r>
      <w:r w:rsidRPr="00836F75">
        <w:rPr>
          <w:rFonts w:asciiTheme="minorHAnsi" w:hAnsiTheme="minorHAnsi" w:cs="Arial"/>
          <w:bCs/>
          <w:snapToGrid w:val="0"/>
        </w:rPr>
        <w:t>) and organisations (</w:t>
      </w:r>
      <w:r>
        <w:rPr>
          <w:rFonts w:asciiTheme="minorHAnsi" w:hAnsiTheme="minorHAnsi" w:cs="Arial"/>
          <w:bCs/>
          <w:snapToGrid w:val="0"/>
        </w:rPr>
        <w:t>4</w:t>
      </w:r>
      <w:r w:rsidRPr="00836F75">
        <w:rPr>
          <w:rFonts w:asciiTheme="minorHAnsi" w:hAnsiTheme="minorHAnsi" w:cs="Arial"/>
          <w:bCs/>
          <w:snapToGrid w:val="0"/>
        </w:rPr>
        <w:t>) via the Consumer Comments facility on the PBS website.</w:t>
      </w:r>
      <w:r>
        <w:rPr>
          <w:rFonts w:asciiTheme="minorHAnsi" w:hAnsiTheme="minorHAnsi" w:cs="Arial"/>
          <w:bCs/>
          <w:snapToGrid w:val="0"/>
        </w:rPr>
        <w:t xml:space="preserve"> </w:t>
      </w:r>
      <w:r w:rsidR="000F393E" w:rsidRPr="000F393E">
        <w:rPr>
          <w:rFonts w:asciiTheme="minorHAnsi" w:hAnsiTheme="minorHAnsi" w:cs="Arial"/>
          <w:bCs/>
          <w:iCs/>
          <w:snapToGrid w:val="0"/>
        </w:rPr>
        <w:t xml:space="preserve">The PBAC </w:t>
      </w:r>
      <w:r>
        <w:rPr>
          <w:rFonts w:asciiTheme="minorHAnsi" w:hAnsiTheme="minorHAnsi" w:cs="Arial"/>
          <w:bCs/>
          <w:iCs/>
          <w:snapToGrid w:val="0"/>
        </w:rPr>
        <w:t>recalled</w:t>
      </w:r>
      <w:r w:rsidR="000F393E" w:rsidRPr="000F393E">
        <w:rPr>
          <w:rFonts w:asciiTheme="minorHAnsi" w:hAnsiTheme="minorHAnsi" w:cs="Arial"/>
          <w:bCs/>
          <w:iCs/>
          <w:snapToGrid w:val="0"/>
        </w:rPr>
        <w:t xml:space="preserve"> the input received regarding the March 2023 submission, </w:t>
      </w:r>
      <w:r w:rsidR="000F393E">
        <w:rPr>
          <w:rFonts w:asciiTheme="minorHAnsi" w:hAnsiTheme="minorHAnsi" w:cs="Arial"/>
          <w:bCs/>
          <w:iCs/>
          <w:snapToGrid w:val="0"/>
        </w:rPr>
        <w:t>where</w:t>
      </w:r>
      <w:r w:rsidR="000F393E" w:rsidRPr="000F393E">
        <w:rPr>
          <w:rFonts w:asciiTheme="minorHAnsi" w:hAnsiTheme="minorHAnsi"/>
          <w:bCs/>
          <w:snapToGrid w:val="0"/>
        </w:rPr>
        <w:t xml:space="preserve"> comments from patients noted that pembrolizumab trials demonstrated a clear </w:t>
      </w:r>
      <w:r w:rsidR="004F74AB">
        <w:rPr>
          <w:rFonts w:asciiTheme="minorHAnsi" w:hAnsiTheme="minorHAnsi"/>
          <w:bCs/>
          <w:snapToGrid w:val="0"/>
        </w:rPr>
        <w:t>pCR and EFS</w:t>
      </w:r>
      <w:r w:rsidR="000F393E" w:rsidRPr="000F393E">
        <w:rPr>
          <w:rFonts w:asciiTheme="minorHAnsi" w:hAnsiTheme="minorHAnsi"/>
          <w:bCs/>
          <w:snapToGrid w:val="0"/>
        </w:rPr>
        <w:t xml:space="preserve"> benefit in the eTNBC setting. Consumers who had </w:t>
      </w:r>
      <w:r w:rsidR="004F74AB">
        <w:rPr>
          <w:rFonts w:asciiTheme="minorHAnsi" w:hAnsiTheme="minorHAnsi"/>
          <w:bCs/>
          <w:snapToGrid w:val="0"/>
        </w:rPr>
        <w:t xml:space="preserve">received </w:t>
      </w:r>
      <w:r w:rsidR="004F74AB">
        <w:rPr>
          <w:rFonts w:asciiTheme="minorHAnsi" w:hAnsiTheme="minorHAnsi"/>
          <w:bCs/>
          <w:snapToGrid w:val="0"/>
        </w:rPr>
        <w:lastRenderedPageBreak/>
        <w:t>pembrolizumab</w:t>
      </w:r>
      <w:r w:rsidR="000F393E" w:rsidRPr="000F393E">
        <w:rPr>
          <w:rFonts w:asciiTheme="minorHAnsi" w:hAnsiTheme="minorHAnsi"/>
          <w:bCs/>
          <w:snapToGrid w:val="0"/>
        </w:rPr>
        <w:t xml:space="preserve"> noted the good quality of life they had on it and others noted the psychosocial benefits of giving hope and reducing fear by knowing there was an additional form of treatment that could reduce their risk of disease progression. Comments described the unmet treatment need for patients with </w:t>
      </w:r>
      <w:r w:rsidR="000F393E">
        <w:rPr>
          <w:rFonts w:asciiTheme="minorHAnsi" w:hAnsiTheme="minorHAnsi"/>
          <w:bCs/>
          <w:snapToGrid w:val="0"/>
        </w:rPr>
        <w:t xml:space="preserve">early </w:t>
      </w:r>
      <w:r w:rsidR="000F393E" w:rsidRPr="000F393E">
        <w:rPr>
          <w:rFonts w:asciiTheme="minorHAnsi" w:hAnsiTheme="minorHAnsi"/>
          <w:bCs/>
          <w:snapToGrid w:val="0"/>
        </w:rPr>
        <w:t xml:space="preserve">TNBC, noting the high cost to patients of self-funding pembrolizumab treatment. </w:t>
      </w:r>
    </w:p>
    <w:p w14:paraId="6A855313" w14:textId="34442D2C" w:rsidR="000F393E" w:rsidRDefault="000F393E" w:rsidP="000F393E">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also recalled there was strong support from healthcare providers for the March 2023 submission, noting </w:t>
      </w:r>
      <w:r w:rsidRPr="00884CCC">
        <w:rPr>
          <w:rFonts w:asciiTheme="minorHAnsi" w:hAnsiTheme="minorHAnsi"/>
          <w:bCs/>
          <w:snapToGrid w:val="0"/>
        </w:rPr>
        <w:t>decreased mortality and morbidity rates for patients treated with pembrolizumab based on EFS and pCR outcomes in KN-522.</w:t>
      </w:r>
      <w:r>
        <w:rPr>
          <w:rFonts w:asciiTheme="minorHAnsi" w:hAnsiTheme="minorHAnsi"/>
          <w:bCs/>
          <w:snapToGrid w:val="0"/>
        </w:rPr>
        <w:t xml:space="preserve"> </w:t>
      </w:r>
      <w:r w:rsidRPr="00884CCC">
        <w:rPr>
          <w:rFonts w:asciiTheme="minorHAnsi" w:hAnsiTheme="minorHAnsi"/>
          <w:bCs/>
          <w:snapToGrid w:val="0"/>
        </w:rPr>
        <w:t>The comments also noted that side effects are largely manageable and complicated immune-related side effects that substantially impact patients are uncommon. However, there is risk of long term immune mediated toxicities including permanent endocrinopathies, which is more relevant in the early breast cancer setting where treatment is with curative intent. Comments also noted that pembrolizumab is standard of care</w:t>
      </w:r>
      <w:r>
        <w:rPr>
          <w:rFonts w:asciiTheme="minorHAnsi" w:hAnsiTheme="minorHAnsi"/>
          <w:bCs/>
          <w:snapToGrid w:val="0"/>
        </w:rPr>
        <w:t xml:space="preserve"> for eTNBC</w:t>
      </w:r>
      <w:r w:rsidRPr="00884CCC">
        <w:rPr>
          <w:rFonts w:asciiTheme="minorHAnsi" w:hAnsiTheme="minorHAnsi"/>
          <w:bCs/>
          <w:snapToGrid w:val="0"/>
        </w:rPr>
        <w:t xml:space="preserve"> in other countries and there is a high clinical need for patients with TNBC.</w:t>
      </w:r>
    </w:p>
    <w:p w14:paraId="3685CE59" w14:textId="52D3B2E4" w:rsidR="004F74AB" w:rsidRPr="000F393E" w:rsidRDefault="004F74AB" w:rsidP="000F393E">
      <w:pPr>
        <w:widowControl w:val="0"/>
        <w:numPr>
          <w:ilvl w:val="1"/>
          <w:numId w:val="1"/>
        </w:numPr>
        <w:spacing w:after="120"/>
        <w:rPr>
          <w:rFonts w:asciiTheme="minorHAnsi" w:hAnsiTheme="minorHAnsi"/>
          <w:bCs/>
          <w:snapToGrid w:val="0"/>
        </w:rPr>
      </w:pPr>
      <w:r>
        <w:rPr>
          <w:rFonts w:asciiTheme="minorHAnsi" w:hAnsiTheme="minorHAnsi"/>
          <w:bCs/>
          <w:snapToGrid w:val="0"/>
        </w:rPr>
        <w:t>The PBAC noted that comments received from individuals and healthcare professionals in relation to the resubmission reflected the same issues and concerns as those received in relation to the March 2023 submission.</w:t>
      </w:r>
    </w:p>
    <w:p w14:paraId="4EC3B23C" w14:textId="6301CC96" w:rsidR="00E56E04" w:rsidRPr="00C62284" w:rsidRDefault="00E56E04" w:rsidP="00E56E04">
      <w:pPr>
        <w:widowControl w:val="0"/>
        <w:numPr>
          <w:ilvl w:val="1"/>
          <w:numId w:val="1"/>
        </w:numPr>
        <w:spacing w:after="120"/>
        <w:rPr>
          <w:rFonts w:asciiTheme="minorHAnsi" w:hAnsiTheme="minorHAnsi"/>
          <w:bCs/>
          <w:snapToGrid w:val="0"/>
        </w:rPr>
      </w:pPr>
      <w:bookmarkStart w:id="4" w:name="_Hlk97141415"/>
      <w:r>
        <w:rPr>
          <w:rFonts w:asciiTheme="minorHAnsi" w:hAnsiTheme="minorHAnsi"/>
          <w:bCs/>
          <w:snapToGrid w:val="0"/>
        </w:rPr>
        <w:t>The PBAC recalled that comments</w:t>
      </w:r>
      <w:r w:rsidRPr="00C62284">
        <w:rPr>
          <w:rFonts w:asciiTheme="minorHAnsi" w:hAnsiTheme="minorHAnsi"/>
          <w:bCs/>
          <w:snapToGrid w:val="0"/>
        </w:rPr>
        <w:t xml:space="preserve"> from consumer groups Pink Hope and Breast Cancer Network Australia (BCNA) provided their support for the </w:t>
      </w:r>
      <w:r>
        <w:rPr>
          <w:rFonts w:asciiTheme="minorHAnsi" w:hAnsiTheme="minorHAnsi"/>
          <w:bCs/>
          <w:snapToGrid w:val="0"/>
        </w:rPr>
        <w:t xml:space="preserve">March 2023 </w:t>
      </w:r>
      <w:r w:rsidRPr="00C62284">
        <w:rPr>
          <w:rFonts w:asciiTheme="minorHAnsi" w:hAnsiTheme="minorHAnsi"/>
          <w:bCs/>
          <w:snapToGrid w:val="0"/>
        </w:rPr>
        <w:t xml:space="preserve">pembrolizumab submission. Comments described TNBC patients as typically young, meaning they often have young families and work responsibilities that are impacted substantially by their diagnosis. The comments also described the need for new, effective targeted treatments for TNBC and the importance of subsidised access to treatment, given its high cost. The comments noted that a pCR allows patients to hope and </w:t>
      </w:r>
      <w:proofErr w:type="gramStart"/>
      <w:r w:rsidRPr="00C62284">
        <w:rPr>
          <w:rFonts w:asciiTheme="minorHAnsi" w:hAnsiTheme="minorHAnsi"/>
          <w:bCs/>
          <w:snapToGrid w:val="0"/>
        </w:rPr>
        <w:t>plan for the future</w:t>
      </w:r>
      <w:proofErr w:type="gramEnd"/>
      <w:r w:rsidRPr="00C62284">
        <w:rPr>
          <w:rFonts w:asciiTheme="minorHAnsi" w:hAnsiTheme="minorHAnsi"/>
          <w:bCs/>
          <w:snapToGrid w:val="0"/>
        </w:rPr>
        <w:t xml:space="preserve"> and is a significant outcome. Patients reported a willingness to risk AEs if there is potential to prevent recurrence of disease and are well-placed to consider potential side-effects with their treatment team.</w:t>
      </w:r>
      <w:r>
        <w:rPr>
          <w:rFonts w:asciiTheme="minorHAnsi" w:hAnsiTheme="minorHAnsi"/>
          <w:bCs/>
          <w:snapToGrid w:val="0"/>
        </w:rPr>
        <w:t xml:space="preserve"> Regarding the July 2023 resubmission the BCNA noted that the PBAC recommendation for pembrolizumab in the metastatic TNBC setting was welcome, but patients shouldn’t have to wait for their early disease to recur to access treatment in the metastatic stage, where outcomes are worse, and delays to funding have substantial negative impacts on patients. </w:t>
      </w:r>
    </w:p>
    <w:p w14:paraId="6369DA0B" w14:textId="72617926" w:rsidR="00B014C2" w:rsidRPr="00B014C2" w:rsidRDefault="00E56E04" w:rsidP="00F213AD">
      <w:pPr>
        <w:widowControl w:val="0"/>
        <w:numPr>
          <w:ilvl w:val="1"/>
          <w:numId w:val="1"/>
        </w:numPr>
        <w:spacing w:after="120"/>
        <w:rPr>
          <w:rFonts w:asciiTheme="minorHAnsi" w:hAnsiTheme="minorHAnsi"/>
          <w:bCs/>
          <w:snapToGrid w:val="0"/>
          <w:vertAlign w:val="superscript"/>
        </w:rPr>
      </w:pPr>
      <w:r w:rsidRPr="00B014C2">
        <w:rPr>
          <w:rFonts w:asciiTheme="minorHAnsi" w:hAnsiTheme="minorHAnsi"/>
          <w:bCs/>
          <w:snapToGrid w:val="0"/>
        </w:rPr>
        <w:t xml:space="preserve">Comments from Peter MacCallum Cancer Centre and Medical Oncology Group of Australia (MOGA) supported the March 2023 pembrolizumab submission, noting that clinical trials have shown that </w:t>
      </w:r>
      <w:r w:rsidR="004F74AB">
        <w:rPr>
          <w:rFonts w:asciiTheme="minorHAnsi" w:hAnsiTheme="minorHAnsi"/>
          <w:bCs/>
          <w:snapToGrid w:val="0"/>
        </w:rPr>
        <w:t xml:space="preserve">pembrolizumab </w:t>
      </w:r>
      <w:r w:rsidRPr="00B014C2">
        <w:rPr>
          <w:rFonts w:asciiTheme="minorHAnsi" w:hAnsiTheme="minorHAnsi"/>
          <w:bCs/>
          <w:snapToGrid w:val="0"/>
        </w:rPr>
        <w:t xml:space="preserve">reduced the risk of relapse, with improved EFS at 3 years, while being well-tolerated in addition to chemotherapy. </w:t>
      </w:r>
      <w:r w:rsidR="00B014C2" w:rsidRPr="00B014C2">
        <w:rPr>
          <w:rFonts w:asciiTheme="minorHAnsi" w:hAnsiTheme="minorHAnsi"/>
          <w:bCs/>
          <w:snapToGrid w:val="0"/>
        </w:rPr>
        <w:t xml:space="preserve">Regarding the July 2023 submission </w:t>
      </w:r>
      <w:r w:rsidR="008B6489" w:rsidRPr="00B014C2">
        <w:rPr>
          <w:rFonts w:asciiTheme="minorHAnsi" w:hAnsiTheme="minorHAnsi"/>
          <w:bCs/>
          <w:snapToGrid w:val="0"/>
        </w:rPr>
        <w:t>MOGA</w:t>
      </w:r>
      <w:r w:rsidR="00B014C2" w:rsidRPr="00B014C2">
        <w:rPr>
          <w:rFonts w:asciiTheme="minorHAnsi" w:hAnsiTheme="minorHAnsi"/>
          <w:bCs/>
          <w:snapToGrid w:val="0"/>
        </w:rPr>
        <w:t xml:space="preserve"> e</w:t>
      </w:r>
      <w:r w:rsidR="008B6489" w:rsidRPr="00B014C2">
        <w:rPr>
          <w:rFonts w:asciiTheme="minorHAnsi" w:hAnsiTheme="minorHAnsi"/>
          <w:bCs/>
          <w:snapToGrid w:val="0"/>
        </w:rPr>
        <w:t>mphasize</w:t>
      </w:r>
      <w:r w:rsidR="00B014C2" w:rsidRPr="00B014C2">
        <w:rPr>
          <w:rFonts w:asciiTheme="minorHAnsi" w:hAnsiTheme="minorHAnsi"/>
          <w:bCs/>
          <w:snapToGrid w:val="0"/>
        </w:rPr>
        <w:t>d</w:t>
      </w:r>
      <w:r w:rsidR="008B6489" w:rsidRPr="00B014C2">
        <w:rPr>
          <w:rFonts w:asciiTheme="minorHAnsi" w:hAnsiTheme="minorHAnsi"/>
          <w:bCs/>
          <w:snapToGrid w:val="0"/>
        </w:rPr>
        <w:t xml:space="preserve"> the value of pCR in improving prognosis and the likelihood that </w:t>
      </w:r>
      <w:r w:rsidR="004F74AB">
        <w:rPr>
          <w:rFonts w:asciiTheme="minorHAnsi" w:hAnsiTheme="minorHAnsi"/>
          <w:bCs/>
          <w:snapToGrid w:val="0"/>
        </w:rPr>
        <w:t xml:space="preserve">the </w:t>
      </w:r>
      <w:r w:rsidR="008B6489" w:rsidRPr="00B014C2">
        <w:rPr>
          <w:rFonts w:asciiTheme="minorHAnsi" w:hAnsiTheme="minorHAnsi"/>
          <w:bCs/>
          <w:snapToGrid w:val="0"/>
        </w:rPr>
        <w:t xml:space="preserve">demonstrated gains in pCR and PFS </w:t>
      </w:r>
      <w:r w:rsidR="004F74AB">
        <w:rPr>
          <w:rFonts w:asciiTheme="minorHAnsi" w:hAnsiTheme="minorHAnsi"/>
          <w:bCs/>
          <w:snapToGrid w:val="0"/>
        </w:rPr>
        <w:t>would</w:t>
      </w:r>
      <w:r w:rsidR="008B6489" w:rsidRPr="00B014C2">
        <w:rPr>
          <w:rFonts w:asciiTheme="minorHAnsi" w:hAnsiTheme="minorHAnsi"/>
          <w:bCs/>
          <w:snapToGrid w:val="0"/>
        </w:rPr>
        <w:t xml:space="preserve"> result in improved overall survival. </w:t>
      </w:r>
      <w:r w:rsidR="00B014C2" w:rsidRPr="00B014C2">
        <w:rPr>
          <w:rFonts w:asciiTheme="minorHAnsi" w:hAnsiTheme="minorHAnsi"/>
          <w:bCs/>
          <w:snapToGrid w:val="0"/>
        </w:rPr>
        <w:t>MOGA also stated that</w:t>
      </w:r>
      <w:r w:rsidR="008B6489" w:rsidRPr="00B014C2">
        <w:rPr>
          <w:rFonts w:asciiTheme="minorHAnsi" w:hAnsiTheme="minorHAnsi"/>
          <w:bCs/>
          <w:snapToGrid w:val="0"/>
        </w:rPr>
        <w:t xml:space="preserve"> patient selection is important to </w:t>
      </w:r>
      <w:r w:rsidR="00B014C2" w:rsidRPr="00B014C2">
        <w:rPr>
          <w:rFonts w:asciiTheme="minorHAnsi" w:hAnsiTheme="minorHAnsi"/>
          <w:bCs/>
          <w:snapToGrid w:val="0"/>
        </w:rPr>
        <w:t xml:space="preserve">manage immune related adverse events and multidisciplinary communication is required to ensure women are fit to proceed safely to surgery, </w:t>
      </w:r>
      <w:proofErr w:type="gramStart"/>
      <w:r w:rsidR="00B014C2" w:rsidRPr="00B014C2">
        <w:rPr>
          <w:rFonts w:asciiTheme="minorHAnsi" w:hAnsiTheme="minorHAnsi"/>
          <w:bCs/>
          <w:snapToGrid w:val="0"/>
        </w:rPr>
        <w:t xml:space="preserve">and in particular, </w:t>
      </w:r>
      <w:r w:rsidR="00B014C2" w:rsidRPr="00B014C2">
        <w:rPr>
          <w:rFonts w:asciiTheme="minorHAnsi" w:hAnsiTheme="minorHAnsi"/>
          <w:bCs/>
          <w:snapToGrid w:val="0"/>
        </w:rPr>
        <w:lastRenderedPageBreak/>
        <w:t>monitoring</w:t>
      </w:r>
      <w:proofErr w:type="gramEnd"/>
      <w:r w:rsidR="00B014C2" w:rsidRPr="00B014C2">
        <w:rPr>
          <w:rFonts w:asciiTheme="minorHAnsi" w:hAnsiTheme="minorHAnsi"/>
          <w:bCs/>
          <w:snapToGrid w:val="0"/>
        </w:rPr>
        <w:t xml:space="preserve"> for endocrinopathies</w:t>
      </w:r>
      <w:bookmarkEnd w:id="4"/>
      <w:r w:rsidR="00B014C2">
        <w:rPr>
          <w:rFonts w:asciiTheme="minorHAnsi" w:hAnsiTheme="minorHAnsi"/>
          <w:bCs/>
          <w:snapToGrid w:val="0"/>
        </w:rPr>
        <w:t>, which may occur late.</w:t>
      </w:r>
    </w:p>
    <w:p w14:paraId="3B3E9FDB" w14:textId="56043FA0" w:rsidR="000F393E" w:rsidRPr="00B014C2" w:rsidRDefault="000F393E" w:rsidP="00372775">
      <w:pPr>
        <w:widowControl w:val="0"/>
        <w:numPr>
          <w:ilvl w:val="1"/>
          <w:numId w:val="1"/>
        </w:numPr>
        <w:spacing w:after="120"/>
        <w:rPr>
          <w:rFonts w:asciiTheme="minorHAnsi" w:hAnsiTheme="minorHAnsi"/>
          <w:bCs/>
          <w:snapToGrid w:val="0"/>
          <w:vertAlign w:val="superscript"/>
        </w:rPr>
      </w:pPr>
      <w:r w:rsidRPr="00B014C2">
        <w:rPr>
          <w:rFonts w:asciiTheme="minorHAnsi" w:hAnsiTheme="minorHAnsi"/>
          <w:bCs/>
          <w:snapToGrid w:val="0"/>
        </w:rPr>
        <w:t>MOGA expressed its strong support for the</w:t>
      </w:r>
      <w:r w:rsidR="00EF2A0A">
        <w:rPr>
          <w:rFonts w:asciiTheme="minorHAnsi" w:hAnsiTheme="minorHAnsi"/>
          <w:bCs/>
          <w:snapToGrid w:val="0"/>
        </w:rPr>
        <w:t xml:space="preserve"> current</w:t>
      </w:r>
      <w:r w:rsidRPr="00B014C2">
        <w:rPr>
          <w:rFonts w:asciiTheme="minorHAnsi" w:hAnsiTheme="minorHAnsi"/>
          <w:bCs/>
          <w:snapToGrid w:val="0"/>
        </w:rPr>
        <w:t xml:space="preserve"> pembrolizumab submission, categorising it as one of the therapies of “highest priority for PBS listing” </w:t>
      </w:r>
      <w:proofErr w:type="gramStart"/>
      <w:r w:rsidRPr="00B014C2">
        <w:rPr>
          <w:rFonts w:asciiTheme="minorHAnsi" w:hAnsiTheme="minorHAnsi"/>
          <w:bCs/>
          <w:snapToGrid w:val="0"/>
        </w:rPr>
        <w:t>on the basis of</w:t>
      </w:r>
      <w:proofErr w:type="gramEnd"/>
      <w:r w:rsidRPr="00B014C2">
        <w:rPr>
          <w:rFonts w:asciiTheme="minorHAnsi" w:hAnsiTheme="minorHAnsi"/>
          <w:bCs/>
          <w:snapToGrid w:val="0"/>
        </w:rPr>
        <w:t xml:space="preserve"> the KN-522 trial. The PBAC noted that the MOGA presented a European Society for Medical Oncology Magnitude of Clinical Benefit Scale (ESMO-MCBS) for pembrolizumab which was a Grade A. This is the highest grade on a scale from A to C, where A and B represent the grades with substantial improvement for new approaches to adjuvant therapy or new potentially curative therapies.</w:t>
      </w:r>
      <w:r w:rsidRPr="00BB1D7E">
        <w:rPr>
          <w:vertAlign w:val="superscript"/>
        </w:rPr>
        <w:footnoteReference w:id="2"/>
      </w:r>
      <w:r w:rsidRPr="00B014C2">
        <w:rPr>
          <w:rFonts w:asciiTheme="minorHAnsi" w:hAnsiTheme="minorHAnsi"/>
          <w:bCs/>
          <w:snapToGrid w:val="0"/>
          <w:vertAlign w:val="superscript"/>
        </w:rPr>
        <w:t xml:space="preserve"> </w:t>
      </w:r>
    </w:p>
    <w:bookmarkEnd w:id="2"/>
    <w:bookmarkEnd w:id="3"/>
    <w:p w14:paraId="3C485074" w14:textId="377DA6E2" w:rsidR="00A009C4" w:rsidRDefault="00A009C4" w:rsidP="00A009C4">
      <w:pPr>
        <w:pStyle w:val="4-SubsectionHeading"/>
      </w:pPr>
      <w:r>
        <w:t>Clinical evaluation</w:t>
      </w:r>
    </w:p>
    <w:p w14:paraId="6A77F83A" w14:textId="46A4A94A" w:rsidR="00A009C4" w:rsidRDefault="00B97736" w:rsidP="00526BA3">
      <w:pPr>
        <w:pStyle w:val="3-BodyText"/>
        <w:numPr>
          <w:ilvl w:val="1"/>
          <w:numId w:val="1"/>
        </w:numPr>
        <w:rPr>
          <w:lang w:eastAsia="en-US"/>
        </w:rPr>
      </w:pPr>
      <w:r>
        <w:rPr>
          <w:lang w:eastAsia="en-US"/>
        </w:rPr>
        <w:t>No</w:t>
      </w:r>
      <w:r w:rsidR="006374E9">
        <w:rPr>
          <w:lang w:eastAsia="en-US"/>
        </w:rPr>
        <w:t xml:space="preserve"> additional clinical evidence was provided. </w:t>
      </w:r>
    </w:p>
    <w:p w14:paraId="57BF90F4" w14:textId="77777777" w:rsidR="00B97736" w:rsidRDefault="00B97736" w:rsidP="00B97736">
      <w:pPr>
        <w:pStyle w:val="4-SubsectionHeading"/>
      </w:pPr>
      <w:r>
        <w:t>Economic analysis</w:t>
      </w:r>
    </w:p>
    <w:p w14:paraId="08372921" w14:textId="044586C4" w:rsidR="00B97736" w:rsidRDefault="00B97736" w:rsidP="00B97736">
      <w:pPr>
        <w:rPr>
          <w:u w:val="single"/>
        </w:rPr>
      </w:pPr>
      <w:r w:rsidRPr="00B97736">
        <w:rPr>
          <w:u w:val="single"/>
        </w:rPr>
        <w:t>Time horizon</w:t>
      </w:r>
      <w:r w:rsidR="00E97B47">
        <w:rPr>
          <w:u w:val="single"/>
        </w:rPr>
        <w:t xml:space="preserve"> and treatment waning</w:t>
      </w:r>
    </w:p>
    <w:p w14:paraId="3BB68CB6" w14:textId="05550986" w:rsidR="00E97B47" w:rsidRPr="002B270E" w:rsidRDefault="00590825" w:rsidP="00526BA3">
      <w:pPr>
        <w:pStyle w:val="3-BodyText"/>
        <w:numPr>
          <w:ilvl w:val="1"/>
          <w:numId w:val="1"/>
        </w:numPr>
        <w:rPr>
          <w:snapToGrid w:val="0"/>
          <w:lang w:val="en-GB"/>
        </w:rPr>
      </w:pPr>
      <w:bookmarkStart w:id="5" w:name="_Ref131593673"/>
      <w:r w:rsidRPr="00F671EE">
        <w:rPr>
          <w:snapToGrid w:val="0"/>
          <w:lang w:val="en-GB"/>
        </w:rPr>
        <w:t>The base case</w:t>
      </w:r>
      <w:r>
        <w:rPr>
          <w:snapToGrid w:val="0"/>
          <w:lang w:val="en-GB"/>
        </w:rPr>
        <w:t xml:space="preserve"> economic model in </w:t>
      </w:r>
      <w:r w:rsidRPr="00F671EE">
        <w:rPr>
          <w:snapToGrid w:val="0"/>
          <w:lang w:val="en-GB"/>
        </w:rPr>
        <w:t xml:space="preserve">the </w:t>
      </w:r>
      <w:r>
        <w:rPr>
          <w:snapToGrid w:val="0"/>
          <w:lang w:val="en-GB"/>
        </w:rPr>
        <w:t xml:space="preserve">previous </w:t>
      </w:r>
      <w:r w:rsidRPr="00F671EE">
        <w:rPr>
          <w:snapToGrid w:val="0"/>
          <w:lang w:val="en-GB"/>
        </w:rPr>
        <w:t xml:space="preserve">submission extrapolated </w:t>
      </w:r>
      <w:r>
        <w:rPr>
          <w:snapToGrid w:val="0"/>
          <w:lang w:val="en-GB"/>
        </w:rPr>
        <w:t xml:space="preserve">outcomes </w:t>
      </w:r>
      <w:r w:rsidRPr="00F671EE">
        <w:rPr>
          <w:snapToGrid w:val="0"/>
          <w:lang w:val="en-GB"/>
        </w:rPr>
        <w:t xml:space="preserve">to 30 years </w:t>
      </w:r>
      <w:r>
        <w:rPr>
          <w:snapToGrid w:val="0"/>
          <w:lang w:val="en-GB"/>
        </w:rPr>
        <w:t xml:space="preserve">and </w:t>
      </w:r>
      <w:r>
        <w:t xml:space="preserve">generated a greater increment in EFS (and consequently OS) over time. By the end of the 30-year time horizon, the model estimated an increment of 24.5% EFS events compared with 7.7% at the longest follow-up from KN-522 (36 months). </w:t>
      </w:r>
      <w:r w:rsidR="00E97B47">
        <w:t>The PBAC considered it was not clinically plausible for the EFS increment to continue to increase beyond 5 years</w:t>
      </w:r>
      <w:r w:rsidR="00E97B47" w:rsidRPr="00BD7728">
        <w:t xml:space="preserve"> </w:t>
      </w:r>
      <w:r w:rsidR="00E97B47">
        <w:t>as the vast majority of TNBC relapse occurs within the first 5 years. The PBAC considered it would be appropriate to apply treatment waning from 5 years to reflect the clinical course of eTNBC.</w:t>
      </w:r>
      <w:r w:rsidR="00E97B47" w:rsidRPr="00993732">
        <w:t xml:space="preserve"> </w:t>
      </w:r>
      <w:r w:rsidR="00E97B47">
        <w:t>The PBAC noted that the use of a 30-year time horizon, where the trial median follow</w:t>
      </w:r>
      <w:r w:rsidR="00E97B47">
        <w:noBreakHyphen/>
        <w:t xml:space="preserve">up was just over 3 years and OS data were immature, introduced additional uncertainty into the modelled outcomes. However, the PBAC considered that a 30-year time horizon was reasonable, </w:t>
      </w:r>
      <w:r w:rsidR="00E97B47">
        <w:rPr>
          <w:szCs w:val="20"/>
        </w:rPr>
        <w:t xml:space="preserve">in the context of more conservative treatment waning </w:t>
      </w:r>
      <w:r w:rsidR="00E97B47">
        <w:rPr>
          <w:iCs/>
        </w:rPr>
        <w:t xml:space="preserve">and given the aim of treatment is cure, in </w:t>
      </w:r>
      <w:r w:rsidR="00E97B47">
        <w:t>patients with eTNBC who are typically relatively young.</w:t>
      </w:r>
      <w:bookmarkEnd w:id="5"/>
    </w:p>
    <w:p w14:paraId="7F75E286" w14:textId="563B86CB" w:rsidR="00B97736" w:rsidRDefault="00E97B47" w:rsidP="00526BA3">
      <w:pPr>
        <w:pStyle w:val="3-BodyText"/>
        <w:numPr>
          <w:ilvl w:val="1"/>
          <w:numId w:val="1"/>
        </w:numPr>
      </w:pPr>
      <w:r>
        <w:t>The resubmission used a time horizon of 30 years</w:t>
      </w:r>
      <w:r w:rsidR="0093209D">
        <w:t xml:space="preserve"> with waning applied at 5.5 years, rather than 5 years as request</w:t>
      </w:r>
      <w:r w:rsidR="00CB256F">
        <w:t>ed</w:t>
      </w:r>
      <w:r w:rsidR="0093209D">
        <w:t xml:space="preserve"> by the PBAC. </w:t>
      </w:r>
      <w:r w:rsidR="00480DCA">
        <w:t xml:space="preserve">The resubmission argued that this was reasonable and conservative as pembrolizumab is likely to extend the time to relapse compared with standard care. The </w:t>
      </w:r>
      <w:r w:rsidR="0096471A">
        <w:t xml:space="preserve">modelled difference in overall survival </w:t>
      </w:r>
      <w:r w:rsidR="00EA5EF7">
        <w:t xml:space="preserve">at </w:t>
      </w:r>
      <w:r w:rsidR="0096471A">
        <w:t>the end of the 30-year time horizon when applying treatment waning at 5.5 years is</w:t>
      </w:r>
      <w:r w:rsidR="0096471A" w:rsidRPr="00AD204F">
        <w:t xml:space="preserve"> </w:t>
      </w:r>
      <w:r w:rsidR="0096471A">
        <w:t>6.7% which, the resubmission argued, is very likely under-estimated in the context of the incremental pCR rate being 7.5%.</w:t>
      </w:r>
    </w:p>
    <w:p w14:paraId="3DE5AAA0" w14:textId="45590305" w:rsidR="004F74AB" w:rsidRDefault="0096471A" w:rsidP="004F74AB">
      <w:pPr>
        <w:pStyle w:val="3-BodyText"/>
        <w:numPr>
          <w:ilvl w:val="1"/>
          <w:numId w:val="1"/>
        </w:numPr>
      </w:pPr>
      <w:r>
        <w:lastRenderedPageBreak/>
        <w:t xml:space="preserve">Applying treatment waning from 5.5 years instead of 5 years </w:t>
      </w:r>
      <w:r w:rsidR="00480DCA">
        <w:t xml:space="preserve">increased the incremental QALYs gained over the </w:t>
      </w:r>
      <w:proofErr w:type="gramStart"/>
      <w:r w:rsidR="00480DCA">
        <w:t>30 year</w:t>
      </w:r>
      <w:proofErr w:type="gramEnd"/>
      <w:r w:rsidR="00480DCA">
        <w:t xml:space="preserve"> time horizon from 0.75 to 0.81</w:t>
      </w:r>
      <w:r>
        <w:t xml:space="preserve"> QALYs</w:t>
      </w:r>
      <w:r w:rsidR="00480DCA">
        <w:t xml:space="preserve">. With waning applied at 5.5 years, at the end of the </w:t>
      </w:r>
      <w:proofErr w:type="gramStart"/>
      <w:r w:rsidR="00480DCA">
        <w:t>30 year</w:t>
      </w:r>
      <w:proofErr w:type="gramEnd"/>
      <w:r w:rsidR="00480DCA">
        <w:t xml:space="preserve"> time horizon the model estimated an increment of 6.9% EFS events. If waning is applied at 5 </w:t>
      </w:r>
      <w:r w:rsidR="00172B64">
        <w:t>years,</w:t>
      </w:r>
      <w:r w:rsidR="00480DCA">
        <w:t xml:space="preserve"> the model estimates an increment of 6.3% </w:t>
      </w:r>
      <w:r w:rsidR="00CB256F">
        <w:t xml:space="preserve">EFS events </w:t>
      </w:r>
      <w:r w:rsidR="00480DCA">
        <w:t>after 30 years.</w:t>
      </w:r>
    </w:p>
    <w:p w14:paraId="5D7C96E7" w14:textId="7A82E0C4" w:rsidR="00B97736" w:rsidRDefault="00B97736" w:rsidP="00B97736">
      <w:pPr>
        <w:rPr>
          <w:u w:val="single"/>
        </w:rPr>
      </w:pPr>
      <w:r w:rsidRPr="00B97736">
        <w:rPr>
          <w:u w:val="single"/>
        </w:rPr>
        <w:t>Capecitabine adjustment</w:t>
      </w:r>
    </w:p>
    <w:p w14:paraId="09F5C6E7" w14:textId="62F6028A" w:rsidR="0096471A" w:rsidRPr="00B97736" w:rsidRDefault="00CB256F" w:rsidP="00526BA3">
      <w:pPr>
        <w:pStyle w:val="3-BodyText"/>
        <w:numPr>
          <w:ilvl w:val="1"/>
          <w:numId w:val="1"/>
        </w:numPr>
      </w:pPr>
      <w:r>
        <w:t>A</w:t>
      </w:r>
      <w:r w:rsidRPr="004C5265">
        <w:t>djustment of costs and outcomes to include adjuvant capecitabine</w:t>
      </w:r>
      <w:r>
        <w:t xml:space="preserve"> to the comparator arm</w:t>
      </w:r>
      <w:r w:rsidRPr="004C5265">
        <w:t xml:space="preserve"> </w:t>
      </w:r>
      <w:r>
        <w:t>have been applied in the economic evaluation as PBAC considered appropriate.</w:t>
      </w:r>
    </w:p>
    <w:p w14:paraId="139ED829" w14:textId="77777777" w:rsidR="00CB256F" w:rsidRDefault="00B97736" w:rsidP="00B97736">
      <w:r w:rsidRPr="00B97736">
        <w:rPr>
          <w:u w:val="single"/>
        </w:rPr>
        <w:t>Terminal care costs</w:t>
      </w:r>
      <w:r w:rsidR="00CB256F" w:rsidRPr="00CB256F">
        <w:t xml:space="preserve"> </w:t>
      </w:r>
    </w:p>
    <w:p w14:paraId="7D972DEA" w14:textId="7B2EABE3" w:rsidR="00B97736" w:rsidRDefault="00CB256F" w:rsidP="00526BA3">
      <w:pPr>
        <w:pStyle w:val="3-BodyText"/>
        <w:numPr>
          <w:ilvl w:val="1"/>
          <w:numId w:val="1"/>
        </w:numPr>
        <w:rPr>
          <w:u w:val="single"/>
        </w:rPr>
      </w:pPr>
      <w:r>
        <w:t>The PBAC also considered that revision of the terminal care costs to $6,050, in the pre-PBAC revised base case was appropriate</w:t>
      </w:r>
      <w:r w:rsidRPr="003D3FD9">
        <w:t xml:space="preserve"> </w:t>
      </w:r>
      <w:r>
        <w:t>and consistent with terminal care costs in the sacituzumab govitecan submission. The terminal care cost in the resubmission has been amended to $6</w:t>
      </w:r>
      <w:r w:rsidR="00945018">
        <w:t>,</w:t>
      </w:r>
      <w:r>
        <w:t>050.</w:t>
      </w:r>
    </w:p>
    <w:p w14:paraId="7B3D5351" w14:textId="35FF44B7" w:rsidR="00002745" w:rsidRPr="00002745" w:rsidRDefault="00002745" w:rsidP="00002745">
      <w:pPr>
        <w:rPr>
          <w:u w:val="single"/>
        </w:rPr>
      </w:pPr>
      <w:r>
        <w:rPr>
          <w:u w:val="single"/>
        </w:rPr>
        <w:t xml:space="preserve">Revised </w:t>
      </w:r>
      <w:r w:rsidR="00590825">
        <w:rPr>
          <w:u w:val="single"/>
        </w:rPr>
        <w:t>p</w:t>
      </w:r>
      <w:r>
        <w:rPr>
          <w:u w:val="single"/>
        </w:rPr>
        <w:t xml:space="preserve">embrolizumab cost and </w:t>
      </w:r>
      <w:proofErr w:type="gramStart"/>
      <w:r>
        <w:rPr>
          <w:u w:val="single"/>
        </w:rPr>
        <w:t>ICER</w:t>
      </w:r>
      <w:proofErr w:type="gramEnd"/>
    </w:p>
    <w:p w14:paraId="6B1CC038" w14:textId="62BCA938" w:rsidR="0012052E" w:rsidRDefault="00094C82" w:rsidP="00526BA3">
      <w:pPr>
        <w:pStyle w:val="3-BodyText"/>
        <w:numPr>
          <w:ilvl w:val="1"/>
          <w:numId w:val="1"/>
        </w:numPr>
      </w:pPr>
      <w:r>
        <w:t xml:space="preserve">The PBAC considered that an ICER of up to $35,000/QALY gained would account for the uncertainty regarding the modelled outcomes (para 7.10, pembrolizumab </w:t>
      </w:r>
      <w:r w:rsidR="008C23CB">
        <w:t>PSD</w:t>
      </w:r>
      <w:r>
        <w:t xml:space="preserve">, March 2023 PBAC meeting). </w:t>
      </w:r>
      <w:r w:rsidR="00CB256F">
        <w:t xml:space="preserve">The </w:t>
      </w:r>
      <w:r w:rsidR="00002745">
        <w:t xml:space="preserve">resubmission proposed a revised price for </w:t>
      </w:r>
      <w:r w:rsidR="00CB256F">
        <w:t xml:space="preserve">pembrolizumab </w:t>
      </w:r>
      <w:r w:rsidR="00002745">
        <w:t>of</w:t>
      </w:r>
      <w:r w:rsidR="00002745" w:rsidRPr="00F46E9B">
        <w:t xml:space="preserve"> $</w:t>
      </w:r>
      <w:proofErr w:type="gramStart"/>
      <w:r w:rsidR="009215AC" w:rsidRPr="00AB351A">
        <w:rPr>
          <w:color w:val="000000"/>
          <w:w w:val="15"/>
          <w:shd w:val="solid" w:color="000000" w:fill="000000"/>
          <w:fitText w:val="-20" w:id="-1168380411"/>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11"/>
          <w14:textFill>
            <w14:solidFill>
              <w14:srgbClr w14:val="000000">
                <w14:alpha w14:val="100000"/>
              </w14:srgbClr>
            </w14:solidFill>
          </w14:textFill>
        </w:rPr>
        <w:t>|</w:t>
      </w:r>
      <w:proofErr w:type="gramEnd"/>
      <w:r w:rsidR="00002745">
        <w:t xml:space="preserve"> AEMP per 100 mg vial. This was reduced from </w:t>
      </w:r>
      <w:r w:rsidR="0083570F">
        <w:t>$</w:t>
      </w:r>
      <w:proofErr w:type="gramStart"/>
      <w:r w:rsidR="009215AC" w:rsidRPr="00AB351A">
        <w:rPr>
          <w:color w:val="000000"/>
          <w:w w:val="15"/>
          <w:shd w:val="solid" w:color="000000" w:fill="000000"/>
          <w:fitText w:val="-20" w:id="-1168380410"/>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10"/>
          <w14:textFill>
            <w14:solidFill>
              <w14:srgbClr w14:val="000000">
                <w14:alpha w14:val="100000"/>
              </w14:srgbClr>
            </w14:solidFill>
          </w14:textFill>
        </w:rPr>
        <w:t>|</w:t>
      </w:r>
      <w:proofErr w:type="gramEnd"/>
      <w:r w:rsidR="0083570F">
        <w:t xml:space="preserve"> in the previous submission and </w:t>
      </w:r>
      <w:r w:rsidR="00CB256F" w:rsidRPr="00F46E9B">
        <w:t>$</w:t>
      </w:r>
      <w:r w:rsidR="009215AC" w:rsidRPr="00AB351A">
        <w:rPr>
          <w:color w:val="000000"/>
          <w:w w:val="15"/>
          <w:shd w:val="solid" w:color="000000" w:fill="000000"/>
          <w:fitText w:val="-20" w:id="-1168380409"/>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9"/>
          <w14:textFill>
            <w14:solidFill>
              <w14:srgbClr w14:val="000000">
                <w14:alpha w14:val="100000"/>
              </w14:srgbClr>
            </w14:solidFill>
          </w14:textFill>
        </w:rPr>
        <w:t>|</w:t>
      </w:r>
      <w:r w:rsidR="00CB256F" w:rsidRPr="00F46E9B">
        <w:t xml:space="preserve"> </w:t>
      </w:r>
      <w:r w:rsidR="00CB256F">
        <w:t>in the pre-PBAC response</w:t>
      </w:r>
      <w:r w:rsidR="00002745">
        <w:t xml:space="preserve"> to the previous submission</w:t>
      </w:r>
      <w:r w:rsidR="00CB256F" w:rsidRPr="00A922D2">
        <w:t>.</w:t>
      </w:r>
      <w:r w:rsidR="00CB256F">
        <w:t xml:space="preserve"> The above</w:t>
      </w:r>
      <w:r w:rsidR="00CB256F" w:rsidRPr="00A922D2">
        <w:t xml:space="preserve"> changes</w:t>
      </w:r>
      <w:r w:rsidR="00002745">
        <w:t xml:space="preserve"> and the revised price for pembrolizumab</w:t>
      </w:r>
      <w:r w:rsidR="00CB256F" w:rsidRPr="00A922D2">
        <w:t xml:space="preserve"> result in an ICER of </w:t>
      </w:r>
      <w:r w:rsidR="008C23CB" w:rsidRPr="008C23CB">
        <w:t>$35,000 to &lt; $45,000</w:t>
      </w:r>
      <w:r w:rsidR="00CB256F" w:rsidRPr="00A922D2">
        <w:t>/QALY</w:t>
      </w:r>
      <w:r w:rsidR="00CB256F">
        <w:t xml:space="preserve"> gained. </w:t>
      </w:r>
    </w:p>
    <w:p w14:paraId="0ADED3B3" w14:textId="7E5A8638" w:rsidR="00002745" w:rsidRDefault="0012052E" w:rsidP="00526BA3">
      <w:pPr>
        <w:pStyle w:val="3-BodyText"/>
        <w:numPr>
          <w:ilvl w:val="1"/>
          <w:numId w:val="1"/>
        </w:numPr>
      </w:pPr>
      <w:r>
        <w:t>The price per vial required for an ICER of $35,000/QALY would be $</w:t>
      </w:r>
      <w:r w:rsidR="009215AC" w:rsidRPr="0034755D">
        <w:rPr>
          <w:color w:val="000000"/>
          <w:w w:val="60"/>
          <w:shd w:val="solid" w:color="000000" w:fill="000000"/>
          <w:fitText w:val="466" w:id="-1168380408"/>
          <w14:textFill>
            <w14:solidFill>
              <w14:srgbClr w14:val="000000">
                <w14:alpha w14:val="100000"/>
              </w14:srgbClr>
            </w14:solidFill>
          </w14:textFill>
        </w:rPr>
        <w:t>||</w:t>
      </w:r>
      <w:proofErr w:type="gramStart"/>
      <w:r w:rsidR="009215AC" w:rsidRPr="0034755D">
        <w:rPr>
          <w:color w:val="000000"/>
          <w:w w:val="60"/>
          <w:shd w:val="solid" w:color="000000" w:fill="000000"/>
          <w:fitText w:val="466" w:id="-1168380408"/>
          <w14:textFill>
            <w14:solidFill>
              <w14:srgbClr w14:val="000000">
                <w14:alpha w14:val="100000"/>
              </w14:srgbClr>
            </w14:solidFill>
          </w14:textFill>
        </w:rPr>
        <w:t>|  |</w:t>
      </w:r>
      <w:proofErr w:type="gramEnd"/>
      <w:r w:rsidR="009215AC" w:rsidRPr="0034755D">
        <w:rPr>
          <w:color w:val="000000"/>
          <w:w w:val="60"/>
          <w:shd w:val="solid" w:color="000000" w:fill="000000"/>
          <w:fitText w:val="466" w:id="-1168380408"/>
          <w14:textFill>
            <w14:solidFill>
              <w14:srgbClr w14:val="000000">
                <w14:alpha w14:val="100000"/>
              </w14:srgbClr>
            </w14:solidFill>
          </w14:textFill>
        </w:rPr>
        <w:t>|</w:t>
      </w:r>
      <w:r w:rsidR="009215AC" w:rsidRPr="0034755D">
        <w:rPr>
          <w:color w:val="000000"/>
          <w:spacing w:val="2"/>
          <w:w w:val="60"/>
          <w:shd w:val="solid" w:color="000000" w:fill="000000"/>
          <w:fitText w:val="466" w:id="-1168380408"/>
          <w14:textFill>
            <w14:solidFill>
              <w14:srgbClr w14:val="000000">
                <w14:alpha w14:val="100000"/>
              </w14:srgbClr>
            </w14:solidFill>
          </w14:textFill>
        </w:rPr>
        <w:t>|</w:t>
      </w:r>
      <w:r>
        <w:t>. The price required for an ICER of $35,000/QALY with waning applied from 5 years would be $</w:t>
      </w:r>
      <w:r w:rsidR="00F678E8">
        <w:rPr>
          <w:highlight w:val="lightGray"/>
        </w:rPr>
        <w:t xml:space="preserve"> </w:t>
      </w:r>
      <w:r w:rsidR="009215AC">
        <w:t xml:space="preserve">       </w:t>
      </w:r>
      <w:proofErr w:type="gramStart"/>
      <w:r w:rsidR="009215AC" w:rsidRPr="00AB351A">
        <w:rPr>
          <w:color w:val="000000"/>
          <w:w w:val="15"/>
          <w:shd w:val="solid" w:color="000000" w:fill="000000"/>
          <w:fitText w:val="-20" w:id="-1168380407"/>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7"/>
          <w14:textFill>
            <w14:solidFill>
              <w14:srgbClr w14:val="000000">
                <w14:alpha w14:val="100000"/>
              </w14:srgbClr>
            </w14:solidFill>
          </w14:textFill>
        </w:rPr>
        <w:t>|</w:t>
      </w:r>
      <w:proofErr w:type="gramEnd"/>
      <w:r>
        <w:t>.</w:t>
      </w:r>
    </w:p>
    <w:p w14:paraId="0D2848B5" w14:textId="71DC0FB2" w:rsidR="00002745" w:rsidRDefault="00CB256F" w:rsidP="00526BA3">
      <w:pPr>
        <w:pStyle w:val="3-BodyText"/>
        <w:numPr>
          <w:ilvl w:val="1"/>
          <w:numId w:val="1"/>
        </w:numPr>
      </w:pPr>
      <w:r>
        <w:t>The resubmission noted that th</w:t>
      </w:r>
      <w:r w:rsidR="00002745">
        <w:t>e requested price</w:t>
      </w:r>
      <w:r>
        <w:t xml:space="preserve"> is below the price considered </w:t>
      </w:r>
      <w:r w:rsidRPr="00A922D2">
        <w:t>cost</w:t>
      </w:r>
      <w:r>
        <w:t>-</w:t>
      </w:r>
      <w:r w:rsidRPr="00A922D2">
        <w:t>effective</w:t>
      </w:r>
      <w:r>
        <w:t xml:space="preserve"> in</w:t>
      </w:r>
      <w:r w:rsidRPr="00A922D2">
        <w:t xml:space="preserve"> mTNBC </w:t>
      </w:r>
      <w:r>
        <w:t>(</w:t>
      </w:r>
      <w:r w:rsidRPr="00A922D2">
        <w:t>$</w:t>
      </w:r>
      <w:proofErr w:type="gramStart"/>
      <w:r w:rsidR="009215AC" w:rsidRPr="00AB351A">
        <w:rPr>
          <w:color w:val="000000"/>
          <w:w w:val="15"/>
          <w:shd w:val="solid" w:color="000000" w:fill="000000"/>
          <w:fitText w:val="-20" w:id="-1168380406"/>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6"/>
          <w14:textFill>
            <w14:solidFill>
              <w14:srgbClr w14:val="000000">
                <w14:alpha w14:val="100000"/>
              </w14:srgbClr>
            </w14:solidFill>
          </w14:textFill>
        </w:rPr>
        <w:t>|</w:t>
      </w:r>
      <w:proofErr w:type="gramEnd"/>
      <w:r w:rsidRPr="00A922D2">
        <w:t xml:space="preserve"> per 100mg vial</w:t>
      </w:r>
      <w:r>
        <w:t xml:space="preserve">, </w:t>
      </w:r>
      <w:r w:rsidRPr="00A922D2">
        <w:t xml:space="preserve">which was recommended </w:t>
      </w:r>
      <w:r w:rsidR="00590825">
        <w:t xml:space="preserve">with an ICER of </w:t>
      </w:r>
      <w:r w:rsidR="008C23CB" w:rsidRPr="008C23CB">
        <w:t>$75,000 to &lt; $95,000</w:t>
      </w:r>
      <w:r w:rsidRPr="00A922D2">
        <w:t>/QALY).</w:t>
      </w:r>
      <w:bookmarkStart w:id="6" w:name="_Toc22897646"/>
      <w:bookmarkStart w:id="7" w:name="_Toc124710219"/>
      <w:r w:rsidR="00002745" w:rsidRPr="00002745">
        <w:t xml:space="preserve"> </w:t>
      </w:r>
    </w:p>
    <w:p w14:paraId="44C71676" w14:textId="742765AB" w:rsidR="00002745" w:rsidRDefault="00002745" w:rsidP="00526BA3">
      <w:pPr>
        <w:pStyle w:val="3-BodyText"/>
        <w:numPr>
          <w:ilvl w:val="1"/>
          <w:numId w:val="1"/>
        </w:numPr>
      </w:pPr>
      <w:r>
        <w:t xml:space="preserve">The resubmission noted that the ICER would be reduced further if a lower discount rate was applied. </w:t>
      </w:r>
    </w:p>
    <w:p w14:paraId="230AC0FA" w14:textId="6DA96993" w:rsidR="00002745" w:rsidRDefault="00002745" w:rsidP="00526BA3">
      <w:pPr>
        <w:pStyle w:val="3-BodyText"/>
        <w:numPr>
          <w:ilvl w:val="1"/>
          <w:numId w:val="1"/>
        </w:numPr>
      </w:pPr>
      <w:r>
        <w:t xml:space="preserve">The </w:t>
      </w:r>
      <w:r w:rsidR="00D84880">
        <w:t>re</w:t>
      </w:r>
      <w:r>
        <w:t>submission stated that it is likely that the modelled survival curves from KN</w:t>
      </w:r>
      <w:r w:rsidR="00B5753F">
        <w:t>-</w:t>
      </w:r>
      <w:r>
        <w:t xml:space="preserve">522 that adjust for capecitabine use only in the comparator arm are conservative, as PBAC considered that there may be some use of pembrolizumab in combination with capecitabine, and the proposed restrictions do not prevent such use. </w:t>
      </w:r>
      <w:r w:rsidR="006374E9" w:rsidRPr="0012052E">
        <w:t xml:space="preserve">However, no efficacy data for combination use of pembrolizumab and capecitabine were available and </w:t>
      </w:r>
      <w:r w:rsidR="002172CF" w:rsidRPr="0012052E">
        <w:t xml:space="preserve">there are uncertainties regarding the adjustment applied for capecitabine use in the comparator arm, </w:t>
      </w:r>
      <w:r w:rsidR="006374E9" w:rsidRPr="0012052E">
        <w:t xml:space="preserve">therefore </w:t>
      </w:r>
      <w:r w:rsidR="002172CF" w:rsidRPr="0012052E">
        <w:t xml:space="preserve">this approach </w:t>
      </w:r>
      <w:r w:rsidR="00055AB6" w:rsidRPr="0012052E">
        <w:t xml:space="preserve">may not be </w:t>
      </w:r>
      <w:r w:rsidR="002172CF" w:rsidRPr="0012052E">
        <w:t>conservative.</w:t>
      </w:r>
    </w:p>
    <w:p w14:paraId="77869327" w14:textId="3779ADAA" w:rsidR="00526BA3" w:rsidRDefault="00002745" w:rsidP="00172B64">
      <w:pPr>
        <w:pStyle w:val="3-BodyText"/>
        <w:numPr>
          <w:ilvl w:val="1"/>
          <w:numId w:val="1"/>
        </w:numPr>
      </w:pPr>
      <w:r>
        <w:t xml:space="preserve">The resubmission considered that the ICER of </w:t>
      </w:r>
      <w:r w:rsidR="008C23CB" w:rsidRPr="008C23CB">
        <w:t>$35,000 to &lt; $45,000</w:t>
      </w:r>
      <w:r w:rsidRPr="001B17CB">
        <w:t>/QALY</w:t>
      </w:r>
      <w:r>
        <w:t xml:space="preserve"> </w:t>
      </w:r>
      <w:r w:rsidR="00094C82">
        <w:t>may be</w:t>
      </w:r>
      <w:r>
        <w:t xml:space="preserve"> an overestimate given the conservative assumptions applied and </w:t>
      </w:r>
      <w:r w:rsidR="008A4FDC">
        <w:t xml:space="preserve">argued that the true </w:t>
      </w:r>
      <w:r w:rsidR="008A4FDC">
        <w:lastRenderedPageBreak/>
        <w:t xml:space="preserve">ICER </w:t>
      </w:r>
      <w:r>
        <w:t xml:space="preserve">could reasonably be as low as </w:t>
      </w:r>
      <w:r w:rsidR="008C23CB" w:rsidRPr="008C23CB">
        <w:t>$25,000 to &lt; $35,000</w:t>
      </w:r>
      <w:r>
        <w:t>/QALY</w:t>
      </w:r>
      <w:r w:rsidR="008A4FDC">
        <w:t xml:space="preserve"> (applying treatment waning from </w:t>
      </w:r>
      <w:r w:rsidR="002E55B9">
        <w:t>5.5</w:t>
      </w:r>
      <w:r w:rsidR="008A4FDC">
        <w:t xml:space="preserve"> years and </w:t>
      </w:r>
      <w:r w:rsidR="002172CF">
        <w:t>3.5% discount rate</w:t>
      </w:r>
      <w:r w:rsidRPr="006D5A5D">
        <w:t>).</w:t>
      </w:r>
      <w:r w:rsidR="002172CF">
        <w:t xml:space="preserve"> </w:t>
      </w:r>
    </w:p>
    <w:p w14:paraId="4A4D16CF" w14:textId="33B2EA18" w:rsidR="00CB256F" w:rsidRDefault="00002745" w:rsidP="00002745">
      <w:pPr>
        <w:pStyle w:val="4-SubsectionHeading"/>
      </w:pPr>
      <w:r w:rsidRPr="006919A9">
        <w:t>Drug cost/patient/course</w:t>
      </w:r>
      <w:bookmarkEnd w:id="6"/>
      <w:bookmarkEnd w:id="7"/>
    </w:p>
    <w:p w14:paraId="7648FB95" w14:textId="1D05524E" w:rsidR="00EF44B6" w:rsidRDefault="00002745" w:rsidP="00526BA3">
      <w:pPr>
        <w:pStyle w:val="3-BodyText"/>
        <w:numPr>
          <w:ilvl w:val="1"/>
          <w:numId w:val="1"/>
        </w:numPr>
      </w:pPr>
      <w:r>
        <w:t>At the revised price of pembrolizumab, t</w:t>
      </w:r>
      <w:r w:rsidRPr="006919A9">
        <w:t xml:space="preserve">he </w:t>
      </w:r>
      <w:r>
        <w:t>re</w:t>
      </w:r>
      <w:r w:rsidRPr="006919A9">
        <w:t>submission</w:t>
      </w:r>
      <w:r>
        <w:t>’s economic</w:t>
      </w:r>
      <w:r w:rsidRPr="006919A9">
        <w:t xml:space="preserve"> </w:t>
      </w:r>
      <w:r>
        <w:t xml:space="preserve">model </w:t>
      </w:r>
      <w:r w:rsidRPr="006919A9">
        <w:t xml:space="preserve">estimated a total undiscounted cost </w:t>
      </w:r>
      <w:r>
        <w:t xml:space="preserve">for </w:t>
      </w:r>
      <w:r w:rsidRPr="006919A9">
        <w:t>pembrolizumab of $</w:t>
      </w:r>
      <w:proofErr w:type="gramStart"/>
      <w:r w:rsidR="009215AC" w:rsidRPr="00AB351A">
        <w:rPr>
          <w:color w:val="000000"/>
          <w:w w:val="15"/>
          <w:shd w:val="solid" w:color="000000" w:fill="000000"/>
          <w:fitText w:val="-20" w:id="-1168380405"/>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5"/>
          <w14:textFill>
            <w14:solidFill>
              <w14:srgbClr w14:val="000000">
                <w14:alpha w14:val="100000"/>
              </w14:srgbClr>
            </w14:solidFill>
          </w14:textFill>
        </w:rPr>
        <w:t>|</w:t>
      </w:r>
      <w:proofErr w:type="gramEnd"/>
      <w:r w:rsidRPr="006919A9">
        <w:t xml:space="preserve"> per patient, per course</w:t>
      </w:r>
      <w:r>
        <w:t xml:space="preserve"> ($</w:t>
      </w:r>
      <w:r w:rsidR="009215AC" w:rsidRPr="00AB351A">
        <w:rPr>
          <w:color w:val="000000"/>
          <w:w w:val="15"/>
          <w:shd w:val="solid" w:color="000000" w:fill="000000"/>
          <w:fitText w:val="-20" w:id="-1168380404"/>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4"/>
          <w14:textFill>
            <w14:solidFill>
              <w14:srgbClr w14:val="000000">
                <w14:alpha w14:val="100000"/>
              </w14:srgbClr>
            </w14:solidFill>
          </w14:textFill>
        </w:rPr>
        <w:t>|</w:t>
      </w:r>
      <w:r>
        <w:t xml:space="preserve"> in the neoadjuvant setting and $</w:t>
      </w:r>
      <w:r w:rsidR="009215AC" w:rsidRPr="00AB351A">
        <w:rPr>
          <w:color w:val="000000"/>
          <w:w w:val="15"/>
          <w:shd w:val="solid" w:color="000000" w:fill="000000"/>
          <w:fitText w:val="-20" w:id="-1168380403"/>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3"/>
          <w14:textFill>
            <w14:solidFill>
              <w14:srgbClr w14:val="000000">
                <w14:alpha w14:val="100000"/>
              </w14:srgbClr>
            </w14:solidFill>
          </w14:textFill>
        </w:rPr>
        <w:t>|</w:t>
      </w:r>
      <w:r>
        <w:t xml:space="preserve"> in the adjuvant setting)</w:t>
      </w:r>
      <w:r w:rsidRPr="006919A9">
        <w:t>.</w:t>
      </w:r>
      <w:r>
        <w:t xml:space="preserve"> </w:t>
      </w:r>
      <w:r w:rsidR="00CA29AE">
        <w:t>Based on the number of scripts per patient in the financial estimates (15.07) the total cost per patient is $</w:t>
      </w:r>
      <w:proofErr w:type="gramStart"/>
      <w:r w:rsidR="009215AC" w:rsidRPr="00AB351A">
        <w:rPr>
          <w:color w:val="000000"/>
          <w:w w:val="15"/>
          <w:shd w:val="solid" w:color="000000" w:fill="000000"/>
          <w:fitText w:val="-20" w:id="-1168380402"/>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2"/>
          <w14:textFill>
            <w14:solidFill>
              <w14:srgbClr w14:val="000000">
                <w14:alpha w14:val="100000"/>
              </w14:srgbClr>
            </w14:solidFill>
          </w14:textFill>
        </w:rPr>
        <w:t>|</w:t>
      </w:r>
      <w:proofErr w:type="gramEnd"/>
      <w:r w:rsidR="00CA29AE">
        <w:t xml:space="preserve"> </w:t>
      </w:r>
    </w:p>
    <w:p w14:paraId="3E058174" w14:textId="23084B11" w:rsidR="004567CE" w:rsidRPr="004567CE" w:rsidRDefault="00CF1BFB" w:rsidP="00526BA3">
      <w:pPr>
        <w:pStyle w:val="3-BodyText"/>
        <w:numPr>
          <w:ilvl w:val="1"/>
          <w:numId w:val="1"/>
        </w:numPr>
      </w:pPr>
      <w:bookmarkStart w:id="8" w:name="_Ref138224780"/>
      <w:r>
        <w:t xml:space="preserve">The </w:t>
      </w:r>
      <w:r w:rsidRPr="007206E2">
        <w:rPr>
          <w:szCs w:val="20"/>
        </w:rPr>
        <w:t xml:space="preserve">number of cycles </w:t>
      </w:r>
      <w:r>
        <w:rPr>
          <w:szCs w:val="20"/>
        </w:rPr>
        <w:t>in the financial estimates (15.07) was ba</w:t>
      </w:r>
      <w:r w:rsidRPr="007206E2">
        <w:rPr>
          <w:szCs w:val="20"/>
        </w:rPr>
        <w:t>sed on extrapolation of the KN</w:t>
      </w:r>
      <w:r>
        <w:rPr>
          <w:szCs w:val="20"/>
        </w:rPr>
        <w:t>-</w:t>
      </w:r>
      <w:r w:rsidRPr="007206E2">
        <w:rPr>
          <w:szCs w:val="20"/>
        </w:rPr>
        <w:t>522 study</w:t>
      </w:r>
      <w:r>
        <w:rPr>
          <w:szCs w:val="20"/>
        </w:rPr>
        <w:t xml:space="preserve"> as per the </w:t>
      </w:r>
      <w:r w:rsidR="00C44929">
        <w:rPr>
          <w:szCs w:val="20"/>
        </w:rPr>
        <w:t xml:space="preserve">Pre-Sub-Committee Response </w:t>
      </w:r>
      <w:r w:rsidR="00055AB6">
        <w:rPr>
          <w:szCs w:val="20"/>
        </w:rPr>
        <w:t>for the March 2023 submission</w:t>
      </w:r>
      <w:r w:rsidR="00EF44B6">
        <w:rPr>
          <w:szCs w:val="20"/>
        </w:rPr>
        <w:t xml:space="preserve">, </w:t>
      </w:r>
      <w:r w:rsidR="00EF44B6" w:rsidRPr="008F01DF">
        <w:rPr>
          <w:szCs w:val="20"/>
        </w:rPr>
        <w:t xml:space="preserve">however in the </w:t>
      </w:r>
      <w:r w:rsidR="0040081C" w:rsidRPr="008F01DF">
        <w:rPr>
          <w:szCs w:val="20"/>
        </w:rPr>
        <w:t xml:space="preserve">resubmission </w:t>
      </w:r>
      <w:r w:rsidR="00EF44B6" w:rsidRPr="008F01DF">
        <w:rPr>
          <w:szCs w:val="20"/>
        </w:rPr>
        <w:t xml:space="preserve">adjusted model the number of cycles was </w:t>
      </w:r>
      <w:r w:rsidR="0040081C" w:rsidRPr="008F01DF">
        <w:rPr>
          <w:szCs w:val="20"/>
        </w:rPr>
        <w:t>13.0 (7.48 neoadjuvant and 5.53 adjuvant)</w:t>
      </w:r>
      <w:r w:rsidRPr="008F01DF">
        <w:rPr>
          <w:szCs w:val="20"/>
        </w:rPr>
        <w:t xml:space="preserve">. </w:t>
      </w:r>
      <w:r w:rsidR="004567CE">
        <w:rPr>
          <w:szCs w:val="20"/>
        </w:rPr>
        <w:t xml:space="preserve">The pre-PBAC response noted that the time on treatment in the economic model accounted for the fact that only ~75% of patients who received neoadjuvant treatment went on to receive adjuvant treatment with pembrolizumab. The financial estimates </w:t>
      </w:r>
      <w:r w:rsidR="00D84880">
        <w:rPr>
          <w:szCs w:val="20"/>
        </w:rPr>
        <w:t xml:space="preserve">separately </w:t>
      </w:r>
      <w:r w:rsidR="004567CE">
        <w:rPr>
          <w:szCs w:val="20"/>
        </w:rPr>
        <w:t xml:space="preserve">assumed 75% of initiating patients did not receive adjuvant treatment with pembrolizumab. </w:t>
      </w:r>
      <w:proofErr w:type="gramStart"/>
      <w:r w:rsidR="004567CE">
        <w:rPr>
          <w:szCs w:val="20"/>
        </w:rPr>
        <w:t>Therefore</w:t>
      </w:r>
      <w:proofErr w:type="gramEnd"/>
      <w:r w:rsidR="004567CE">
        <w:rPr>
          <w:szCs w:val="20"/>
        </w:rPr>
        <w:t xml:space="preserve"> applying a duration of 5.53 cycles to the 75% of patients treated with pembrolizumab in the financial estimates would underestimate the treatment duration in the adjuvant setting. The PBAC noted that </w:t>
      </w:r>
      <w:r w:rsidR="007735C1">
        <w:rPr>
          <w:szCs w:val="20"/>
        </w:rPr>
        <w:t xml:space="preserve">after accounting for this adjustment the </w:t>
      </w:r>
      <w:r w:rsidR="004567CE">
        <w:rPr>
          <w:szCs w:val="20"/>
        </w:rPr>
        <w:t>treatment duration in the financial estimates still appeared to be overestimated compared to the modelled time on treatment</w:t>
      </w:r>
      <w:r w:rsidR="007735C1">
        <w:rPr>
          <w:szCs w:val="20"/>
        </w:rPr>
        <w:t xml:space="preserve"> (</w:t>
      </w:r>
      <w:r w:rsidR="009A1234">
        <w:rPr>
          <w:szCs w:val="20"/>
        </w:rPr>
        <w:t xml:space="preserve">approximately </w:t>
      </w:r>
      <w:r w:rsidR="007735C1">
        <w:rPr>
          <w:szCs w:val="20"/>
        </w:rPr>
        <w:t xml:space="preserve">7.37 cycles </w:t>
      </w:r>
      <w:r w:rsidR="009A1234">
        <w:rPr>
          <w:szCs w:val="20"/>
        </w:rPr>
        <w:t xml:space="preserve">for patients treated in the adjuvant setting). The PBAC </w:t>
      </w:r>
      <w:r w:rsidR="007735C1">
        <w:rPr>
          <w:szCs w:val="20"/>
        </w:rPr>
        <w:t>considered that the financial estimates should be revised to reflect the number of cycles in the economic model.</w:t>
      </w:r>
    </w:p>
    <w:p w14:paraId="3ACCAC7F" w14:textId="6D30B2D3" w:rsidR="00B97736" w:rsidRPr="00494B2D" w:rsidRDefault="006F54B2" w:rsidP="00B97736">
      <w:pPr>
        <w:pStyle w:val="3-BodyText"/>
        <w:numPr>
          <w:ilvl w:val="1"/>
          <w:numId w:val="1"/>
        </w:numPr>
      </w:pPr>
      <w:r w:rsidRPr="008F01DF">
        <w:rPr>
          <w:szCs w:val="20"/>
        </w:rPr>
        <w:t>The treatment duration assumed in the financial estimates for grandfathered patients was 7.53 cycles (total).</w:t>
      </w:r>
      <w:bookmarkEnd w:id="8"/>
      <w:r w:rsidR="00CA29AE" w:rsidRPr="008F01DF">
        <w:t xml:space="preserve"> </w:t>
      </w:r>
    </w:p>
    <w:p w14:paraId="3288F72A" w14:textId="2FBE0C54" w:rsidR="00B97736" w:rsidRDefault="00B97736" w:rsidP="001122AE">
      <w:pPr>
        <w:pStyle w:val="4-SubsectionHeading"/>
        <w:keepNext/>
        <w:keepLines/>
      </w:pPr>
      <w:r>
        <w:t xml:space="preserve">Estimated PBS usage &amp; financial </w:t>
      </w:r>
      <w:proofErr w:type="gramStart"/>
      <w:r>
        <w:t>implications</w:t>
      </w:r>
      <w:proofErr w:type="gramEnd"/>
    </w:p>
    <w:p w14:paraId="2616C380" w14:textId="3FC57916" w:rsidR="00F402AD" w:rsidRPr="00094C82" w:rsidRDefault="008A4FDC" w:rsidP="001122AE">
      <w:pPr>
        <w:pStyle w:val="3-BodyText"/>
        <w:keepNext/>
        <w:keepLines/>
        <w:numPr>
          <w:ilvl w:val="1"/>
          <w:numId w:val="1"/>
        </w:numPr>
        <w:rPr>
          <w:lang w:eastAsia="en-US"/>
        </w:rPr>
      </w:pPr>
      <w:r>
        <w:rPr>
          <w:lang w:eastAsia="en-US"/>
        </w:rPr>
        <w:t xml:space="preserve">The resubmission </w:t>
      </w:r>
      <w:r w:rsidR="00F402AD">
        <w:rPr>
          <w:lang w:eastAsia="en-US"/>
        </w:rPr>
        <w:t>revised</w:t>
      </w:r>
      <w:r>
        <w:rPr>
          <w:lang w:eastAsia="en-US"/>
        </w:rPr>
        <w:t xml:space="preserve"> the financial estimates</w:t>
      </w:r>
      <w:r w:rsidR="00F402AD">
        <w:rPr>
          <w:lang w:eastAsia="en-US"/>
        </w:rPr>
        <w:t xml:space="preserve"> to remove the </w:t>
      </w:r>
      <w:r w:rsidR="00F402AD" w:rsidRPr="002F7607">
        <w:t>prevalent population from the eligible pool</w:t>
      </w:r>
      <w:r w:rsidR="00094C82">
        <w:t xml:space="preserve"> and set the </w:t>
      </w:r>
      <w:r w:rsidR="00094C82" w:rsidRPr="002F7607">
        <w:t xml:space="preserve">proportion of patients receiving adjuvant treatment </w:t>
      </w:r>
      <w:r w:rsidR="00094C82">
        <w:t>to</w:t>
      </w:r>
      <w:r w:rsidR="00094C82" w:rsidRPr="002F7607">
        <w:t xml:space="preserve"> 75%</w:t>
      </w:r>
      <w:r w:rsidR="00094C82">
        <w:t xml:space="preserve">, </w:t>
      </w:r>
      <w:r w:rsidR="00F402AD">
        <w:rPr>
          <w:lang w:eastAsia="en-US"/>
        </w:rPr>
        <w:t>in line with the PBAC’s advice</w:t>
      </w:r>
      <w:r w:rsidR="00094C82">
        <w:rPr>
          <w:lang w:eastAsia="en-US"/>
        </w:rPr>
        <w:t xml:space="preserve">. </w:t>
      </w:r>
      <w:r w:rsidR="00F402AD" w:rsidRPr="002F7607">
        <w:t xml:space="preserve">The </w:t>
      </w:r>
      <w:r w:rsidR="00094C82">
        <w:t>resubmission also</w:t>
      </w:r>
      <w:r w:rsidR="00F402AD" w:rsidRPr="002F7607">
        <w:t xml:space="preserve"> applied the new effective price (AEMP of $</w:t>
      </w:r>
      <w:proofErr w:type="gramStart"/>
      <w:r w:rsidR="009215AC" w:rsidRPr="00AB351A">
        <w:rPr>
          <w:color w:val="000000"/>
          <w:w w:val="15"/>
          <w:shd w:val="solid" w:color="000000" w:fill="000000"/>
          <w:fitText w:val="-20" w:id="-1168380401"/>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01"/>
          <w14:textFill>
            <w14:solidFill>
              <w14:srgbClr w14:val="000000">
                <w14:alpha w14:val="100000"/>
              </w14:srgbClr>
            </w14:solidFill>
          </w14:textFill>
        </w:rPr>
        <w:t>|</w:t>
      </w:r>
      <w:proofErr w:type="gramEnd"/>
      <w:r w:rsidR="00F402AD" w:rsidRPr="002F7607">
        <w:t xml:space="preserve"> per 100 mg vial)</w:t>
      </w:r>
      <w:r w:rsidR="00094C82">
        <w:t xml:space="preserve">. In addition to these changes the resubmission increased the </w:t>
      </w:r>
      <w:r w:rsidR="00F402AD" w:rsidRPr="002F7607">
        <w:t xml:space="preserve">number of patients eligible for grandfathering </w:t>
      </w:r>
      <w:r w:rsidR="00094C82">
        <w:t xml:space="preserve">from </w:t>
      </w:r>
      <w:r w:rsidR="00C44929">
        <w:t>&lt;</w:t>
      </w:r>
      <w:r w:rsidR="008933BF">
        <w:t xml:space="preserve"> </w:t>
      </w:r>
      <w:r w:rsidR="00C44929">
        <w:t xml:space="preserve">500 </w:t>
      </w:r>
      <w:r w:rsidR="00094C82">
        <w:t>to</w:t>
      </w:r>
      <w:r w:rsidR="00F402AD" w:rsidRPr="002F7607">
        <w:t xml:space="preserve"> 500</w:t>
      </w:r>
      <w:r w:rsidR="00C44929">
        <w:t xml:space="preserve"> to</w:t>
      </w:r>
      <w:r w:rsidR="008933BF">
        <w:t xml:space="preserve"> &lt; </w:t>
      </w:r>
      <w:r w:rsidR="00C44929">
        <w:t>5,000</w:t>
      </w:r>
      <w:r w:rsidR="00094C82">
        <w:t xml:space="preserve">, noting </w:t>
      </w:r>
      <w:r w:rsidR="00F402AD" w:rsidRPr="002F7607">
        <w:t xml:space="preserve">the current enrolment </w:t>
      </w:r>
      <w:r w:rsidR="00977243">
        <w:t xml:space="preserve">in patient programs </w:t>
      </w:r>
      <w:r w:rsidR="00F402AD" w:rsidRPr="002F7607">
        <w:t>is approx</w:t>
      </w:r>
      <w:r w:rsidR="00094C82">
        <w:t>imately</w:t>
      </w:r>
      <w:r w:rsidR="00F402AD" w:rsidRPr="002F7607">
        <w:t xml:space="preserve"> 20 patients per week. </w:t>
      </w:r>
      <w:r w:rsidR="003C3B7E">
        <w:t>Grandfather patients were assumed to have half the treatment duration as treatment would have already been initiated.</w:t>
      </w:r>
    </w:p>
    <w:p w14:paraId="3A065934" w14:textId="1746CD94" w:rsidR="00F2140A" w:rsidRDefault="00F402AD" w:rsidP="00526BA3">
      <w:pPr>
        <w:pStyle w:val="3-BodyText"/>
        <w:numPr>
          <w:ilvl w:val="1"/>
          <w:numId w:val="1"/>
        </w:numPr>
        <w:rPr>
          <w:lang w:eastAsia="en-US"/>
        </w:rPr>
      </w:pPr>
      <w:r w:rsidRPr="002F7607">
        <w:t xml:space="preserve">These changes </w:t>
      </w:r>
      <w:r w:rsidR="00596EB8">
        <w:t xml:space="preserve">reduced the number of patients and scripts in year 1, with no changes to patient numbers and scripts in years 2 to 6. </w:t>
      </w:r>
      <w:r w:rsidR="00F2140A" w:rsidRPr="008F01DF">
        <w:rPr>
          <w:lang w:eastAsia="en-US"/>
        </w:rPr>
        <w:t xml:space="preserve">The co-payment amounts in the revised worksheets were also updated to $30 (General) and $7.30 (Concessional/Safety Net), though this was not noted in the resubmission. </w:t>
      </w:r>
      <w:r w:rsidR="00F2140A">
        <w:rPr>
          <w:lang w:eastAsia="en-US"/>
        </w:rPr>
        <w:t xml:space="preserve">The financial estimates are shown in </w:t>
      </w:r>
      <w:r w:rsidR="00F2140A">
        <w:rPr>
          <w:lang w:eastAsia="en-US"/>
        </w:rPr>
        <w:fldChar w:fldCharType="begin"/>
      </w:r>
      <w:r w:rsidR="00F2140A">
        <w:rPr>
          <w:lang w:eastAsia="en-US"/>
        </w:rPr>
        <w:instrText xml:space="preserve"> REF _Ref135669803 \h </w:instrText>
      </w:r>
      <w:r w:rsidR="00F2140A">
        <w:rPr>
          <w:lang w:eastAsia="en-US"/>
        </w:rPr>
      </w:r>
      <w:r w:rsidR="00F2140A">
        <w:rPr>
          <w:lang w:eastAsia="en-US"/>
        </w:rPr>
        <w:fldChar w:fldCharType="separate"/>
      </w:r>
      <w:r w:rsidR="00AB351A">
        <w:t xml:space="preserve">Table </w:t>
      </w:r>
      <w:r w:rsidR="00AB351A">
        <w:rPr>
          <w:noProof/>
        </w:rPr>
        <w:t>3</w:t>
      </w:r>
      <w:r w:rsidR="00F2140A">
        <w:rPr>
          <w:lang w:eastAsia="en-US"/>
        </w:rPr>
        <w:fldChar w:fldCharType="end"/>
      </w:r>
      <w:r w:rsidR="00F2140A">
        <w:rPr>
          <w:lang w:eastAsia="en-US"/>
        </w:rPr>
        <w:t xml:space="preserve">.  </w:t>
      </w:r>
    </w:p>
    <w:p w14:paraId="393A6716" w14:textId="24AFFBD5" w:rsidR="00205DC7" w:rsidRPr="008F01DF" w:rsidRDefault="00596EB8" w:rsidP="00F442F0">
      <w:pPr>
        <w:pStyle w:val="3-BodyText"/>
        <w:numPr>
          <w:ilvl w:val="1"/>
          <w:numId w:val="1"/>
        </w:numPr>
        <w:rPr>
          <w:lang w:eastAsia="en-US"/>
        </w:rPr>
      </w:pPr>
      <w:r>
        <w:lastRenderedPageBreak/>
        <w:t>The</w:t>
      </w:r>
      <w:r w:rsidR="00F402AD" w:rsidRPr="002F7607">
        <w:t xml:space="preserve"> annual cost to </w:t>
      </w:r>
      <w:r w:rsidR="00F2140A">
        <w:t xml:space="preserve">PBS/RPBS </w:t>
      </w:r>
      <w:r>
        <w:t xml:space="preserve">was estimated to be </w:t>
      </w:r>
      <w:r w:rsidR="00437129" w:rsidRPr="00437129">
        <w:t>$50 million to &lt; $60 million</w:t>
      </w:r>
      <w:r w:rsidR="00437129">
        <w:t xml:space="preserve"> </w:t>
      </w:r>
      <w:r>
        <w:t xml:space="preserve">in year 1, decreasing to </w:t>
      </w:r>
      <w:r w:rsidR="00437129" w:rsidRPr="00437129">
        <w:t>$40 million to &lt; $50 million</w:t>
      </w:r>
      <w:r w:rsidR="00437129">
        <w:t xml:space="preserve"> </w:t>
      </w:r>
      <w:r>
        <w:t xml:space="preserve">in years 2 to 6. </w:t>
      </w:r>
      <w:r w:rsidR="00F2140A">
        <w:t xml:space="preserve">The total cost to the PBS/RPBS in the first 6 years of listing was estimated to be </w:t>
      </w:r>
      <w:r w:rsidR="00437129" w:rsidRPr="00437129">
        <w:t>$200 million to &lt; $300 million</w:t>
      </w:r>
      <w:r w:rsidR="00F2140A">
        <w:t xml:space="preserve">. </w:t>
      </w:r>
      <w:r w:rsidR="00205DC7" w:rsidRPr="008F01DF">
        <w:rPr>
          <w:lang w:eastAsia="en-US"/>
        </w:rPr>
        <w:t>Applying a reduced duration of treatment (</w:t>
      </w:r>
      <w:r w:rsidR="009A1234" w:rsidRPr="00F2140A">
        <w:rPr>
          <w:szCs w:val="20"/>
        </w:rPr>
        <w:t xml:space="preserve">7.48 neoadjuvant </w:t>
      </w:r>
      <w:r w:rsidR="00F2140A">
        <w:rPr>
          <w:szCs w:val="20"/>
        </w:rPr>
        <w:t xml:space="preserve">cycles </w:t>
      </w:r>
      <w:r w:rsidR="009A1234" w:rsidRPr="00F2140A">
        <w:rPr>
          <w:szCs w:val="20"/>
        </w:rPr>
        <w:t>and 7.37 adjuvant</w:t>
      </w:r>
      <w:r w:rsidR="00F2140A">
        <w:rPr>
          <w:szCs w:val="20"/>
        </w:rPr>
        <w:t xml:space="preserve"> cycles</w:t>
      </w:r>
      <w:r w:rsidR="009A1234" w:rsidRPr="008F01DF">
        <w:rPr>
          <w:lang w:eastAsia="en-US"/>
        </w:rPr>
        <w:t xml:space="preserve"> </w:t>
      </w:r>
      <w:r w:rsidR="00205DC7" w:rsidRPr="008F01DF">
        <w:rPr>
          <w:lang w:eastAsia="en-US"/>
        </w:rPr>
        <w:t xml:space="preserve">per paragraph </w:t>
      </w:r>
      <w:r w:rsidR="00205DC7" w:rsidRPr="008F01DF">
        <w:rPr>
          <w:lang w:eastAsia="en-US"/>
        </w:rPr>
        <w:fldChar w:fldCharType="begin"/>
      </w:r>
      <w:r w:rsidR="00205DC7" w:rsidRPr="008F01DF">
        <w:rPr>
          <w:lang w:eastAsia="en-US"/>
        </w:rPr>
        <w:instrText xml:space="preserve"> REF _Ref138224780 \r \h </w:instrText>
      </w:r>
      <w:r w:rsidR="008F01DF">
        <w:rPr>
          <w:lang w:eastAsia="en-US"/>
        </w:rPr>
        <w:instrText xml:space="preserve"> \* MERGEFORMAT </w:instrText>
      </w:r>
      <w:r w:rsidR="00205DC7" w:rsidRPr="008F01DF">
        <w:rPr>
          <w:lang w:eastAsia="en-US"/>
        </w:rPr>
      </w:r>
      <w:r w:rsidR="00205DC7" w:rsidRPr="008F01DF">
        <w:rPr>
          <w:lang w:eastAsia="en-US"/>
        </w:rPr>
        <w:fldChar w:fldCharType="separate"/>
      </w:r>
      <w:r w:rsidR="00AB351A">
        <w:rPr>
          <w:lang w:eastAsia="en-US"/>
        </w:rPr>
        <w:t>4.21</w:t>
      </w:r>
      <w:r w:rsidR="00205DC7" w:rsidRPr="008F01DF">
        <w:rPr>
          <w:lang w:eastAsia="en-US"/>
        </w:rPr>
        <w:fldChar w:fldCharType="end"/>
      </w:r>
      <w:r w:rsidR="00205DC7" w:rsidRPr="008F01DF">
        <w:rPr>
          <w:lang w:eastAsia="en-US"/>
        </w:rPr>
        <w:t xml:space="preserve">) reduced the </w:t>
      </w:r>
      <w:r w:rsidR="00205DC7" w:rsidRPr="008F01DF">
        <w:t xml:space="preserve">total annual cost to </w:t>
      </w:r>
      <w:r w:rsidR="00F2140A">
        <w:t>the PBS/RPBS to</w:t>
      </w:r>
      <w:r w:rsidR="00205DC7" w:rsidRPr="008F01DF">
        <w:t xml:space="preserve"> </w:t>
      </w:r>
      <w:r w:rsidR="00437129" w:rsidRPr="00437129">
        <w:t>$50 million to &lt; $60 million</w:t>
      </w:r>
      <w:r w:rsidR="00437129">
        <w:t xml:space="preserve"> </w:t>
      </w:r>
      <w:r w:rsidR="00205DC7" w:rsidRPr="008F01DF">
        <w:t xml:space="preserve">in year 1, decreasing to </w:t>
      </w:r>
      <w:r w:rsidR="00437129" w:rsidRPr="00437129">
        <w:t>$40 million to &lt; $50 million</w:t>
      </w:r>
      <w:r w:rsidR="00437129">
        <w:t xml:space="preserve"> </w:t>
      </w:r>
      <w:r w:rsidR="00205DC7" w:rsidRPr="008F01DF">
        <w:t>in years 2 to 6.</w:t>
      </w:r>
      <w:r w:rsidR="00F2140A">
        <w:t xml:space="preserve"> The revised total cost to the PBS/RPBS in the first 6 years of listing was estimated to be </w:t>
      </w:r>
      <w:r w:rsidR="00437129" w:rsidRPr="00437129">
        <w:t>$200 million to &lt; $300 million</w:t>
      </w:r>
      <w:r w:rsidR="00F2140A">
        <w:t>.</w:t>
      </w:r>
    </w:p>
    <w:p w14:paraId="61D1E999" w14:textId="0CBBDBDE" w:rsidR="00596EB8" w:rsidRPr="008F01DF" w:rsidRDefault="00596EB8" w:rsidP="00526BA3">
      <w:pPr>
        <w:pStyle w:val="3-BodyText"/>
        <w:numPr>
          <w:ilvl w:val="1"/>
          <w:numId w:val="1"/>
        </w:numPr>
        <w:rPr>
          <w:lang w:eastAsia="en-US"/>
        </w:rPr>
      </w:pPr>
      <w:r w:rsidRPr="008F01DF">
        <w:rPr>
          <w:lang w:eastAsia="en-US"/>
        </w:rPr>
        <w:t xml:space="preserve">Listing of pembrolizumab for eTNBC would have an impact on its use in mTNBC for patients with CPS </w:t>
      </w:r>
      <w:r w:rsidRPr="008F01DF">
        <w:rPr>
          <w:rFonts w:cstheme="minorHAnsi"/>
          <w:lang w:eastAsia="en-US"/>
        </w:rPr>
        <w:t>≥</w:t>
      </w:r>
      <w:r w:rsidRPr="008F01DF">
        <w:rPr>
          <w:lang w:eastAsia="en-US"/>
        </w:rPr>
        <w:t xml:space="preserve">10 (recommended at the March 2023 PBAC meeting). The resubmission’s financial estimates did not include cost offsets from reduced pembrolizumab utilisation in the mTNBC setting, therefore the net impact </w:t>
      </w:r>
      <w:r w:rsidR="00F2140A">
        <w:rPr>
          <w:lang w:eastAsia="en-US"/>
        </w:rPr>
        <w:t>is</w:t>
      </w:r>
      <w:r w:rsidRPr="008F01DF">
        <w:rPr>
          <w:lang w:eastAsia="en-US"/>
        </w:rPr>
        <w:t xml:space="preserve"> overestimated.</w:t>
      </w:r>
    </w:p>
    <w:p w14:paraId="4C155D3E" w14:textId="3B8791CD" w:rsidR="00977243" w:rsidRPr="00B26FE0" w:rsidRDefault="00977243" w:rsidP="00977243">
      <w:pPr>
        <w:pStyle w:val="TableFigureHeading"/>
      </w:pPr>
      <w:bookmarkStart w:id="9" w:name="_Ref135669803"/>
      <w:bookmarkStart w:id="10" w:name="_Toc133573767"/>
      <w:r>
        <w:t xml:space="preserve">Table </w:t>
      </w:r>
      <w:fldSimple w:instr=" SEQ Table \* ARABIC ">
        <w:r w:rsidR="00AB351A">
          <w:rPr>
            <w:noProof/>
          </w:rPr>
          <w:t>3</w:t>
        </w:r>
      </w:fldSimple>
      <w:bookmarkEnd w:id="9"/>
      <w:r>
        <w:tab/>
      </w:r>
      <w:r w:rsidRPr="00B26FE0">
        <w:t xml:space="preserve">Estimated use and financial </w:t>
      </w:r>
      <w:proofErr w:type="gramStart"/>
      <w:r w:rsidRPr="00B26FE0">
        <w:t>implications</w:t>
      </w:r>
      <w:bookmarkEnd w:id="10"/>
      <w:proofErr w:type="gramEnd"/>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1163"/>
        <w:gridCol w:w="1162"/>
        <w:gridCol w:w="1162"/>
        <w:gridCol w:w="1162"/>
        <w:gridCol w:w="1162"/>
        <w:gridCol w:w="1157"/>
      </w:tblGrid>
      <w:tr w:rsidR="00977243" w:rsidRPr="008F01DF" w14:paraId="0A575B82" w14:textId="77777777" w:rsidTr="0075072C">
        <w:trPr>
          <w:tblHeader/>
        </w:trPr>
        <w:tc>
          <w:tcPr>
            <w:tcW w:w="1169" w:type="pct"/>
            <w:shd w:val="clear" w:color="auto" w:fill="auto"/>
            <w:vAlign w:val="center"/>
          </w:tcPr>
          <w:p w14:paraId="6AA6FE72" w14:textId="77777777" w:rsidR="00977243" w:rsidRPr="008F01DF" w:rsidRDefault="00977243" w:rsidP="00AE3D39">
            <w:pPr>
              <w:pStyle w:val="In-tableHeading"/>
              <w:keepLines/>
              <w:jc w:val="center"/>
              <w:rPr>
                <w:szCs w:val="20"/>
                <w:lang w:val="en-AU"/>
              </w:rPr>
            </w:pPr>
          </w:p>
        </w:tc>
        <w:tc>
          <w:tcPr>
            <w:tcW w:w="639" w:type="pct"/>
            <w:shd w:val="clear" w:color="auto" w:fill="auto"/>
            <w:vAlign w:val="center"/>
          </w:tcPr>
          <w:p w14:paraId="237C3CF9" w14:textId="77777777" w:rsidR="00977243" w:rsidRPr="008F01DF" w:rsidRDefault="00977243" w:rsidP="00AE3D39">
            <w:pPr>
              <w:pStyle w:val="In-tableHeading"/>
              <w:keepLines/>
              <w:jc w:val="center"/>
              <w:rPr>
                <w:szCs w:val="20"/>
                <w:lang w:val="en-AU"/>
              </w:rPr>
            </w:pPr>
            <w:r w:rsidRPr="008F01DF">
              <w:rPr>
                <w:szCs w:val="20"/>
                <w:lang w:val="en-AU"/>
              </w:rPr>
              <w:t>Year 1</w:t>
            </w:r>
          </w:p>
        </w:tc>
        <w:tc>
          <w:tcPr>
            <w:tcW w:w="639" w:type="pct"/>
            <w:shd w:val="clear" w:color="auto" w:fill="auto"/>
            <w:vAlign w:val="center"/>
          </w:tcPr>
          <w:p w14:paraId="703BE2F6" w14:textId="77777777" w:rsidR="00977243" w:rsidRPr="008F01DF" w:rsidRDefault="00977243" w:rsidP="00AE3D39">
            <w:pPr>
              <w:pStyle w:val="In-tableHeading"/>
              <w:keepLines/>
              <w:jc w:val="center"/>
              <w:rPr>
                <w:szCs w:val="20"/>
                <w:lang w:val="en-AU"/>
              </w:rPr>
            </w:pPr>
            <w:r w:rsidRPr="008F01DF">
              <w:rPr>
                <w:szCs w:val="20"/>
                <w:lang w:val="en-AU"/>
              </w:rPr>
              <w:t>Year 2</w:t>
            </w:r>
          </w:p>
        </w:tc>
        <w:tc>
          <w:tcPr>
            <w:tcW w:w="639" w:type="pct"/>
            <w:shd w:val="clear" w:color="auto" w:fill="auto"/>
            <w:vAlign w:val="center"/>
          </w:tcPr>
          <w:p w14:paraId="447EF4A6" w14:textId="77777777" w:rsidR="00977243" w:rsidRPr="008F01DF" w:rsidRDefault="00977243" w:rsidP="00AE3D39">
            <w:pPr>
              <w:pStyle w:val="In-tableHeading"/>
              <w:keepLines/>
              <w:jc w:val="center"/>
              <w:rPr>
                <w:szCs w:val="20"/>
                <w:lang w:val="en-AU"/>
              </w:rPr>
            </w:pPr>
            <w:r w:rsidRPr="008F01DF">
              <w:rPr>
                <w:szCs w:val="20"/>
                <w:lang w:val="en-AU"/>
              </w:rPr>
              <w:t>Year 3</w:t>
            </w:r>
          </w:p>
        </w:tc>
        <w:tc>
          <w:tcPr>
            <w:tcW w:w="639" w:type="pct"/>
            <w:shd w:val="clear" w:color="auto" w:fill="auto"/>
            <w:vAlign w:val="center"/>
          </w:tcPr>
          <w:p w14:paraId="557C52C1" w14:textId="77777777" w:rsidR="00977243" w:rsidRPr="008F01DF" w:rsidRDefault="00977243" w:rsidP="00AE3D39">
            <w:pPr>
              <w:pStyle w:val="In-tableHeading"/>
              <w:keepLines/>
              <w:jc w:val="center"/>
              <w:rPr>
                <w:szCs w:val="20"/>
                <w:lang w:val="en-AU"/>
              </w:rPr>
            </w:pPr>
            <w:r w:rsidRPr="008F01DF">
              <w:rPr>
                <w:szCs w:val="20"/>
                <w:lang w:val="en-AU"/>
              </w:rPr>
              <w:t>Year 4</w:t>
            </w:r>
          </w:p>
        </w:tc>
        <w:tc>
          <w:tcPr>
            <w:tcW w:w="639" w:type="pct"/>
            <w:shd w:val="clear" w:color="auto" w:fill="auto"/>
            <w:vAlign w:val="center"/>
          </w:tcPr>
          <w:p w14:paraId="1D7F96C6" w14:textId="77777777" w:rsidR="00977243" w:rsidRPr="008F01DF" w:rsidRDefault="00977243" w:rsidP="00AE3D39">
            <w:pPr>
              <w:pStyle w:val="In-tableHeading"/>
              <w:keepLines/>
              <w:jc w:val="center"/>
              <w:rPr>
                <w:szCs w:val="20"/>
                <w:lang w:val="en-AU"/>
              </w:rPr>
            </w:pPr>
            <w:r w:rsidRPr="008F01DF">
              <w:rPr>
                <w:szCs w:val="20"/>
                <w:lang w:val="en-AU"/>
              </w:rPr>
              <w:t>Year 5</w:t>
            </w:r>
          </w:p>
        </w:tc>
        <w:tc>
          <w:tcPr>
            <w:tcW w:w="636" w:type="pct"/>
          </w:tcPr>
          <w:p w14:paraId="42C7E98B" w14:textId="77777777" w:rsidR="00977243" w:rsidRPr="008F01DF" w:rsidRDefault="00977243" w:rsidP="00AE3D39">
            <w:pPr>
              <w:pStyle w:val="In-tableHeading"/>
              <w:keepLines/>
              <w:jc w:val="center"/>
              <w:rPr>
                <w:szCs w:val="20"/>
                <w:lang w:val="en-AU"/>
              </w:rPr>
            </w:pPr>
            <w:r w:rsidRPr="008F01DF">
              <w:rPr>
                <w:szCs w:val="20"/>
                <w:lang w:val="en-AU"/>
              </w:rPr>
              <w:t>Year 6</w:t>
            </w:r>
          </w:p>
        </w:tc>
      </w:tr>
      <w:tr w:rsidR="00977243" w:rsidRPr="008F01DF" w14:paraId="3C108F7B" w14:textId="77777777" w:rsidTr="00977243">
        <w:tc>
          <w:tcPr>
            <w:tcW w:w="5000" w:type="pct"/>
            <w:gridSpan w:val="7"/>
            <w:shd w:val="clear" w:color="auto" w:fill="auto"/>
            <w:vAlign w:val="center"/>
          </w:tcPr>
          <w:p w14:paraId="545E2DD1" w14:textId="77777777" w:rsidR="00977243" w:rsidRPr="008F01DF" w:rsidRDefault="00977243" w:rsidP="00AE3D39">
            <w:pPr>
              <w:pStyle w:val="In-tableHeading"/>
              <w:keepLines/>
              <w:rPr>
                <w:bCs/>
                <w:szCs w:val="20"/>
                <w:lang w:val="en-AU"/>
              </w:rPr>
            </w:pPr>
            <w:r w:rsidRPr="008F01DF">
              <w:rPr>
                <w:bCs/>
                <w:szCs w:val="20"/>
                <w:lang w:val="en-AU"/>
              </w:rPr>
              <w:t>Estimated extent of use</w:t>
            </w:r>
          </w:p>
        </w:tc>
      </w:tr>
      <w:tr w:rsidR="00977243" w:rsidRPr="008F01DF" w14:paraId="247C00C8" w14:textId="77777777" w:rsidTr="0075072C">
        <w:tc>
          <w:tcPr>
            <w:tcW w:w="1169" w:type="pct"/>
            <w:shd w:val="clear" w:color="auto" w:fill="auto"/>
            <w:vAlign w:val="center"/>
          </w:tcPr>
          <w:p w14:paraId="625D3261" w14:textId="3ADD8B86" w:rsidR="00977243" w:rsidRPr="009215AC" w:rsidRDefault="00977243" w:rsidP="00AE3D39">
            <w:pPr>
              <w:pStyle w:val="TableText"/>
              <w:keepLines/>
              <w:rPr>
                <w:szCs w:val="20"/>
                <w:vertAlign w:val="superscript"/>
              </w:rPr>
            </w:pPr>
            <w:r w:rsidRPr="009215AC">
              <w:rPr>
                <w:szCs w:val="20"/>
              </w:rPr>
              <w:t xml:space="preserve">Number of patients treated (incl. </w:t>
            </w:r>
            <w:r w:rsidR="00F678E8" w:rsidRPr="009215AC">
              <w:rPr>
                <w:szCs w:val="20"/>
              </w:rPr>
              <w:t xml:space="preserve"> </w:t>
            </w:r>
            <w:r w:rsidR="009215AC" w:rsidRPr="009215AC">
              <w:rPr>
                <w:color w:val="000000"/>
                <w:spacing w:val="40"/>
                <w:szCs w:val="20"/>
                <w:shd w:val="solid" w:color="000000" w:fill="000000"/>
                <w:fitText w:val="318" w:id="-1168380400"/>
                <w14:textFill>
                  <w14:solidFill>
                    <w14:srgbClr w14:val="000000">
                      <w14:alpha w14:val="100000"/>
                    </w14:srgbClr>
                  </w14:solidFill>
                </w14:textFill>
              </w:rPr>
              <w:t>|||</w:t>
            </w:r>
            <w:r w:rsidR="009215AC" w:rsidRPr="009215AC">
              <w:rPr>
                <w:color w:val="000000"/>
                <w:spacing w:val="27"/>
                <w:szCs w:val="20"/>
                <w:shd w:val="solid" w:color="000000" w:fill="000000"/>
                <w:fitText w:val="318" w:id="-1168380400"/>
                <w14:textFill>
                  <w14:solidFill>
                    <w14:srgbClr w14:val="000000">
                      <w14:alpha w14:val="100000"/>
                    </w14:srgbClr>
                  </w14:solidFill>
                </w14:textFill>
              </w:rPr>
              <w:t>|</w:t>
            </w:r>
            <w:r w:rsidR="00437129" w:rsidRPr="009215AC">
              <w:rPr>
                <w:szCs w:val="20"/>
                <w:vertAlign w:val="superscript"/>
              </w:rPr>
              <w:t>1</w:t>
            </w:r>
            <w:r w:rsidRPr="009215AC">
              <w:rPr>
                <w:szCs w:val="20"/>
              </w:rPr>
              <w:t xml:space="preserve"> Grandfathered)</w:t>
            </w:r>
            <w:r w:rsidR="00437129" w:rsidRPr="009215AC">
              <w:rPr>
                <w:szCs w:val="20"/>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2C62A521" w14:textId="6C7FB154"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1" w:id="-1168380416"/>
                <w14:textFill>
                  <w14:solidFill>
                    <w14:srgbClr w14:val="000000">
                      <w14:alpha w14:val="100000"/>
                    </w14:srgbClr>
                  </w14:solidFill>
                </w14:textFill>
              </w:rPr>
              <w:t xml:space="preserve">　</w:t>
            </w:r>
            <w:r w:rsidR="009215AC" w:rsidRPr="0034755D">
              <w:rPr>
                <w:color w:val="000000"/>
                <w:w w:val="15"/>
                <w:shd w:val="solid" w:color="000000" w:fill="000000"/>
                <w:fitText w:val="51" w:id="-1168380416"/>
                <w14:textFill>
                  <w14:solidFill>
                    <w14:srgbClr w14:val="000000">
                      <w14:alpha w14:val="100000"/>
                    </w14:srgbClr>
                  </w14:solidFill>
                </w14:textFill>
              </w:rPr>
              <w:t>|</w:t>
            </w:r>
            <w:r w:rsidR="009215AC" w:rsidRPr="0034755D">
              <w:rPr>
                <w:rFonts w:hint="eastAsia"/>
                <w:color w:val="000000"/>
                <w:spacing w:val="-14"/>
                <w:w w:val="15"/>
                <w:shd w:val="solid" w:color="000000" w:fill="000000"/>
                <w:fitText w:val="51" w:id="-1168380416"/>
                <w14:textFill>
                  <w14:solidFill>
                    <w14:srgbClr w14:val="000000">
                      <w14:alpha w14:val="100000"/>
                    </w14:srgbClr>
                  </w14:solidFill>
                </w14:textFill>
              </w:rPr>
              <w:t xml:space="preserve">　</w:t>
            </w:r>
            <w:r w:rsidR="00A717ED" w:rsidRPr="009215AC">
              <w:rPr>
                <w:szCs w:val="20"/>
                <w:vertAlign w:val="superscript"/>
              </w:rPr>
              <w:t>1</w:t>
            </w:r>
          </w:p>
        </w:tc>
        <w:tc>
          <w:tcPr>
            <w:tcW w:w="639" w:type="pct"/>
            <w:tcBorders>
              <w:top w:val="single" w:sz="4" w:space="0" w:color="auto"/>
              <w:left w:val="nil"/>
              <w:bottom w:val="single" w:sz="4" w:space="0" w:color="auto"/>
              <w:right w:val="single" w:sz="4" w:space="0" w:color="auto"/>
            </w:tcBorders>
            <w:shd w:val="clear" w:color="auto" w:fill="auto"/>
            <w:vAlign w:val="center"/>
          </w:tcPr>
          <w:p w14:paraId="5F65C06C" w14:textId="15035D37"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1" w:id="-1168380415"/>
                <w14:textFill>
                  <w14:solidFill>
                    <w14:srgbClr w14:val="000000">
                      <w14:alpha w14:val="100000"/>
                    </w14:srgbClr>
                  </w14:solidFill>
                </w14:textFill>
              </w:rPr>
              <w:t xml:space="preserve">　</w:t>
            </w:r>
            <w:r w:rsidR="009215AC" w:rsidRPr="0034755D">
              <w:rPr>
                <w:color w:val="000000"/>
                <w:w w:val="15"/>
                <w:shd w:val="solid" w:color="000000" w:fill="000000"/>
                <w:fitText w:val="51" w:id="-1168380415"/>
                <w14:textFill>
                  <w14:solidFill>
                    <w14:srgbClr w14:val="000000">
                      <w14:alpha w14:val="100000"/>
                    </w14:srgbClr>
                  </w14:solidFill>
                </w14:textFill>
              </w:rPr>
              <w:t>|</w:t>
            </w:r>
            <w:r w:rsidR="009215AC" w:rsidRPr="0034755D">
              <w:rPr>
                <w:rFonts w:hint="eastAsia"/>
                <w:color w:val="000000"/>
                <w:spacing w:val="-14"/>
                <w:w w:val="15"/>
                <w:shd w:val="solid" w:color="000000" w:fill="000000"/>
                <w:fitText w:val="51" w:id="-1168380415"/>
                <w14:textFill>
                  <w14:solidFill>
                    <w14:srgbClr w14:val="000000">
                      <w14:alpha w14:val="100000"/>
                    </w14:srgbClr>
                  </w14:solidFill>
                </w14:textFill>
              </w:rPr>
              <w:t xml:space="preserve">　</w:t>
            </w:r>
            <w:r w:rsidR="00A717ED" w:rsidRPr="009215AC">
              <w:rPr>
                <w:szCs w:val="20"/>
                <w:vertAlign w:val="superscript"/>
              </w:rPr>
              <w:t>1</w:t>
            </w:r>
          </w:p>
        </w:tc>
        <w:tc>
          <w:tcPr>
            <w:tcW w:w="639" w:type="pct"/>
            <w:tcBorders>
              <w:top w:val="single" w:sz="4" w:space="0" w:color="auto"/>
              <w:left w:val="nil"/>
              <w:bottom w:val="single" w:sz="4" w:space="0" w:color="auto"/>
              <w:right w:val="single" w:sz="4" w:space="0" w:color="auto"/>
            </w:tcBorders>
            <w:shd w:val="clear" w:color="auto" w:fill="auto"/>
            <w:vAlign w:val="center"/>
          </w:tcPr>
          <w:p w14:paraId="5D93DC7A" w14:textId="541C8716"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4"/>
                <w14:textFill>
                  <w14:solidFill>
                    <w14:srgbClr w14:val="000000">
                      <w14:alpha w14:val="100000"/>
                    </w14:srgbClr>
                  </w14:solidFill>
                </w14:textFill>
              </w:rPr>
              <w:t xml:space="preserve">　</w:t>
            </w:r>
            <w:r w:rsidR="009215AC" w:rsidRPr="0034755D">
              <w:rPr>
                <w:color w:val="000000"/>
                <w:w w:val="15"/>
                <w:shd w:val="solid" w:color="000000" w:fill="000000"/>
                <w:fitText w:val="50" w:id="-1168380414"/>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4"/>
                <w14:textFill>
                  <w14:solidFill>
                    <w14:srgbClr w14:val="000000">
                      <w14:alpha w14:val="100000"/>
                    </w14:srgbClr>
                  </w14:solidFill>
                </w14:textFill>
              </w:rPr>
              <w:t xml:space="preserve">　</w:t>
            </w:r>
            <w:r w:rsidR="00A717ED" w:rsidRPr="009215AC">
              <w:rPr>
                <w:szCs w:val="20"/>
                <w:vertAlign w:val="superscript"/>
              </w:rPr>
              <w:t>1</w:t>
            </w:r>
          </w:p>
        </w:tc>
        <w:tc>
          <w:tcPr>
            <w:tcW w:w="639" w:type="pct"/>
            <w:tcBorders>
              <w:top w:val="single" w:sz="4" w:space="0" w:color="auto"/>
              <w:left w:val="nil"/>
              <w:bottom w:val="single" w:sz="4" w:space="0" w:color="auto"/>
              <w:right w:val="single" w:sz="4" w:space="0" w:color="auto"/>
            </w:tcBorders>
            <w:shd w:val="clear" w:color="auto" w:fill="auto"/>
            <w:vAlign w:val="center"/>
          </w:tcPr>
          <w:p w14:paraId="0C7E2E15" w14:textId="1FC16BBB"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3"/>
                <w14:textFill>
                  <w14:solidFill>
                    <w14:srgbClr w14:val="000000">
                      <w14:alpha w14:val="100000"/>
                    </w14:srgbClr>
                  </w14:solidFill>
                </w14:textFill>
              </w:rPr>
              <w:t xml:space="preserve">　</w:t>
            </w:r>
            <w:r w:rsidR="009215AC" w:rsidRPr="0034755D">
              <w:rPr>
                <w:color w:val="000000"/>
                <w:w w:val="15"/>
                <w:shd w:val="solid" w:color="000000" w:fill="000000"/>
                <w:fitText w:val="50" w:id="-1168380413"/>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3"/>
                <w14:textFill>
                  <w14:solidFill>
                    <w14:srgbClr w14:val="000000">
                      <w14:alpha w14:val="100000"/>
                    </w14:srgbClr>
                  </w14:solidFill>
                </w14:textFill>
              </w:rPr>
              <w:t xml:space="preserve">　</w:t>
            </w:r>
            <w:r w:rsidR="00A717ED" w:rsidRPr="009215AC">
              <w:rPr>
                <w:szCs w:val="20"/>
                <w:vertAlign w:val="superscript"/>
              </w:rPr>
              <w:t>1</w:t>
            </w:r>
          </w:p>
        </w:tc>
        <w:tc>
          <w:tcPr>
            <w:tcW w:w="639" w:type="pct"/>
            <w:tcBorders>
              <w:top w:val="single" w:sz="4" w:space="0" w:color="auto"/>
              <w:left w:val="nil"/>
              <w:bottom w:val="single" w:sz="4" w:space="0" w:color="auto"/>
              <w:right w:val="single" w:sz="4" w:space="0" w:color="auto"/>
            </w:tcBorders>
            <w:shd w:val="clear" w:color="auto" w:fill="auto"/>
            <w:vAlign w:val="center"/>
          </w:tcPr>
          <w:p w14:paraId="5FBA9579" w14:textId="6EAD11F3"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2"/>
                <w14:textFill>
                  <w14:solidFill>
                    <w14:srgbClr w14:val="000000">
                      <w14:alpha w14:val="100000"/>
                    </w14:srgbClr>
                  </w14:solidFill>
                </w14:textFill>
              </w:rPr>
              <w:t xml:space="preserve">　</w:t>
            </w:r>
            <w:r w:rsidR="009215AC" w:rsidRPr="0034755D">
              <w:rPr>
                <w:color w:val="000000"/>
                <w:w w:val="15"/>
                <w:shd w:val="solid" w:color="000000" w:fill="000000"/>
                <w:fitText w:val="50" w:id="-1168380412"/>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2"/>
                <w14:textFill>
                  <w14:solidFill>
                    <w14:srgbClr w14:val="000000">
                      <w14:alpha w14:val="100000"/>
                    </w14:srgbClr>
                  </w14:solidFill>
                </w14:textFill>
              </w:rPr>
              <w:t xml:space="preserve">　</w:t>
            </w:r>
            <w:r w:rsidR="00A717ED" w:rsidRPr="009215AC">
              <w:rPr>
                <w:szCs w:val="20"/>
                <w:vertAlign w:val="superscript"/>
              </w:rPr>
              <w:t>1</w:t>
            </w:r>
          </w:p>
        </w:tc>
        <w:tc>
          <w:tcPr>
            <w:tcW w:w="636" w:type="pct"/>
            <w:tcBorders>
              <w:top w:val="single" w:sz="4" w:space="0" w:color="auto"/>
              <w:left w:val="nil"/>
              <w:bottom w:val="single" w:sz="4" w:space="0" w:color="auto"/>
              <w:right w:val="single" w:sz="4" w:space="0" w:color="auto"/>
            </w:tcBorders>
            <w:shd w:val="clear" w:color="auto" w:fill="auto"/>
            <w:vAlign w:val="center"/>
          </w:tcPr>
          <w:p w14:paraId="1405257E" w14:textId="7D1B5E51"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1"/>
                <w14:textFill>
                  <w14:solidFill>
                    <w14:srgbClr w14:val="000000">
                      <w14:alpha w14:val="100000"/>
                    </w14:srgbClr>
                  </w14:solidFill>
                </w14:textFill>
              </w:rPr>
              <w:t xml:space="preserve">　</w:t>
            </w:r>
            <w:r w:rsidR="009215AC" w:rsidRPr="0034755D">
              <w:rPr>
                <w:color w:val="000000"/>
                <w:w w:val="15"/>
                <w:shd w:val="solid" w:color="000000" w:fill="000000"/>
                <w:fitText w:val="50" w:id="-1168380411"/>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1"/>
                <w14:textFill>
                  <w14:solidFill>
                    <w14:srgbClr w14:val="000000">
                      <w14:alpha w14:val="100000"/>
                    </w14:srgbClr>
                  </w14:solidFill>
                </w14:textFill>
              </w:rPr>
              <w:t xml:space="preserve">　</w:t>
            </w:r>
            <w:r w:rsidR="00A717ED" w:rsidRPr="009215AC">
              <w:rPr>
                <w:szCs w:val="20"/>
                <w:vertAlign w:val="superscript"/>
              </w:rPr>
              <w:t>1</w:t>
            </w:r>
          </w:p>
        </w:tc>
      </w:tr>
      <w:tr w:rsidR="00977243" w:rsidRPr="008F01DF" w14:paraId="7F132B6E" w14:textId="77777777" w:rsidTr="0075072C">
        <w:tc>
          <w:tcPr>
            <w:tcW w:w="1169" w:type="pct"/>
            <w:shd w:val="clear" w:color="auto" w:fill="auto"/>
            <w:vAlign w:val="center"/>
          </w:tcPr>
          <w:p w14:paraId="4436C05D" w14:textId="211079BE" w:rsidR="00977243" w:rsidRPr="009215AC" w:rsidRDefault="00977243" w:rsidP="00AE3D39">
            <w:pPr>
              <w:pStyle w:val="TableText"/>
              <w:keepLines/>
              <w:rPr>
                <w:szCs w:val="20"/>
                <w:vertAlign w:val="superscript"/>
              </w:rPr>
            </w:pPr>
            <w:r w:rsidRPr="009215AC">
              <w:rPr>
                <w:szCs w:val="20"/>
              </w:rPr>
              <w:t>Number of scripts dispensed</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037E831C" w14:textId="4D5827FF"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1" w:id="-1168380410"/>
                <w14:textFill>
                  <w14:solidFill>
                    <w14:srgbClr w14:val="000000">
                      <w14:alpha w14:val="100000"/>
                    </w14:srgbClr>
                  </w14:solidFill>
                </w14:textFill>
              </w:rPr>
              <w:t xml:space="preserve">　</w:t>
            </w:r>
            <w:r w:rsidR="009215AC" w:rsidRPr="0034755D">
              <w:rPr>
                <w:color w:val="000000"/>
                <w:w w:val="15"/>
                <w:shd w:val="solid" w:color="000000" w:fill="000000"/>
                <w:fitText w:val="51" w:id="-1168380410"/>
                <w14:textFill>
                  <w14:solidFill>
                    <w14:srgbClr w14:val="000000">
                      <w14:alpha w14:val="100000"/>
                    </w14:srgbClr>
                  </w14:solidFill>
                </w14:textFill>
              </w:rPr>
              <w:t>|</w:t>
            </w:r>
            <w:r w:rsidR="009215AC" w:rsidRPr="0034755D">
              <w:rPr>
                <w:rFonts w:hint="eastAsia"/>
                <w:color w:val="000000"/>
                <w:spacing w:val="-14"/>
                <w:w w:val="15"/>
                <w:shd w:val="solid" w:color="000000" w:fill="000000"/>
                <w:fitText w:val="51" w:id="-1168380410"/>
                <w14:textFill>
                  <w14:solidFill>
                    <w14:srgbClr w14:val="000000">
                      <w14:alpha w14:val="100000"/>
                    </w14:srgbClr>
                  </w14:solidFill>
                </w14:textFill>
              </w:rPr>
              <w:t xml:space="preserve">　</w:t>
            </w:r>
            <w:r w:rsidR="00A717ED" w:rsidRPr="009215AC">
              <w:rPr>
                <w:szCs w:val="20"/>
                <w:vertAlign w:val="superscript"/>
              </w:rPr>
              <w:t>2</w:t>
            </w:r>
          </w:p>
        </w:tc>
        <w:tc>
          <w:tcPr>
            <w:tcW w:w="639" w:type="pct"/>
            <w:tcBorders>
              <w:top w:val="single" w:sz="4" w:space="0" w:color="auto"/>
              <w:left w:val="nil"/>
              <w:bottom w:val="single" w:sz="4" w:space="0" w:color="auto"/>
              <w:right w:val="single" w:sz="4" w:space="0" w:color="auto"/>
            </w:tcBorders>
            <w:shd w:val="clear" w:color="auto" w:fill="auto"/>
            <w:vAlign w:val="center"/>
          </w:tcPr>
          <w:p w14:paraId="27787C0D" w14:textId="2393CC6A"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1" w:id="-1168380409"/>
                <w14:textFill>
                  <w14:solidFill>
                    <w14:srgbClr w14:val="000000">
                      <w14:alpha w14:val="100000"/>
                    </w14:srgbClr>
                  </w14:solidFill>
                </w14:textFill>
              </w:rPr>
              <w:t xml:space="preserve">　</w:t>
            </w:r>
            <w:r w:rsidR="009215AC" w:rsidRPr="0034755D">
              <w:rPr>
                <w:color w:val="000000"/>
                <w:w w:val="15"/>
                <w:shd w:val="solid" w:color="000000" w:fill="000000"/>
                <w:fitText w:val="51" w:id="-1168380409"/>
                <w14:textFill>
                  <w14:solidFill>
                    <w14:srgbClr w14:val="000000">
                      <w14:alpha w14:val="100000"/>
                    </w14:srgbClr>
                  </w14:solidFill>
                </w14:textFill>
              </w:rPr>
              <w:t>|</w:t>
            </w:r>
            <w:r w:rsidR="009215AC" w:rsidRPr="0034755D">
              <w:rPr>
                <w:rFonts w:hint="eastAsia"/>
                <w:color w:val="000000"/>
                <w:spacing w:val="-14"/>
                <w:w w:val="15"/>
                <w:shd w:val="solid" w:color="000000" w:fill="000000"/>
                <w:fitText w:val="51" w:id="-1168380409"/>
                <w14:textFill>
                  <w14:solidFill>
                    <w14:srgbClr w14:val="000000">
                      <w14:alpha w14:val="100000"/>
                    </w14:srgbClr>
                  </w14:solidFill>
                </w14:textFill>
              </w:rPr>
              <w:t xml:space="preserve">　</w:t>
            </w:r>
            <w:r w:rsidR="00A717ED" w:rsidRPr="009215AC">
              <w:rPr>
                <w:szCs w:val="20"/>
                <w:vertAlign w:val="superscript"/>
              </w:rPr>
              <w:t>2</w:t>
            </w:r>
          </w:p>
        </w:tc>
        <w:tc>
          <w:tcPr>
            <w:tcW w:w="639" w:type="pct"/>
            <w:tcBorders>
              <w:top w:val="single" w:sz="4" w:space="0" w:color="auto"/>
              <w:left w:val="nil"/>
              <w:bottom w:val="single" w:sz="4" w:space="0" w:color="auto"/>
              <w:right w:val="single" w:sz="4" w:space="0" w:color="auto"/>
            </w:tcBorders>
            <w:shd w:val="clear" w:color="auto" w:fill="auto"/>
            <w:vAlign w:val="center"/>
          </w:tcPr>
          <w:p w14:paraId="543BBF03" w14:textId="49D0AE97"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08"/>
                <w14:textFill>
                  <w14:solidFill>
                    <w14:srgbClr w14:val="000000">
                      <w14:alpha w14:val="100000"/>
                    </w14:srgbClr>
                  </w14:solidFill>
                </w14:textFill>
              </w:rPr>
              <w:t xml:space="preserve">　</w:t>
            </w:r>
            <w:r w:rsidR="009215AC" w:rsidRPr="0034755D">
              <w:rPr>
                <w:color w:val="000000"/>
                <w:w w:val="15"/>
                <w:shd w:val="solid" w:color="000000" w:fill="000000"/>
                <w:fitText w:val="50" w:id="-1168380408"/>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8"/>
                <w14:textFill>
                  <w14:solidFill>
                    <w14:srgbClr w14:val="000000">
                      <w14:alpha w14:val="100000"/>
                    </w14:srgbClr>
                  </w14:solidFill>
                </w14:textFill>
              </w:rPr>
              <w:t xml:space="preserve">　</w:t>
            </w:r>
            <w:r w:rsidR="00A717ED" w:rsidRPr="009215AC">
              <w:rPr>
                <w:szCs w:val="20"/>
                <w:vertAlign w:val="superscript"/>
              </w:rPr>
              <w:t>2</w:t>
            </w:r>
          </w:p>
        </w:tc>
        <w:tc>
          <w:tcPr>
            <w:tcW w:w="639" w:type="pct"/>
            <w:tcBorders>
              <w:top w:val="single" w:sz="4" w:space="0" w:color="auto"/>
              <w:left w:val="nil"/>
              <w:bottom w:val="single" w:sz="4" w:space="0" w:color="auto"/>
              <w:right w:val="single" w:sz="4" w:space="0" w:color="auto"/>
            </w:tcBorders>
            <w:shd w:val="clear" w:color="auto" w:fill="auto"/>
            <w:vAlign w:val="center"/>
          </w:tcPr>
          <w:p w14:paraId="131BAA16" w14:textId="070CC965"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07"/>
                <w14:textFill>
                  <w14:solidFill>
                    <w14:srgbClr w14:val="000000">
                      <w14:alpha w14:val="100000"/>
                    </w14:srgbClr>
                  </w14:solidFill>
                </w14:textFill>
              </w:rPr>
              <w:t xml:space="preserve">　</w:t>
            </w:r>
            <w:r w:rsidR="009215AC" w:rsidRPr="0034755D">
              <w:rPr>
                <w:color w:val="000000"/>
                <w:w w:val="15"/>
                <w:shd w:val="solid" w:color="000000" w:fill="000000"/>
                <w:fitText w:val="50" w:id="-1168380407"/>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7"/>
                <w14:textFill>
                  <w14:solidFill>
                    <w14:srgbClr w14:val="000000">
                      <w14:alpha w14:val="100000"/>
                    </w14:srgbClr>
                  </w14:solidFill>
                </w14:textFill>
              </w:rPr>
              <w:t xml:space="preserve">　</w:t>
            </w:r>
            <w:r w:rsidR="00A717ED" w:rsidRPr="009215AC">
              <w:rPr>
                <w:szCs w:val="20"/>
                <w:vertAlign w:val="superscript"/>
              </w:rPr>
              <w:t>2</w:t>
            </w:r>
          </w:p>
        </w:tc>
        <w:tc>
          <w:tcPr>
            <w:tcW w:w="639" w:type="pct"/>
            <w:tcBorders>
              <w:top w:val="single" w:sz="4" w:space="0" w:color="auto"/>
              <w:left w:val="nil"/>
              <w:bottom w:val="single" w:sz="4" w:space="0" w:color="auto"/>
              <w:right w:val="single" w:sz="4" w:space="0" w:color="auto"/>
            </w:tcBorders>
            <w:shd w:val="clear" w:color="auto" w:fill="auto"/>
            <w:vAlign w:val="center"/>
          </w:tcPr>
          <w:p w14:paraId="2758D939" w14:textId="6AF3326C"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06"/>
                <w14:textFill>
                  <w14:solidFill>
                    <w14:srgbClr w14:val="000000">
                      <w14:alpha w14:val="100000"/>
                    </w14:srgbClr>
                  </w14:solidFill>
                </w14:textFill>
              </w:rPr>
              <w:t xml:space="preserve">　</w:t>
            </w:r>
            <w:r w:rsidR="009215AC" w:rsidRPr="0034755D">
              <w:rPr>
                <w:color w:val="000000"/>
                <w:w w:val="15"/>
                <w:shd w:val="solid" w:color="000000" w:fill="000000"/>
                <w:fitText w:val="50" w:id="-1168380406"/>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6"/>
                <w14:textFill>
                  <w14:solidFill>
                    <w14:srgbClr w14:val="000000">
                      <w14:alpha w14:val="100000"/>
                    </w14:srgbClr>
                  </w14:solidFill>
                </w14:textFill>
              </w:rPr>
              <w:t xml:space="preserve">　</w:t>
            </w:r>
            <w:r w:rsidR="00A717ED" w:rsidRPr="009215AC">
              <w:rPr>
                <w:szCs w:val="20"/>
                <w:vertAlign w:val="superscript"/>
              </w:rPr>
              <w:t>2</w:t>
            </w:r>
          </w:p>
        </w:tc>
        <w:tc>
          <w:tcPr>
            <w:tcW w:w="636" w:type="pct"/>
            <w:tcBorders>
              <w:top w:val="single" w:sz="4" w:space="0" w:color="auto"/>
              <w:left w:val="nil"/>
              <w:bottom w:val="single" w:sz="4" w:space="0" w:color="auto"/>
              <w:right w:val="single" w:sz="4" w:space="0" w:color="auto"/>
            </w:tcBorders>
            <w:shd w:val="clear" w:color="auto" w:fill="auto"/>
            <w:vAlign w:val="center"/>
          </w:tcPr>
          <w:p w14:paraId="16922146" w14:textId="72BAD1EA"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05"/>
                <w14:textFill>
                  <w14:solidFill>
                    <w14:srgbClr w14:val="000000">
                      <w14:alpha w14:val="100000"/>
                    </w14:srgbClr>
                  </w14:solidFill>
                </w14:textFill>
              </w:rPr>
              <w:t xml:space="preserve">　</w:t>
            </w:r>
            <w:r w:rsidR="009215AC" w:rsidRPr="0034755D">
              <w:rPr>
                <w:color w:val="000000"/>
                <w:w w:val="15"/>
                <w:shd w:val="solid" w:color="000000" w:fill="000000"/>
                <w:fitText w:val="50" w:id="-1168380405"/>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5"/>
                <w14:textFill>
                  <w14:solidFill>
                    <w14:srgbClr w14:val="000000">
                      <w14:alpha w14:val="100000"/>
                    </w14:srgbClr>
                  </w14:solidFill>
                </w14:textFill>
              </w:rPr>
              <w:t xml:space="preserve">　</w:t>
            </w:r>
            <w:r w:rsidR="00A717ED" w:rsidRPr="009215AC">
              <w:rPr>
                <w:szCs w:val="20"/>
                <w:vertAlign w:val="superscript"/>
              </w:rPr>
              <w:t>2</w:t>
            </w:r>
          </w:p>
        </w:tc>
      </w:tr>
      <w:tr w:rsidR="00977243" w:rsidRPr="008F01DF" w14:paraId="55CC39B6" w14:textId="77777777" w:rsidTr="00977243">
        <w:tc>
          <w:tcPr>
            <w:tcW w:w="5000" w:type="pct"/>
            <w:gridSpan w:val="7"/>
            <w:shd w:val="clear" w:color="auto" w:fill="auto"/>
            <w:vAlign w:val="center"/>
          </w:tcPr>
          <w:p w14:paraId="1D761339" w14:textId="77777777" w:rsidR="00977243" w:rsidRPr="009215AC" w:rsidRDefault="00977243" w:rsidP="00AE3D39">
            <w:pPr>
              <w:pStyle w:val="In-tableHeading"/>
              <w:keepLines/>
              <w:rPr>
                <w:szCs w:val="20"/>
                <w:lang w:val="en-AU"/>
              </w:rPr>
            </w:pPr>
            <w:r w:rsidRPr="009215AC">
              <w:rPr>
                <w:szCs w:val="20"/>
                <w:lang w:val="en-AU"/>
              </w:rPr>
              <w:t>Estimated financial implications of pembrolizumab</w:t>
            </w:r>
          </w:p>
        </w:tc>
      </w:tr>
      <w:tr w:rsidR="00473BB1" w:rsidRPr="008F01DF" w14:paraId="59A11F46" w14:textId="77777777" w:rsidTr="0075072C">
        <w:tc>
          <w:tcPr>
            <w:tcW w:w="1169" w:type="pct"/>
            <w:shd w:val="clear" w:color="auto" w:fill="auto"/>
            <w:vAlign w:val="center"/>
          </w:tcPr>
          <w:p w14:paraId="4AD7E97B" w14:textId="08359139" w:rsidR="00473BB1" w:rsidRPr="009215AC" w:rsidRDefault="00473BB1" w:rsidP="00473BB1">
            <w:pPr>
              <w:pStyle w:val="TableText"/>
              <w:keepLines/>
              <w:rPr>
                <w:szCs w:val="20"/>
                <w:vertAlign w:val="superscript"/>
              </w:rPr>
            </w:pPr>
            <w:r w:rsidRPr="009215AC">
              <w:rPr>
                <w:szCs w:val="20"/>
              </w:rPr>
              <w:t>Net cost to PBS/RPBS</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5824EFEB" w14:textId="482AD337" w:rsidR="00473BB1" w:rsidRPr="009215AC" w:rsidRDefault="00F678E8" w:rsidP="00473BB1">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4"/>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4"/>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4"/>
                <w14:textFill>
                  <w14:solidFill>
                    <w14:srgbClr w14:val="000000">
                      <w14:alpha w14:val="100000"/>
                    </w14:srgbClr>
                  </w14:solidFill>
                </w14:textFill>
              </w:rPr>
              <w:t xml:space="preserve">　</w:t>
            </w:r>
            <w:r w:rsidR="00FC6B6C" w:rsidRPr="009215AC">
              <w:rPr>
                <w:szCs w:val="20"/>
                <w:vertAlign w:val="superscript"/>
              </w:rPr>
              <w:t>4</w:t>
            </w:r>
          </w:p>
        </w:tc>
        <w:tc>
          <w:tcPr>
            <w:tcW w:w="639" w:type="pct"/>
            <w:tcBorders>
              <w:top w:val="single" w:sz="4" w:space="0" w:color="auto"/>
              <w:left w:val="nil"/>
              <w:bottom w:val="single" w:sz="4" w:space="0" w:color="auto"/>
              <w:right w:val="single" w:sz="4" w:space="0" w:color="auto"/>
            </w:tcBorders>
            <w:shd w:val="clear" w:color="auto" w:fill="auto"/>
            <w:vAlign w:val="center"/>
          </w:tcPr>
          <w:p w14:paraId="1C14FB37" w14:textId="58BBD4BB" w:rsidR="00473BB1" w:rsidRPr="009215AC" w:rsidRDefault="00F678E8" w:rsidP="00473BB1">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3"/>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3"/>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3"/>
                <w14:textFill>
                  <w14:solidFill>
                    <w14:srgbClr w14:val="000000">
                      <w14:alpha w14:val="100000"/>
                    </w14:srgbClr>
                  </w14:solidFill>
                </w14:textFill>
              </w:rPr>
              <w:t xml:space="preserve">　</w:t>
            </w:r>
            <w:r w:rsidR="00FC6B6C" w:rsidRPr="009215AC">
              <w:rPr>
                <w:szCs w:val="20"/>
                <w:vertAlign w:val="superscript"/>
              </w:rPr>
              <w:t>3</w:t>
            </w:r>
          </w:p>
        </w:tc>
        <w:tc>
          <w:tcPr>
            <w:tcW w:w="639" w:type="pct"/>
            <w:tcBorders>
              <w:top w:val="single" w:sz="4" w:space="0" w:color="auto"/>
              <w:left w:val="nil"/>
              <w:bottom w:val="single" w:sz="4" w:space="0" w:color="auto"/>
              <w:right w:val="single" w:sz="4" w:space="0" w:color="auto"/>
            </w:tcBorders>
            <w:shd w:val="clear" w:color="auto" w:fill="auto"/>
            <w:vAlign w:val="center"/>
          </w:tcPr>
          <w:p w14:paraId="6BF63595" w14:textId="1AF11E0B" w:rsidR="00473BB1" w:rsidRPr="009215AC" w:rsidRDefault="00F678E8" w:rsidP="00473BB1">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2"/>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2"/>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2"/>
                <w14:textFill>
                  <w14:solidFill>
                    <w14:srgbClr w14:val="000000">
                      <w14:alpha w14:val="100000"/>
                    </w14:srgbClr>
                  </w14:solidFill>
                </w14:textFill>
              </w:rPr>
              <w:t xml:space="preserve">　</w:t>
            </w:r>
            <w:r w:rsidR="00FC6B6C" w:rsidRPr="009215AC">
              <w:rPr>
                <w:szCs w:val="20"/>
                <w:vertAlign w:val="superscript"/>
              </w:rPr>
              <w:t>3</w:t>
            </w:r>
          </w:p>
        </w:tc>
        <w:tc>
          <w:tcPr>
            <w:tcW w:w="639" w:type="pct"/>
            <w:tcBorders>
              <w:top w:val="single" w:sz="4" w:space="0" w:color="auto"/>
              <w:left w:val="nil"/>
              <w:bottom w:val="single" w:sz="4" w:space="0" w:color="auto"/>
              <w:right w:val="single" w:sz="4" w:space="0" w:color="auto"/>
            </w:tcBorders>
            <w:shd w:val="clear" w:color="auto" w:fill="auto"/>
            <w:vAlign w:val="center"/>
          </w:tcPr>
          <w:p w14:paraId="5F7295B4" w14:textId="565DCCC5" w:rsidR="00473BB1" w:rsidRPr="009215AC" w:rsidRDefault="00F678E8" w:rsidP="00473BB1">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1"/>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1"/>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1"/>
                <w14:textFill>
                  <w14:solidFill>
                    <w14:srgbClr w14:val="000000">
                      <w14:alpha w14:val="100000"/>
                    </w14:srgbClr>
                  </w14:solidFill>
                </w14:textFill>
              </w:rPr>
              <w:t xml:space="preserve">　</w:t>
            </w:r>
            <w:r w:rsidR="00FC6B6C" w:rsidRPr="009215AC">
              <w:rPr>
                <w:szCs w:val="20"/>
                <w:vertAlign w:val="superscript"/>
              </w:rPr>
              <w:t>3</w:t>
            </w:r>
          </w:p>
        </w:tc>
        <w:tc>
          <w:tcPr>
            <w:tcW w:w="639" w:type="pct"/>
            <w:tcBorders>
              <w:top w:val="single" w:sz="4" w:space="0" w:color="auto"/>
              <w:left w:val="nil"/>
              <w:bottom w:val="single" w:sz="4" w:space="0" w:color="auto"/>
              <w:right w:val="single" w:sz="4" w:space="0" w:color="auto"/>
            </w:tcBorders>
            <w:shd w:val="clear" w:color="auto" w:fill="auto"/>
            <w:vAlign w:val="center"/>
          </w:tcPr>
          <w:p w14:paraId="49E60EE7" w14:textId="46CA9D4E" w:rsidR="00473BB1" w:rsidRPr="009215AC" w:rsidRDefault="00F678E8" w:rsidP="00473BB1">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0"/>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0"/>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0"/>
                <w14:textFill>
                  <w14:solidFill>
                    <w14:srgbClr w14:val="000000">
                      <w14:alpha w14:val="100000"/>
                    </w14:srgbClr>
                  </w14:solidFill>
                </w14:textFill>
              </w:rPr>
              <w:t xml:space="preserve">　</w:t>
            </w:r>
            <w:r w:rsidR="00FC6B6C" w:rsidRPr="009215AC">
              <w:rPr>
                <w:szCs w:val="20"/>
                <w:vertAlign w:val="superscript"/>
              </w:rPr>
              <w:t>3</w:t>
            </w:r>
          </w:p>
        </w:tc>
        <w:tc>
          <w:tcPr>
            <w:tcW w:w="636" w:type="pct"/>
            <w:tcBorders>
              <w:top w:val="single" w:sz="4" w:space="0" w:color="auto"/>
              <w:left w:val="nil"/>
              <w:bottom w:val="single" w:sz="4" w:space="0" w:color="auto"/>
              <w:right w:val="single" w:sz="4" w:space="0" w:color="auto"/>
            </w:tcBorders>
            <w:shd w:val="clear" w:color="auto" w:fill="auto"/>
            <w:vAlign w:val="center"/>
          </w:tcPr>
          <w:p w14:paraId="19D69F11" w14:textId="0C6181E9" w:rsidR="00473BB1" w:rsidRPr="009215AC" w:rsidRDefault="00F678E8" w:rsidP="00473BB1">
            <w:pPr>
              <w:pStyle w:val="TableText"/>
              <w:jc w:val="center"/>
              <w:rPr>
                <w:b/>
                <w:bCs w:val="0"/>
              </w:rPr>
            </w:pPr>
            <w:r w:rsidRPr="009215AC">
              <w:rPr>
                <w:b/>
                <w:bCs w:val="0"/>
              </w:rPr>
              <w:t xml:space="preserve"> </w:t>
            </w:r>
            <w:r w:rsidR="009215AC" w:rsidRPr="009215AC">
              <w:rPr>
                <w:rFonts w:hint="eastAsia"/>
                <w:b/>
                <w:bCs w:val="0"/>
                <w:color w:val="000000"/>
                <w:w w:val="22"/>
                <w:shd w:val="solid" w:color="000000" w:fill="000000"/>
                <w:fitText w:val="100" w:id="-1168380416"/>
                <w14:textFill>
                  <w14:solidFill>
                    <w14:srgbClr w14:val="000000">
                      <w14:alpha w14:val="100000"/>
                    </w14:srgbClr>
                  </w14:solidFill>
                </w14:textFill>
              </w:rPr>
              <w:t xml:space="preserve">　</w:t>
            </w:r>
            <w:r w:rsidR="009215AC" w:rsidRPr="009215AC">
              <w:rPr>
                <w:b/>
                <w:bCs w:val="0"/>
                <w:color w:val="000000"/>
                <w:w w:val="22"/>
                <w:shd w:val="solid" w:color="000000" w:fill="000000"/>
                <w:fitText w:val="100" w:id="-1168380416"/>
                <w14:textFill>
                  <w14:solidFill>
                    <w14:srgbClr w14:val="000000">
                      <w14:alpha w14:val="100000"/>
                    </w14:srgbClr>
                  </w14:solidFill>
                </w14:textFill>
              </w:rPr>
              <w:t>|</w:t>
            </w:r>
            <w:r w:rsidR="009215AC" w:rsidRPr="009215AC">
              <w:rPr>
                <w:rFonts w:hint="eastAsia"/>
                <w:b/>
                <w:bCs w:val="0"/>
                <w:color w:val="000000"/>
                <w:spacing w:val="2"/>
                <w:w w:val="22"/>
                <w:shd w:val="solid" w:color="000000" w:fill="000000"/>
                <w:fitText w:val="100" w:id="-1168380416"/>
                <w14:textFill>
                  <w14:solidFill>
                    <w14:srgbClr w14:val="000000">
                      <w14:alpha w14:val="100000"/>
                    </w14:srgbClr>
                  </w14:solidFill>
                </w14:textFill>
              </w:rPr>
              <w:t xml:space="preserve">　</w:t>
            </w:r>
            <w:r w:rsidR="00FC6B6C" w:rsidRPr="009215AC">
              <w:rPr>
                <w:szCs w:val="20"/>
                <w:vertAlign w:val="superscript"/>
              </w:rPr>
              <w:t>3</w:t>
            </w:r>
          </w:p>
        </w:tc>
      </w:tr>
      <w:tr w:rsidR="00977243" w:rsidRPr="008F01DF" w14:paraId="26383E39" w14:textId="77777777" w:rsidTr="001022CD">
        <w:tc>
          <w:tcPr>
            <w:tcW w:w="1169" w:type="pct"/>
            <w:shd w:val="clear" w:color="auto" w:fill="auto"/>
            <w:vAlign w:val="center"/>
          </w:tcPr>
          <w:p w14:paraId="1539A0F1" w14:textId="77777777" w:rsidR="00977243" w:rsidRPr="009215AC" w:rsidRDefault="00977243" w:rsidP="00AE3D39">
            <w:pPr>
              <w:pStyle w:val="TableText"/>
              <w:keepLines/>
              <w:rPr>
                <w:szCs w:val="20"/>
              </w:rPr>
            </w:pPr>
            <w:r w:rsidRPr="009215AC">
              <w:rPr>
                <w:szCs w:val="20"/>
              </w:rPr>
              <w:t>Net cost to MBS</w:t>
            </w:r>
          </w:p>
        </w:tc>
        <w:tc>
          <w:tcPr>
            <w:tcW w:w="639" w:type="pct"/>
            <w:tcBorders>
              <w:top w:val="single" w:sz="4" w:space="0" w:color="auto"/>
              <w:left w:val="single" w:sz="4" w:space="0" w:color="auto"/>
              <w:bottom w:val="single" w:sz="4" w:space="0" w:color="auto"/>
              <w:right w:val="single" w:sz="4" w:space="0" w:color="auto"/>
            </w:tcBorders>
            <w:shd w:val="clear" w:color="000000" w:fill="F2F2F2"/>
            <w:vAlign w:val="center"/>
          </w:tcPr>
          <w:p w14:paraId="5EDFEF3A" w14:textId="4D5FBCDA" w:rsidR="00977243" w:rsidRPr="009215AC" w:rsidRDefault="00F678E8" w:rsidP="00AE3D39">
            <w:pPr>
              <w:pStyle w:val="TableText"/>
              <w:jc w:val="center"/>
              <w:rPr>
                <w:vertAlign w:val="superscript"/>
              </w:rPr>
            </w:pPr>
            <w:r w:rsidRPr="009215AC">
              <w:t xml:space="preserve"> </w:t>
            </w:r>
            <w:r w:rsidR="009215AC" w:rsidRPr="0034755D">
              <w:rPr>
                <w:rFonts w:hint="eastAsia"/>
                <w:color w:val="000000"/>
                <w:w w:val="15"/>
                <w:shd w:val="solid" w:color="000000" w:fill="000000"/>
                <w:fitText w:val="51" w:id="-1168380415"/>
                <w14:textFill>
                  <w14:solidFill>
                    <w14:srgbClr w14:val="000000">
                      <w14:alpha w14:val="100000"/>
                    </w14:srgbClr>
                  </w14:solidFill>
                </w14:textFill>
              </w:rPr>
              <w:t xml:space="preserve">　</w:t>
            </w:r>
            <w:r w:rsidR="009215AC" w:rsidRPr="0034755D">
              <w:rPr>
                <w:color w:val="000000"/>
                <w:w w:val="15"/>
                <w:shd w:val="solid" w:color="000000" w:fill="000000"/>
                <w:fitText w:val="51" w:id="-1168380415"/>
                <w14:textFill>
                  <w14:solidFill>
                    <w14:srgbClr w14:val="000000">
                      <w14:alpha w14:val="100000"/>
                    </w14:srgbClr>
                  </w14:solidFill>
                </w14:textFill>
              </w:rPr>
              <w:t>|</w:t>
            </w:r>
            <w:r w:rsidR="009215AC" w:rsidRPr="0034755D">
              <w:rPr>
                <w:rFonts w:hint="eastAsia"/>
                <w:color w:val="000000"/>
                <w:spacing w:val="-14"/>
                <w:w w:val="15"/>
                <w:shd w:val="solid" w:color="000000" w:fill="000000"/>
                <w:fitText w:val="51" w:id="-1168380415"/>
                <w14:textFill>
                  <w14:solidFill>
                    <w14:srgbClr w14:val="000000">
                      <w14:alpha w14:val="100000"/>
                    </w14:srgbClr>
                  </w14:solidFill>
                </w14:textFill>
              </w:rPr>
              <w:t xml:space="preserve">　</w:t>
            </w:r>
            <w:r w:rsidR="00A717ED" w:rsidRPr="009215AC">
              <w:rPr>
                <w:vertAlign w:val="superscript"/>
              </w:rPr>
              <w:t>5</w:t>
            </w:r>
          </w:p>
        </w:tc>
        <w:tc>
          <w:tcPr>
            <w:tcW w:w="639" w:type="pct"/>
            <w:tcBorders>
              <w:top w:val="single" w:sz="4" w:space="0" w:color="auto"/>
              <w:left w:val="nil"/>
              <w:bottom w:val="single" w:sz="4" w:space="0" w:color="auto"/>
              <w:right w:val="single" w:sz="4" w:space="0" w:color="auto"/>
            </w:tcBorders>
            <w:shd w:val="clear" w:color="000000" w:fill="F2F2F2"/>
            <w:vAlign w:val="center"/>
          </w:tcPr>
          <w:p w14:paraId="4FE96E51" w14:textId="34B82A54"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1" w:id="-1168380414"/>
                <w14:textFill>
                  <w14:solidFill>
                    <w14:srgbClr w14:val="000000">
                      <w14:alpha w14:val="100000"/>
                    </w14:srgbClr>
                  </w14:solidFill>
                </w14:textFill>
              </w:rPr>
              <w:t xml:space="preserve">　</w:t>
            </w:r>
            <w:r w:rsidR="009215AC" w:rsidRPr="0034755D">
              <w:rPr>
                <w:color w:val="000000"/>
                <w:w w:val="15"/>
                <w:shd w:val="solid" w:color="000000" w:fill="000000"/>
                <w:fitText w:val="51" w:id="-1168380414"/>
                <w14:textFill>
                  <w14:solidFill>
                    <w14:srgbClr w14:val="000000">
                      <w14:alpha w14:val="100000"/>
                    </w14:srgbClr>
                  </w14:solidFill>
                </w14:textFill>
              </w:rPr>
              <w:t>|</w:t>
            </w:r>
            <w:r w:rsidR="009215AC" w:rsidRPr="0034755D">
              <w:rPr>
                <w:rFonts w:hint="eastAsia"/>
                <w:color w:val="000000"/>
                <w:spacing w:val="-14"/>
                <w:w w:val="15"/>
                <w:shd w:val="solid" w:color="000000" w:fill="000000"/>
                <w:fitText w:val="51" w:id="-1168380414"/>
                <w14:textFill>
                  <w14:solidFill>
                    <w14:srgbClr w14:val="000000">
                      <w14:alpha w14:val="100000"/>
                    </w14:srgbClr>
                  </w14:solidFill>
                </w14:textFill>
              </w:rPr>
              <w:t xml:space="preserve">　</w:t>
            </w:r>
            <w:r w:rsidR="00A717ED" w:rsidRPr="009215AC">
              <w:rPr>
                <w:vertAlign w:val="superscript"/>
              </w:rPr>
              <w:t>5</w:t>
            </w:r>
          </w:p>
        </w:tc>
        <w:tc>
          <w:tcPr>
            <w:tcW w:w="639" w:type="pct"/>
            <w:tcBorders>
              <w:top w:val="single" w:sz="4" w:space="0" w:color="auto"/>
              <w:left w:val="nil"/>
              <w:bottom w:val="single" w:sz="4" w:space="0" w:color="auto"/>
              <w:right w:val="single" w:sz="4" w:space="0" w:color="auto"/>
            </w:tcBorders>
            <w:shd w:val="clear" w:color="000000" w:fill="F2F2F2"/>
            <w:vAlign w:val="center"/>
          </w:tcPr>
          <w:p w14:paraId="493A08FE" w14:textId="2FF162A1"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3"/>
                <w14:textFill>
                  <w14:solidFill>
                    <w14:srgbClr w14:val="000000">
                      <w14:alpha w14:val="100000"/>
                    </w14:srgbClr>
                  </w14:solidFill>
                </w14:textFill>
              </w:rPr>
              <w:t xml:space="preserve">　</w:t>
            </w:r>
            <w:r w:rsidR="009215AC" w:rsidRPr="0034755D">
              <w:rPr>
                <w:color w:val="000000"/>
                <w:w w:val="15"/>
                <w:shd w:val="solid" w:color="000000" w:fill="000000"/>
                <w:fitText w:val="50" w:id="-1168380413"/>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3"/>
                <w14:textFill>
                  <w14:solidFill>
                    <w14:srgbClr w14:val="000000">
                      <w14:alpha w14:val="100000"/>
                    </w14:srgbClr>
                  </w14:solidFill>
                </w14:textFill>
              </w:rPr>
              <w:t xml:space="preserve">　</w:t>
            </w:r>
            <w:r w:rsidR="00A717ED" w:rsidRPr="009215AC">
              <w:rPr>
                <w:vertAlign w:val="superscript"/>
              </w:rPr>
              <w:t>5</w:t>
            </w:r>
          </w:p>
        </w:tc>
        <w:tc>
          <w:tcPr>
            <w:tcW w:w="639" w:type="pct"/>
            <w:tcBorders>
              <w:top w:val="single" w:sz="4" w:space="0" w:color="auto"/>
              <w:left w:val="nil"/>
              <w:bottom w:val="single" w:sz="4" w:space="0" w:color="auto"/>
              <w:right w:val="single" w:sz="4" w:space="0" w:color="auto"/>
            </w:tcBorders>
            <w:shd w:val="clear" w:color="000000" w:fill="F2F2F2"/>
            <w:vAlign w:val="center"/>
          </w:tcPr>
          <w:p w14:paraId="5277E3DF" w14:textId="484E5623"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2"/>
                <w14:textFill>
                  <w14:solidFill>
                    <w14:srgbClr w14:val="000000">
                      <w14:alpha w14:val="100000"/>
                    </w14:srgbClr>
                  </w14:solidFill>
                </w14:textFill>
              </w:rPr>
              <w:t xml:space="preserve">　</w:t>
            </w:r>
            <w:r w:rsidR="009215AC" w:rsidRPr="0034755D">
              <w:rPr>
                <w:color w:val="000000"/>
                <w:w w:val="15"/>
                <w:shd w:val="solid" w:color="000000" w:fill="000000"/>
                <w:fitText w:val="50" w:id="-1168380412"/>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2"/>
                <w14:textFill>
                  <w14:solidFill>
                    <w14:srgbClr w14:val="000000">
                      <w14:alpha w14:val="100000"/>
                    </w14:srgbClr>
                  </w14:solidFill>
                </w14:textFill>
              </w:rPr>
              <w:t xml:space="preserve">　</w:t>
            </w:r>
            <w:r w:rsidR="00A717ED" w:rsidRPr="009215AC">
              <w:rPr>
                <w:vertAlign w:val="superscript"/>
              </w:rPr>
              <w:t>5</w:t>
            </w:r>
          </w:p>
        </w:tc>
        <w:tc>
          <w:tcPr>
            <w:tcW w:w="639" w:type="pct"/>
            <w:tcBorders>
              <w:top w:val="single" w:sz="4" w:space="0" w:color="auto"/>
              <w:left w:val="nil"/>
              <w:bottom w:val="single" w:sz="4" w:space="0" w:color="auto"/>
              <w:right w:val="single" w:sz="4" w:space="0" w:color="auto"/>
            </w:tcBorders>
            <w:shd w:val="clear" w:color="000000" w:fill="F2F2F2"/>
            <w:vAlign w:val="center"/>
          </w:tcPr>
          <w:p w14:paraId="5C6DB58E" w14:textId="385114D3"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1"/>
                <w14:textFill>
                  <w14:solidFill>
                    <w14:srgbClr w14:val="000000">
                      <w14:alpha w14:val="100000"/>
                    </w14:srgbClr>
                  </w14:solidFill>
                </w14:textFill>
              </w:rPr>
              <w:t xml:space="preserve">　</w:t>
            </w:r>
            <w:r w:rsidR="009215AC" w:rsidRPr="0034755D">
              <w:rPr>
                <w:color w:val="000000"/>
                <w:w w:val="15"/>
                <w:shd w:val="solid" w:color="000000" w:fill="000000"/>
                <w:fitText w:val="50" w:id="-1168380411"/>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1"/>
                <w14:textFill>
                  <w14:solidFill>
                    <w14:srgbClr w14:val="000000">
                      <w14:alpha w14:val="100000"/>
                    </w14:srgbClr>
                  </w14:solidFill>
                </w14:textFill>
              </w:rPr>
              <w:t xml:space="preserve">　</w:t>
            </w:r>
            <w:r w:rsidR="00A717ED" w:rsidRPr="009215AC">
              <w:rPr>
                <w:vertAlign w:val="superscript"/>
              </w:rPr>
              <w:t>5</w:t>
            </w:r>
          </w:p>
        </w:tc>
        <w:tc>
          <w:tcPr>
            <w:tcW w:w="636" w:type="pct"/>
            <w:tcBorders>
              <w:top w:val="single" w:sz="4" w:space="0" w:color="auto"/>
              <w:left w:val="nil"/>
              <w:bottom w:val="single" w:sz="4" w:space="0" w:color="auto"/>
              <w:right w:val="single" w:sz="4" w:space="0" w:color="auto"/>
            </w:tcBorders>
            <w:shd w:val="clear" w:color="000000" w:fill="F2F2F2"/>
            <w:vAlign w:val="center"/>
          </w:tcPr>
          <w:p w14:paraId="77DAF6BA" w14:textId="39E69D21" w:rsidR="00977243" w:rsidRPr="009215AC" w:rsidRDefault="00F678E8" w:rsidP="00AE3D39">
            <w:pPr>
              <w:pStyle w:val="TableText"/>
              <w:jc w:val="center"/>
            </w:pPr>
            <w:r w:rsidRPr="009215AC">
              <w:t xml:space="preserve"> </w:t>
            </w:r>
            <w:r w:rsidR="009215AC" w:rsidRPr="0034755D">
              <w:rPr>
                <w:rFonts w:hint="eastAsia"/>
                <w:color w:val="000000"/>
                <w:w w:val="15"/>
                <w:shd w:val="solid" w:color="000000" w:fill="000000"/>
                <w:fitText w:val="50" w:id="-1168380410"/>
                <w14:textFill>
                  <w14:solidFill>
                    <w14:srgbClr w14:val="000000">
                      <w14:alpha w14:val="100000"/>
                    </w14:srgbClr>
                  </w14:solidFill>
                </w14:textFill>
              </w:rPr>
              <w:t xml:space="preserve">　</w:t>
            </w:r>
            <w:r w:rsidR="009215AC" w:rsidRPr="0034755D">
              <w:rPr>
                <w:color w:val="000000"/>
                <w:w w:val="15"/>
                <w:shd w:val="solid" w:color="000000" w:fill="000000"/>
                <w:fitText w:val="50" w:id="-1168380410"/>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10"/>
                <w14:textFill>
                  <w14:solidFill>
                    <w14:srgbClr w14:val="000000">
                      <w14:alpha w14:val="100000"/>
                    </w14:srgbClr>
                  </w14:solidFill>
                </w14:textFill>
              </w:rPr>
              <w:t xml:space="preserve">　</w:t>
            </w:r>
            <w:r w:rsidR="00A717ED" w:rsidRPr="009215AC">
              <w:rPr>
                <w:vertAlign w:val="superscript"/>
              </w:rPr>
              <w:t>5</w:t>
            </w:r>
          </w:p>
        </w:tc>
      </w:tr>
      <w:tr w:rsidR="00473BB1" w:rsidRPr="008F01DF" w14:paraId="3C9BBDA9" w14:textId="77777777" w:rsidTr="00BC1863">
        <w:tc>
          <w:tcPr>
            <w:tcW w:w="1169" w:type="pct"/>
            <w:shd w:val="clear" w:color="auto" w:fill="auto"/>
            <w:vAlign w:val="center"/>
          </w:tcPr>
          <w:p w14:paraId="56B7E5E6" w14:textId="77777777" w:rsidR="00473BB1" w:rsidRPr="009215AC" w:rsidRDefault="00473BB1" w:rsidP="00473BB1">
            <w:pPr>
              <w:pStyle w:val="TableText"/>
              <w:keepLines/>
              <w:rPr>
                <w:szCs w:val="20"/>
              </w:rPr>
            </w:pPr>
            <w:r w:rsidRPr="009215AC">
              <w:rPr>
                <w:szCs w:val="20"/>
              </w:rPr>
              <w:t>Net cost to PBS/RPBS/MBS</w:t>
            </w:r>
          </w:p>
        </w:tc>
        <w:tc>
          <w:tcPr>
            <w:tcW w:w="639" w:type="pct"/>
            <w:tcBorders>
              <w:top w:val="single" w:sz="4" w:space="0" w:color="auto"/>
              <w:left w:val="nil"/>
              <w:bottom w:val="single" w:sz="4" w:space="0" w:color="auto"/>
              <w:right w:val="single" w:sz="4" w:space="0" w:color="auto"/>
            </w:tcBorders>
            <w:shd w:val="clear" w:color="auto" w:fill="auto"/>
            <w:vAlign w:val="center"/>
          </w:tcPr>
          <w:p w14:paraId="67FB968C" w14:textId="267B2880" w:rsidR="00473BB1" w:rsidRPr="009215AC" w:rsidRDefault="00F678E8" w:rsidP="00473BB1">
            <w:pPr>
              <w:pStyle w:val="TableText"/>
              <w:jc w:val="center"/>
            </w:pPr>
            <w:r w:rsidRPr="009215AC">
              <w:t xml:space="preserve"> </w:t>
            </w:r>
            <w:r w:rsidR="009215AC" w:rsidRPr="0034755D">
              <w:rPr>
                <w:rFonts w:hint="eastAsia"/>
                <w:color w:val="000000"/>
                <w:w w:val="15"/>
                <w:shd w:val="solid" w:color="000000" w:fill="000000"/>
                <w:fitText w:val="51" w:id="-1168380409"/>
                <w14:textFill>
                  <w14:solidFill>
                    <w14:srgbClr w14:val="000000">
                      <w14:alpha w14:val="100000"/>
                    </w14:srgbClr>
                  </w14:solidFill>
                </w14:textFill>
              </w:rPr>
              <w:t xml:space="preserve">　</w:t>
            </w:r>
            <w:r w:rsidR="009215AC" w:rsidRPr="0034755D">
              <w:rPr>
                <w:color w:val="000000"/>
                <w:w w:val="15"/>
                <w:shd w:val="solid" w:color="000000" w:fill="000000"/>
                <w:fitText w:val="51" w:id="-1168380409"/>
                <w14:textFill>
                  <w14:solidFill>
                    <w14:srgbClr w14:val="000000">
                      <w14:alpha w14:val="100000"/>
                    </w14:srgbClr>
                  </w14:solidFill>
                </w14:textFill>
              </w:rPr>
              <w:t>|</w:t>
            </w:r>
            <w:r w:rsidR="009215AC" w:rsidRPr="0034755D">
              <w:rPr>
                <w:rFonts w:hint="eastAsia"/>
                <w:color w:val="000000"/>
                <w:spacing w:val="-14"/>
                <w:w w:val="15"/>
                <w:shd w:val="solid" w:color="000000" w:fill="000000"/>
                <w:fitText w:val="51" w:id="-1168380409"/>
                <w14:textFill>
                  <w14:solidFill>
                    <w14:srgbClr w14:val="000000">
                      <w14:alpha w14:val="100000"/>
                    </w14:srgbClr>
                  </w14:solidFill>
                </w14:textFill>
              </w:rPr>
              <w:t xml:space="preserve">　</w:t>
            </w:r>
            <w:r w:rsidR="00A717ED" w:rsidRPr="009215AC">
              <w:rPr>
                <w:szCs w:val="20"/>
                <w:vertAlign w:val="superscript"/>
              </w:rPr>
              <w:t>4</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39CB6B93" w14:textId="7488CD72" w:rsidR="00473BB1" w:rsidRPr="009215AC" w:rsidRDefault="00F678E8" w:rsidP="00473BB1">
            <w:pPr>
              <w:pStyle w:val="TableText"/>
              <w:jc w:val="center"/>
            </w:pPr>
            <w:r w:rsidRPr="009215AC">
              <w:t xml:space="preserve"> </w:t>
            </w:r>
            <w:r w:rsidR="009215AC" w:rsidRPr="0034755D">
              <w:rPr>
                <w:rFonts w:hint="eastAsia"/>
                <w:color w:val="000000"/>
                <w:w w:val="15"/>
                <w:shd w:val="solid" w:color="000000" w:fill="000000"/>
                <w:fitText w:val="50" w:id="-1168380408"/>
                <w14:textFill>
                  <w14:solidFill>
                    <w14:srgbClr w14:val="000000">
                      <w14:alpha w14:val="100000"/>
                    </w14:srgbClr>
                  </w14:solidFill>
                </w14:textFill>
              </w:rPr>
              <w:t xml:space="preserve">　</w:t>
            </w:r>
            <w:r w:rsidR="009215AC" w:rsidRPr="0034755D">
              <w:rPr>
                <w:color w:val="000000"/>
                <w:w w:val="15"/>
                <w:shd w:val="solid" w:color="000000" w:fill="000000"/>
                <w:fitText w:val="50" w:id="-1168380408"/>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8"/>
                <w14:textFill>
                  <w14:solidFill>
                    <w14:srgbClr w14:val="000000">
                      <w14:alpha w14:val="100000"/>
                    </w14:srgbClr>
                  </w14:solidFill>
                </w14:textFill>
              </w:rPr>
              <w:t xml:space="preserve">　</w:t>
            </w:r>
            <w:r w:rsidR="00A717ED" w:rsidRPr="009215AC">
              <w:rPr>
                <w:szCs w:val="20"/>
                <w:vertAlign w:val="superscript"/>
              </w:rPr>
              <w:t>3</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4BEAC3C3" w14:textId="17D5200E" w:rsidR="00473BB1" w:rsidRPr="009215AC" w:rsidRDefault="00F678E8" w:rsidP="00473BB1">
            <w:pPr>
              <w:pStyle w:val="TableText"/>
              <w:jc w:val="center"/>
            </w:pPr>
            <w:r w:rsidRPr="009215AC">
              <w:t xml:space="preserve"> </w:t>
            </w:r>
            <w:r w:rsidR="009215AC" w:rsidRPr="0034755D">
              <w:rPr>
                <w:rFonts w:hint="eastAsia"/>
                <w:color w:val="000000"/>
                <w:w w:val="15"/>
                <w:shd w:val="solid" w:color="000000" w:fill="000000"/>
                <w:fitText w:val="50" w:id="-1168380407"/>
                <w14:textFill>
                  <w14:solidFill>
                    <w14:srgbClr w14:val="000000">
                      <w14:alpha w14:val="100000"/>
                    </w14:srgbClr>
                  </w14:solidFill>
                </w14:textFill>
              </w:rPr>
              <w:t xml:space="preserve">　</w:t>
            </w:r>
            <w:r w:rsidR="009215AC" w:rsidRPr="0034755D">
              <w:rPr>
                <w:color w:val="000000"/>
                <w:w w:val="15"/>
                <w:shd w:val="solid" w:color="000000" w:fill="000000"/>
                <w:fitText w:val="50" w:id="-1168380407"/>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7"/>
                <w14:textFill>
                  <w14:solidFill>
                    <w14:srgbClr w14:val="000000">
                      <w14:alpha w14:val="100000"/>
                    </w14:srgbClr>
                  </w14:solidFill>
                </w14:textFill>
              </w:rPr>
              <w:t xml:space="preserve">　</w:t>
            </w:r>
            <w:r w:rsidR="00A717ED" w:rsidRPr="009215AC">
              <w:rPr>
                <w:szCs w:val="20"/>
                <w:vertAlign w:val="superscript"/>
              </w:rPr>
              <w:t>3</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0864F61F" w14:textId="675B00E9" w:rsidR="00473BB1" w:rsidRPr="009215AC" w:rsidRDefault="00F678E8" w:rsidP="00473BB1">
            <w:pPr>
              <w:pStyle w:val="TableText"/>
              <w:jc w:val="center"/>
            </w:pPr>
            <w:r w:rsidRPr="009215AC">
              <w:t xml:space="preserve"> </w:t>
            </w:r>
            <w:r w:rsidR="009215AC" w:rsidRPr="0034755D">
              <w:rPr>
                <w:rFonts w:hint="eastAsia"/>
                <w:color w:val="000000"/>
                <w:w w:val="15"/>
                <w:shd w:val="solid" w:color="000000" w:fill="000000"/>
                <w:fitText w:val="50" w:id="-1168380406"/>
                <w14:textFill>
                  <w14:solidFill>
                    <w14:srgbClr w14:val="000000">
                      <w14:alpha w14:val="100000"/>
                    </w14:srgbClr>
                  </w14:solidFill>
                </w14:textFill>
              </w:rPr>
              <w:t xml:space="preserve">　</w:t>
            </w:r>
            <w:r w:rsidR="009215AC" w:rsidRPr="0034755D">
              <w:rPr>
                <w:color w:val="000000"/>
                <w:w w:val="15"/>
                <w:shd w:val="solid" w:color="000000" w:fill="000000"/>
                <w:fitText w:val="50" w:id="-1168380406"/>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6"/>
                <w14:textFill>
                  <w14:solidFill>
                    <w14:srgbClr w14:val="000000">
                      <w14:alpha w14:val="100000"/>
                    </w14:srgbClr>
                  </w14:solidFill>
                </w14:textFill>
              </w:rPr>
              <w:t xml:space="preserve">　</w:t>
            </w:r>
            <w:r w:rsidR="00A717ED" w:rsidRPr="009215AC">
              <w:rPr>
                <w:szCs w:val="20"/>
                <w:vertAlign w:val="superscript"/>
              </w:rPr>
              <w:t>3</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2442B46B" w14:textId="2F214B46" w:rsidR="00473BB1" w:rsidRPr="009215AC" w:rsidRDefault="00F678E8" w:rsidP="00473BB1">
            <w:pPr>
              <w:pStyle w:val="TableText"/>
              <w:jc w:val="center"/>
            </w:pPr>
            <w:r w:rsidRPr="009215AC">
              <w:t xml:space="preserve"> </w:t>
            </w:r>
            <w:r w:rsidR="009215AC" w:rsidRPr="0034755D">
              <w:rPr>
                <w:rFonts w:hint="eastAsia"/>
                <w:color w:val="000000"/>
                <w:w w:val="15"/>
                <w:shd w:val="solid" w:color="000000" w:fill="000000"/>
                <w:fitText w:val="50" w:id="-1168380405"/>
                <w14:textFill>
                  <w14:solidFill>
                    <w14:srgbClr w14:val="000000">
                      <w14:alpha w14:val="100000"/>
                    </w14:srgbClr>
                  </w14:solidFill>
                </w14:textFill>
              </w:rPr>
              <w:t xml:space="preserve">　</w:t>
            </w:r>
            <w:r w:rsidR="009215AC" w:rsidRPr="0034755D">
              <w:rPr>
                <w:color w:val="000000"/>
                <w:w w:val="15"/>
                <w:shd w:val="solid" w:color="000000" w:fill="000000"/>
                <w:fitText w:val="50" w:id="-1168380405"/>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5"/>
                <w14:textFill>
                  <w14:solidFill>
                    <w14:srgbClr w14:val="000000">
                      <w14:alpha w14:val="100000"/>
                    </w14:srgbClr>
                  </w14:solidFill>
                </w14:textFill>
              </w:rPr>
              <w:t xml:space="preserve">　</w:t>
            </w:r>
            <w:r w:rsidR="00A717ED" w:rsidRPr="009215AC">
              <w:rPr>
                <w:szCs w:val="20"/>
                <w:vertAlign w:val="superscript"/>
              </w:rPr>
              <w:t>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2E102658" w14:textId="3ADC8A30" w:rsidR="00473BB1" w:rsidRPr="009215AC" w:rsidRDefault="00F678E8" w:rsidP="00473BB1">
            <w:pPr>
              <w:pStyle w:val="TableText"/>
              <w:jc w:val="center"/>
            </w:pPr>
            <w:r w:rsidRPr="009215AC">
              <w:t xml:space="preserve"> </w:t>
            </w:r>
            <w:r w:rsidR="009215AC" w:rsidRPr="0034755D">
              <w:rPr>
                <w:rFonts w:hint="eastAsia"/>
                <w:color w:val="000000"/>
                <w:w w:val="15"/>
                <w:shd w:val="solid" w:color="000000" w:fill="000000"/>
                <w:fitText w:val="50" w:id="-1168380404"/>
                <w14:textFill>
                  <w14:solidFill>
                    <w14:srgbClr w14:val="000000">
                      <w14:alpha w14:val="100000"/>
                    </w14:srgbClr>
                  </w14:solidFill>
                </w14:textFill>
              </w:rPr>
              <w:t xml:space="preserve">　</w:t>
            </w:r>
            <w:r w:rsidR="009215AC" w:rsidRPr="0034755D">
              <w:rPr>
                <w:color w:val="000000"/>
                <w:w w:val="15"/>
                <w:shd w:val="solid" w:color="000000" w:fill="000000"/>
                <w:fitText w:val="50" w:id="-1168380404"/>
                <w14:textFill>
                  <w14:solidFill>
                    <w14:srgbClr w14:val="000000">
                      <w14:alpha w14:val="100000"/>
                    </w14:srgbClr>
                  </w14:solidFill>
                </w14:textFill>
              </w:rPr>
              <w:t>|</w:t>
            </w:r>
            <w:r w:rsidR="009215AC" w:rsidRPr="0034755D">
              <w:rPr>
                <w:rFonts w:hint="eastAsia"/>
                <w:color w:val="000000"/>
                <w:spacing w:val="-15"/>
                <w:w w:val="15"/>
                <w:shd w:val="solid" w:color="000000" w:fill="000000"/>
                <w:fitText w:val="50" w:id="-1168380404"/>
                <w14:textFill>
                  <w14:solidFill>
                    <w14:srgbClr w14:val="000000">
                      <w14:alpha w14:val="100000"/>
                    </w14:srgbClr>
                  </w14:solidFill>
                </w14:textFill>
              </w:rPr>
              <w:t xml:space="preserve">　</w:t>
            </w:r>
            <w:r w:rsidR="00A717ED" w:rsidRPr="009215AC">
              <w:rPr>
                <w:szCs w:val="20"/>
                <w:vertAlign w:val="superscript"/>
              </w:rPr>
              <w:t>3</w:t>
            </w:r>
          </w:p>
        </w:tc>
      </w:tr>
      <w:tr w:rsidR="00B90B56" w:rsidRPr="008F01DF" w14:paraId="501F262B" w14:textId="77777777" w:rsidTr="009D27CD">
        <w:tc>
          <w:tcPr>
            <w:tcW w:w="1169" w:type="pct"/>
            <w:shd w:val="clear" w:color="auto" w:fill="auto"/>
            <w:vAlign w:val="center"/>
          </w:tcPr>
          <w:p w14:paraId="51913B03" w14:textId="1A25F24C" w:rsidR="00B90B56" w:rsidRPr="009215AC" w:rsidRDefault="00B90B56" w:rsidP="00B90B56">
            <w:pPr>
              <w:pStyle w:val="TableText"/>
              <w:keepLines/>
              <w:rPr>
                <w:szCs w:val="20"/>
              </w:rPr>
            </w:pPr>
            <w:r w:rsidRPr="009215AC">
              <w:rPr>
                <w:szCs w:val="20"/>
              </w:rPr>
              <w:t>Net cost to PBS/RPBS (treatment duration revised to 14.85 cycles)</w:t>
            </w:r>
          </w:p>
        </w:tc>
        <w:tc>
          <w:tcPr>
            <w:tcW w:w="639" w:type="pct"/>
            <w:tcBorders>
              <w:top w:val="single" w:sz="4" w:space="0" w:color="auto"/>
              <w:left w:val="nil"/>
              <w:bottom w:val="single" w:sz="4" w:space="0" w:color="auto"/>
              <w:right w:val="single" w:sz="4" w:space="0" w:color="auto"/>
            </w:tcBorders>
            <w:shd w:val="clear" w:color="auto" w:fill="auto"/>
            <w:vAlign w:val="center"/>
          </w:tcPr>
          <w:p w14:paraId="4B91CD3D" w14:textId="1E23C1BE" w:rsidR="00B90B56" w:rsidRPr="009215AC" w:rsidRDefault="00F678E8" w:rsidP="00B90B56">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3"/>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3"/>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3"/>
                <w14:textFill>
                  <w14:solidFill>
                    <w14:srgbClr w14:val="000000">
                      <w14:alpha w14:val="100000"/>
                    </w14:srgbClr>
                  </w14:solidFill>
                </w14:textFill>
              </w:rPr>
              <w:t xml:space="preserve">　</w:t>
            </w:r>
            <w:r w:rsidR="00A717ED" w:rsidRPr="009215AC">
              <w:rPr>
                <w:szCs w:val="20"/>
                <w:vertAlign w:val="superscript"/>
              </w:rPr>
              <w:t>4</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337B6D42" w14:textId="0E9B013A" w:rsidR="00B90B56" w:rsidRPr="009215AC" w:rsidRDefault="00F678E8" w:rsidP="00B90B56">
            <w:pPr>
              <w:pStyle w:val="TableText"/>
              <w:jc w:val="center"/>
              <w:rPr>
                <w:b/>
                <w:bCs w:val="0"/>
              </w:rPr>
            </w:pPr>
            <w:r w:rsidRPr="009215AC">
              <w:rPr>
                <w:b/>
                <w:bCs w:val="0"/>
              </w:rPr>
              <w:t xml:space="preserve"> </w:t>
            </w:r>
            <w:r w:rsidR="009215AC" w:rsidRPr="0034755D">
              <w:rPr>
                <w:rFonts w:hint="eastAsia"/>
                <w:b/>
                <w:bCs w:val="0"/>
                <w:color w:val="000000"/>
                <w:w w:val="18"/>
                <w:shd w:val="solid" w:color="000000" w:fill="000000"/>
                <w:fitText w:val="83" w:id="-1168380402"/>
                <w14:textFill>
                  <w14:solidFill>
                    <w14:srgbClr w14:val="000000">
                      <w14:alpha w14:val="100000"/>
                    </w14:srgbClr>
                  </w14:solidFill>
                </w14:textFill>
              </w:rPr>
              <w:t xml:space="preserve">　</w:t>
            </w:r>
            <w:r w:rsidR="009215AC" w:rsidRPr="0034755D">
              <w:rPr>
                <w:b/>
                <w:bCs w:val="0"/>
                <w:color w:val="000000"/>
                <w:w w:val="18"/>
                <w:shd w:val="solid" w:color="000000" w:fill="000000"/>
                <w:fitText w:val="83" w:id="-1168380402"/>
                <w14:textFill>
                  <w14:solidFill>
                    <w14:srgbClr w14:val="000000">
                      <w14:alpha w14:val="100000"/>
                    </w14:srgbClr>
                  </w14:solidFill>
                </w14:textFill>
              </w:rPr>
              <w:t>|</w:t>
            </w:r>
            <w:r w:rsidR="009215AC" w:rsidRPr="0034755D">
              <w:rPr>
                <w:rFonts w:hint="eastAsia"/>
                <w:b/>
                <w:bCs w:val="0"/>
                <w:color w:val="000000"/>
                <w:spacing w:val="2"/>
                <w:w w:val="18"/>
                <w:shd w:val="solid" w:color="000000" w:fill="000000"/>
                <w:fitText w:val="83" w:id="-1168380402"/>
                <w14:textFill>
                  <w14:solidFill>
                    <w14:srgbClr w14:val="000000">
                      <w14:alpha w14:val="100000"/>
                    </w14:srgbClr>
                  </w14:solidFill>
                </w14:textFill>
              </w:rPr>
              <w:t xml:space="preserve">　</w:t>
            </w:r>
            <w:r w:rsidR="00A717ED" w:rsidRPr="009215AC">
              <w:rPr>
                <w:szCs w:val="20"/>
                <w:vertAlign w:val="superscript"/>
              </w:rPr>
              <w:t>3</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211B5D7D" w14:textId="1ACECA40" w:rsidR="00B90B56" w:rsidRPr="009215AC" w:rsidRDefault="00F678E8" w:rsidP="00B90B56">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1"/>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1"/>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1"/>
                <w14:textFill>
                  <w14:solidFill>
                    <w14:srgbClr w14:val="000000">
                      <w14:alpha w14:val="100000"/>
                    </w14:srgbClr>
                  </w14:solidFill>
                </w14:textFill>
              </w:rPr>
              <w:t xml:space="preserve">　</w:t>
            </w:r>
            <w:r w:rsidR="00A717ED" w:rsidRPr="009215AC">
              <w:rPr>
                <w:szCs w:val="20"/>
                <w:vertAlign w:val="superscript"/>
              </w:rPr>
              <w:t>3</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31DE3617" w14:textId="701722F8" w:rsidR="00B90B56" w:rsidRPr="009215AC" w:rsidRDefault="00F678E8" w:rsidP="00B90B56">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00"/>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00"/>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00"/>
                <w14:textFill>
                  <w14:solidFill>
                    <w14:srgbClr w14:val="000000">
                      <w14:alpha w14:val="100000"/>
                    </w14:srgbClr>
                  </w14:solidFill>
                </w14:textFill>
              </w:rPr>
              <w:t xml:space="preserve">　</w:t>
            </w:r>
            <w:r w:rsidR="00A717ED" w:rsidRPr="009215AC">
              <w:rPr>
                <w:szCs w:val="20"/>
                <w:vertAlign w:val="superscript"/>
              </w:rPr>
              <w:t>3</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34CDD43E" w14:textId="153702B6" w:rsidR="00B90B56" w:rsidRPr="009215AC" w:rsidRDefault="00F678E8" w:rsidP="00B90B56">
            <w:pPr>
              <w:pStyle w:val="TableText"/>
              <w:jc w:val="center"/>
              <w:rPr>
                <w:b/>
                <w:bCs w:val="0"/>
              </w:rPr>
            </w:pPr>
            <w:r w:rsidRPr="009215AC">
              <w:rPr>
                <w:b/>
                <w:bCs w:val="0"/>
              </w:rPr>
              <w:t xml:space="preserve"> </w:t>
            </w:r>
            <w:r w:rsidR="009215AC" w:rsidRPr="009215AC">
              <w:rPr>
                <w:rFonts w:hint="eastAsia"/>
                <w:b/>
                <w:bCs w:val="0"/>
                <w:color w:val="000000"/>
                <w:w w:val="18"/>
                <w:shd w:val="solid" w:color="000000" w:fill="000000"/>
                <w:fitText w:val="84" w:id="-1168380416"/>
                <w14:textFill>
                  <w14:solidFill>
                    <w14:srgbClr w14:val="000000">
                      <w14:alpha w14:val="100000"/>
                    </w14:srgbClr>
                  </w14:solidFill>
                </w14:textFill>
              </w:rPr>
              <w:t xml:space="preserve">　</w:t>
            </w:r>
            <w:r w:rsidR="009215AC" w:rsidRPr="009215AC">
              <w:rPr>
                <w:b/>
                <w:bCs w:val="0"/>
                <w:color w:val="000000"/>
                <w:w w:val="18"/>
                <w:shd w:val="solid" w:color="000000" w:fill="000000"/>
                <w:fitText w:val="84" w:id="-1168380416"/>
                <w14:textFill>
                  <w14:solidFill>
                    <w14:srgbClr w14:val="000000">
                      <w14:alpha w14:val="100000"/>
                    </w14:srgbClr>
                  </w14:solidFill>
                </w14:textFill>
              </w:rPr>
              <w:t>|</w:t>
            </w:r>
            <w:r w:rsidR="009215AC" w:rsidRPr="009215AC">
              <w:rPr>
                <w:rFonts w:hint="eastAsia"/>
                <w:b/>
                <w:bCs w:val="0"/>
                <w:color w:val="000000"/>
                <w:spacing w:val="13"/>
                <w:w w:val="18"/>
                <w:shd w:val="solid" w:color="000000" w:fill="000000"/>
                <w:fitText w:val="84" w:id="-1168380416"/>
                <w14:textFill>
                  <w14:solidFill>
                    <w14:srgbClr w14:val="000000">
                      <w14:alpha w14:val="100000"/>
                    </w14:srgbClr>
                  </w14:solidFill>
                </w14:textFill>
              </w:rPr>
              <w:t xml:space="preserve">　</w:t>
            </w:r>
            <w:r w:rsidR="00A717ED" w:rsidRPr="009215AC">
              <w:rPr>
                <w:szCs w:val="20"/>
                <w:vertAlign w:val="superscript"/>
              </w:rPr>
              <w:t>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575417BA" w14:textId="56D44AB9" w:rsidR="00B90B56" w:rsidRPr="009215AC" w:rsidRDefault="00F678E8" w:rsidP="00B90B56">
            <w:pPr>
              <w:pStyle w:val="TableText"/>
              <w:jc w:val="center"/>
              <w:rPr>
                <w:b/>
                <w:bCs w:val="0"/>
              </w:rPr>
            </w:pPr>
            <w:r w:rsidRPr="009215AC">
              <w:rPr>
                <w:b/>
                <w:bCs w:val="0"/>
              </w:rPr>
              <w:t xml:space="preserve"> </w:t>
            </w:r>
            <w:r w:rsidR="009215AC" w:rsidRPr="009215AC">
              <w:rPr>
                <w:rFonts w:hint="eastAsia"/>
                <w:b/>
                <w:bCs w:val="0"/>
                <w:color w:val="000000"/>
                <w:w w:val="22"/>
                <w:shd w:val="solid" w:color="000000" w:fill="000000"/>
                <w:fitText w:val="100" w:id="-1168380415"/>
                <w14:textFill>
                  <w14:solidFill>
                    <w14:srgbClr w14:val="000000">
                      <w14:alpha w14:val="100000"/>
                    </w14:srgbClr>
                  </w14:solidFill>
                </w14:textFill>
              </w:rPr>
              <w:t xml:space="preserve">　</w:t>
            </w:r>
            <w:r w:rsidR="009215AC" w:rsidRPr="009215AC">
              <w:rPr>
                <w:b/>
                <w:bCs w:val="0"/>
                <w:color w:val="000000"/>
                <w:w w:val="22"/>
                <w:shd w:val="solid" w:color="000000" w:fill="000000"/>
                <w:fitText w:val="100" w:id="-1168380415"/>
                <w14:textFill>
                  <w14:solidFill>
                    <w14:srgbClr w14:val="000000">
                      <w14:alpha w14:val="100000"/>
                    </w14:srgbClr>
                  </w14:solidFill>
                </w14:textFill>
              </w:rPr>
              <w:t>|</w:t>
            </w:r>
            <w:r w:rsidR="009215AC" w:rsidRPr="009215AC">
              <w:rPr>
                <w:rFonts w:hint="eastAsia"/>
                <w:b/>
                <w:bCs w:val="0"/>
                <w:color w:val="000000"/>
                <w:spacing w:val="2"/>
                <w:w w:val="22"/>
                <w:shd w:val="solid" w:color="000000" w:fill="000000"/>
                <w:fitText w:val="100" w:id="-1168380415"/>
                <w14:textFill>
                  <w14:solidFill>
                    <w14:srgbClr w14:val="000000">
                      <w14:alpha w14:val="100000"/>
                    </w14:srgbClr>
                  </w14:solidFill>
                </w14:textFill>
              </w:rPr>
              <w:t xml:space="preserve">　</w:t>
            </w:r>
            <w:r w:rsidR="00A717ED" w:rsidRPr="009215AC">
              <w:rPr>
                <w:szCs w:val="20"/>
                <w:vertAlign w:val="superscript"/>
              </w:rPr>
              <w:t>3</w:t>
            </w:r>
          </w:p>
        </w:tc>
      </w:tr>
    </w:tbl>
    <w:p w14:paraId="77DA1A16" w14:textId="77777777" w:rsidR="00C0742A" w:rsidRPr="009A6D58" w:rsidRDefault="00C0742A" w:rsidP="00C0742A">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527A34D" w14:textId="3342B297" w:rsidR="00C0742A" w:rsidRPr="009A6D58" w:rsidRDefault="00C0742A" w:rsidP="00C0742A">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C0742A">
        <w:rPr>
          <w:rFonts w:ascii="Arial Narrow" w:hAnsi="Arial Narrow" w:cs="Arial"/>
          <w:i/>
          <w:sz w:val="18"/>
          <w:szCs w:val="18"/>
        </w:rPr>
        <w:t>500 to &lt; 5,000</w:t>
      </w:r>
    </w:p>
    <w:p w14:paraId="5CB06443" w14:textId="11F81D07" w:rsidR="00C0742A" w:rsidRPr="009A6D58" w:rsidRDefault="00C0742A" w:rsidP="00C0742A">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C0742A">
        <w:rPr>
          <w:rFonts w:ascii="Arial Narrow" w:hAnsi="Arial Narrow" w:cs="Arial"/>
          <w:i/>
          <w:sz w:val="18"/>
          <w:szCs w:val="18"/>
        </w:rPr>
        <w:t>10,000 to &lt; 20,000</w:t>
      </w:r>
    </w:p>
    <w:p w14:paraId="76034D61" w14:textId="1636B673" w:rsidR="00C0742A" w:rsidRDefault="00C0742A" w:rsidP="00C0742A">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FC6B6C" w:rsidRPr="00FC6B6C">
        <w:rPr>
          <w:rFonts w:ascii="Arial Narrow" w:hAnsi="Arial Narrow" w:cs="Arial"/>
          <w:i/>
          <w:sz w:val="18"/>
          <w:szCs w:val="18"/>
        </w:rPr>
        <w:t>$40 million to &lt; $50 million</w:t>
      </w:r>
    </w:p>
    <w:p w14:paraId="4C0204DC" w14:textId="6428BDED" w:rsidR="00A717ED" w:rsidRPr="00A717ED" w:rsidRDefault="00A717ED" w:rsidP="00C0742A">
      <w:pPr>
        <w:rPr>
          <w:rFonts w:ascii="Arial Narrow" w:hAnsi="Arial Narrow" w:cs="Arial"/>
          <w:i/>
          <w:sz w:val="18"/>
          <w:szCs w:val="18"/>
        </w:rPr>
      </w:pPr>
      <w:r>
        <w:rPr>
          <w:rFonts w:ascii="Arial Narrow" w:hAnsi="Arial Narrow" w:cs="Arial"/>
          <w:i/>
          <w:sz w:val="18"/>
          <w:szCs w:val="18"/>
          <w:vertAlign w:val="superscript"/>
        </w:rPr>
        <w:t>4</w:t>
      </w:r>
      <w:r w:rsidRPr="00A717ED">
        <w:rPr>
          <w:rFonts w:ascii="Arial Narrow" w:hAnsi="Arial Narrow" w:cs="Arial"/>
          <w:i/>
          <w:sz w:val="18"/>
          <w:szCs w:val="18"/>
        </w:rPr>
        <w:t>$50 million to &lt; $60 million</w:t>
      </w:r>
    </w:p>
    <w:p w14:paraId="77BC89C8" w14:textId="101B2BEB" w:rsidR="00C0742A" w:rsidRDefault="00A717ED" w:rsidP="00C0742A">
      <w:pPr>
        <w:rPr>
          <w:rFonts w:ascii="Arial Narrow" w:hAnsi="Arial Narrow" w:cs="Arial"/>
          <w:i/>
          <w:sz w:val="18"/>
          <w:szCs w:val="18"/>
        </w:rPr>
      </w:pPr>
      <w:r>
        <w:rPr>
          <w:rFonts w:ascii="Arial Narrow" w:hAnsi="Arial Narrow" w:cs="Arial"/>
          <w:i/>
          <w:sz w:val="18"/>
          <w:szCs w:val="18"/>
          <w:vertAlign w:val="superscript"/>
        </w:rPr>
        <w:t>5</w:t>
      </w:r>
      <w:r w:rsidR="00C0742A">
        <w:rPr>
          <w:rFonts w:ascii="Arial Narrow" w:hAnsi="Arial Narrow" w:cs="Arial"/>
          <w:i/>
          <w:sz w:val="18"/>
          <w:szCs w:val="18"/>
        </w:rPr>
        <w:t xml:space="preserve"> </w:t>
      </w:r>
      <w:r w:rsidRPr="00A717ED">
        <w:rPr>
          <w:rFonts w:ascii="Arial Narrow" w:hAnsi="Arial Narrow" w:cs="Arial"/>
          <w:i/>
          <w:sz w:val="18"/>
          <w:szCs w:val="18"/>
        </w:rPr>
        <w:t>$0 to &lt; $10 million</w:t>
      </w:r>
    </w:p>
    <w:p w14:paraId="35106B0E" w14:textId="77777777" w:rsidR="00F2140A" w:rsidRDefault="00F2140A" w:rsidP="00F2140A"/>
    <w:p w14:paraId="0873E173" w14:textId="0811FC80" w:rsidR="00B97736" w:rsidRPr="00B97736" w:rsidRDefault="00B97736" w:rsidP="00B97736">
      <w:pPr>
        <w:pStyle w:val="4-SubsectionHeading"/>
      </w:pPr>
      <w:r>
        <w:t>Financial Management – Risk Sharing Arrangements</w:t>
      </w:r>
    </w:p>
    <w:p w14:paraId="65B2493C" w14:textId="7D708B31" w:rsidR="00B97736" w:rsidRPr="00B97736" w:rsidRDefault="00094C82" w:rsidP="00526BA3">
      <w:pPr>
        <w:pStyle w:val="3-BodyText"/>
        <w:numPr>
          <w:ilvl w:val="1"/>
          <w:numId w:val="1"/>
        </w:numPr>
        <w:rPr>
          <w:lang w:eastAsia="en-US"/>
        </w:rPr>
      </w:pPr>
      <w:bookmarkStart w:id="11" w:name="_Hlk138148072"/>
      <w:r>
        <w:t xml:space="preserve">The sponsor stated it </w:t>
      </w:r>
      <w:r w:rsidRPr="00C1454D">
        <w:t xml:space="preserve">is willing to </w:t>
      </w:r>
      <w:proofErr w:type="gramStart"/>
      <w:r w:rsidRPr="00C1454D">
        <w:t>enter into</w:t>
      </w:r>
      <w:proofErr w:type="gramEnd"/>
      <w:r w:rsidRPr="00C1454D">
        <w:t xml:space="preserve"> an RSA with the Commonwealth on sharing the costs of the subsidy for supply of pembrolizumab for the treatment of early, high risk TNBC, in order to manage any risk to the overall cost to the PBS</w:t>
      </w:r>
      <w:r>
        <w:t xml:space="preserve">. </w:t>
      </w:r>
      <w:bookmarkStart w:id="12" w:name="_Hlk138148144"/>
      <w:r w:rsidR="00BE79AA" w:rsidRPr="00AB41A9">
        <w:t xml:space="preserve">The PBAC noted that if recommended, a combined deed with mTNBC would need to reduce patient numbers for mTNBC to account for 8% cured and </w:t>
      </w:r>
      <w:r w:rsidR="00BE79AA">
        <w:t xml:space="preserve">at least </w:t>
      </w:r>
      <w:r w:rsidR="00BE79AA" w:rsidRPr="00AB41A9">
        <w:t>16% recurrent after pembrolizumab, and therefore ineligible for pembro</w:t>
      </w:r>
      <w:r w:rsidR="00BE79AA">
        <w:t>lizumab</w:t>
      </w:r>
      <w:r w:rsidR="00BE79AA" w:rsidRPr="00AB41A9">
        <w:t xml:space="preserve"> in metastatic</w:t>
      </w:r>
      <w:r w:rsidR="00BE79AA">
        <w:t xml:space="preserve"> TNBC </w:t>
      </w:r>
      <w:r w:rsidR="00BE79AA" w:rsidRPr="00AB41A9">
        <w:t>(</w:t>
      </w:r>
      <w:r w:rsidR="00BE79AA">
        <w:t xml:space="preserve">para </w:t>
      </w:r>
      <w:r w:rsidR="00BE79AA" w:rsidRPr="00AB41A9">
        <w:t>7.12</w:t>
      </w:r>
      <w:r w:rsidR="00BE79AA">
        <w:t xml:space="preserve"> pembrolizumab </w:t>
      </w:r>
      <w:r w:rsidR="00C44929">
        <w:t>PSD</w:t>
      </w:r>
      <w:r w:rsidR="00BE79AA">
        <w:t>, March 2023 PBAC meeting</w:t>
      </w:r>
      <w:r w:rsidR="00BE79AA" w:rsidRPr="00AB41A9">
        <w:t xml:space="preserve">). </w:t>
      </w:r>
      <w:bookmarkEnd w:id="12"/>
      <w:r>
        <w:t>The resubmission stated that adjustment of the patient numbers</w:t>
      </w:r>
      <w:r w:rsidRPr="00AB41A9">
        <w:t xml:space="preserve"> will be addressed post recommendation as part of the Deed negotiations</w:t>
      </w:r>
      <w:r>
        <w:t>.</w:t>
      </w:r>
      <w:r w:rsidR="007537D7">
        <w:t xml:space="preserve"> </w:t>
      </w:r>
      <w:r w:rsidR="009A1234">
        <w:t xml:space="preserve">The Pre-PBAC stated that determination of the net financial impact across eTNBC and mTNBC collectively was not possible at the time of </w:t>
      </w:r>
      <w:r w:rsidR="009A1234">
        <w:lastRenderedPageBreak/>
        <w:t xml:space="preserve">PBAC consideration as </w:t>
      </w:r>
      <w:r w:rsidR="00B90B56">
        <w:t xml:space="preserve">finalisation of the financial agreed estimates for </w:t>
      </w:r>
      <w:r w:rsidR="009A1234">
        <w:t>mTNBC</w:t>
      </w:r>
      <w:r w:rsidR="00B90B56">
        <w:t xml:space="preserve"> was ongoing.</w:t>
      </w:r>
    </w:p>
    <w:bookmarkEnd w:id="11"/>
    <w:p w14:paraId="2346935C" w14:textId="21F464A0" w:rsidR="008F01DF" w:rsidRPr="008F01DF" w:rsidRDefault="008F01DF" w:rsidP="008F01DF">
      <w:pPr>
        <w:pStyle w:val="ListParagraph"/>
        <w:ind w:left="720"/>
        <w:rPr>
          <w:i/>
        </w:rPr>
      </w:pPr>
      <w:r w:rsidRPr="008F01DF">
        <w:rPr>
          <w:i/>
        </w:rPr>
        <w:t xml:space="preserve">For more detail on PBAC’s view, see section </w:t>
      </w:r>
      <w:r w:rsidR="004513B9">
        <w:rPr>
          <w:i/>
        </w:rPr>
        <w:t>5</w:t>
      </w:r>
      <w:r w:rsidRPr="008F01DF">
        <w:rPr>
          <w:i/>
        </w:rPr>
        <w:t xml:space="preserve"> PBAC outcome.</w:t>
      </w:r>
    </w:p>
    <w:p w14:paraId="37416325" w14:textId="77777777" w:rsidR="004513B9" w:rsidRPr="0090150D" w:rsidRDefault="004513B9" w:rsidP="004513B9">
      <w:pPr>
        <w:pStyle w:val="2-SectionHeading"/>
        <w:numPr>
          <w:ilvl w:val="0"/>
          <w:numId w:val="1"/>
        </w:numPr>
        <w:outlineLvl w:val="1"/>
      </w:pPr>
      <w:bookmarkStart w:id="13" w:name="_Hlk76381249"/>
      <w:bookmarkStart w:id="14" w:name="_Hlk76377955"/>
      <w:r w:rsidRPr="0090150D">
        <w:t>PBAC Outcome</w:t>
      </w:r>
    </w:p>
    <w:p w14:paraId="483FAEAC" w14:textId="0272C1C4" w:rsidR="002674FC" w:rsidRPr="002674FC" w:rsidRDefault="002674FC" w:rsidP="002674FC">
      <w:pPr>
        <w:widowControl w:val="0"/>
        <w:numPr>
          <w:ilvl w:val="1"/>
          <w:numId w:val="1"/>
        </w:numPr>
        <w:spacing w:after="120"/>
        <w:rPr>
          <w:sz w:val="22"/>
          <w:szCs w:val="22"/>
        </w:rPr>
      </w:pPr>
      <w:r>
        <w:t xml:space="preserve">The PBAC </w:t>
      </w:r>
      <w:r w:rsidRPr="002674FC">
        <w:t>recommended</w:t>
      </w:r>
      <w:r>
        <w:t xml:space="preserve"> the listing of pembrolizumab for the treatment of early stage triple negative breast cancer. The PBAC noted there is a high clinical need for effective treatment in this patient population, who are typically young and have a poor prognosis. The PBAC considered that the amendments made in the resubmission, including changes to the economic evaluation and a reduced price, had sufficiently addressed the Committee’s previous concerns. </w:t>
      </w:r>
    </w:p>
    <w:p w14:paraId="7840C5D0" w14:textId="23BFF908" w:rsidR="004513B9" w:rsidRPr="00CE42B4" w:rsidRDefault="002674FC" w:rsidP="004513B9">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that following its recommendation for listing of pembrolizumab for mTNBC at its March 2023 meeting, there remained a high clinical need for effective treatment in the early TNBC setting. This </w:t>
      </w:r>
      <w:proofErr w:type="gramStart"/>
      <w:r>
        <w:rPr>
          <w:rFonts w:asciiTheme="minorHAnsi" w:hAnsiTheme="minorHAnsi" w:cs="Arial"/>
          <w:snapToGrid w:val="0"/>
          <w:lang w:val="en-GB"/>
        </w:rPr>
        <w:t>was also reflected</w:t>
      </w:r>
      <w:proofErr w:type="gramEnd"/>
      <w:r>
        <w:rPr>
          <w:rFonts w:asciiTheme="minorHAnsi" w:hAnsiTheme="minorHAnsi" w:cs="Arial"/>
          <w:snapToGrid w:val="0"/>
          <w:lang w:val="en-GB"/>
        </w:rPr>
        <w:t xml:space="preserve"> in the consumer comments received in relation to the resubmission.</w:t>
      </w:r>
    </w:p>
    <w:p w14:paraId="7C90DB40" w14:textId="37CCF334" w:rsidR="00C675AE" w:rsidRDefault="00C675AE" w:rsidP="00FD429A">
      <w:pPr>
        <w:pStyle w:val="3-BodyText"/>
        <w:numPr>
          <w:ilvl w:val="1"/>
          <w:numId w:val="1"/>
        </w:numPr>
      </w:pPr>
      <w:r>
        <w:t xml:space="preserve">The PBAC </w:t>
      </w:r>
      <w:r w:rsidR="00C61842">
        <w:t xml:space="preserve">noted that the revised restriction had appropriately addressed </w:t>
      </w:r>
      <w:r>
        <w:t xml:space="preserve">its previous advice </w:t>
      </w:r>
      <w:r w:rsidR="005B6E4E">
        <w:t>(see</w:t>
      </w:r>
      <w:r w:rsidR="00C61842">
        <w:t xml:space="preserve"> paragraph </w:t>
      </w:r>
      <w:r w:rsidR="00C61842">
        <w:fldChar w:fldCharType="begin"/>
      </w:r>
      <w:r w:rsidR="00C61842">
        <w:instrText xml:space="preserve"> REF _Ref139973038 \r \h </w:instrText>
      </w:r>
      <w:r w:rsidR="00C61842">
        <w:fldChar w:fldCharType="separate"/>
      </w:r>
      <w:r w:rsidR="00AB351A">
        <w:t>3.1</w:t>
      </w:r>
      <w:r w:rsidR="00C61842">
        <w:fldChar w:fldCharType="end"/>
      </w:r>
      <w:r w:rsidR="005B6E4E">
        <w:t>)</w:t>
      </w:r>
      <w:r w:rsidR="00C61842">
        <w:t>. In addition, the PBAC considered that the restriction need not specify the patient</w:t>
      </w:r>
      <w:r w:rsidR="001122AE">
        <w:t>’</w:t>
      </w:r>
      <w:r w:rsidR="00C61842">
        <w:t>s WHO performance score</w:t>
      </w:r>
      <w:r w:rsidR="007E72DB">
        <w:t xml:space="preserve"> for patients with </w:t>
      </w:r>
      <w:proofErr w:type="gramStart"/>
      <w:r w:rsidR="007E72DB">
        <w:t>early stage</w:t>
      </w:r>
      <w:proofErr w:type="gramEnd"/>
      <w:r w:rsidR="007E72DB">
        <w:t xml:space="preserve"> disease</w:t>
      </w:r>
      <w:r w:rsidR="00C61842">
        <w:t xml:space="preserve"> and that treatment should be initiated in combination with neoadjuvant chemotherapy, consistent with use in the KN-522 trial. </w:t>
      </w:r>
      <w:r w:rsidR="004372E0">
        <w:t xml:space="preserve">The PBAC recalled that </w:t>
      </w:r>
      <w:r w:rsidR="00FD429A">
        <w:t xml:space="preserve">the restrictions for </w:t>
      </w:r>
      <w:r w:rsidR="001122AE">
        <w:t xml:space="preserve">pembrolizumab for treatment of </w:t>
      </w:r>
      <w:r w:rsidR="00FD429A">
        <w:t>mTNBC</w:t>
      </w:r>
      <w:r w:rsidR="00FD429A" w:rsidRPr="007E72DB">
        <w:t xml:space="preserve"> recommended at the March 2023 PBAC meeting </w:t>
      </w:r>
      <w:r w:rsidR="00FD429A">
        <w:t>included criteria preventing PBS-subsidised retreatment with pembrolizumab and considered that this remained appropriate.</w:t>
      </w:r>
    </w:p>
    <w:p w14:paraId="08263C3F" w14:textId="3DE6A4CF" w:rsidR="004513B9" w:rsidRPr="00CE42B4" w:rsidRDefault="002674FC" w:rsidP="004372E0">
      <w:pPr>
        <w:widowControl w:val="0"/>
        <w:numPr>
          <w:ilvl w:val="1"/>
          <w:numId w:val="1"/>
        </w:numPr>
        <w:spacing w:after="120"/>
        <w:rPr>
          <w:rFonts w:asciiTheme="minorHAnsi" w:hAnsiTheme="minorHAnsi" w:cs="Arial"/>
          <w:snapToGrid w:val="0"/>
          <w:lang w:val="en-GB"/>
        </w:rPr>
      </w:pPr>
      <w:r w:rsidRPr="009E034F">
        <w:rPr>
          <w:rFonts w:asciiTheme="minorHAnsi" w:hAnsiTheme="minorHAnsi"/>
          <w:iCs/>
          <w:snapToGrid w:val="0"/>
        </w:rPr>
        <w:t>The</w:t>
      </w:r>
      <w:r w:rsidRPr="009E034F">
        <w:rPr>
          <w:rFonts w:asciiTheme="minorHAnsi" w:hAnsiTheme="minorHAnsi"/>
          <w:snapToGrid w:val="0"/>
          <w:szCs w:val="20"/>
        </w:rPr>
        <w:t xml:space="preserve"> PBAC </w:t>
      </w:r>
      <w:r>
        <w:rPr>
          <w:rFonts w:asciiTheme="minorHAnsi" w:hAnsiTheme="minorHAnsi"/>
          <w:snapToGrid w:val="0"/>
          <w:szCs w:val="20"/>
        </w:rPr>
        <w:t>recalled it had previously accepted</w:t>
      </w:r>
      <w:r w:rsidRPr="009E034F">
        <w:rPr>
          <w:rFonts w:asciiTheme="minorHAnsi" w:hAnsiTheme="minorHAnsi"/>
          <w:snapToGrid w:val="0"/>
          <w:szCs w:val="20"/>
        </w:rPr>
        <w:t xml:space="preserve"> the claim of superior comparative effectiveness was reasonable, </w:t>
      </w:r>
      <w:r w:rsidR="00FD429A">
        <w:t xml:space="preserve">with pembrolizumab in combination with chemotherapy providing a meaningful improvement in event free survival, compared with standard chemotherapy alone, however overall survival data were immature. </w:t>
      </w:r>
      <w:r w:rsidR="004372E0">
        <w:rPr>
          <w:rFonts w:asciiTheme="minorHAnsi" w:hAnsiTheme="minorHAnsi" w:cs="Arial"/>
          <w:snapToGrid w:val="0"/>
          <w:lang w:val="en-GB"/>
        </w:rPr>
        <w:t xml:space="preserve">The PBAC noted that the resubmission did not present any additional clinical data. </w:t>
      </w:r>
      <w:r w:rsidR="005B6E4E">
        <w:rPr>
          <w:rFonts w:asciiTheme="minorHAnsi" w:hAnsiTheme="minorHAnsi" w:cs="Arial"/>
          <w:snapToGrid w:val="0"/>
          <w:lang w:val="en-GB"/>
        </w:rPr>
        <w:t xml:space="preserve">The PBAC requested that OS data from KN-522 </w:t>
      </w:r>
      <w:proofErr w:type="gramStart"/>
      <w:r w:rsidR="005B6E4E">
        <w:rPr>
          <w:rFonts w:asciiTheme="minorHAnsi" w:hAnsiTheme="minorHAnsi" w:cs="Arial"/>
          <w:snapToGrid w:val="0"/>
          <w:lang w:val="en-GB"/>
        </w:rPr>
        <w:t>be provided</w:t>
      </w:r>
      <w:proofErr w:type="gramEnd"/>
      <w:r w:rsidR="005B6E4E">
        <w:rPr>
          <w:rFonts w:asciiTheme="minorHAnsi" w:hAnsiTheme="minorHAnsi" w:cs="Arial"/>
          <w:snapToGrid w:val="0"/>
          <w:lang w:val="en-GB"/>
        </w:rPr>
        <w:t xml:space="preserve"> to the PBAC when it is available.</w:t>
      </w:r>
    </w:p>
    <w:p w14:paraId="3058C927" w14:textId="3A3155D6" w:rsidR="00DE26A6" w:rsidRDefault="00FD429A" w:rsidP="00181604">
      <w:pPr>
        <w:pStyle w:val="3-BodyText"/>
        <w:numPr>
          <w:ilvl w:val="1"/>
          <w:numId w:val="1"/>
        </w:numPr>
      </w:pPr>
      <w:bookmarkStart w:id="15" w:name="_Ref139984738"/>
      <w:r>
        <w:t xml:space="preserve">The PBAC noted that the resubmission </w:t>
      </w:r>
      <w:r w:rsidR="002476BB">
        <w:t xml:space="preserve">appropriately </w:t>
      </w:r>
      <w:r>
        <w:t xml:space="preserve">addressed </w:t>
      </w:r>
      <w:r w:rsidR="002476BB">
        <w:t xml:space="preserve">the PBAC’s concerns regarding the economic model in terms of the time horizon, revision of terminal care costs, and adjustment of </w:t>
      </w:r>
      <w:r w:rsidR="00183C0E">
        <w:t xml:space="preserve">the </w:t>
      </w:r>
      <w:r w:rsidR="002476BB">
        <w:t xml:space="preserve">costs and outcomes to include adjuvant capecitabine. </w:t>
      </w:r>
      <w:r>
        <w:t xml:space="preserve">The </w:t>
      </w:r>
      <w:r w:rsidR="002476BB">
        <w:t xml:space="preserve">PBAC noted that the </w:t>
      </w:r>
      <w:r>
        <w:t>resubmission</w:t>
      </w:r>
      <w:r w:rsidR="002476BB">
        <w:t>’s revised model</w:t>
      </w:r>
      <w:r>
        <w:t xml:space="preserve"> applied </w:t>
      </w:r>
      <w:r w:rsidR="002476BB">
        <w:t xml:space="preserve">waning from </w:t>
      </w:r>
      <w:r>
        <w:t xml:space="preserve">5.5 years, rather than 5 years as requested by the PBAC. </w:t>
      </w:r>
      <w:r w:rsidR="00DE26A6">
        <w:t>The PBAC recalled it considered it was not clinically plausible for the EFS increment to continue to increase beyond 5 years</w:t>
      </w:r>
      <w:r w:rsidR="00DE26A6" w:rsidRPr="00BD7728">
        <w:t xml:space="preserve"> </w:t>
      </w:r>
      <w:r w:rsidR="00DE26A6">
        <w:t xml:space="preserve">as the vast majority of TNBC relapse occurs within the first 5 years. </w:t>
      </w:r>
      <w:r>
        <w:t xml:space="preserve">The resubmission argued that </w:t>
      </w:r>
      <w:r w:rsidR="00DE26A6">
        <w:t>applying waning from 5.5 years</w:t>
      </w:r>
      <w:r>
        <w:t xml:space="preserve"> was reasonable and conservative as pembrolizumab is likely to extend the time to relapse compared with standard care. </w:t>
      </w:r>
      <w:r w:rsidR="00DE26A6">
        <w:t xml:space="preserve">The PBAC considered that application of waning from 5.5 years was acceptable, based </w:t>
      </w:r>
      <w:r w:rsidR="00DE26A6">
        <w:lastRenderedPageBreak/>
        <w:t xml:space="preserve">on the </w:t>
      </w:r>
      <w:r w:rsidR="001122AE">
        <w:t xml:space="preserve">modelled </w:t>
      </w:r>
      <w:r w:rsidR="00DE26A6">
        <w:t>difference</w:t>
      </w:r>
      <w:r w:rsidR="00061CD5">
        <w:t>s</w:t>
      </w:r>
      <w:r w:rsidR="00DE26A6">
        <w:t xml:space="preserve"> in OS and PFS </w:t>
      </w:r>
      <w:r w:rsidR="001122AE">
        <w:t>at the end of the 30-year time horizon</w:t>
      </w:r>
      <w:r w:rsidR="005B6E4E">
        <w:t>,</w:t>
      </w:r>
      <w:r w:rsidR="001122AE">
        <w:t xml:space="preserve"> which appeared </w:t>
      </w:r>
      <w:r w:rsidR="00183C0E">
        <w:t>plausible</w:t>
      </w:r>
      <w:r w:rsidR="001122AE">
        <w:t>.</w:t>
      </w:r>
      <w:bookmarkEnd w:id="15"/>
      <w:r w:rsidR="00DE26A6">
        <w:t xml:space="preserve"> </w:t>
      </w:r>
    </w:p>
    <w:p w14:paraId="20BA79DA" w14:textId="6C8C0B09" w:rsidR="001122AE" w:rsidRPr="005B6E4E" w:rsidRDefault="001122AE" w:rsidP="007E72DB">
      <w:pPr>
        <w:pStyle w:val="3-BodyText"/>
        <w:numPr>
          <w:ilvl w:val="1"/>
          <w:numId w:val="1"/>
        </w:numPr>
      </w:pPr>
      <w:r w:rsidRPr="001122AE">
        <w:rPr>
          <w:snapToGrid w:val="0"/>
          <w:lang w:val="en-GB"/>
        </w:rPr>
        <w:t xml:space="preserve">The PBAC </w:t>
      </w:r>
      <w:r>
        <w:rPr>
          <w:snapToGrid w:val="0"/>
          <w:lang w:val="en-GB"/>
        </w:rPr>
        <w:t xml:space="preserve">previously </w:t>
      </w:r>
      <w:r w:rsidRPr="001122AE">
        <w:rPr>
          <w:snapToGrid w:val="0"/>
          <w:lang w:val="en-GB"/>
        </w:rPr>
        <w:t xml:space="preserve">considered that with the </w:t>
      </w:r>
      <w:r>
        <w:rPr>
          <w:snapToGrid w:val="0"/>
          <w:lang w:val="en-GB"/>
        </w:rPr>
        <w:t>specified</w:t>
      </w:r>
      <w:r w:rsidRPr="001122AE">
        <w:rPr>
          <w:snapToGrid w:val="0"/>
          <w:lang w:val="en-GB"/>
        </w:rPr>
        <w:t xml:space="preserve"> revisions to the economic model </w:t>
      </w:r>
      <w:r>
        <w:rPr>
          <w:snapToGrid w:val="0"/>
          <w:lang w:val="en-GB"/>
        </w:rPr>
        <w:t>(</w:t>
      </w:r>
      <w:r w:rsidR="005B6E4E">
        <w:rPr>
          <w:snapToGrid w:val="0"/>
          <w:lang w:val="en-GB"/>
        </w:rPr>
        <w:t xml:space="preserve">as per </w:t>
      </w:r>
      <w:r>
        <w:rPr>
          <w:snapToGrid w:val="0"/>
          <w:lang w:val="en-GB"/>
        </w:rPr>
        <w:t xml:space="preserve">paragraph 7.12 pembrolizumab </w:t>
      </w:r>
      <w:r w:rsidR="00C44929">
        <w:rPr>
          <w:snapToGrid w:val="0"/>
          <w:lang w:val="en-GB"/>
        </w:rPr>
        <w:t>PSD</w:t>
      </w:r>
      <w:r>
        <w:rPr>
          <w:snapToGrid w:val="0"/>
          <w:lang w:val="en-GB"/>
        </w:rPr>
        <w:t xml:space="preserve">, March 2023 PBAC meeting) </w:t>
      </w:r>
      <w:r w:rsidRPr="001122AE">
        <w:rPr>
          <w:snapToGrid w:val="0"/>
          <w:lang w:val="en-GB"/>
        </w:rPr>
        <w:t xml:space="preserve">pembrolizumab would be </w:t>
      </w:r>
      <w:proofErr w:type="gramStart"/>
      <w:r w:rsidRPr="001122AE">
        <w:rPr>
          <w:snapToGrid w:val="0"/>
          <w:lang w:val="en-GB"/>
        </w:rPr>
        <w:t>acceptably cost-effective</w:t>
      </w:r>
      <w:proofErr w:type="gramEnd"/>
      <w:r w:rsidRPr="001122AE">
        <w:rPr>
          <w:snapToGrid w:val="0"/>
          <w:lang w:val="en-GB"/>
        </w:rPr>
        <w:t xml:space="preserve"> at a price that gives an ICER of less than $35,</w:t>
      </w:r>
      <w:r w:rsidRPr="009215AC">
        <w:rPr>
          <w:snapToGrid w:val="0"/>
          <w:lang w:val="en-GB"/>
        </w:rPr>
        <w:t xml:space="preserve">000 per QALY. </w:t>
      </w:r>
      <w:r w:rsidRPr="009215AC">
        <w:t>The resubmission proposed a revised price for pembrolizumab of $</w:t>
      </w:r>
      <w:r w:rsidR="00F678E8" w:rsidRPr="009215AC">
        <w:t xml:space="preserve"> </w:t>
      </w:r>
      <w:proofErr w:type="gramStart"/>
      <w:r w:rsidR="009215AC" w:rsidRPr="00AB351A">
        <w:rPr>
          <w:color w:val="000000"/>
          <w:w w:val="15"/>
          <w:shd w:val="solid" w:color="000000" w:fill="000000"/>
          <w:fitText w:val="-20" w:id="-1168380414"/>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14"/>
          <w14:textFill>
            <w14:solidFill>
              <w14:srgbClr w14:val="000000">
                <w14:alpha w14:val="100000"/>
              </w14:srgbClr>
            </w14:solidFill>
          </w14:textFill>
        </w:rPr>
        <w:t>|</w:t>
      </w:r>
      <w:proofErr w:type="gramEnd"/>
      <w:r w:rsidRPr="009215AC">
        <w:t xml:space="preserve"> AEMP per 100 mg vial, resulting in an ICER of $</w:t>
      </w:r>
      <w:r w:rsidR="00432B4B" w:rsidRPr="009215AC">
        <w:t>35,000 to &lt; $45,000</w:t>
      </w:r>
      <w:r w:rsidRPr="009215AC">
        <w:t>/QALY gained</w:t>
      </w:r>
      <w:r w:rsidR="005C12A9" w:rsidRPr="009215AC">
        <w:t xml:space="preserve"> with revisions to the economic model </w:t>
      </w:r>
      <w:r w:rsidR="005B6E4E" w:rsidRPr="009215AC">
        <w:t xml:space="preserve">as per paragraph </w:t>
      </w:r>
      <w:r w:rsidR="005B6E4E" w:rsidRPr="009215AC">
        <w:fldChar w:fldCharType="begin"/>
      </w:r>
      <w:r w:rsidR="005B6E4E" w:rsidRPr="009215AC">
        <w:instrText xml:space="preserve"> REF _Ref139984738 \r \h </w:instrText>
      </w:r>
      <w:r w:rsidR="009215AC">
        <w:instrText xml:space="preserve"> \* MERGEFORMAT </w:instrText>
      </w:r>
      <w:r w:rsidR="005B6E4E" w:rsidRPr="009215AC">
        <w:fldChar w:fldCharType="separate"/>
      </w:r>
      <w:r w:rsidR="00AB351A">
        <w:t>5.5</w:t>
      </w:r>
      <w:r w:rsidR="005B6E4E" w:rsidRPr="009215AC">
        <w:fldChar w:fldCharType="end"/>
      </w:r>
      <w:r w:rsidRPr="009215AC">
        <w:t>. The PBAC noted that th</w:t>
      </w:r>
      <w:r w:rsidR="00AC4E81" w:rsidRPr="009215AC">
        <w:t>e requested price</w:t>
      </w:r>
      <w:r w:rsidRPr="009215AC">
        <w:t xml:space="preserve"> </w:t>
      </w:r>
      <w:r w:rsidR="005B6E4E" w:rsidRPr="009215AC">
        <w:t xml:space="preserve">was below the price considered cost effective </w:t>
      </w:r>
      <w:r w:rsidR="00B5753F" w:rsidRPr="009215AC">
        <w:t>in the</w:t>
      </w:r>
      <w:r w:rsidR="005B6E4E" w:rsidRPr="009215AC">
        <w:t xml:space="preserve"> mTNBC</w:t>
      </w:r>
      <w:r w:rsidR="00B5753F" w:rsidRPr="009215AC">
        <w:t xml:space="preserve"> setting</w:t>
      </w:r>
      <w:r w:rsidR="005B6E4E" w:rsidRPr="009215AC">
        <w:t xml:space="preserve"> ($</w:t>
      </w:r>
      <w:r w:rsidR="00F678E8" w:rsidRPr="009215AC">
        <w:t xml:space="preserve"> </w:t>
      </w:r>
      <w:proofErr w:type="gramStart"/>
      <w:r w:rsidR="009215AC" w:rsidRPr="00AB351A">
        <w:rPr>
          <w:color w:val="000000"/>
          <w:w w:val="15"/>
          <w:shd w:val="solid" w:color="000000" w:fill="000000"/>
          <w:fitText w:val="-20" w:id="-1168380413"/>
          <w14:textFill>
            <w14:solidFill>
              <w14:srgbClr w14:val="000000">
                <w14:alpha w14:val="100000"/>
              </w14:srgbClr>
            </w14:solidFill>
          </w14:textFill>
        </w:rPr>
        <w:t xml:space="preserve">|  </w:t>
      </w:r>
      <w:r w:rsidR="009215AC" w:rsidRPr="00AB351A">
        <w:rPr>
          <w:color w:val="000000"/>
          <w:spacing w:val="-69"/>
          <w:w w:val="15"/>
          <w:shd w:val="solid" w:color="000000" w:fill="000000"/>
          <w:fitText w:val="-20" w:id="-1168380413"/>
          <w14:textFill>
            <w14:solidFill>
              <w14:srgbClr w14:val="000000">
                <w14:alpha w14:val="100000"/>
              </w14:srgbClr>
            </w14:solidFill>
          </w14:textFill>
        </w:rPr>
        <w:t>|</w:t>
      </w:r>
      <w:proofErr w:type="gramEnd"/>
      <w:r w:rsidR="005B6E4E" w:rsidRPr="009215AC">
        <w:t>)</w:t>
      </w:r>
      <w:r w:rsidR="00E94CE1" w:rsidRPr="009215AC">
        <w:t>, in keeping with the broader patient population</w:t>
      </w:r>
      <w:r w:rsidR="00AC4E81" w:rsidRPr="009215AC">
        <w:t xml:space="preserve"> in the earlier setting</w:t>
      </w:r>
      <w:r w:rsidR="00061CD5" w:rsidRPr="009215AC">
        <w:t xml:space="preserve"> and the necessary extensive extrapolation of the clinical data in the economic model</w:t>
      </w:r>
      <w:r w:rsidR="005B6E4E" w:rsidRPr="009215AC">
        <w:t>. The PBAC considered</w:t>
      </w:r>
      <w:r w:rsidR="005B6E4E">
        <w:t xml:space="preserve"> that at the price proposed, the ICER was within an acceptably cost-effective range for the early TNBC setting.</w:t>
      </w:r>
    </w:p>
    <w:p w14:paraId="054D533B" w14:textId="087C32C3" w:rsidR="002674FC" w:rsidRDefault="00AC4E81" w:rsidP="004513B9">
      <w:pPr>
        <w:widowControl w:val="0"/>
        <w:numPr>
          <w:ilvl w:val="1"/>
          <w:numId w:val="1"/>
        </w:numPr>
        <w:spacing w:after="120"/>
      </w:pPr>
      <w:r>
        <w:rPr>
          <w:lang w:eastAsia="en-US"/>
        </w:rPr>
        <w:t xml:space="preserve">The PBAC noted the resubmission revised the financial estimates to </w:t>
      </w:r>
      <w:r w:rsidR="00404A6C" w:rsidRPr="002F7607">
        <w:t>appl</w:t>
      </w:r>
      <w:r w:rsidR="00404A6C">
        <w:t>y</w:t>
      </w:r>
      <w:r w:rsidR="00404A6C" w:rsidRPr="002F7607">
        <w:t xml:space="preserve"> the </w:t>
      </w:r>
      <w:r w:rsidR="00404A6C">
        <w:t>revised</w:t>
      </w:r>
      <w:r w:rsidR="00404A6C" w:rsidRPr="002F7607">
        <w:t xml:space="preserve"> effective price</w:t>
      </w:r>
      <w:r w:rsidR="00404A6C">
        <w:t>,</w:t>
      </w:r>
      <w:r w:rsidR="00404A6C">
        <w:rPr>
          <w:lang w:eastAsia="en-US"/>
        </w:rPr>
        <w:t xml:space="preserve"> </w:t>
      </w:r>
      <w:r>
        <w:rPr>
          <w:lang w:eastAsia="en-US"/>
        </w:rPr>
        <w:t xml:space="preserve">remove the </w:t>
      </w:r>
      <w:r w:rsidRPr="002F7607">
        <w:t>prevalent population from the eligible pool</w:t>
      </w:r>
      <w:r w:rsidR="00404A6C">
        <w:t>,</w:t>
      </w:r>
      <w:r>
        <w:t xml:space="preserve"> and set the </w:t>
      </w:r>
      <w:r w:rsidRPr="002F7607">
        <w:t xml:space="preserve">proportion of patients receiving adjuvant treatment </w:t>
      </w:r>
      <w:r>
        <w:t>to</w:t>
      </w:r>
      <w:r w:rsidRPr="002F7607">
        <w:t xml:space="preserve"> 75%</w:t>
      </w:r>
      <w:r>
        <w:t xml:space="preserve">, </w:t>
      </w:r>
      <w:r>
        <w:rPr>
          <w:lang w:eastAsia="en-US"/>
        </w:rPr>
        <w:t xml:space="preserve">in line with the PBAC’s advice. </w:t>
      </w:r>
      <w:r>
        <w:t xml:space="preserve">The PBAC considered that these changes were appropriate. </w:t>
      </w:r>
      <w:r w:rsidR="00CD6A28">
        <w:t xml:space="preserve">In addition to these changes the resubmission increased the </w:t>
      </w:r>
      <w:r w:rsidR="00CD6A28" w:rsidRPr="002F7607">
        <w:t xml:space="preserve">number of patients eligible for grandfathering </w:t>
      </w:r>
      <w:r w:rsidR="00CD6A28">
        <w:t xml:space="preserve">from </w:t>
      </w:r>
      <w:r w:rsidR="00432B4B">
        <w:t>&lt;500</w:t>
      </w:r>
      <w:r w:rsidR="00CD6A28">
        <w:t xml:space="preserve"> to</w:t>
      </w:r>
      <w:r w:rsidR="00CD6A28" w:rsidRPr="002F7607">
        <w:t xml:space="preserve"> 500</w:t>
      </w:r>
      <w:r w:rsidR="00432B4B">
        <w:t xml:space="preserve"> to &lt; 5,000</w:t>
      </w:r>
      <w:r w:rsidR="00CD6A28" w:rsidRPr="002F7607">
        <w:t xml:space="preserve">. </w:t>
      </w:r>
      <w:r w:rsidR="002674FC">
        <w:t xml:space="preserve">The PBAC considered the financial estimates should be revised to </w:t>
      </w:r>
      <w:r>
        <w:t>reflect</w:t>
      </w:r>
      <w:r w:rsidR="002674FC">
        <w:t xml:space="preserve"> the same number of pembrolizumab treatment cycles as </w:t>
      </w:r>
      <w:r w:rsidR="00404A6C">
        <w:t>in</w:t>
      </w:r>
      <w:r w:rsidR="002674FC">
        <w:t xml:space="preserve"> the economic model</w:t>
      </w:r>
      <w:r w:rsidR="00404A6C">
        <w:t xml:space="preserve">. The PBAC also considered that the net financial impact should be revised </w:t>
      </w:r>
      <w:r w:rsidR="002674FC">
        <w:t>to account for offsets due to reduced use of pembrolizumab in the metastatic setting</w:t>
      </w:r>
      <w:r w:rsidR="00404A6C">
        <w:t xml:space="preserve">, assuming </w:t>
      </w:r>
      <w:r w:rsidR="00344F58">
        <w:t xml:space="preserve">an additional </w:t>
      </w:r>
      <w:r w:rsidR="00404A6C">
        <w:t xml:space="preserve">8% </w:t>
      </w:r>
      <w:r w:rsidR="005E5681">
        <w:t xml:space="preserve">of </w:t>
      </w:r>
      <w:r w:rsidR="00404A6C">
        <w:t xml:space="preserve">patients </w:t>
      </w:r>
      <w:r w:rsidR="00344F58">
        <w:t xml:space="preserve">are </w:t>
      </w:r>
      <w:r w:rsidR="00404A6C">
        <w:t>cured in the early setting</w:t>
      </w:r>
      <w:r w:rsidR="00344F58">
        <w:t xml:space="preserve"> with pembrolizumab</w:t>
      </w:r>
      <w:r w:rsidR="00404A6C">
        <w:t xml:space="preserve"> </w:t>
      </w:r>
      <w:r w:rsidR="0042321D">
        <w:t xml:space="preserve">(based on the difference in </w:t>
      </w:r>
      <w:r w:rsidR="00DD0E9F">
        <w:t>E</w:t>
      </w:r>
      <w:r w:rsidR="0042321D">
        <w:t xml:space="preserve">FS at 36 months in KN-522) </w:t>
      </w:r>
      <w:r w:rsidR="00404A6C">
        <w:t xml:space="preserve">and at least 16% who have relapsed following eTNBC treatment </w:t>
      </w:r>
      <w:r w:rsidR="00BE79AA">
        <w:t xml:space="preserve">and </w:t>
      </w:r>
      <w:r w:rsidR="005E5681">
        <w:t>would</w:t>
      </w:r>
      <w:r w:rsidR="00404A6C">
        <w:t xml:space="preserve"> not</w:t>
      </w:r>
      <w:r w:rsidR="005E5681">
        <w:t xml:space="preserve"> be</w:t>
      </w:r>
      <w:r w:rsidR="00404A6C">
        <w:t xml:space="preserve"> eligible for retreatment with pembrolizumab</w:t>
      </w:r>
      <w:r w:rsidR="00BE79AA">
        <w:t xml:space="preserve"> (based on progression events in the pembrolizumab arm of KN-522 at 36 months)</w:t>
      </w:r>
      <w:r w:rsidR="002674FC">
        <w:t xml:space="preserve">. </w:t>
      </w:r>
    </w:p>
    <w:p w14:paraId="78376814" w14:textId="19AAAD9E" w:rsidR="00AC4E81" w:rsidRDefault="0042321D" w:rsidP="004513B9">
      <w:pPr>
        <w:widowControl w:val="0"/>
        <w:numPr>
          <w:ilvl w:val="1"/>
          <w:numId w:val="1"/>
        </w:numPr>
        <w:spacing w:after="120"/>
      </w:pPr>
      <w:r>
        <w:t xml:space="preserve">The PBAC noted the sponsor proposed a risk sharing arrangement including use in both </w:t>
      </w:r>
      <w:proofErr w:type="gramStart"/>
      <w:r>
        <w:t>early stage</w:t>
      </w:r>
      <w:proofErr w:type="gramEnd"/>
      <w:r>
        <w:t xml:space="preserve"> </w:t>
      </w:r>
      <w:r w:rsidR="00115B92">
        <w:t xml:space="preserve">disease </w:t>
      </w:r>
      <w:r>
        <w:t xml:space="preserve">and metastatic </w:t>
      </w:r>
      <w:r w:rsidR="00115B92">
        <w:t>disease</w:t>
      </w:r>
      <w:r>
        <w:t xml:space="preserve">. </w:t>
      </w:r>
      <w:r w:rsidR="002674FC">
        <w:t xml:space="preserve">The PBAC considered a risk sharing </w:t>
      </w:r>
      <w:r w:rsidR="00BF6D81">
        <w:t>arrangement</w:t>
      </w:r>
      <w:r>
        <w:t xml:space="preserve"> with a 100% rebate on utilisation above agreed caps</w:t>
      </w:r>
      <w:r w:rsidR="00BF6D81">
        <w:t xml:space="preserve"> </w:t>
      </w:r>
      <w:r w:rsidR="00740688">
        <w:t>would</w:t>
      </w:r>
      <w:r w:rsidR="00404A6C">
        <w:t xml:space="preserve"> be appropriate </w:t>
      </w:r>
      <w:r w:rsidR="00740688">
        <w:t>to address uncertainty in estimating the overall cost to the PBS</w:t>
      </w:r>
      <w:r w:rsidR="000B51FF">
        <w:t xml:space="preserve"> across both </w:t>
      </w:r>
      <w:proofErr w:type="gramStart"/>
      <w:r w:rsidR="000B51FF">
        <w:t>early stage</w:t>
      </w:r>
      <w:proofErr w:type="gramEnd"/>
      <w:r w:rsidR="000B51FF">
        <w:t xml:space="preserve"> </w:t>
      </w:r>
      <w:r w:rsidR="00115B92">
        <w:t xml:space="preserve">disease </w:t>
      </w:r>
      <w:r w:rsidR="000B51FF">
        <w:t xml:space="preserve">and metastatic </w:t>
      </w:r>
      <w:r w:rsidR="00115B92">
        <w:t xml:space="preserve">disease </w:t>
      </w:r>
      <w:r w:rsidR="00B30B21">
        <w:t xml:space="preserve">and the potential for use </w:t>
      </w:r>
      <w:r w:rsidR="00BF6D81">
        <w:t>outside the proposed restrictions (e.g. retreatment in metastatic</w:t>
      </w:r>
      <w:r w:rsidR="00FA27D5">
        <w:t xml:space="preserve"> or advanced </w:t>
      </w:r>
      <w:r w:rsidR="00115B92">
        <w:t>disease</w:t>
      </w:r>
      <w:r w:rsidR="00BF6D81">
        <w:t>) where cost-effectiveness has not been established</w:t>
      </w:r>
      <w:r w:rsidR="00740688">
        <w:t xml:space="preserve">. </w:t>
      </w:r>
    </w:p>
    <w:p w14:paraId="3A9434A4" w14:textId="090FB085" w:rsidR="004513B9" w:rsidRPr="00AD44DC" w:rsidRDefault="004513B9" w:rsidP="00AD44DC">
      <w:pPr>
        <w:widowControl w:val="0"/>
        <w:numPr>
          <w:ilvl w:val="1"/>
          <w:numId w:val="1"/>
        </w:numPr>
        <w:spacing w:after="120"/>
        <w:rPr>
          <w:rFonts w:asciiTheme="minorHAnsi" w:hAnsiTheme="minorHAnsi" w:cs="Arial"/>
          <w:bCs/>
          <w:snapToGrid w:val="0"/>
          <w:lang w:val="en-GB"/>
        </w:rPr>
      </w:pPr>
      <w:r w:rsidRPr="00AD44DC">
        <w:rPr>
          <w:rFonts w:asciiTheme="minorHAnsi" w:hAnsiTheme="minorHAnsi" w:cs="Arial"/>
          <w:bCs/>
          <w:snapToGrid w:val="0"/>
          <w:lang w:val="en-GB"/>
        </w:rPr>
        <w:t xml:space="preserve">The PBAC found that the criteria prescribed by the National Health (Pharmaceuticals and Vaccines – Cost Recovery) Regulations 2022 for Pricing Pathway A </w:t>
      </w:r>
      <w:proofErr w:type="gramStart"/>
      <w:r w:rsidRPr="00AD44DC">
        <w:rPr>
          <w:rFonts w:asciiTheme="minorHAnsi" w:hAnsiTheme="minorHAnsi" w:cs="Arial"/>
          <w:bCs/>
          <w:snapToGrid w:val="0"/>
          <w:lang w:val="en-GB"/>
        </w:rPr>
        <w:t>were met</w:t>
      </w:r>
      <w:proofErr w:type="gramEnd"/>
      <w:r w:rsidRPr="00AD44DC">
        <w:rPr>
          <w:rFonts w:asciiTheme="minorHAnsi" w:hAnsiTheme="minorHAnsi" w:cs="Arial"/>
          <w:bCs/>
          <w:snapToGrid w:val="0"/>
          <w:lang w:val="en-GB"/>
        </w:rPr>
        <w:t>. Specifically</w:t>
      </w:r>
      <w:r w:rsidR="00AD44DC">
        <w:rPr>
          <w:rFonts w:asciiTheme="minorHAnsi" w:hAnsiTheme="minorHAnsi" w:cs="Arial"/>
          <w:bCs/>
          <w:snapToGrid w:val="0"/>
          <w:lang w:val="en-GB"/>
        </w:rPr>
        <w:t>,</w:t>
      </w:r>
      <w:r w:rsidRPr="00AD44DC">
        <w:rPr>
          <w:rFonts w:asciiTheme="minorHAnsi" w:hAnsiTheme="minorHAnsi" w:cs="Arial"/>
          <w:bCs/>
          <w:snapToGrid w:val="0"/>
          <w:lang w:val="en-GB"/>
        </w:rPr>
        <w:t xml:space="preserve"> the PBAC found that in the circumstances of its recommendation for </w:t>
      </w:r>
      <w:r w:rsidR="001F2FB4" w:rsidRPr="00AD44DC">
        <w:rPr>
          <w:rFonts w:asciiTheme="minorHAnsi" w:hAnsiTheme="minorHAnsi" w:cs="Arial"/>
          <w:bCs/>
          <w:snapToGrid w:val="0"/>
          <w:lang w:val="en-GB"/>
        </w:rPr>
        <w:t>pembrolizumab</w:t>
      </w:r>
      <w:r w:rsidRPr="00AD44DC">
        <w:rPr>
          <w:rFonts w:asciiTheme="minorHAnsi" w:hAnsiTheme="minorHAnsi" w:cs="Arial"/>
          <w:bCs/>
          <w:snapToGrid w:val="0"/>
          <w:lang w:val="en-GB"/>
        </w:rPr>
        <w:t>:</w:t>
      </w:r>
    </w:p>
    <w:p w14:paraId="62B45576" w14:textId="6FE37484" w:rsidR="004513B9" w:rsidRPr="00763DFB" w:rsidRDefault="004513B9" w:rsidP="004513B9">
      <w:pPr>
        <w:widowControl w:val="0"/>
        <w:numPr>
          <w:ilvl w:val="1"/>
          <w:numId w:val="33"/>
        </w:numPr>
        <w:spacing w:after="120"/>
        <w:rPr>
          <w:rFonts w:asciiTheme="minorHAnsi" w:hAnsiTheme="minorHAnsi" w:cstheme="minorHAnsi"/>
          <w:lang w:val="en-GB"/>
        </w:rPr>
      </w:pPr>
      <w:r w:rsidRPr="00763DFB">
        <w:rPr>
          <w:rFonts w:asciiTheme="minorHAnsi" w:hAnsiTheme="minorHAnsi" w:cstheme="minorHAnsi"/>
          <w:lang w:val="en-GB"/>
        </w:rPr>
        <w:t>The treatment is expected to provide a substantial and clinically relevant improvement in efficacy</w:t>
      </w:r>
      <w:r w:rsidR="001F2FB4">
        <w:rPr>
          <w:rFonts w:asciiTheme="minorHAnsi" w:hAnsiTheme="minorHAnsi" w:cstheme="minorHAnsi"/>
          <w:lang w:val="en-GB"/>
        </w:rPr>
        <w:t xml:space="preserve"> </w:t>
      </w:r>
      <w:r w:rsidRPr="00763DFB">
        <w:rPr>
          <w:rFonts w:asciiTheme="minorHAnsi" w:hAnsiTheme="minorHAnsi" w:cstheme="minorHAnsi"/>
          <w:lang w:val="en-GB"/>
        </w:rPr>
        <w:t xml:space="preserve">over </w:t>
      </w:r>
      <w:r w:rsidR="001F2FB4">
        <w:rPr>
          <w:rFonts w:asciiTheme="minorHAnsi" w:hAnsiTheme="minorHAnsi" w:cstheme="minorHAnsi"/>
          <w:lang w:val="en-GB"/>
        </w:rPr>
        <w:t xml:space="preserve">chemotherapy alone in terms of pCR, EFS and potentially </w:t>
      </w:r>
      <w:proofErr w:type="gramStart"/>
      <w:r w:rsidR="001F2FB4">
        <w:rPr>
          <w:rFonts w:asciiTheme="minorHAnsi" w:hAnsiTheme="minorHAnsi" w:cstheme="minorHAnsi"/>
          <w:lang w:val="en-GB"/>
        </w:rPr>
        <w:lastRenderedPageBreak/>
        <w:t>OS</w:t>
      </w:r>
      <w:r w:rsidRPr="00763DFB">
        <w:rPr>
          <w:rFonts w:asciiTheme="minorHAnsi" w:hAnsiTheme="minorHAnsi" w:cstheme="minorHAnsi"/>
          <w:lang w:val="en-GB"/>
        </w:rPr>
        <w:t>;</w:t>
      </w:r>
      <w:proofErr w:type="gramEnd"/>
      <w:r w:rsidRPr="00763DFB">
        <w:rPr>
          <w:rFonts w:asciiTheme="minorHAnsi" w:hAnsiTheme="minorHAnsi" w:cstheme="minorHAnsi"/>
          <w:lang w:val="en-GB"/>
        </w:rPr>
        <w:t xml:space="preserve"> </w:t>
      </w:r>
    </w:p>
    <w:p w14:paraId="3B3F808F" w14:textId="6380AC48" w:rsidR="004513B9" w:rsidRPr="00763DFB" w:rsidRDefault="004513B9" w:rsidP="004513B9">
      <w:pPr>
        <w:widowControl w:val="0"/>
        <w:numPr>
          <w:ilvl w:val="1"/>
          <w:numId w:val="33"/>
        </w:numPr>
        <w:spacing w:after="120"/>
        <w:rPr>
          <w:rFonts w:asciiTheme="minorHAnsi" w:hAnsiTheme="minorHAnsi" w:cstheme="minorHAnsi"/>
          <w:lang w:val="en-GB"/>
        </w:rPr>
      </w:pPr>
      <w:r w:rsidRPr="00763DFB">
        <w:rPr>
          <w:rFonts w:asciiTheme="minorHAnsi" w:hAnsiTheme="minorHAnsi" w:cstheme="minorHAnsi"/>
          <w:lang w:val="en-GB"/>
        </w:rPr>
        <w:t xml:space="preserve">The treatment </w:t>
      </w:r>
      <w:proofErr w:type="gramStart"/>
      <w:r w:rsidRPr="00763DFB">
        <w:rPr>
          <w:rFonts w:asciiTheme="minorHAnsi" w:hAnsiTheme="minorHAnsi" w:cstheme="minorHAnsi"/>
          <w:lang w:val="en-GB"/>
        </w:rPr>
        <w:t>is expected</w:t>
      </w:r>
      <w:proofErr w:type="gramEnd"/>
      <w:r w:rsidRPr="00763DFB">
        <w:rPr>
          <w:rFonts w:asciiTheme="minorHAnsi" w:hAnsiTheme="minorHAnsi" w:cstheme="minorHAnsi"/>
          <w:lang w:val="en-GB"/>
        </w:rPr>
        <w:t xml:space="preserve"> to address a high and urgent unmet clinical need </w:t>
      </w:r>
      <w:r w:rsidR="001F2FB4">
        <w:rPr>
          <w:rFonts w:asciiTheme="minorHAnsi" w:hAnsiTheme="minorHAnsi" w:cstheme="minorHAnsi"/>
          <w:lang w:val="en-GB"/>
        </w:rPr>
        <w:t>as there are currently no immunotherapies listed on the PBS for treatment of eTNBC</w:t>
      </w:r>
      <w:r w:rsidRPr="00763DFB">
        <w:rPr>
          <w:rFonts w:asciiTheme="minorHAnsi" w:hAnsiTheme="minorHAnsi" w:cstheme="minorHAnsi"/>
          <w:lang w:val="en-GB"/>
        </w:rPr>
        <w:t>;</w:t>
      </w:r>
      <w:r w:rsidR="001F2FB4">
        <w:rPr>
          <w:rFonts w:asciiTheme="minorHAnsi" w:hAnsiTheme="minorHAnsi" w:cstheme="minorHAnsi"/>
          <w:lang w:val="en-GB"/>
        </w:rPr>
        <w:t xml:space="preserve"> and</w:t>
      </w:r>
    </w:p>
    <w:p w14:paraId="131A41FB" w14:textId="6E9AFEDB" w:rsidR="004513B9" w:rsidRPr="00763DFB" w:rsidRDefault="004513B9" w:rsidP="004513B9">
      <w:pPr>
        <w:widowControl w:val="0"/>
        <w:numPr>
          <w:ilvl w:val="1"/>
          <w:numId w:val="33"/>
        </w:numPr>
        <w:spacing w:after="120"/>
        <w:rPr>
          <w:rFonts w:asciiTheme="minorHAnsi" w:hAnsiTheme="minorHAnsi" w:cstheme="minorHAnsi"/>
          <w:lang w:val="en-GB"/>
        </w:rPr>
      </w:pPr>
      <w:r w:rsidRPr="00763DFB">
        <w:rPr>
          <w:rFonts w:asciiTheme="minorHAnsi" w:hAnsiTheme="minorHAnsi" w:cstheme="minorHAnsi"/>
          <w:lang w:val="en-GB"/>
        </w:rPr>
        <w:t xml:space="preserve">It would be in the public interest for the subsequent pricing application to be progressed under Pricing Pathway </w:t>
      </w:r>
      <w:proofErr w:type="gramStart"/>
      <w:r w:rsidRPr="00763DFB">
        <w:rPr>
          <w:rFonts w:asciiTheme="minorHAnsi" w:hAnsiTheme="minorHAnsi" w:cstheme="minorHAnsi"/>
          <w:lang w:val="en-GB"/>
        </w:rPr>
        <w:t>A on the basis of</w:t>
      </w:r>
      <w:proofErr w:type="gramEnd"/>
      <w:r w:rsidRPr="00763DFB">
        <w:rPr>
          <w:rFonts w:asciiTheme="minorHAnsi" w:hAnsiTheme="minorHAnsi" w:cstheme="minorHAnsi"/>
          <w:lang w:val="en-GB"/>
        </w:rPr>
        <w:t xml:space="preserve"> the preceding findings</w:t>
      </w:r>
      <w:r w:rsidR="005E5681">
        <w:rPr>
          <w:rFonts w:asciiTheme="minorHAnsi" w:hAnsiTheme="minorHAnsi" w:cstheme="minorHAnsi"/>
          <w:lang w:val="en-GB"/>
        </w:rPr>
        <w:t>.</w:t>
      </w:r>
      <w:r w:rsidRPr="00763DFB">
        <w:rPr>
          <w:rFonts w:asciiTheme="minorHAnsi" w:hAnsiTheme="minorHAnsi" w:cstheme="minorHAnsi"/>
          <w:lang w:val="en-GB"/>
        </w:rPr>
        <w:t xml:space="preserve"> </w:t>
      </w:r>
    </w:p>
    <w:p w14:paraId="58CB0A31" w14:textId="77777777" w:rsidR="00AD44DC" w:rsidRDefault="004513B9" w:rsidP="00AD44DC">
      <w:pPr>
        <w:widowControl w:val="0"/>
        <w:numPr>
          <w:ilvl w:val="1"/>
          <w:numId w:val="1"/>
        </w:numPr>
        <w:spacing w:after="120"/>
        <w:rPr>
          <w:rFonts w:asciiTheme="minorHAnsi" w:hAnsiTheme="minorHAnsi" w:cs="Arial"/>
          <w:bCs/>
          <w:snapToGrid w:val="0"/>
          <w:lang w:val="en-GB"/>
        </w:rPr>
      </w:pPr>
      <w:r w:rsidRPr="00525B39">
        <w:rPr>
          <w:rFonts w:asciiTheme="minorHAnsi" w:hAnsiTheme="minorHAnsi" w:cs="Arial"/>
          <w:bCs/>
          <w:snapToGrid w:val="0"/>
          <w:lang w:val="en-GB"/>
        </w:rPr>
        <w:t>The PBAC noted that this submission is not eligible for an Independent Review</w:t>
      </w:r>
      <w:r w:rsidR="00AD44DC">
        <w:rPr>
          <w:rFonts w:asciiTheme="minorHAnsi" w:hAnsiTheme="minorHAnsi" w:cs="Arial"/>
          <w:bCs/>
          <w:snapToGrid w:val="0"/>
          <w:lang w:val="en-GB"/>
        </w:rPr>
        <w:t xml:space="preserve"> as it received a positive recommendation</w:t>
      </w:r>
      <w:r w:rsidRPr="00525B39">
        <w:rPr>
          <w:rFonts w:asciiTheme="minorHAnsi" w:hAnsiTheme="minorHAnsi" w:cs="Arial"/>
          <w:bCs/>
          <w:snapToGrid w:val="0"/>
          <w:lang w:val="en-GB"/>
        </w:rPr>
        <w:t xml:space="preserve">. </w:t>
      </w:r>
    </w:p>
    <w:p w14:paraId="37471B19" w14:textId="77777777" w:rsidR="004513B9" w:rsidRPr="00525B39" w:rsidRDefault="004513B9" w:rsidP="004513B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DE76719" w14:textId="01338807" w:rsidR="004513B9" w:rsidRPr="00525B39" w:rsidRDefault="004513B9" w:rsidP="004513B9">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716AFBD3" w14:textId="77777777" w:rsidR="004513B9" w:rsidRPr="00525B39" w:rsidRDefault="004513B9" w:rsidP="004513B9">
      <w:pPr>
        <w:widowControl w:val="0"/>
        <w:rPr>
          <w:rFonts w:asciiTheme="minorHAnsi" w:hAnsiTheme="minorHAnsi" w:cs="Arial"/>
          <w:b/>
          <w:bCs/>
          <w:snapToGrid w:val="0"/>
        </w:rPr>
      </w:pPr>
    </w:p>
    <w:bookmarkEnd w:id="13"/>
    <w:p w14:paraId="1F8EC48A" w14:textId="4E2A4AEE" w:rsidR="004513B9" w:rsidRPr="00D038B2" w:rsidRDefault="004513B9" w:rsidP="004513B9">
      <w:pPr>
        <w:pStyle w:val="2-SectionHeading"/>
        <w:numPr>
          <w:ilvl w:val="0"/>
          <w:numId w:val="1"/>
        </w:numPr>
        <w:outlineLvl w:val="1"/>
        <w:rPr>
          <w:b w:val="0"/>
          <w:bCs/>
          <w:iCs/>
          <w:lang w:val="en-GB"/>
        </w:rPr>
      </w:pPr>
      <w:r w:rsidRPr="00525B39">
        <w:rPr>
          <w:bCs/>
          <w:lang w:val="en-GB"/>
        </w:rPr>
        <w:t xml:space="preserve">Recommended </w:t>
      </w:r>
      <w:proofErr w:type="gramStart"/>
      <w:r w:rsidRPr="00525B39">
        <w:rPr>
          <w:bCs/>
          <w:lang w:val="en-GB"/>
        </w:rPr>
        <w:t>listing</w:t>
      </w:r>
      <w:proofErr w:type="gramEnd"/>
    </w:p>
    <w:p w14:paraId="47895FC8" w14:textId="5F7949EE" w:rsidR="00D038B2" w:rsidRPr="00D038B2" w:rsidRDefault="00D038B2" w:rsidP="00D038B2">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Add new indication as follows:</w:t>
      </w:r>
    </w:p>
    <w:p w14:paraId="1E2AF118" w14:textId="359FCA8D" w:rsidR="00D038B2" w:rsidRPr="00D038B2" w:rsidRDefault="00D038B2" w:rsidP="00D038B2">
      <w:pPr>
        <w:rPr>
          <w:rFonts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998"/>
        <w:gridCol w:w="1898"/>
        <w:gridCol w:w="1898"/>
        <w:gridCol w:w="2285"/>
      </w:tblGrid>
      <w:tr w:rsidR="00D038B2" w:rsidRPr="00C7381D" w14:paraId="30BF8745" w14:textId="77777777" w:rsidTr="00727D5F">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706FF331" w14:textId="77777777" w:rsidR="00D038B2" w:rsidRPr="00C7381D" w:rsidRDefault="00D038B2" w:rsidP="00727D5F">
            <w:pPr>
              <w:ind w:left="-57"/>
              <w:rPr>
                <w:rFonts w:ascii="Arial Narrow" w:hAnsi="Arial Narrow"/>
                <w:bCs/>
                <w:sz w:val="20"/>
              </w:rPr>
            </w:pPr>
            <w:r w:rsidRPr="00C7381D">
              <w:rPr>
                <w:rFonts w:ascii="Arial Narrow" w:hAnsi="Arial Narrow"/>
                <w:b/>
                <w:bCs/>
                <w:sz w:val="20"/>
              </w:rPr>
              <w:t xml:space="preserve">Category / Program: </w:t>
            </w:r>
            <w:r w:rsidRPr="00C7381D">
              <w:rPr>
                <w:rFonts w:ascii="Arial Narrow" w:hAnsi="Arial Narrow"/>
                <w:bCs/>
                <w:sz w:val="20"/>
              </w:rPr>
              <w:t>Section 100 – Efficient Funding of Chemotherapy Public/Private hospitals</w:t>
            </w:r>
          </w:p>
          <w:p w14:paraId="11D197F7" w14:textId="77777777" w:rsidR="00D038B2" w:rsidRPr="00C7381D" w:rsidRDefault="00D038B2" w:rsidP="00727D5F">
            <w:pPr>
              <w:ind w:left="-57"/>
              <w:rPr>
                <w:rFonts w:ascii="Arial Narrow" w:hAnsi="Arial Narrow"/>
                <w:b/>
                <w:bCs/>
                <w:sz w:val="20"/>
              </w:rPr>
            </w:pPr>
            <w:r w:rsidRPr="00C7381D">
              <w:rPr>
                <w:rFonts w:ascii="Arial Narrow" w:hAnsi="Arial Narrow"/>
                <w:bCs/>
                <w:sz w:val="20"/>
              </w:rPr>
              <w:t xml:space="preserve">     </w:t>
            </w:r>
          </w:p>
        </w:tc>
      </w:tr>
      <w:tr w:rsidR="00D038B2" w:rsidRPr="00C7381D" w14:paraId="1506C8E0" w14:textId="77777777" w:rsidTr="00727D5F">
        <w:trPr>
          <w:trHeight w:val="20"/>
        </w:trPr>
        <w:tc>
          <w:tcPr>
            <w:tcW w:w="1646" w:type="pct"/>
            <w:gridSpan w:val="2"/>
            <w:vAlign w:val="center"/>
          </w:tcPr>
          <w:p w14:paraId="3EB51FCF" w14:textId="77777777" w:rsidR="00D038B2" w:rsidRPr="00C7381D" w:rsidRDefault="00D038B2" w:rsidP="00727D5F">
            <w:pPr>
              <w:ind w:left="-57"/>
              <w:rPr>
                <w:rFonts w:ascii="Arial Narrow" w:hAnsi="Arial Narrow"/>
                <w:b/>
                <w:bCs/>
                <w:sz w:val="20"/>
              </w:rPr>
            </w:pPr>
            <w:r w:rsidRPr="00C7381D">
              <w:rPr>
                <w:rFonts w:ascii="Arial Narrow" w:hAnsi="Arial Narrow"/>
                <w:b/>
                <w:bCs/>
                <w:sz w:val="20"/>
              </w:rPr>
              <w:t>MEDICINAL PRODUCT</w:t>
            </w:r>
          </w:p>
          <w:p w14:paraId="45921573" w14:textId="77777777" w:rsidR="00D038B2" w:rsidRPr="00C7381D" w:rsidRDefault="00D038B2" w:rsidP="00727D5F">
            <w:pPr>
              <w:ind w:left="-57"/>
              <w:rPr>
                <w:rFonts w:ascii="Arial Narrow" w:hAnsi="Arial Narrow"/>
                <w:b/>
                <w:bCs/>
                <w:sz w:val="20"/>
              </w:rPr>
            </w:pPr>
            <w:r w:rsidRPr="00C7381D">
              <w:rPr>
                <w:rFonts w:ascii="Arial Narrow" w:hAnsi="Arial Narrow"/>
                <w:b/>
                <w:bCs/>
                <w:sz w:val="20"/>
              </w:rPr>
              <w:t>Form</w:t>
            </w:r>
          </w:p>
        </w:tc>
        <w:tc>
          <w:tcPr>
            <w:tcW w:w="1047" w:type="pct"/>
            <w:vAlign w:val="center"/>
          </w:tcPr>
          <w:p w14:paraId="104DC109" w14:textId="77777777" w:rsidR="00D038B2" w:rsidRPr="00C7381D" w:rsidRDefault="00D038B2" w:rsidP="00727D5F">
            <w:pPr>
              <w:ind w:left="-57"/>
              <w:jc w:val="center"/>
              <w:rPr>
                <w:rFonts w:ascii="Arial Narrow" w:hAnsi="Arial Narrow"/>
                <w:b/>
                <w:bCs/>
                <w:sz w:val="20"/>
              </w:rPr>
            </w:pPr>
            <w:r w:rsidRPr="00C7381D">
              <w:rPr>
                <w:rFonts w:ascii="Arial Narrow" w:hAnsi="Arial Narrow"/>
                <w:b/>
                <w:bCs/>
                <w:sz w:val="20"/>
              </w:rPr>
              <w:t>PBS item code</w:t>
            </w:r>
          </w:p>
        </w:tc>
        <w:tc>
          <w:tcPr>
            <w:tcW w:w="1047" w:type="pct"/>
            <w:vAlign w:val="center"/>
          </w:tcPr>
          <w:p w14:paraId="11F32B19" w14:textId="77777777" w:rsidR="00D038B2" w:rsidRPr="00C7381D" w:rsidRDefault="00D038B2" w:rsidP="00727D5F">
            <w:pPr>
              <w:ind w:left="-57"/>
              <w:jc w:val="center"/>
              <w:rPr>
                <w:rFonts w:ascii="Arial Narrow" w:hAnsi="Arial Narrow"/>
                <w:b/>
                <w:bCs/>
                <w:sz w:val="20"/>
              </w:rPr>
            </w:pPr>
            <w:r w:rsidRPr="00C7381D">
              <w:rPr>
                <w:rFonts w:ascii="Arial Narrow" w:hAnsi="Arial Narrow"/>
                <w:b/>
                <w:bCs/>
                <w:sz w:val="20"/>
              </w:rPr>
              <w:t>Max. Amount</w:t>
            </w:r>
          </w:p>
        </w:tc>
        <w:tc>
          <w:tcPr>
            <w:tcW w:w="1260" w:type="pct"/>
            <w:vAlign w:val="center"/>
          </w:tcPr>
          <w:p w14:paraId="38C913BB" w14:textId="77777777" w:rsidR="00D038B2" w:rsidRPr="00C7381D" w:rsidRDefault="00D038B2" w:rsidP="00727D5F">
            <w:pPr>
              <w:ind w:left="-57"/>
              <w:jc w:val="center"/>
              <w:rPr>
                <w:rFonts w:ascii="Arial Narrow" w:hAnsi="Arial Narrow"/>
                <w:b/>
                <w:bCs/>
                <w:sz w:val="20"/>
              </w:rPr>
            </w:pPr>
            <w:proofErr w:type="gramStart"/>
            <w:r w:rsidRPr="00C7381D">
              <w:rPr>
                <w:rFonts w:ascii="Arial Narrow" w:hAnsi="Arial Narrow"/>
                <w:b/>
                <w:bCs/>
                <w:sz w:val="20"/>
              </w:rPr>
              <w:t>№.of</w:t>
            </w:r>
            <w:proofErr w:type="gramEnd"/>
            <w:r w:rsidRPr="00C7381D">
              <w:rPr>
                <w:rFonts w:ascii="Arial Narrow" w:hAnsi="Arial Narrow"/>
                <w:b/>
                <w:bCs/>
                <w:sz w:val="20"/>
              </w:rPr>
              <w:t xml:space="preserve"> Rpts</w:t>
            </w:r>
          </w:p>
        </w:tc>
      </w:tr>
      <w:tr w:rsidR="00D038B2" w:rsidRPr="00C7381D" w14:paraId="3E2055E8" w14:textId="77777777" w:rsidTr="00727D5F">
        <w:trPr>
          <w:trHeight w:val="20"/>
        </w:trPr>
        <w:tc>
          <w:tcPr>
            <w:tcW w:w="1646" w:type="pct"/>
            <w:gridSpan w:val="2"/>
            <w:vAlign w:val="center"/>
          </w:tcPr>
          <w:p w14:paraId="4054E7FB" w14:textId="77777777" w:rsidR="00D038B2" w:rsidRPr="00C7381D" w:rsidRDefault="00D038B2" w:rsidP="00727D5F">
            <w:pPr>
              <w:ind w:left="-57"/>
              <w:rPr>
                <w:rFonts w:ascii="Arial Narrow" w:hAnsi="Arial Narrow"/>
                <w:bCs/>
                <w:sz w:val="20"/>
              </w:rPr>
            </w:pPr>
            <w:r w:rsidRPr="00C7381D">
              <w:rPr>
                <w:rFonts w:ascii="Arial Narrow" w:hAnsi="Arial Narrow"/>
                <w:bCs/>
                <w:caps/>
                <w:sz w:val="20"/>
              </w:rPr>
              <w:t>pembrolizumab</w:t>
            </w:r>
            <w:r w:rsidRPr="00C7381D">
              <w:rPr>
                <w:rFonts w:ascii="Arial Narrow" w:hAnsi="Arial Narrow"/>
                <w:bCs/>
                <w:sz w:val="20"/>
              </w:rPr>
              <w:t xml:space="preserve"> </w:t>
            </w:r>
          </w:p>
          <w:p w14:paraId="14546147" w14:textId="77777777" w:rsidR="00D038B2" w:rsidRPr="00C7381D" w:rsidRDefault="00D038B2" w:rsidP="00727D5F">
            <w:pPr>
              <w:ind w:left="-57"/>
              <w:rPr>
                <w:rFonts w:ascii="Arial Narrow" w:hAnsi="Arial Narrow"/>
                <w:bCs/>
                <w:sz w:val="20"/>
              </w:rPr>
            </w:pPr>
            <w:r w:rsidRPr="00C7381D">
              <w:rPr>
                <w:rFonts w:ascii="Arial Narrow" w:hAnsi="Arial Narrow"/>
                <w:bCs/>
                <w:sz w:val="20"/>
              </w:rPr>
              <w:t>Injection</w:t>
            </w:r>
          </w:p>
        </w:tc>
        <w:tc>
          <w:tcPr>
            <w:tcW w:w="1047" w:type="pct"/>
            <w:vAlign w:val="center"/>
          </w:tcPr>
          <w:p w14:paraId="04249326" w14:textId="77777777" w:rsidR="00D038B2" w:rsidRPr="00C7381D" w:rsidRDefault="00D038B2" w:rsidP="00727D5F">
            <w:pPr>
              <w:ind w:left="-57"/>
              <w:jc w:val="center"/>
              <w:rPr>
                <w:rFonts w:ascii="Arial Narrow" w:hAnsi="Arial Narrow"/>
                <w:bCs/>
                <w:sz w:val="20"/>
              </w:rPr>
            </w:pPr>
            <w:r w:rsidRPr="00C7381D">
              <w:rPr>
                <w:rFonts w:ascii="Arial Narrow" w:hAnsi="Arial Narrow"/>
                <w:bCs/>
                <w:sz w:val="20"/>
              </w:rPr>
              <w:t>NEW (Public)</w:t>
            </w:r>
            <w:r w:rsidRPr="00C7381D">
              <w:rPr>
                <w:rFonts w:ascii="Arial Narrow" w:hAnsi="Arial Narrow"/>
                <w:bCs/>
                <w:sz w:val="20"/>
              </w:rPr>
              <w:br/>
              <w:t>NEW (Private)</w:t>
            </w:r>
          </w:p>
        </w:tc>
        <w:tc>
          <w:tcPr>
            <w:tcW w:w="1047" w:type="pct"/>
            <w:vAlign w:val="center"/>
          </w:tcPr>
          <w:p w14:paraId="0A2DCEAF" w14:textId="77777777" w:rsidR="00D038B2" w:rsidRPr="00C7381D" w:rsidRDefault="00D038B2" w:rsidP="00727D5F">
            <w:pPr>
              <w:ind w:left="-57"/>
              <w:jc w:val="center"/>
              <w:rPr>
                <w:rFonts w:ascii="Arial Narrow" w:hAnsi="Arial Narrow"/>
                <w:bCs/>
                <w:sz w:val="20"/>
              </w:rPr>
            </w:pPr>
            <w:r w:rsidRPr="00C7381D">
              <w:rPr>
                <w:rFonts w:ascii="Arial Narrow" w:hAnsi="Arial Narrow"/>
                <w:bCs/>
                <w:sz w:val="20"/>
              </w:rPr>
              <w:t>400 mg</w:t>
            </w:r>
          </w:p>
        </w:tc>
        <w:tc>
          <w:tcPr>
            <w:tcW w:w="1260" w:type="pct"/>
            <w:vAlign w:val="center"/>
          </w:tcPr>
          <w:p w14:paraId="1A5EB3B1" w14:textId="77777777" w:rsidR="00D038B2" w:rsidRPr="00C7381D" w:rsidRDefault="00D038B2" w:rsidP="00727D5F">
            <w:pPr>
              <w:ind w:left="-57"/>
              <w:jc w:val="center"/>
              <w:rPr>
                <w:rFonts w:ascii="Arial Narrow" w:hAnsi="Arial Narrow"/>
                <w:bCs/>
                <w:sz w:val="20"/>
              </w:rPr>
            </w:pPr>
            <w:r w:rsidRPr="00C7381D">
              <w:rPr>
                <w:rFonts w:ascii="Arial Narrow" w:hAnsi="Arial Narrow"/>
                <w:bCs/>
                <w:sz w:val="20"/>
              </w:rPr>
              <w:t>7</w:t>
            </w:r>
          </w:p>
        </w:tc>
      </w:tr>
      <w:tr w:rsidR="00D038B2" w:rsidRPr="00C7381D" w14:paraId="1E03F94A" w14:textId="77777777" w:rsidTr="00727D5F">
        <w:trPr>
          <w:trHeight w:val="20"/>
        </w:trPr>
        <w:tc>
          <w:tcPr>
            <w:tcW w:w="5000" w:type="pct"/>
            <w:gridSpan w:val="5"/>
            <w:vAlign w:val="center"/>
          </w:tcPr>
          <w:p w14:paraId="798C7F7E" w14:textId="77777777" w:rsidR="00D038B2" w:rsidRPr="00C7381D" w:rsidRDefault="00D038B2" w:rsidP="00727D5F">
            <w:pPr>
              <w:ind w:left="-57"/>
              <w:rPr>
                <w:rFonts w:ascii="Arial Narrow" w:hAnsi="Arial Narrow"/>
                <w:b/>
                <w:bCs/>
                <w:sz w:val="20"/>
              </w:rPr>
            </w:pPr>
            <w:r w:rsidRPr="00C7381D">
              <w:rPr>
                <w:rFonts w:ascii="Arial Narrow" w:hAnsi="Arial Narrow"/>
                <w:b/>
                <w:bCs/>
                <w:sz w:val="20"/>
              </w:rPr>
              <w:t xml:space="preserve">Available brands </w:t>
            </w:r>
          </w:p>
        </w:tc>
      </w:tr>
      <w:tr w:rsidR="00D038B2" w:rsidRPr="00C7381D" w14:paraId="4DF82EBE" w14:textId="77777777" w:rsidTr="00727D5F">
        <w:trPr>
          <w:trHeight w:val="20"/>
        </w:trPr>
        <w:tc>
          <w:tcPr>
            <w:tcW w:w="5000" w:type="pct"/>
            <w:gridSpan w:val="5"/>
            <w:vAlign w:val="center"/>
          </w:tcPr>
          <w:p w14:paraId="197F50BF" w14:textId="77777777" w:rsidR="00D038B2" w:rsidRPr="00C7381D" w:rsidRDefault="00D038B2" w:rsidP="00727D5F">
            <w:pPr>
              <w:ind w:left="-57"/>
              <w:rPr>
                <w:rFonts w:ascii="Arial Narrow" w:hAnsi="Arial Narrow"/>
                <w:bCs/>
                <w:sz w:val="20"/>
              </w:rPr>
            </w:pPr>
            <w:r w:rsidRPr="00C7381D">
              <w:rPr>
                <w:rFonts w:ascii="Arial Narrow" w:hAnsi="Arial Narrow"/>
                <w:bCs/>
                <w:sz w:val="20"/>
              </w:rPr>
              <w:t xml:space="preserve">Keytruda </w:t>
            </w:r>
          </w:p>
          <w:p w14:paraId="44496017" w14:textId="77777777" w:rsidR="00D038B2" w:rsidRPr="00C7381D" w:rsidRDefault="00D038B2" w:rsidP="00727D5F">
            <w:pPr>
              <w:ind w:left="-57"/>
              <w:rPr>
                <w:rFonts w:ascii="Arial Narrow" w:hAnsi="Arial Narrow"/>
                <w:bCs/>
                <w:sz w:val="20"/>
              </w:rPr>
            </w:pPr>
            <w:r w:rsidRPr="00C7381D">
              <w:rPr>
                <w:rFonts w:ascii="Arial Narrow" w:hAnsi="Arial Narrow"/>
                <w:bCs/>
                <w:sz w:val="20"/>
              </w:rPr>
              <w:t>(</w:t>
            </w:r>
            <w:proofErr w:type="gramStart"/>
            <w:r w:rsidRPr="00C7381D">
              <w:rPr>
                <w:rFonts w:ascii="Arial Narrow" w:hAnsi="Arial Narrow"/>
                <w:bCs/>
                <w:sz w:val="20"/>
              </w:rPr>
              <w:t>pembrolizumab</w:t>
            </w:r>
            <w:proofErr w:type="gramEnd"/>
            <w:r w:rsidRPr="00C7381D">
              <w:rPr>
                <w:rFonts w:ascii="Arial Narrow" w:hAnsi="Arial Narrow"/>
                <w:bCs/>
                <w:sz w:val="20"/>
              </w:rPr>
              <w:t xml:space="preserve"> 100 mg/4 ml injection, 4 ml vial)</w:t>
            </w:r>
          </w:p>
        </w:tc>
      </w:tr>
      <w:tr w:rsidR="00D038B2" w:rsidRPr="00C7381D" w14:paraId="5EF83A6A" w14:textId="77777777" w:rsidTr="00727D5F">
        <w:trPr>
          <w:trHeight w:val="20"/>
        </w:trPr>
        <w:tc>
          <w:tcPr>
            <w:tcW w:w="5000" w:type="pct"/>
            <w:gridSpan w:val="5"/>
            <w:vAlign w:val="center"/>
          </w:tcPr>
          <w:p w14:paraId="45260770" w14:textId="77777777" w:rsidR="00D038B2" w:rsidRPr="00C7381D" w:rsidRDefault="00D038B2" w:rsidP="00727D5F">
            <w:pPr>
              <w:rPr>
                <w:rFonts w:ascii="Arial Narrow" w:hAnsi="Arial Narrow"/>
                <w:bCs/>
                <w:color w:val="FF0000"/>
                <w:sz w:val="20"/>
              </w:rPr>
            </w:pPr>
          </w:p>
        </w:tc>
      </w:tr>
      <w:tr w:rsidR="00D038B2" w:rsidRPr="00C7381D" w14:paraId="26227A31" w14:textId="77777777" w:rsidTr="00727D5F">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3E5CF78" w14:textId="1FB4200F" w:rsidR="00D038B2" w:rsidRPr="00C7381D" w:rsidRDefault="00D038B2" w:rsidP="00727D5F">
            <w:pPr>
              <w:rPr>
                <w:rFonts w:ascii="Arial Narrow" w:hAnsi="Arial Narrow"/>
                <w:b/>
                <w:bCs/>
                <w:sz w:val="20"/>
              </w:rPr>
            </w:pPr>
            <w:r w:rsidRPr="00C7381D">
              <w:rPr>
                <w:rFonts w:ascii="Arial Narrow" w:hAnsi="Arial Narrow"/>
                <w:b/>
                <w:bCs/>
                <w:sz w:val="20"/>
              </w:rPr>
              <w:t>Restriction Summary [new 1] / Authority Required (STREAMLINED)</w:t>
            </w:r>
          </w:p>
          <w:p w14:paraId="52551C10" w14:textId="77777777" w:rsidR="00D038B2" w:rsidRPr="00C7381D" w:rsidRDefault="00D038B2" w:rsidP="00727D5F">
            <w:pPr>
              <w:rPr>
                <w:rFonts w:ascii="Arial Narrow" w:hAnsi="Arial Narrow"/>
                <w:bCs/>
                <w:sz w:val="20"/>
              </w:rPr>
            </w:pPr>
          </w:p>
        </w:tc>
      </w:tr>
      <w:tr w:rsidR="00D038B2" w:rsidRPr="00C7381D" w14:paraId="076D9534" w14:textId="77777777" w:rsidTr="00727D5F">
        <w:tblPrEx>
          <w:tblCellMar>
            <w:top w:w="15" w:type="dxa"/>
            <w:left w:w="15" w:type="dxa"/>
            <w:bottom w:w="15" w:type="dxa"/>
            <w:right w:w="15" w:type="dxa"/>
          </w:tblCellMar>
          <w:tblLook w:val="04A0" w:firstRow="1" w:lastRow="0" w:firstColumn="1" w:lastColumn="0" w:noHBand="0" w:noVBand="1"/>
        </w:tblPrEx>
        <w:trPr>
          <w:trHeight w:val="306"/>
        </w:trPr>
        <w:tc>
          <w:tcPr>
            <w:tcW w:w="544" w:type="pct"/>
            <w:vMerge w:val="restart"/>
            <w:vAlign w:val="center"/>
          </w:tcPr>
          <w:p w14:paraId="13B65E41" w14:textId="77777777" w:rsidR="00D038B2" w:rsidRPr="00C7381D" w:rsidRDefault="00D038B2" w:rsidP="00727D5F">
            <w:pPr>
              <w:jc w:val="center"/>
              <w:rPr>
                <w:rFonts w:ascii="Arial Narrow" w:hAnsi="Arial Narrow"/>
                <w:bCs/>
                <w:sz w:val="20"/>
              </w:rPr>
            </w:pPr>
          </w:p>
        </w:tc>
        <w:tc>
          <w:tcPr>
            <w:tcW w:w="4456" w:type="pct"/>
            <w:gridSpan w:val="4"/>
            <w:vAlign w:val="center"/>
          </w:tcPr>
          <w:p w14:paraId="564A9CC8" w14:textId="77777777" w:rsidR="00D038B2" w:rsidRPr="00C7381D" w:rsidRDefault="00D038B2" w:rsidP="00727D5F">
            <w:pPr>
              <w:rPr>
                <w:rFonts w:ascii="Arial Narrow" w:eastAsia="Arial" w:hAnsi="Arial Narrow"/>
                <w:bCs/>
                <w:color w:val="BFBFBF"/>
                <w:sz w:val="20"/>
              </w:rPr>
            </w:pPr>
            <w:r w:rsidRPr="00C7381D">
              <w:rPr>
                <w:rFonts w:ascii="Arial Narrow" w:eastAsia="Arial" w:hAnsi="Arial Narrow"/>
                <w:b/>
                <w:bCs/>
                <w:color w:val="BFBFBF"/>
                <w:sz w:val="20"/>
              </w:rPr>
              <w:t xml:space="preserve">Severity: </w:t>
            </w:r>
            <w:r w:rsidRPr="00C7381D">
              <w:rPr>
                <w:rFonts w:ascii="Arial Narrow" w:eastAsia="Arial" w:hAnsi="Arial Narrow"/>
                <w:bCs/>
                <w:color w:val="BFBFBF"/>
                <w:sz w:val="20"/>
              </w:rPr>
              <w:t>Stage II or Stage III</w:t>
            </w:r>
          </w:p>
        </w:tc>
      </w:tr>
      <w:tr w:rsidR="00D038B2" w:rsidRPr="00C7381D" w14:paraId="2423D985"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Merge/>
            <w:vAlign w:val="center"/>
          </w:tcPr>
          <w:p w14:paraId="120198A0" w14:textId="77777777" w:rsidR="00D038B2" w:rsidRPr="00C7381D" w:rsidRDefault="00D038B2" w:rsidP="00727D5F">
            <w:pPr>
              <w:jc w:val="center"/>
              <w:rPr>
                <w:rFonts w:ascii="Arial Narrow" w:hAnsi="Arial Narrow"/>
                <w:bCs/>
                <w:sz w:val="20"/>
              </w:rPr>
            </w:pPr>
          </w:p>
        </w:tc>
        <w:tc>
          <w:tcPr>
            <w:tcW w:w="4456" w:type="pct"/>
            <w:gridSpan w:val="4"/>
            <w:vAlign w:val="center"/>
          </w:tcPr>
          <w:p w14:paraId="6248F675" w14:textId="77777777" w:rsidR="00D038B2" w:rsidRPr="00C7381D" w:rsidRDefault="00D038B2" w:rsidP="00727D5F">
            <w:pPr>
              <w:rPr>
                <w:rFonts w:ascii="Arial Narrow" w:hAnsi="Arial Narrow"/>
                <w:bCs/>
                <w:color w:val="BFBFBF"/>
                <w:sz w:val="20"/>
              </w:rPr>
            </w:pPr>
            <w:r w:rsidRPr="00C7381D">
              <w:rPr>
                <w:rFonts w:ascii="Arial Narrow" w:eastAsia="Arial" w:hAnsi="Arial Narrow"/>
                <w:b/>
                <w:bCs/>
                <w:color w:val="BFBFBF"/>
                <w:sz w:val="20"/>
              </w:rPr>
              <w:t>Condition:</w:t>
            </w:r>
            <w:r w:rsidRPr="00C7381D">
              <w:rPr>
                <w:rFonts w:ascii="Arial Narrow" w:eastAsia="Arial" w:hAnsi="Arial Narrow"/>
                <w:bCs/>
                <w:color w:val="BFBFBF"/>
                <w:sz w:val="20"/>
              </w:rPr>
              <w:t xml:space="preserve"> triple negative breast cancer</w:t>
            </w:r>
          </w:p>
        </w:tc>
      </w:tr>
      <w:tr w:rsidR="00D038B2" w:rsidRPr="00C7381D" w14:paraId="75D60172"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0E5C9631" w14:textId="5C3EA249" w:rsidR="00D038B2" w:rsidRPr="00C7381D" w:rsidRDefault="00D038B2" w:rsidP="00727D5F">
            <w:pPr>
              <w:jc w:val="center"/>
              <w:rPr>
                <w:rFonts w:ascii="Arial Narrow" w:hAnsi="Arial Narrow"/>
                <w:bCs/>
                <w:sz w:val="20"/>
              </w:rPr>
            </w:pPr>
          </w:p>
        </w:tc>
        <w:tc>
          <w:tcPr>
            <w:tcW w:w="4456" w:type="pct"/>
            <w:gridSpan w:val="4"/>
            <w:vAlign w:val="center"/>
            <w:hideMark/>
          </w:tcPr>
          <w:p w14:paraId="10FA853C" w14:textId="77777777" w:rsidR="00D038B2" w:rsidRPr="00C7381D" w:rsidRDefault="00D038B2" w:rsidP="00727D5F">
            <w:pPr>
              <w:rPr>
                <w:rFonts w:ascii="Arial Narrow" w:hAnsi="Arial Narrow"/>
                <w:bCs/>
                <w:sz w:val="20"/>
              </w:rPr>
            </w:pPr>
            <w:r w:rsidRPr="00C7381D">
              <w:rPr>
                <w:rFonts w:ascii="Arial Narrow" w:eastAsia="Arial" w:hAnsi="Arial Narrow"/>
                <w:b/>
                <w:bCs/>
                <w:sz w:val="20"/>
              </w:rPr>
              <w:t>Indication:</w:t>
            </w:r>
            <w:r w:rsidRPr="00C7381D">
              <w:rPr>
                <w:rFonts w:ascii="Arial Narrow" w:eastAsia="Arial" w:hAnsi="Arial Narrow"/>
                <w:bCs/>
                <w:sz w:val="20"/>
              </w:rPr>
              <w:t xml:space="preserve"> Stage II or Stage III triple negative breast cancer</w:t>
            </w:r>
          </w:p>
        </w:tc>
      </w:tr>
      <w:tr w:rsidR="00D038B2" w:rsidRPr="00C7381D" w14:paraId="588F649B"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2E026A87" w14:textId="77777777" w:rsidR="00D038B2" w:rsidRPr="00C7381D" w:rsidRDefault="00D038B2" w:rsidP="00727D5F">
            <w:pPr>
              <w:jc w:val="center"/>
              <w:rPr>
                <w:rFonts w:ascii="Arial Narrow" w:hAnsi="Arial Narrow"/>
                <w:bCs/>
                <w:sz w:val="20"/>
              </w:rPr>
            </w:pPr>
          </w:p>
        </w:tc>
        <w:tc>
          <w:tcPr>
            <w:tcW w:w="4456" w:type="pct"/>
            <w:gridSpan w:val="4"/>
            <w:vAlign w:val="center"/>
          </w:tcPr>
          <w:p w14:paraId="2DBD771D" w14:textId="77777777" w:rsidR="00D038B2" w:rsidRPr="00C7381D" w:rsidRDefault="00D038B2" w:rsidP="00727D5F">
            <w:pPr>
              <w:rPr>
                <w:rFonts w:ascii="Arial Narrow" w:eastAsia="Arial" w:hAnsi="Arial Narrow"/>
                <w:b/>
                <w:bCs/>
                <w:sz w:val="20"/>
              </w:rPr>
            </w:pPr>
          </w:p>
        </w:tc>
      </w:tr>
      <w:tr w:rsidR="00D038B2" w:rsidRPr="00C7381D" w14:paraId="7B279BED"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017270DE" w14:textId="03A4AD8C" w:rsidR="00D038B2" w:rsidRPr="00C7381D" w:rsidRDefault="00D038B2" w:rsidP="00727D5F">
            <w:pPr>
              <w:jc w:val="center"/>
              <w:rPr>
                <w:rFonts w:ascii="Arial Narrow" w:hAnsi="Arial Narrow"/>
                <w:bCs/>
                <w:sz w:val="20"/>
              </w:rPr>
            </w:pPr>
          </w:p>
        </w:tc>
        <w:tc>
          <w:tcPr>
            <w:tcW w:w="4456" w:type="pct"/>
            <w:gridSpan w:val="4"/>
            <w:vAlign w:val="center"/>
            <w:hideMark/>
          </w:tcPr>
          <w:p w14:paraId="1E609B04" w14:textId="77777777" w:rsidR="00D038B2" w:rsidRPr="00C7381D" w:rsidRDefault="00D038B2" w:rsidP="00727D5F">
            <w:pPr>
              <w:rPr>
                <w:rFonts w:ascii="Arial Narrow" w:hAnsi="Arial Narrow"/>
                <w:bCs/>
                <w:sz w:val="20"/>
              </w:rPr>
            </w:pPr>
            <w:r w:rsidRPr="00C7381D">
              <w:rPr>
                <w:rFonts w:ascii="Arial Narrow" w:hAnsi="Arial Narrow"/>
                <w:b/>
                <w:bCs/>
                <w:sz w:val="20"/>
              </w:rPr>
              <w:t xml:space="preserve">Clinical criteria: </w:t>
            </w:r>
          </w:p>
        </w:tc>
      </w:tr>
      <w:tr w:rsidR="00D038B2" w:rsidRPr="00C7381D" w14:paraId="7C292566"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3995D6A3" w14:textId="3B299A3C" w:rsidR="00D038B2" w:rsidRPr="00C7381D" w:rsidRDefault="00D038B2" w:rsidP="00727D5F">
            <w:pPr>
              <w:jc w:val="center"/>
              <w:rPr>
                <w:rFonts w:ascii="Arial Narrow" w:hAnsi="Arial Narrow"/>
                <w:bCs/>
                <w:sz w:val="20"/>
              </w:rPr>
            </w:pPr>
          </w:p>
        </w:tc>
        <w:tc>
          <w:tcPr>
            <w:tcW w:w="4456" w:type="pct"/>
            <w:gridSpan w:val="4"/>
            <w:vAlign w:val="center"/>
            <w:hideMark/>
          </w:tcPr>
          <w:p w14:paraId="4457ECED" w14:textId="77777777" w:rsidR="00D038B2" w:rsidRPr="00C7381D" w:rsidRDefault="00D038B2" w:rsidP="00727D5F">
            <w:pPr>
              <w:rPr>
                <w:rFonts w:ascii="Arial Narrow" w:hAnsi="Arial Narrow"/>
                <w:bCs/>
                <w:sz w:val="20"/>
              </w:rPr>
            </w:pPr>
            <w:r w:rsidRPr="00C7381D">
              <w:rPr>
                <w:rFonts w:ascii="Arial Narrow" w:hAnsi="Arial Narrow"/>
                <w:bCs/>
                <w:sz w:val="20"/>
              </w:rPr>
              <w:t xml:space="preserve">The treatment must be initiated in combination with </w:t>
            </w:r>
            <w:r>
              <w:rPr>
                <w:rFonts w:ascii="Arial Narrow" w:hAnsi="Arial Narrow"/>
                <w:bCs/>
                <w:sz w:val="20"/>
              </w:rPr>
              <w:t xml:space="preserve">neoadjuvant </w:t>
            </w:r>
            <w:r w:rsidRPr="00C7381D">
              <w:rPr>
                <w:rFonts w:ascii="Arial Narrow" w:hAnsi="Arial Narrow"/>
                <w:bCs/>
                <w:sz w:val="20"/>
              </w:rPr>
              <w:t>chemotherapy</w:t>
            </w:r>
          </w:p>
        </w:tc>
      </w:tr>
      <w:tr w:rsidR="00D038B2" w:rsidRPr="00C7381D" w14:paraId="78AD0C2E"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518CAA12" w14:textId="77777777" w:rsidR="00D038B2" w:rsidRPr="00C7381D" w:rsidRDefault="00D038B2" w:rsidP="00727D5F">
            <w:pPr>
              <w:jc w:val="center"/>
              <w:rPr>
                <w:rFonts w:ascii="Arial Narrow" w:eastAsia="Arial" w:hAnsi="Arial Narrow"/>
                <w:bCs/>
                <w:sz w:val="20"/>
              </w:rPr>
            </w:pPr>
          </w:p>
        </w:tc>
        <w:tc>
          <w:tcPr>
            <w:tcW w:w="4456" w:type="pct"/>
            <w:gridSpan w:val="4"/>
            <w:vAlign w:val="center"/>
          </w:tcPr>
          <w:p w14:paraId="1C6563A9" w14:textId="7A1B7792" w:rsidR="00D038B2" w:rsidRPr="008D38D4" w:rsidRDefault="008D38D4" w:rsidP="00727D5F">
            <w:pPr>
              <w:rPr>
                <w:rFonts w:ascii="Arial Narrow" w:eastAsia="Arial" w:hAnsi="Arial Narrow"/>
                <w:b/>
                <w:sz w:val="20"/>
              </w:rPr>
            </w:pPr>
            <w:r w:rsidRPr="008D38D4">
              <w:rPr>
                <w:rFonts w:ascii="Arial Narrow" w:eastAsia="Arial" w:hAnsi="Arial Narrow"/>
                <w:b/>
                <w:sz w:val="20"/>
              </w:rPr>
              <w:t>AND</w:t>
            </w:r>
          </w:p>
        </w:tc>
      </w:tr>
      <w:tr w:rsidR="00D038B2" w:rsidRPr="00C7381D" w14:paraId="00A41F8F"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21B92CFC" w14:textId="4179B6F4" w:rsidR="00D038B2" w:rsidRPr="00C7381D" w:rsidRDefault="00D038B2" w:rsidP="00727D5F">
            <w:pPr>
              <w:jc w:val="center"/>
              <w:rPr>
                <w:rFonts w:ascii="Arial Narrow" w:eastAsia="Arial" w:hAnsi="Arial Narrow"/>
                <w:bCs/>
                <w:sz w:val="20"/>
              </w:rPr>
            </w:pPr>
          </w:p>
        </w:tc>
        <w:tc>
          <w:tcPr>
            <w:tcW w:w="4456" w:type="pct"/>
            <w:gridSpan w:val="4"/>
            <w:vAlign w:val="center"/>
          </w:tcPr>
          <w:p w14:paraId="57FF8527" w14:textId="0651FA0A" w:rsidR="00D038B2" w:rsidRPr="00C7381D" w:rsidRDefault="008D38D4" w:rsidP="00727D5F">
            <w:pPr>
              <w:rPr>
                <w:rFonts w:ascii="Arial Narrow" w:eastAsia="Arial" w:hAnsi="Arial Narrow"/>
                <w:bCs/>
                <w:sz w:val="20"/>
              </w:rPr>
            </w:pPr>
            <w:r>
              <w:rPr>
                <w:rFonts w:ascii="Arial Narrow" w:hAnsi="Arial Narrow"/>
                <w:b/>
                <w:bCs/>
                <w:sz w:val="20"/>
              </w:rPr>
              <w:t>Clinical</w:t>
            </w:r>
            <w:r w:rsidR="00D038B2" w:rsidRPr="00C7381D">
              <w:rPr>
                <w:rFonts w:ascii="Arial Narrow" w:hAnsi="Arial Narrow"/>
                <w:b/>
                <w:bCs/>
                <w:sz w:val="20"/>
              </w:rPr>
              <w:t xml:space="preserve"> criteria:</w:t>
            </w:r>
          </w:p>
        </w:tc>
      </w:tr>
      <w:tr w:rsidR="00D038B2" w:rsidRPr="00C7381D" w14:paraId="76F44364"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335B6420" w14:textId="2A3BA2AC" w:rsidR="00D038B2" w:rsidRPr="00C7381D" w:rsidRDefault="00D038B2" w:rsidP="00727D5F">
            <w:pPr>
              <w:jc w:val="center"/>
              <w:rPr>
                <w:rFonts w:ascii="Arial Narrow" w:eastAsia="Arial" w:hAnsi="Arial Narrow"/>
                <w:bCs/>
                <w:sz w:val="20"/>
              </w:rPr>
            </w:pPr>
          </w:p>
        </w:tc>
        <w:tc>
          <w:tcPr>
            <w:tcW w:w="4456" w:type="pct"/>
            <w:gridSpan w:val="4"/>
            <w:vAlign w:val="center"/>
          </w:tcPr>
          <w:p w14:paraId="541CFBC9" w14:textId="48EE08AD" w:rsidR="00D038B2" w:rsidRPr="00C7381D" w:rsidRDefault="00D038B2" w:rsidP="00727D5F">
            <w:pPr>
              <w:rPr>
                <w:rFonts w:ascii="Arial Narrow" w:eastAsia="Arial" w:hAnsi="Arial Narrow"/>
                <w:bCs/>
                <w:sz w:val="20"/>
              </w:rPr>
            </w:pPr>
            <w:r>
              <w:rPr>
                <w:rFonts w:ascii="Arial Narrow" w:eastAsia="Arial" w:hAnsi="Arial Narrow"/>
                <w:bCs/>
                <w:sz w:val="20"/>
              </w:rPr>
              <w:t xml:space="preserve"> </w:t>
            </w:r>
            <w:r w:rsidR="008D38D4">
              <w:rPr>
                <w:rFonts w:ascii="Arial Narrow" w:eastAsia="Arial" w:hAnsi="Arial Narrow"/>
                <w:bCs/>
                <w:sz w:val="20"/>
              </w:rPr>
              <w:t xml:space="preserve">The condition </w:t>
            </w:r>
            <w:r>
              <w:rPr>
                <w:rFonts w:ascii="Arial Narrow" w:eastAsia="Arial" w:hAnsi="Arial Narrow"/>
                <w:bCs/>
                <w:sz w:val="20"/>
              </w:rPr>
              <w:t xml:space="preserve">must not have </w:t>
            </w:r>
            <w:r w:rsidR="008D38D4">
              <w:rPr>
                <w:rFonts w:ascii="Arial Narrow" w:eastAsia="Arial" w:hAnsi="Arial Narrow"/>
                <w:bCs/>
                <w:sz w:val="20"/>
              </w:rPr>
              <w:t xml:space="preserve">progressed/recurred </w:t>
            </w:r>
            <w:r>
              <w:rPr>
                <w:rFonts w:ascii="Arial Narrow" w:eastAsia="Arial" w:hAnsi="Arial Narrow"/>
                <w:bCs/>
                <w:sz w:val="20"/>
              </w:rPr>
              <w:t>whil</w:t>
            </w:r>
            <w:r w:rsidR="008D38D4">
              <w:rPr>
                <w:rFonts w:ascii="Arial Narrow" w:eastAsia="Arial" w:hAnsi="Arial Narrow"/>
                <w:bCs/>
                <w:sz w:val="20"/>
              </w:rPr>
              <w:t>st</w:t>
            </w:r>
            <w:r>
              <w:rPr>
                <w:rFonts w:ascii="Arial Narrow" w:eastAsia="Arial" w:hAnsi="Arial Narrow"/>
                <w:bCs/>
                <w:sz w:val="20"/>
              </w:rPr>
              <w:t xml:space="preserve"> </w:t>
            </w:r>
            <w:r w:rsidR="008D38D4">
              <w:rPr>
                <w:rFonts w:ascii="Arial Narrow" w:eastAsia="Arial" w:hAnsi="Arial Narrow"/>
                <w:bCs/>
                <w:sz w:val="20"/>
              </w:rPr>
              <w:t xml:space="preserve">on treatment </w:t>
            </w:r>
            <w:r>
              <w:rPr>
                <w:rFonts w:ascii="Arial Narrow" w:eastAsia="Arial" w:hAnsi="Arial Narrow"/>
                <w:bCs/>
                <w:sz w:val="20"/>
              </w:rPr>
              <w:t xml:space="preserve">with this drug </w:t>
            </w:r>
          </w:p>
        </w:tc>
      </w:tr>
      <w:tr w:rsidR="00751F4B" w:rsidRPr="00C7381D" w14:paraId="466CED72"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3B6E3C1C" w14:textId="77777777" w:rsidR="00751F4B" w:rsidRPr="00C7381D" w:rsidRDefault="00751F4B" w:rsidP="00727D5F">
            <w:pPr>
              <w:jc w:val="center"/>
              <w:rPr>
                <w:rFonts w:ascii="Arial Narrow" w:eastAsia="Arial" w:hAnsi="Arial Narrow"/>
                <w:bCs/>
                <w:sz w:val="20"/>
              </w:rPr>
            </w:pPr>
          </w:p>
        </w:tc>
        <w:tc>
          <w:tcPr>
            <w:tcW w:w="4456" w:type="pct"/>
            <w:gridSpan w:val="4"/>
            <w:vAlign w:val="center"/>
          </w:tcPr>
          <w:p w14:paraId="0F04CE59" w14:textId="3835C8AC" w:rsidR="00751F4B" w:rsidRPr="00751F4B" w:rsidRDefault="00751F4B" w:rsidP="00727D5F">
            <w:pPr>
              <w:rPr>
                <w:rFonts w:ascii="Arial Narrow" w:eastAsia="Arial" w:hAnsi="Arial Narrow"/>
                <w:b/>
                <w:sz w:val="20"/>
              </w:rPr>
            </w:pPr>
            <w:r w:rsidRPr="00751F4B">
              <w:rPr>
                <w:rFonts w:ascii="Arial Narrow" w:eastAsia="Arial" w:hAnsi="Arial Narrow"/>
                <w:b/>
                <w:sz w:val="20"/>
              </w:rPr>
              <w:t>AND</w:t>
            </w:r>
          </w:p>
        </w:tc>
      </w:tr>
      <w:tr w:rsidR="00751F4B" w:rsidRPr="00C7381D" w14:paraId="7CC705E1"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62BFD7CB" w14:textId="4CDC778D" w:rsidR="00751F4B" w:rsidRPr="00C7381D" w:rsidRDefault="00751F4B" w:rsidP="00727D5F">
            <w:pPr>
              <w:jc w:val="center"/>
              <w:rPr>
                <w:rFonts w:ascii="Arial Narrow" w:eastAsia="Arial" w:hAnsi="Arial Narrow"/>
                <w:bCs/>
                <w:sz w:val="20"/>
              </w:rPr>
            </w:pPr>
          </w:p>
        </w:tc>
        <w:tc>
          <w:tcPr>
            <w:tcW w:w="4456" w:type="pct"/>
            <w:gridSpan w:val="4"/>
            <w:vAlign w:val="center"/>
          </w:tcPr>
          <w:p w14:paraId="74C676C3" w14:textId="7625CC56" w:rsidR="00751F4B" w:rsidRDefault="00751F4B" w:rsidP="00727D5F">
            <w:pPr>
              <w:rPr>
                <w:rFonts w:ascii="Arial Narrow" w:eastAsia="Arial" w:hAnsi="Arial Narrow"/>
                <w:bCs/>
                <w:sz w:val="20"/>
              </w:rPr>
            </w:pPr>
            <w:proofErr w:type="gramStart"/>
            <w:r w:rsidRPr="00C7381D">
              <w:rPr>
                <w:rFonts w:ascii="Arial Narrow" w:hAnsi="Arial Narrow"/>
                <w:b/>
                <w:bCs/>
                <w:sz w:val="20"/>
              </w:rPr>
              <w:t xml:space="preserve">Treatment </w:t>
            </w:r>
            <w:r w:rsidR="005040C5">
              <w:rPr>
                <w:rFonts w:ascii="Arial Narrow" w:hAnsi="Arial Narrow"/>
                <w:b/>
                <w:bCs/>
                <w:sz w:val="20"/>
              </w:rPr>
              <w:t xml:space="preserve"> </w:t>
            </w:r>
            <w:r w:rsidRPr="00C7381D">
              <w:rPr>
                <w:rFonts w:ascii="Arial Narrow" w:hAnsi="Arial Narrow"/>
                <w:b/>
                <w:bCs/>
                <w:sz w:val="20"/>
              </w:rPr>
              <w:t>criteria</w:t>
            </w:r>
            <w:proofErr w:type="gramEnd"/>
            <w:r w:rsidRPr="00C7381D">
              <w:rPr>
                <w:rFonts w:ascii="Arial Narrow" w:hAnsi="Arial Narrow"/>
                <w:b/>
                <w:bCs/>
                <w:sz w:val="20"/>
              </w:rPr>
              <w:t>:</w:t>
            </w:r>
          </w:p>
        </w:tc>
      </w:tr>
      <w:tr w:rsidR="00751F4B" w:rsidRPr="00C7381D" w14:paraId="0C1F29D8" w14:textId="77777777" w:rsidTr="003F35E8">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4DD4325F" w14:textId="67FF9116" w:rsidR="00751F4B" w:rsidRPr="00C7381D" w:rsidRDefault="00751F4B" w:rsidP="003F35E8">
            <w:pPr>
              <w:jc w:val="center"/>
              <w:rPr>
                <w:rFonts w:ascii="Arial Narrow" w:eastAsia="Arial" w:hAnsi="Arial Narrow"/>
                <w:bCs/>
                <w:sz w:val="20"/>
              </w:rPr>
            </w:pPr>
          </w:p>
        </w:tc>
        <w:tc>
          <w:tcPr>
            <w:tcW w:w="4456" w:type="pct"/>
            <w:gridSpan w:val="4"/>
            <w:vAlign w:val="center"/>
          </w:tcPr>
          <w:p w14:paraId="609D42F9" w14:textId="7FB8C706" w:rsidR="00751F4B" w:rsidRPr="00C7381D" w:rsidRDefault="005040C5" w:rsidP="003F35E8">
            <w:pPr>
              <w:rPr>
                <w:rFonts w:ascii="Arial Narrow" w:eastAsia="Arial" w:hAnsi="Arial Narrow"/>
                <w:bCs/>
                <w:sz w:val="20"/>
              </w:rPr>
            </w:pPr>
            <w:r>
              <w:rPr>
                <w:rFonts w:ascii="Arial Narrow" w:eastAsia="Arial" w:hAnsi="Arial Narrow"/>
                <w:bCs/>
                <w:sz w:val="20"/>
              </w:rPr>
              <w:t>Patient</w:t>
            </w:r>
            <w:r w:rsidR="00751F4B">
              <w:rPr>
                <w:rFonts w:ascii="Arial Narrow" w:eastAsia="Arial" w:hAnsi="Arial Narrow"/>
                <w:bCs/>
                <w:sz w:val="20"/>
              </w:rPr>
              <w:t xml:space="preserve"> must not </w:t>
            </w:r>
            <w:r>
              <w:rPr>
                <w:rFonts w:ascii="Arial Narrow" w:eastAsia="Arial" w:hAnsi="Arial Narrow"/>
                <w:bCs/>
                <w:sz w:val="20"/>
              </w:rPr>
              <w:t xml:space="preserve">be undergoing treatment with this drug </w:t>
            </w:r>
            <w:r w:rsidR="00751F4B">
              <w:rPr>
                <w:rFonts w:ascii="Arial Narrow" w:eastAsia="Arial" w:hAnsi="Arial Narrow"/>
                <w:bCs/>
                <w:sz w:val="20"/>
              </w:rPr>
              <w:t xml:space="preserve">beyond 52 </w:t>
            </w:r>
            <w:r w:rsidR="008D38D4">
              <w:rPr>
                <w:rFonts w:ascii="Arial Narrow" w:eastAsia="Arial" w:hAnsi="Arial Narrow"/>
                <w:bCs/>
                <w:sz w:val="20"/>
              </w:rPr>
              <w:t xml:space="preserve">cumulative </w:t>
            </w:r>
            <w:r w:rsidR="00751F4B">
              <w:rPr>
                <w:rFonts w:ascii="Arial Narrow" w:eastAsia="Arial" w:hAnsi="Arial Narrow"/>
                <w:bCs/>
                <w:sz w:val="20"/>
              </w:rPr>
              <w:t>weeks</w:t>
            </w:r>
            <w:r w:rsidR="008D38D4">
              <w:rPr>
                <w:rFonts w:ascii="Arial Narrow" w:eastAsia="Arial" w:hAnsi="Arial Narrow"/>
                <w:bCs/>
                <w:sz w:val="20"/>
              </w:rPr>
              <w:t xml:space="preserve"> </w:t>
            </w:r>
            <w:r>
              <w:rPr>
                <w:rFonts w:ascii="Arial Narrow" w:eastAsia="Arial" w:hAnsi="Arial Narrow"/>
                <w:bCs/>
                <w:sz w:val="20"/>
              </w:rPr>
              <w:t>under this restriction</w:t>
            </w:r>
            <w:r w:rsidR="00751F4B">
              <w:rPr>
                <w:rFonts w:ascii="Arial Narrow" w:eastAsia="Arial" w:hAnsi="Arial Narrow"/>
                <w:bCs/>
                <w:sz w:val="20"/>
              </w:rPr>
              <w:t>.</w:t>
            </w:r>
          </w:p>
        </w:tc>
      </w:tr>
      <w:tr w:rsidR="00D038B2" w:rsidRPr="00C7381D" w14:paraId="18AAE6B6" w14:textId="77777777" w:rsidTr="00727D5F">
        <w:tblPrEx>
          <w:tblCellMar>
            <w:top w:w="15" w:type="dxa"/>
            <w:left w:w="15" w:type="dxa"/>
            <w:bottom w:w="15" w:type="dxa"/>
            <w:right w:w="15" w:type="dxa"/>
          </w:tblCellMar>
          <w:tblLook w:val="04A0" w:firstRow="1" w:lastRow="0" w:firstColumn="1" w:lastColumn="0" w:noHBand="0" w:noVBand="1"/>
        </w:tblPrEx>
        <w:trPr>
          <w:trHeight w:val="57"/>
        </w:trPr>
        <w:tc>
          <w:tcPr>
            <w:tcW w:w="544" w:type="pct"/>
            <w:vAlign w:val="center"/>
          </w:tcPr>
          <w:p w14:paraId="5CCF73C5" w14:textId="77777777" w:rsidR="00D038B2" w:rsidRPr="00C7381D" w:rsidRDefault="00D038B2" w:rsidP="00727D5F">
            <w:pPr>
              <w:jc w:val="center"/>
              <w:rPr>
                <w:rFonts w:ascii="Arial Narrow" w:eastAsia="Arial" w:hAnsi="Arial Narrow"/>
                <w:bCs/>
                <w:sz w:val="20"/>
              </w:rPr>
            </w:pPr>
          </w:p>
        </w:tc>
        <w:tc>
          <w:tcPr>
            <w:tcW w:w="4456" w:type="pct"/>
            <w:gridSpan w:val="4"/>
            <w:vAlign w:val="center"/>
          </w:tcPr>
          <w:p w14:paraId="1D992EF3" w14:textId="68D59F97" w:rsidR="00D038B2" w:rsidRPr="00C7381D" w:rsidRDefault="00D038B2" w:rsidP="00727D5F">
            <w:pPr>
              <w:rPr>
                <w:rFonts w:ascii="Arial Narrow" w:eastAsia="Arial" w:hAnsi="Arial Narrow"/>
                <w:b/>
                <w:bCs/>
                <w:sz w:val="20"/>
              </w:rPr>
            </w:pPr>
            <w:r w:rsidRPr="00C7381D">
              <w:rPr>
                <w:rFonts w:ascii="Arial Narrow" w:eastAsia="Arial" w:hAnsi="Arial Narrow"/>
                <w:b/>
                <w:bCs/>
                <w:sz w:val="20"/>
              </w:rPr>
              <w:t>AND</w:t>
            </w:r>
          </w:p>
        </w:tc>
      </w:tr>
      <w:tr w:rsidR="00D038B2" w:rsidRPr="00C7381D" w14:paraId="1D7069D2" w14:textId="77777777" w:rsidTr="00727D5F">
        <w:tblPrEx>
          <w:tblCellMar>
            <w:top w:w="15" w:type="dxa"/>
            <w:bottom w:w="15" w:type="dxa"/>
          </w:tblCellMar>
          <w:tblLook w:val="04A0" w:firstRow="1" w:lastRow="0" w:firstColumn="1" w:lastColumn="0" w:noHBand="0" w:noVBand="1"/>
        </w:tblPrEx>
        <w:trPr>
          <w:cantSplit/>
          <w:trHeight w:val="20"/>
        </w:trPr>
        <w:tc>
          <w:tcPr>
            <w:tcW w:w="544" w:type="pct"/>
            <w:vAlign w:val="center"/>
          </w:tcPr>
          <w:p w14:paraId="6F61A410" w14:textId="526DDFB8" w:rsidR="00D038B2" w:rsidRPr="00C7381D" w:rsidRDefault="00D038B2" w:rsidP="00727D5F">
            <w:pPr>
              <w:jc w:val="center"/>
              <w:rPr>
                <w:rFonts w:ascii="Arial Narrow" w:hAnsi="Arial Narrow"/>
                <w:bCs/>
                <w:sz w:val="20"/>
              </w:rPr>
            </w:pPr>
          </w:p>
        </w:tc>
        <w:tc>
          <w:tcPr>
            <w:tcW w:w="4456" w:type="pct"/>
            <w:gridSpan w:val="4"/>
            <w:vAlign w:val="center"/>
          </w:tcPr>
          <w:p w14:paraId="0FDFF2C0" w14:textId="77777777" w:rsidR="00D038B2" w:rsidRPr="00C7381D" w:rsidRDefault="00D038B2" w:rsidP="00727D5F">
            <w:pPr>
              <w:ind w:left="-57"/>
              <w:rPr>
                <w:rFonts w:ascii="Arial Narrow" w:hAnsi="Arial Narrow"/>
                <w:b/>
                <w:bCs/>
                <w:sz w:val="20"/>
              </w:rPr>
            </w:pPr>
            <w:r w:rsidRPr="00C7381D">
              <w:rPr>
                <w:rFonts w:ascii="Arial Narrow" w:hAnsi="Arial Narrow"/>
                <w:b/>
                <w:bCs/>
                <w:sz w:val="20"/>
              </w:rPr>
              <w:t>Treatment criteria:</w:t>
            </w:r>
          </w:p>
        </w:tc>
      </w:tr>
      <w:tr w:rsidR="00D038B2" w:rsidRPr="00C7381D" w14:paraId="59EE0DA6" w14:textId="77777777" w:rsidTr="00727D5F">
        <w:tblPrEx>
          <w:tblCellMar>
            <w:top w:w="15" w:type="dxa"/>
            <w:bottom w:w="15" w:type="dxa"/>
          </w:tblCellMar>
          <w:tblLook w:val="04A0" w:firstRow="1" w:lastRow="0" w:firstColumn="1" w:lastColumn="0" w:noHBand="0" w:noVBand="1"/>
        </w:tblPrEx>
        <w:trPr>
          <w:cantSplit/>
          <w:trHeight w:val="20"/>
        </w:trPr>
        <w:tc>
          <w:tcPr>
            <w:tcW w:w="544" w:type="pct"/>
            <w:vAlign w:val="center"/>
          </w:tcPr>
          <w:p w14:paraId="7C986E5C" w14:textId="5C2C70CE" w:rsidR="00D038B2" w:rsidRPr="00C7381D" w:rsidRDefault="00D038B2" w:rsidP="00727D5F">
            <w:pPr>
              <w:jc w:val="center"/>
              <w:rPr>
                <w:rFonts w:ascii="Arial Narrow" w:hAnsi="Arial Narrow"/>
                <w:bCs/>
                <w:sz w:val="20"/>
              </w:rPr>
            </w:pPr>
          </w:p>
        </w:tc>
        <w:tc>
          <w:tcPr>
            <w:tcW w:w="4456" w:type="pct"/>
            <w:gridSpan w:val="4"/>
            <w:vAlign w:val="center"/>
          </w:tcPr>
          <w:p w14:paraId="7ECEADCA" w14:textId="77777777" w:rsidR="00D038B2" w:rsidRPr="00C7381D" w:rsidRDefault="00D038B2" w:rsidP="00727D5F">
            <w:pPr>
              <w:ind w:left="-57"/>
              <w:rPr>
                <w:rFonts w:ascii="Arial Narrow" w:hAnsi="Arial Narrow"/>
                <w:bCs/>
                <w:sz w:val="20"/>
              </w:rPr>
            </w:pPr>
            <w:r w:rsidRPr="00C7381D">
              <w:rPr>
                <w:rFonts w:ascii="Arial Narrow" w:hAnsi="Arial Narrow"/>
                <w:bCs/>
                <w:sz w:val="20"/>
              </w:rPr>
              <w:t xml:space="preserve">Patient must be undergoing treatment with this drug administered once every 3 weeks - prescribe up to 7 repeat </w:t>
            </w:r>
            <w:proofErr w:type="gramStart"/>
            <w:r w:rsidRPr="00C7381D">
              <w:rPr>
                <w:rFonts w:ascii="Arial Narrow" w:hAnsi="Arial Narrow"/>
                <w:bCs/>
                <w:sz w:val="20"/>
              </w:rPr>
              <w:t>prescriptions;</w:t>
            </w:r>
            <w:proofErr w:type="gramEnd"/>
            <w:r w:rsidRPr="00C7381D">
              <w:rPr>
                <w:rFonts w:ascii="Arial Narrow" w:hAnsi="Arial Narrow"/>
                <w:bCs/>
                <w:sz w:val="20"/>
              </w:rPr>
              <w:t xml:space="preserve"> or</w:t>
            </w:r>
          </w:p>
        </w:tc>
      </w:tr>
      <w:tr w:rsidR="00D038B2" w:rsidRPr="00C7381D" w14:paraId="6242A098" w14:textId="77777777" w:rsidTr="00727D5F">
        <w:tblPrEx>
          <w:tblCellMar>
            <w:top w:w="15" w:type="dxa"/>
            <w:bottom w:w="15" w:type="dxa"/>
          </w:tblCellMar>
          <w:tblLook w:val="04A0" w:firstRow="1" w:lastRow="0" w:firstColumn="1" w:lastColumn="0" w:noHBand="0" w:noVBand="1"/>
        </w:tblPrEx>
        <w:trPr>
          <w:cantSplit/>
          <w:trHeight w:val="20"/>
        </w:trPr>
        <w:tc>
          <w:tcPr>
            <w:tcW w:w="544" w:type="pct"/>
            <w:vAlign w:val="center"/>
          </w:tcPr>
          <w:p w14:paraId="1C8E8F78" w14:textId="2FF07C4F" w:rsidR="00D038B2" w:rsidRPr="00C7381D" w:rsidRDefault="00D038B2" w:rsidP="00727D5F">
            <w:pPr>
              <w:jc w:val="center"/>
              <w:rPr>
                <w:rFonts w:ascii="Arial Narrow" w:hAnsi="Arial Narrow"/>
                <w:bCs/>
                <w:sz w:val="20"/>
              </w:rPr>
            </w:pPr>
          </w:p>
        </w:tc>
        <w:tc>
          <w:tcPr>
            <w:tcW w:w="4456" w:type="pct"/>
            <w:gridSpan w:val="4"/>
            <w:vAlign w:val="center"/>
          </w:tcPr>
          <w:p w14:paraId="2422B33B" w14:textId="77777777" w:rsidR="00D038B2" w:rsidRPr="00C7381D" w:rsidRDefault="00D038B2" w:rsidP="00727D5F">
            <w:pPr>
              <w:ind w:left="-57"/>
              <w:rPr>
                <w:rFonts w:ascii="Arial Narrow" w:hAnsi="Arial Narrow"/>
                <w:bCs/>
                <w:sz w:val="20"/>
              </w:rPr>
            </w:pPr>
            <w:r w:rsidRPr="00C7381D">
              <w:rPr>
                <w:rFonts w:ascii="Arial Narrow" w:hAnsi="Arial Narrow"/>
                <w:bCs/>
                <w:sz w:val="20"/>
              </w:rPr>
              <w:t>Patient must be undergoing treatment with this drug administered once every 6 weeks - prescribe up to 4 repeat prescriptions.</w:t>
            </w:r>
          </w:p>
        </w:tc>
      </w:tr>
      <w:tr w:rsidR="00D038B2" w:rsidRPr="00C7381D" w14:paraId="78F084E4" w14:textId="77777777" w:rsidTr="00727D5F">
        <w:tblPrEx>
          <w:tblCellMar>
            <w:top w:w="15" w:type="dxa"/>
            <w:bottom w:w="15" w:type="dxa"/>
          </w:tblCellMar>
          <w:tblLook w:val="04A0" w:firstRow="1" w:lastRow="0" w:firstColumn="1" w:lastColumn="0" w:noHBand="0" w:noVBand="1"/>
        </w:tblPrEx>
        <w:trPr>
          <w:cantSplit/>
          <w:trHeight w:val="20"/>
        </w:trPr>
        <w:tc>
          <w:tcPr>
            <w:tcW w:w="544" w:type="pct"/>
            <w:tcBorders>
              <w:top w:val="single" w:sz="4" w:space="0" w:color="auto"/>
              <w:left w:val="single" w:sz="4" w:space="0" w:color="auto"/>
              <w:bottom w:val="single" w:sz="4" w:space="0" w:color="auto"/>
              <w:right w:val="single" w:sz="4" w:space="0" w:color="auto"/>
            </w:tcBorders>
            <w:vAlign w:val="center"/>
          </w:tcPr>
          <w:p w14:paraId="3117CFF8" w14:textId="77777777" w:rsidR="00D038B2" w:rsidRPr="00C7381D" w:rsidRDefault="00D038B2" w:rsidP="00727D5F">
            <w:pPr>
              <w:jc w:val="center"/>
              <w:rPr>
                <w:rFonts w:ascii="Arial Narrow" w:hAnsi="Arial Narrow"/>
                <w:bCs/>
                <w:sz w:val="20"/>
              </w:rPr>
            </w:pPr>
          </w:p>
        </w:tc>
        <w:tc>
          <w:tcPr>
            <w:tcW w:w="4456" w:type="pct"/>
            <w:gridSpan w:val="4"/>
            <w:tcBorders>
              <w:top w:val="single" w:sz="4" w:space="0" w:color="auto"/>
              <w:left w:val="single" w:sz="4" w:space="0" w:color="auto"/>
              <w:bottom w:val="single" w:sz="4" w:space="0" w:color="auto"/>
              <w:right w:val="single" w:sz="4" w:space="0" w:color="auto"/>
            </w:tcBorders>
            <w:vAlign w:val="center"/>
          </w:tcPr>
          <w:p w14:paraId="79923462" w14:textId="77777777" w:rsidR="00D038B2" w:rsidRPr="00C7381D" w:rsidRDefault="00D038B2" w:rsidP="00727D5F">
            <w:pPr>
              <w:rPr>
                <w:rFonts w:ascii="Arial Narrow" w:hAnsi="Arial Narrow"/>
                <w:b/>
                <w:bCs/>
                <w:sz w:val="20"/>
              </w:rPr>
            </w:pPr>
          </w:p>
        </w:tc>
      </w:tr>
      <w:tr w:rsidR="00D038B2" w:rsidRPr="00C7381D" w14:paraId="10D39626" w14:textId="77777777" w:rsidTr="00727D5F">
        <w:tblPrEx>
          <w:tblCellMar>
            <w:top w:w="15" w:type="dxa"/>
            <w:bottom w:w="15" w:type="dxa"/>
          </w:tblCellMar>
          <w:tblLook w:val="04A0" w:firstRow="1" w:lastRow="0" w:firstColumn="1" w:lastColumn="0" w:noHBand="0" w:noVBand="1"/>
        </w:tblPrEx>
        <w:trPr>
          <w:cantSplit/>
          <w:trHeight w:val="20"/>
        </w:trPr>
        <w:tc>
          <w:tcPr>
            <w:tcW w:w="544" w:type="pct"/>
            <w:tcBorders>
              <w:top w:val="single" w:sz="4" w:space="0" w:color="auto"/>
              <w:left w:val="single" w:sz="4" w:space="0" w:color="auto"/>
              <w:bottom w:val="single" w:sz="4" w:space="0" w:color="auto"/>
              <w:right w:val="single" w:sz="4" w:space="0" w:color="auto"/>
            </w:tcBorders>
            <w:vAlign w:val="center"/>
          </w:tcPr>
          <w:p w14:paraId="3E27113E" w14:textId="37DDA4A3" w:rsidR="00D038B2" w:rsidRPr="00C7381D" w:rsidRDefault="00D038B2" w:rsidP="00727D5F">
            <w:pPr>
              <w:jc w:val="center"/>
              <w:rPr>
                <w:rFonts w:ascii="Arial Narrow" w:hAnsi="Arial Narrow"/>
                <w:bCs/>
                <w:sz w:val="20"/>
              </w:rPr>
            </w:pPr>
          </w:p>
        </w:tc>
        <w:tc>
          <w:tcPr>
            <w:tcW w:w="4456" w:type="pct"/>
            <w:gridSpan w:val="4"/>
            <w:tcBorders>
              <w:top w:val="single" w:sz="4" w:space="0" w:color="auto"/>
              <w:left w:val="single" w:sz="4" w:space="0" w:color="auto"/>
              <w:bottom w:val="single" w:sz="4" w:space="0" w:color="auto"/>
              <w:right w:val="single" w:sz="4" w:space="0" w:color="auto"/>
            </w:tcBorders>
            <w:vAlign w:val="center"/>
          </w:tcPr>
          <w:p w14:paraId="7BCD5F72" w14:textId="77777777" w:rsidR="00D038B2" w:rsidRPr="00C7381D" w:rsidRDefault="00D038B2" w:rsidP="00727D5F">
            <w:pPr>
              <w:ind w:left="-57"/>
              <w:rPr>
                <w:rFonts w:ascii="Arial Narrow" w:hAnsi="Arial Narrow"/>
                <w:bCs/>
                <w:sz w:val="20"/>
              </w:rPr>
            </w:pPr>
            <w:r w:rsidRPr="00C7381D">
              <w:rPr>
                <w:rFonts w:ascii="Arial Narrow" w:hAnsi="Arial Narrow"/>
                <w:b/>
                <w:bCs/>
                <w:sz w:val="20"/>
              </w:rPr>
              <w:t xml:space="preserve">Administrative Advice: </w:t>
            </w:r>
            <w:r w:rsidRPr="00C7381D">
              <w:rPr>
                <w:rFonts w:ascii="Arial Narrow" w:hAnsi="Arial Narrow"/>
                <w:bCs/>
                <w:sz w:val="20"/>
              </w:rPr>
              <w:t>No increase in the maximum amount or number of units may be authorised.</w:t>
            </w:r>
          </w:p>
        </w:tc>
      </w:tr>
      <w:tr w:rsidR="00D038B2" w:rsidRPr="00C7381D" w14:paraId="1B7B23C7" w14:textId="77777777" w:rsidTr="00727D5F">
        <w:tblPrEx>
          <w:tblCellMar>
            <w:top w:w="15" w:type="dxa"/>
            <w:bottom w:w="15" w:type="dxa"/>
          </w:tblCellMar>
          <w:tblLook w:val="04A0" w:firstRow="1" w:lastRow="0" w:firstColumn="1" w:lastColumn="0" w:noHBand="0" w:noVBand="1"/>
        </w:tblPrEx>
        <w:trPr>
          <w:cantSplit/>
          <w:trHeight w:val="20"/>
        </w:trPr>
        <w:tc>
          <w:tcPr>
            <w:tcW w:w="544" w:type="pct"/>
            <w:tcBorders>
              <w:top w:val="single" w:sz="4" w:space="0" w:color="auto"/>
              <w:left w:val="single" w:sz="4" w:space="0" w:color="auto"/>
              <w:bottom w:val="single" w:sz="4" w:space="0" w:color="auto"/>
              <w:right w:val="single" w:sz="4" w:space="0" w:color="auto"/>
            </w:tcBorders>
            <w:vAlign w:val="center"/>
          </w:tcPr>
          <w:p w14:paraId="2033DB7D" w14:textId="4D01D50F" w:rsidR="00D038B2" w:rsidRPr="00C7381D" w:rsidRDefault="00D038B2" w:rsidP="00727D5F">
            <w:pPr>
              <w:jc w:val="center"/>
              <w:rPr>
                <w:rFonts w:ascii="Arial Narrow" w:hAnsi="Arial Narrow"/>
                <w:bCs/>
                <w:sz w:val="20"/>
              </w:rPr>
            </w:pPr>
          </w:p>
        </w:tc>
        <w:tc>
          <w:tcPr>
            <w:tcW w:w="4456" w:type="pct"/>
            <w:gridSpan w:val="4"/>
            <w:tcBorders>
              <w:top w:val="single" w:sz="4" w:space="0" w:color="auto"/>
              <w:left w:val="single" w:sz="4" w:space="0" w:color="auto"/>
              <w:bottom w:val="single" w:sz="4" w:space="0" w:color="auto"/>
              <w:right w:val="single" w:sz="4" w:space="0" w:color="auto"/>
            </w:tcBorders>
            <w:vAlign w:val="center"/>
          </w:tcPr>
          <w:p w14:paraId="00782048" w14:textId="77777777" w:rsidR="00D038B2" w:rsidRPr="00C7381D" w:rsidRDefault="00D038B2" w:rsidP="00727D5F">
            <w:pPr>
              <w:ind w:left="-57"/>
              <w:rPr>
                <w:rFonts w:ascii="Arial Narrow" w:hAnsi="Arial Narrow"/>
                <w:bCs/>
                <w:sz w:val="20"/>
              </w:rPr>
            </w:pPr>
            <w:r w:rsidRPr="00C7381D">
              <w:rPr>
                <w:rFonts w:ascii="Arial Narrow" w:hAnsi="Arial Narrow"/>
                <w:b/>
                <w:bCs/>
                <w:sz w:val="20"/>
              </w:rPr>
              <w:t xml:space="preserve">Administrative Advice: </w:t>
            </w:r>
            <w:r w:rsidRPr="00C7381D">
              <w:rPr>
                <w:rFonts w:ascii="Arial Narrow" w:hAnsi="Arial Narrow"/>
                <w:bCs/>
                <w:sz w:val="20"/>
              </w:rPr>
              <w:t>No increase in the maximum number of repeats may be authorised</w:t>
            </w:r>
          </w:p>
        </w:tc>
      </w:tr>
      <w:bookmarkEnd w:id="14"/>
    </w:tbl>
    <w:p w14:paraId="758961A9" w14:textId="4236D0C7" w:rsidR="004513B9" w:rsidRDefault="004513B9" w:rsidP="004513B9">
      <w:pPr>
        <w:rPr>
          <w:rFonts w:asciiTheme="minorHAnsi" w:hAnsiTheme="minorHAnsi" w:cs="Arial"/>
          <w:bCs/>
          <w:snapToGrid w:val="0"/>
        </w:rPr>
      </w:pPr>
    </w:p>
    <w:p w14:paraId="4BF42CEC" w14:textId="27F46E6A" w:rsidR="00B031C2" w:rsidRPr="00494B2D" w:rsidRDefault="00B031C2" w:rsidP="004513B9">
      <w:pPr>
        <w:rPr>
          <w:rFonts w:asciiTheme="minorHAnsi" w:hAnsiTheme="minorHAnsi" w:cs="Arial"/>
          <w:b/>
          <w:bCs/>
          <w:snapToGrid w:val="0"/>
        </w:rPr>
      </w:pPr>
      <w:r w:rsidRPr="00494B2D">
        <w:rPr>
          <w:rFonts w:eastAsia="Calibri"/>
          <w:b/>
          <w:bCs/>
          <w:i/>
          <w:iCs/>
        </w:rPr>
        <w:t>These restrictions may be subject to further review. Should there be any changes made to the restriction the sponsor will be informed.</w:t>
      </w:r>
    </w:p>
    <w:p w14:paraId="50F34372" w14:textId="53B6AEE3" w:rsidR="00B97736" w:rsidRDefault="00B97736" w:rsidP="004513B9"/>
    <w:p w14:paraId="5B7EDFEE" w14:textId="3012DA7E" w:rsidR="00432B4B" w:rsidRDefault="00432B4B" w:rsidP="00432B4B">
      <w:pPr>
        <w:pStyle w:val="2-SectionHeading"/>
        <w:numPr>
          <w:ilvl w:val="0"/>
          <w:numId w:val="1"/>
        </w:numPr>
        <w:outlineLvl w:val="1"/>
        <w:rPr>
          <w:bCs/>
          <w:lang w:val="en-GB"/>
        </w:rPr>
      </w:pPr>
      <w:r w:rsidRPr="00C07617">
        <w:t>Context for Decision</w:t>
      </w:r>
    </w:p>
    <w:p w14:paraId="2D6184FB" w14:textId="77777777" w:rsidR="00432B4B" w:rsidRPr="007129F2" w:rsidRDefault="00432B4B" w:rsidP="00432B4B">
      <w:pPr>
        <w:spacing w:after="120"/>
        <w:ind w:left="709"/>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cs="Arial"/>
          <w:bCs/>
          <w:lang w:val="en-GB"/>
        </w:rPr>
        <w:t>be made</w:t>
      </w:r>
      <w:proofErr w:type="gramEnd"/>
      <w:r w:rsidRPr="007129F2">
        <w:rPr>
          <w:rFonts w:asciiTheme="minorHAnsi" w:hAnsiTheme="minorHAnsi" w:cs="Arial"/>
          <w:bCs/>
          <w:lang w:val="en-GB"/>
        </w:rPr>
        <w:t xml:space="preserve"> available through the PBS. The PBAC welcomes applications containing </w:t>
      </w:r>
      <w:proofErr w:type="gramStart"/>
      <w:r w:rsidRPr="007129F2">
        <w:rPr>
          <w:rFonts w:asciiTheme="minorHAnsi" w:hAnsiTheme="minorHAnsi" w:cs="Arial"/>
          <w:bCs/>
          <w:lang w:val="en-GB"/>
        </w:rPr>
        <w:t>new information</w:t>
      </w:r>
      <w:proofErr w:type="gramEnd"/>
      <w:r w:rsidRPr="007129F2">
        <w:rPr>
          <w:rFonts w:asciiTheme="minorHAnsi" w:hAnsiTheme="minorHAnsi" w:cs="Arial"/>
          <w:bCs/>
          <w:lang w:val="en-GB"/>
        </w:rPr>
        <w:t xml:space="preserve"> at any time.</w:t>
      </w:r>
    </w:p>
    <w:p w14:paraId="11374AA8" w14:textId="1CD9D832" w:rsidR="00432B4B" w:rsidRPr="00C07617" w:rsidRDefault="00432B4B" w:rsidP="00432B4B">
      <w:pPr>
        <w:pStyle w:val="2-SectionHeading"/>
        <w:numPr>
          <w:ilvl w:val="0"/>
          <w:numId w:val="1"/>
        </w:numPr>
        <w:outlineLvl w:val="1"/>
        <w:rPr>
          <w:b w:val="0"/>
        </w:rPr>
      </w:pPr>
      <w:r>
        <w:t>Sponsor’s Comment</w:t>
      </w:r>
    </w:p>
    <w:p w14:paraId="4F2A28F2" w14:textId="77777777" w:rsidR="00BD15EA" w:rsidRPr="00BD15EA" w:rsidRDefault="00BD15EA" w:rsidP="00BD15EA">
      <w:pPr>
        <w:pStyle w:val="ListParagraph"/>
        <w:ind w:left="720"/>
        <w:rPr>
          <w:bCs/>
          <w:lang w:val="en-GB"/>
        </w:rPr>
      </w:pPr>
      <w:r w:rsidRPr="00BD15EA">
        <w:rPr>
          <w:bCs/>
          <w:lang w:val="en-GB"/>
        </w:rPr>
        <w:t xml:space="preserve">MSD welcomes the positive recommendation made by the PBAC and is working closely with the Department of Health and Aged Care to ensure that pembrolizumab is available to Australian </w:t>
      </w:r>
      <w:proofErr w:type="gramStart"/>
      <w:r w:rsidRPr="00BD15EA">
        <w:rPr>
          <w:bCs/>
          <w:lang w:val="en-GB"/>
        </w:rPr>
        <w:t>early-stage</w:t>
      </w:r>
      <w:proofErr w:type="gramEnd"/>
      <w:r w:rsidRPr="00BD15EA">
        <w:rPr>
          <w:bCs/>
          <w:lang w:val="en-GB"/>
        </w:rPr>
        <w:t xml:space="preserve"> triple negative breast cancer patients as soon as possible.</w:t>
      </w:r>
    </w:p>
    <w:p w14:paraId="226017D4" w14:textId="77777777" w:rsidR="00432B4B" w:rsidRDefault="00432B4B" w:rsidP="004513B9"/>
    <w:sectPr w:rsidR="00432B4B"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DCB5" w14:textId="77777777" w:rsidR="008B01E6" w:rsidRDefault="008B01E6">
      <w:r>
        <w:separator/>
      </w:r>
    </w:p>
    <w:p w14:paraId="2D48DDA7" w14:textId="77777777" w:rsidR="008B01E6" w:rsidRDefault="008B01E6"/>
    <w:p w14:paraId="5F6C1799" w14:textId="77777777" w:rsidR="008B01E6" w:rsidRDefault="008B01E6"/>
  </w:endnote>
  <w:endnote w:type="continuationSeparator" w:id="0">
    <w:p w14:paraId="2AA74214" w14:textId="77777777" w:rsidR="008B01E6" w:rsidRDefault="008B01E6">
      <w:r>
        <w:continuationSeparator/>
      </w:r>
    </w:p>
    <w:p w14:paraId="6D9EBAAD" w14:textId="77777777" w:rsidR="008B01E6" w:rsidRDefault="008B01E6"/>
    <w:p w14:paraId="7D6C6EA3" w14:textId="77777777" w:rsidR="008B01E6" w:rsidRDefault="008B01E6"/>
  </w:endnote>
  <w:endnote w:type="continuationNotice" w:id="1">
    <w:p w14:paraId="1F47511A" w14:textId="77777777" w:rsidR="008B01E6" w:rsidRDefault="008B01E6"/>
    <w:p w14:paraId="0DFF2252" w14:textId="77777777" w:rsidR="008B01E6" w:rsidRDefault="008B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ECE3" w14:textId="77777777" w:rsidR="00870869" w:rsidRDefault="00870869">
    <w:pPr>
      <w:pStyle w:val="Footer"/>
    </w:pPr>
  </w:p>
  <w:sdt>
    <w:sdtPr>
      <w:id w:val="163065893"/>
      <w:docPartObj>
        <w:docPartGallery w:val="Page Numbers (Bottom of Page)"/>
        <w:docPartUnique/>
      </w:docPartObj>
    </w:sdtPr>
    <w:sdtEndPr>
      <w:rPr>
        <w:b/>
        <w:bCs/>
        <w:noProof/>
      </w:rPr>
    </w:sdtEndPr>
    <w:sdtContent>
      <w:p w14:paraId="07DAAF98" w14:textId="2E33B98B" w:rsidR="00CF066B" w:rsidRPr="00886D32" w:rsidRDefault="00870869" w:rsidP="00870869">
        <w:pPr>
          <w:pStyle w:val="Footer"/>
          <w:rPr>
            <w:b/>
            <w:bCs/>
          </w:rPr>
        </w:pPr>
        <w:r w:rsidRPr="00886D32">
          <w:rPr>
            <w:b/>
            <w:bCs/>
          </w:rPr>
          <w:fldChar w:fldCharType="begin"/>
        </w:r>
        <w:r w:rsidRPr="00886D32">
          <w:rPr>
            <w:b/>
            <w:bCs/>
          </w:rPr>
          <w:instrText xml:space="preserve"> PAGE   \* MERGEFORMAT </w:instrText>
        </w:r>
        <w:r w:rsidRPr="00886D32">
          <w:rPr>
            <w:b/>
            <w:bCs/>
          </w:rPr>
          <w:fldChar w:fldCharType="separate"/>
        </w:r>
        <w:r w:rsidRPr="00886D32">
          <w:rPr>
            <w:b/>
            <w:bCs/>
            <w:noProof/>
          </w:rPr>
          <w:t>2</w:t>
        </w:r>
        <w:r w:rsidRPr="00886D3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00E207C6" w:rsidR="00240165" w:rsidRPr="007C0F57" w:rsidRDefault="00240165" w:rsidP="007C0F57">
    <w:pPr>
      <w:jc w:val="center"/>
      <w:rPr>
        <w:b/>
        <w:i/>
        <w:sz w:val="20"/>
        <w:szCs w:val="20"/>
      </w:rPr>
    </w:pPr>
    <w:r w:rsidRPr="007C0F57">
      <w:rPr>
        <w:b/>
        <w:i/>
        <w:sz w:val="20"/>
        <w:szCs w:val="20"/>
      </w:rPr>
      <w:t xml:space="preserve">Draft </w:t>
    </w:r>
    <w:r w:rsidR="00C44929">
      <w:rPr>
        <w:b/>
        <w:i/>
        <w:sz w:val="20"/>
        <w:szCs w:val="20"/>
      </w:rPr>
      <w:t>PSD</w:t>
    </w:r>
    <w:r w:rsidRPr="007C0F57">
      <w:rPr>
        <w:b/>
        <w:i/>
        <w:sz w:val="20"/>
        <w:szCs w:val="20"/>
      </w:rPr>
      <w:t xml:space="preserve">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3DFB" w14:textId="77777777" w:rsidR="008B01E6" w:rsidRDefault="008B01E6">
      <w:r>
        <w:separator/>
      </w:r>
    </w:p>
    <w:p w14:paraId="03068A00" w14:textId="77777777" w:rsidR="008B01E6" w:rsidRDefault="008B01E6"/>
    <w:p w14:paraId="2CE8D4E1" w14:textId="77777777" w:rsidR="008B01E6" w:rsidRDefault="008B01E6"/>
  </w:footnote>
  <w:footnote w:type="continuationSeparator" w:id="0">
    <w:p w14:paraId="3412038B" w14:textId="77777777" w:rsidR="008B01E6" w:rsidRDefault="008B01E6">
      <w:r>
        <w:continuationSeparator/>
      </w:r>
    </w:p>
    <w:p w14:paraId="321EADA9" w14:textId="77777777" w:rsidR="008B01E6" w:rsidRDefault="008B01E6"/>
    <w:p w14:paraId="5DF8EEC8" w14:textId="77777777" w:rsidR="008B01E6" w:rsidRDefault="008B01E6"/>
  </w:footnote>
  <w:footnote w:type="continuationNotice" w:id="1">
    <w:p w14:paraId="76A14634" w14:textId="77777777" w:rsidR="008B01E6" w:rsidRDefault="008B01E6"/>
    <w:p w14:paraId="240F2B4F" w14:textId="77777777" w:rsidR="008B01E6" w:rsidRDefault="008B01E6"/>
  </w:footnote>
  <w:footnote w:id="2">
    <w:p w14:paraId="116B59CC" w14:textId="77777777" w:rsidR="000F393E" w:rsidRPr="00AA43F3" w:rsidRDefault="000F393E" w:rsidP="000F393E">
      <w:pPr>
        <w:widowControl w:val="0"/>
        <w:spacing w:after="120"/>
        <w:rPr>
          <w:rFonts w:asciiTheme="minorHAnsi" w:hAnsiTheme="minorHAnsi"/>
          <w:bCs/>
          <w:snapToGrid w:val="0"/>
          <w:sz w:val="20"/>
          <w:szCs w:val="20"/>
        </w:rPr>
      </w:pPr>
      <w:r w:rsidRPr="00AA43F3">
        <w:rPr>
          <w:rStyle w:val="FootnoteReference"/>
          <w:sz w:val="20"/>
          <w:szCs w:val="20"/>
        </w:rPr>
        <w:footnoteRef/>
      </w:r>
      <w:r w:rsidRPr="00AA43F3">
        <w:rPr>
          <w:sz w:val="20"/>
          <w:szCs w:val="20"/>
        </w:rPr>
        <w:t xml:space="preserve"> </w:t>
      </w:r>
      <w:r w:rsidRPr="00AA43F3">
        <w:rPr>
          <w:rFonts w:asciiTheme="minorHAnsi" w:hAnsiTheme="minorHAnsi"/>
          <w:bCs/>
          <w:snapToGrid w:val="0"/>
          <w:sz w:val="20"/>
          <w:szCs w:val="20"/>
        </w:rPr>
        <w:t>Cherny NI, Dafni U, Bogaerts J, et al: ESMO-Magnitude of Clinical Benefit Scale version 1.1. Annals of Oncology 28:2340-2366, 2017</w:t>
      </w:r>
    </w:p>
    <w:p w14:paraId="5E609424" w14:textId="77777777" w:rsidR="000F393E" w:rsidRPr="006A3976" w:rsidRDefault="000F393E" w:rsidP="000F39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5F5E" w14:textId="42242D13" w:rsidR="00870869" w:rsidRPr="00870869" w:rsidRDefault="00C44929" w:rsidP="00870869">
    <w:pPr>
      <w:pStyle w:val="Footer"/>
      <w:rPr>
        <w:i/>
        <w:iCs/>
      </w:rPr>
    </w:pPr>
    <w:r>
      <w:rPr>
        <w:i/>
        <w:iCs/>
      </w:rPr>
      <w:t xml:space="preserve">Public Summary Document </w:t>
    </w:r>
    <w:r w:rsidR="008F01DF">
      <w:rPr>
        <w:i/>
        <w:iCs/>
      </w:rPr>
      <w:t xml:space="preserve">– </w:t>
    </w:r>
    <w:r w:rsidR="00870869" w:rsidRPr="00870869">
      <w:rPr>
        <w:i/>
        <w:iCs/>
      </w:rPr>
      <w:t>July</w:t>
    </w:r>
    <w:r w:rsidR="008F01DF">
      <w:rPr>
        <w:i/>
        <w:iCs/>
      </w:rPr>
      <w:t xml:space="preserve"> </w:t>
    </w:r>
    <w:r w:rsidR="00870869" w:rsidRPr="00870869">
      <w:rPr>
        <w:i/>
        <w:iCs/>
      </w:rPr>
      <w:t xml:space="preserve">2023 PBAC </w:t>
    </w:r>
    <w:r w:rsidR="00591002">
      <w:rPr>
        <w:i/>
        <w:iCs/>
      </w:rPr>
      <w:t>M</w:t>
    </w:r>
    <w:r w:rsidR="00870869" w:rsidRPr="00870869">
      <w:rPr>
        <w:i/>
        <w:iCs/>
      </w:rPr>
      <w:t>eeting</w:t>
    </w:r>
  </w:p>
  <w:p w14:paraId="64F7D832" w14:textId="7A4354F1" w:rsidR="00870869" w:rsidRPr="00870869" w:rsidRDefault="00870869" w:rsidP="00870869">
    <w:pPr>
      <w:pStyle w:val="Footer"/>
      <w:rPr>
        <w:i/>
        <w:iCs/>
      </w:rPr>
    </w:pPr>
  </w:p>
  <w:p w14:paraId="74A766A4" w14:textId="77777777" w:rsidR="00240165" w:rsidRDefault="00240165"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8A685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2" w15:restartNumberingAfterBreak="0">
    <w:nsid w:val="FFFFFF89"/>
    <w:multiLevelType w:val="hybridMultilevel"/>
    <w:tmpl w:val="5334621C"/>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A783F47"/>
    <w:multiLevelType w:val="hybridMultilevel"/>
    <w:tmpl w:val="70D63A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1C4B58"/>
    <w:multiLevelType w:val="hybridMultilevel"/>
    <w:tmpl w:val="82C89D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D135073"/>
    <w:multiLevelType w:val="hybridMultilevel"/>
    <w:tmpl w:val="F54AB5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78187C"/>
    <w:multiLevelType w:val="multilevel"/>
    <w:tmpl w:val="4D32C6E0"/>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6FE44217"/>
    <w:multiLevelType w:val="multilevel"/>
    <w:tmpl w:val="4D32C6E0"/>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15B29E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CC31E6B"/>
    <w:multiLevelType w:val="hybridMultilevel"/>
    <w:tmpl w:val="3AEA7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6926366">
    <w:abstractNumId w:val="26"/>
  </w:num>
  <w:num w:numId="2" w16cid:durableId="1025056177">
    <w:abstractNumId w:val="1"/>
  </w:num>
  <w:num w:numId="3" w16cid:durableId="379280834">
    <w:abstractNumId w:val="18"/>
  </w:num>
  <w:num w:numId="4" w16cid:durableId="1909076023">
    <w:abstractNumId w:val="27"/>
  </w:num>
  <w:num w:numId="5" w16cid:durableId="730202385">
    <w:abstractNumId w:val="25"/>
  </w:num>
  <w:num w:numId="6" w16cid:durableId="534662269">
    <w:abstractNumId w:val="14"/>
  </w:num>
  <w:num w:numId="7" w16cid:durableId="97262001">
    <w:abstractNumId w:val="13"/>
  </w:num>
  <w:num w:numId="8" w16cid:durableId="1671642616">
    <w:abstractNumId w:val="2"/>
  </w:num>
  <w:num w:numId="9" w16cid:durableId="1924755730">
    <w:abstractNumId w:val="26"/>
  </w:num>
  <w:num w:numId="10" w16cid:durableId="1128740094">
    <w:abstractNumId w:val="20"/>
  </w:num>
  <w:num w:numId="11" w16cid:durableId="1969780259">
    <w:abstractNumId w:val="10"/>
  </w:num>
  <w:num w:numId="12" w16cid:durableId="98571325">
    <w:abstractNumId w:val="11"/>
  </w:num>
  <w:num w:numId="13" w16cid:durableId="2117946264">
    <w:abstractNumId w:val="26"/>
  </w:num>
  <w:num w:numId="14" w16cid:durableId="1238443628">
    <w:abstractNumId w:val="26"/>
  </w:num>
  <w:num w:numId="15" w16cid:durableId="1249578848">
    <w:abstractNumId w:val="12"/>
  </w:num>
  <w:num w:numId="16" w16cid:durableId="598485805">
    <w:abstractNumId w:val="17"/>
  </w:num>
  <w:num w:numId="17" w16cid:durableId="1884632184">
    <w:abstractNumId w:val="0"/>
  </w:num>
  <w:num w:numId="18" w16cid:durableId="1960064551">
    <w:abstractNumId w:val="6"/>
  </w:num>
  <w:num w:numId="19" w16cid:durableId="1175270160">
    <w:abstractNumId w:val="24"/>
  </w:num>
  <w:num w:numId="20" w16cid:durableId="706950864">
    <w:abstractNumId w:val="18"/>
  </w:num>
  <w:num w:numId="21" w16cid:durableId="687217324">
    <w:abstractNumId w:val="18"/>
  </w:num>
  <w:num w:numId="22" w16cid:durableId="1622959797">
    <w:abstractNumId w:val="23"/>
  </w:num>
  <w:num w:numId="23" w16cid:durableId="328563761">
    <w:abstractNumId w:val="28"/>
  </w:num>
  <w:num w:numId="24" w16cid:durableId="139543522">
    <w:abstractNumId w:val="15"/>
  </w:num>
  <w:num w:numId="25" w16cid:durableId="952781188">
    <w:abstractNumId w:val="4"/>
  </w:num>
  <w:num w:numId="26" w16cid:durableId="2114595313">
    <w:abstractNumId w:val="16"/>
  </w:num>
  <w:num w:numId="27" w16cid:durableId="1113673316">
    <w:abstractNumId w:val="5"/>
  </w:num>
  <w:num w:numId="28" w16cid:durableId="1856769773">
    <w:abstractNumId w:val="3"/>
  </w:num>
  <w:num w:numId="29" w16cid:durableId="1059086381">
    <w:abstractNumId w:val="8"/>
  </w:num>
  <w:num w:numId="30" w16cid:durableId="1890263625">
    <w:abstractNumId w:val="9"/>
  </w:num>
  <w:num w:numId="31" w16cid:durableId="321586632">
    <w:abstractNumId w:val="7"/>
  </w:num>
  <w:num w:numId="32" w16cid:durableId="15310759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4794012">
    <w:abstractNumId w:val="22"/>
  </w:num>
  <w:num w:numId="34" w16cid:durableId="622003614">
    <w:abstractNumId w:val="18"/>
  </w:num>
  <w:num w:numId="35" w16cid:durableId="1127508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3201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5542100">
    <w:abstractNumId w:val="18"/>
  </w:num>
  <w:num w:numId="38" w16cid:durableId="23094538">
    <w:abstractNumId w:val="21"/>
  </w:num>
  <w:num w:numId="39" w16cid:durableId="145168722">
    <w:abstractNumId w:val="18"/>
  </w:num>
  <w:num w:numId="40" w16cid:durableId="3084399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2745"/>
    <w:rsid w:val="0000335D"/>
    <w:rsid w:val="00011A59"/>
    <w:rsid w:val="00016A41"/>
    <w:rsid w:val="000214D1"/>
    <w:rsid w:val="0002464A"/>
    <w:rsid w:val="00025A04"/>
    <w:rsid w:val="0003050E"/>
    <w:rsid w:val="000309AD"/>
    <w:rsid w:val="0003106B"/>
    <w:rsid w:val="00032C72"/>
    <w:rsid w:val="00033C1D"/>
    <w:rsid w:val="00034905"/>
    <w:rsid w:val="00036628"/>
    <w:rsid w:val="000421A1"/>
    <w:rsid w:val="0004240E"/>
    <w:rsid w:val="00044EC4"/>
    <w:rsid w:val="00045E26"/>
    <w:rsid w:val="000514B5"/>
    <w:rsid w:val="0005322E"/>
    <w:rsid w:val="00054E2B"/>
    <w:rsid w:val="00055AB6"/>
    <w:rsid w:val="00060E64"/>
    <w:rsid w:val="00061CD5"/>
    <w:rsid w:val="00066193"/>
    <w:rsid w:val="00066755"/>
    <w:rsid w:val="00067B6B"/>
    <w:rsid w:val="00071A5B"/>
    <w:rsid w:val="0007337F"/>
    <w:rsid w:val="00073CC7"/>
    <w:rsid w:val="000763D5"/>
    <w:rsid w:val="00076C38"/>
    <w:rsid w:val="00077143"/>
    <w:rsid w:val="00077DF7"/>
    <w:rsid w:val="00077EB9"/>
    <w:rsid w:val="0008050C"/>
    <w:rsid w:val="00080D80"/>
    <w:rsid w:val="00082169"/>
    <w:rsid w:val="000834BE"/>
    <w:rsid w:val="00083F01"/>
    <w:rsid w:val="00087C4C"/>
    <w:rsid w:val="000918CB"/>
    <w:rsid w:val="00091B06"/>
    <w:rsid w:val="00094C82"/>
    <w:rsid w:val="000951C4"/>
    <w:rsid w:val="00095ADA"/>
    <w:rsid w:val="000969AD"/>
    <w:rsid w:val="000975FB"/>
    <w:rsid w:val="000A3AA2"/>
    <w:rsid w:val="000A44B2"/>
    <w:rsid w:val="000A52F6"/>
    <w:rsid w:val="000B44C3"/>
    <w:rsid w:val="000B51FF"/>
    <w:rsid w:val="000B558D"/>
    <w:rsid w:val="000B5A89"/>
    <w:rsid w:val="000B65F6"/>
    <w:rsid w:val="000B7767"/>
    <w:rsid w:val="000C5F95"/>
    <w:rsid w:val="000C6996"/>
    <w:rsid w:val="000C7C46"/>
    <w:rsid w:val="000D09E9"/>
    <w:rsid w:val="000D113F"/>
    <w:rsid w:val="000D23BA"/>
    <w:rsid w:val="000D643A"/>
    <w:rsid w:val="000E10E6"/>
    <w:rsid w:val="000E19B7"/>
    <w:rsid w:val="000E20FC"/>
    <w:rsid w:val="000E3DFB"/>
    <w:rsid w:val="000E5EA1"/>
    <w:rsid w:val="000E681E"/>
    <w:rsid w:val="000E7E52"/>
    <w:rsid w:val="000F0003"/>
    <w:rsid w:val="000F3384"/>
    <w:rsid w:val="000F393E"/>
    <w:rsid w:val="000F4E6A"/>
    <w:rsid w:val="000F7354"/>
    <w:rsid w:val="00101ABE"/>
    <w:rsid w:val="00102202"/>
    <w:rsid w:val="001022CD"/>
    <w:rsid w:val="00102700"/>
    <w:rsid w:val="0010289B"/>
    <w:rsid w:val="00102A78"/>
    <w:rsid w:val="00103118"/>
    <w:rsid w:val="00104227"/>
    <w:rsid w:val="001075BC"/>
    <w:rsid w:val="001107BF"/>
    <w:rsid w:val="001122AE"/>
    <w:rsid w:val="00113649"/>
    <w:rsid w:val="00113D5C"/>
    <w:rsid w:val="00115B92"/>
    <w:rsid w:val="0012052E"/>
    <w:rsid w:val="0012417C"/>
    <w:rsid w:val="0012484C"/>
    <w:rsid w:val="00124BF2"/>
    <w:rsid w:val="0012597F"/>
    <w:rsid w:val="0012749D"/>
    <w:rsid w:val="001306A5"/>
    <w:rsid w:val="001311AE"/>
    <w:rsid w:val="00140B74"/>
    <w:rsid w:val="00140D94"/>
    <w:rsid w:val="00142395"/>
    <w:rsid w:val="00142714"/>
    <w:rsid w:val="00144D09"/>
    <w:rsid w:val="001452ED"/>
    <w:rsid w:val="00147566"/>
    <w:rsid w:val="00147D84"/>
    <w:rsid w:val="001549C1"/>
    <w:rsid w:val="00156C8D"/>
    <w:rsid w:val="00160F4D"/>
    <w:rsid w:val="00162BDD"/>
    <w:rsid w:val="00162D4E"/>
    <w:rsid w:val="00163329"/>
    <w:rsid w:val="00164623"/>
    <w:rsid w:val="001652DE"/>
    <w:rsid w:val="00165B64"/>
    <w:rsid w:val="00165DE6"/>
    <w:rsid w:val="00172638"/>
    <w:rsid w:val="00172B64"/>
    <w:rsid w:val="00176B9D"/>
    <w:rsid w:val="00180713"/>
    <w:rsid w:val="00180720"/>
    <w:rsid w:val="001830CE"/>
    <w:rsid w:val="001836E3"/>
    <w:rsid w:val="00183C0E"/>
    <w:rsid w:val="00184C39"/>
    <w:rsid w:val="0018643B"/>
    <w:rsid w:val="00192397"/>
    <w:rsid w:val="00196307"/>
    <w:rsid w:val="001A0D10"/>
    <w:rsid w:val="001A33EA"/>
    <w:rsid w:val="001A4413"/>
    <w:rsid w:val="001A4C4F"/>
    <w:rsid w:val="001A5A2B"/>
    <w:rsid w:val="001A76FB"/>
    <w:rsid w:val="001B017F"/>
    <w:rsid w:val="001B0B79"/>
    <w:rsid w:val="001B1E18"/>
    <w:rsid w:val="001B2BBC"/>
    <w:rsid w:val="001B3A40"/>
    <w:rsid w:val="001B3FFE"/>
    <w:rsid w:val="001B5129"/>
    <w:rsid w:val="001C0B4C"/>
    <w:rsid w:val="001C0EC4"/>
    <w:rsid w:val="001C1195"/>
    <w:rsid w:val="001C12AE"/>
    <w:rsid w:val="001C1E84"/>
    <w:rsid w:val="001C2E42"/>
    <w:rsid w:val="001C756D"/>
    <w:rsid w:val="001C758C"/>
    <w:rsid w:val="001D1F5F"/>
    <w:rsid w:val="001E06D2"/>
    <w:rsid w:val="001E17C4"/>
    <w:rsid w:val="001F005B"/>
    <w:rsid w:val="001F1850"/>
    <w:rsid w:val="001F1D9C"/>
    <w:rsid w:val="001F1FBF"/>
    <w:rsid w:val="001F2F1C"/>
    <w:rsid w:val="001F2FB4"/>
    <w:rsid w:val="001F3189"/>
    <w:rsid w:val="00201FB8"/>
    <w:rsid w:val="002025D2"/>
    <w:rsid w:val="00203FAC"/>
    <w:rsid w:val="00205DC7"/>
    <w:rsid w:val="0021158D"/>
    <w:rsid w:val="00213CFB"/>
    <w:rsid w:val="0021553C"/>
    <w:rsid w:val="0021557B"/>
    <w:rsid w:val="002172CF"/>
    <w:rsid w:val="002174FD"/>
    <w:rsid w:val="00217BE1"/>
    <w:rsid w:val="002214B9"/>
    <w:rsid w:val="002246DB"/>
    <w:rsid w:val="0022755A"/>
    <w:rsid w:val="00230F63"/>
    <w:rsid w:val="00234252"/>
    <w:rsid w:val="0023466E"/>
    <w:rsid w:val="00237AC6"/>
    <w:rsid w:val="00240165"/>
    <w:rsid w:val="00244139"/>
    <w:rsid w:val="00244490"/>
    <w:rsid w:val="00245B9C"/>
    <w:rsid w:val="002476BB"/>
    <w:rsid w:val="00253499"/>
    <w:rsid w:val="002551A4"/>
    <w:rsid w:val="00257664"/>
    <w:rsid w:val="00265151"/>
    <w:rsid w:val="00265C2C"/>
    <w:rsid w:val="00266509"/>
    <w:rsid w:val="002674FC"/>
    <w:rsid w:val="00271BA1"/>
    <w:rsid w:val="00273AC5"/>
    <w:rsid w:val="00273AD6"/>
    <w:rsid w:val="00274455"/>
    <w:rsid w:val="002762FA"/>
    <w:rsid w:val="00277505"/>
    <w:rsid w:val="0028158C"/>
    <w:rsid w:val="002823B6"/>
    <w:rsid w:val="00290C03"/>
    <w:rsid w:val="00294274"/>
    <w:rsid w:val="0029458F"/>
    <w:rsid w:val="002963D0"/>
    <w:rsid w:val="002A018F"/>
    <w:rsid w:val="002A0E04"/>
    <w:rsid w:val="002A104C"/>
    <w:rsid w:val="002A1EF7"/>
    <w:rsid w:val="002A494D"/>
    <w:rsid w:val="002A4960"/>
    <w:rsid w:val="002A636A"/>
    <w:rsid w:val="002B0AE0"/>
    <w:rsid w:val="002B1AE6"/>
    <w:rsid w:val="002B1D51"/>
    <w:rsid w:val="002B2DE8"/>
    <w:rsid w:val="002B2E69"/>
    <w:rsid w:val="002B30F8"/>
    <w:rsid w:val="002B388A"/>
    <w:rsid w:val="002B5596"/>
    <w:rsid w:val="002B77D7"/>
    <w:rsid w:val="002C212F"/>
    <w:rsid w:val="002C2F35"/>
    <w:rsid w:val="002C633F"/>
    <w:rsid w:val="002C6AA9"/>
    <w:rsid w:val="002C7485"/>
    <w:rsid w:val="002D05E5"/>
    <w:rsid w:val="002D147F"/>
    <w:rsid w:val="002D2641"/>
    <w:rsid w:val="002D283A"/>
    <w:rsid w:val="002D4543"/>
    <w:rsid w:val="002E3153"/>
    <w:rsid w:val="002E5292"/>
    <w:rsid w:val="002E55B9"/>
    <w:rsid w:val="002E72CA"/>
    <w:rsid w:val="002F1D07"/>
    <w:rsid w:val="002F600D"/>
    <w:rsid w:val="002F7E47"/>
    <w:rsid w:val="00300AD6"/>
    <w:rsid w:val="00300B1B"/>
    <w:rsid w:val="003019D0"/>
    <w:rsid w:val="003064AF"/>
    <w:rsid w:val="003104CC"/>
    <w:rsid w:val="00310A8B"/>
    <w:rsid w:val="00310B68"/>
    <w:rsid w:val="0031236D"/>
    <w:rsid w:val="003160D2"/>
    <w:rsid w:val="003173FC"/>
    <w:rsid w:val="00317C6C"/>
    <w:rsid w:val="00320B80"/>
    <w:rsid w:val="00320CD3"/>
    <w:rsid w:val="00326E79"/>
    <w:rsid w:val="0032748A"/>
    <w:rsid w:val="003301B1"/>
    <w:rsid w:val="00331189"/>
    <w:rsid w:val="0033263D"/>
    <w:rsid w:val="0033518A"/>
    <w:rsid w:val="00335535"/>
    <w:rsid w:val="003367EF"/>
    <w:rsid w:val="00341AE4"/>
    <w:rsid w:val="00344F58"/>
    <w:rsid w:val="00345DC5"/>
    <w:rsid w:val="0034755D"/>
    <w:rsid w:val="003476EE"/>
    <w:rsid w:val="003541DD"/>
    <w:rsid w:val="00356E5B"/>
    <w:rsid w:val="00367639"/>
    <w:rsid w:val="003736C9"/>
    <w:rsid w:val="00383B77"/>
    <w:rsid w:val="00384988"/>
    <w:rsid w:val="003872CF"/>
    <w:rsid w:val="00390034"/>
    <w:rsid w:val="0039782C"/>
    <w:rsid w:val="003A13A6"/>
    <w:rsid w:val="003A5B4A"/>
    <w:rsid w:val="003A5D95"/>
    <w:rsid w:val="003B0D3A"/>
    <w:rsid w:val="003B1DBB"/>
    <w:rsid w:val="003B2302"/>
    <w:rsid w:val="003B23C5"/>
    <w:rsid w:val="003B2A75"/>
    <w:rsid w:val="003B49B2"/>
    <w:rsid w:val="003B6124"/>
    <w:rsid w:val="003B7960"/>
    <w:rsid w:val="003C093A"/>
    <w:rsid w:val="003C1ECF"/>
    <w:rsid w:val="003C2FB5"/>
    <w:rsid w:val="003C3B7E"/>
    <w:rsid w:val="003D24C5"/>
    <w:rsid w:val="003D4594"/>
    <w:rsid w:val="003D4AC4"/>
    <w:rsid w:val="003D63B7"/>
    <w:rsid w:val="003D74C5"/>
    <w:rsid w:val="003E3C10"/>
    <w:rsid w:val="003E4374"/>
    <w:rsid w:val="003E468B"/>
    <w:rsid w:val="003E62BD"/>
    <w:rsid w:val="003F044F"/>
    <w:rsid w:val="003F0C3A"/>
    <w:rsid w:val="003F15F0"/>
    <w:rsid w:val="003F3228"/>
    <w:rsid w:val="003F59B9"/>
    <w:rsid w:val="003F5C8C"/>
    <w:rsid w:val="003F63CE"/>
    <w:rsid w:val="003F775A"/>
    <w:rsid w:val="0040081C"/>
    <w:rsid w:val="00400E55"/>
    <w:rsid w:val="0040128E"/>
    <w:rsid w:val="0040216B"/>
    <w:rsid w:val="00404A6C"/>
    <w:rsid w:val="00412D7B"/>
    <w:rsid w:val="00420400"/>
    <w:rsid w:val="0042321D"/>
    <w:rsid w:val="004252EC"/>
    <w:rsid w:val="00430B50"/>
    <w:rsid w:val="00430D39"/>
    <w:rsid w:val="00432B4B"/>
    <w:rsid w:val="00437129"/>
    <w:rsid w:val="004372E0"/>
    <w:rsid w:val="00442C91"/>
    <w:rsid w:val="004465BD"/>
    <w:rsid w:val="00446938"/>
    <w:rsid w:val="004513B9"/>
    <w:rsid w:val="004528FA"/>
    <w:rsid w:val="004567CE"/>
    <w:rsid w:val="00461A44"/>
    <w:rsid w:val="00462D26"/>
    <w:rsid w:val="0046385A"/>
    <w:rsid w:val="00463921"/>
    <w:rsid w:val="00466ADA"/>
    <w:rsid w:val="004702BB"/>
    <w:rsid w:val="00473BB1"/>
    <w:rsid w:val="0047494B"/>
    <w:rsid w:val="00476245"/>
    <w:rsid w:val="00477A9B"/>
    <w:rsid w:val="00480DCA"/>
    <w:rsid w:val="00481E1D"/>
    <w:rsid w:val="00483035"/>
    <w:rsid w:val="00485940"/>
    <w:rsid w:val="00486C95"/>
    <w:rsid w:val="004877C2"/>
    <w:rsid w:val="004904B9"/>
    <w:rsid w:val="00494318"/>
    <w:rsid w:val="00494B2D"/>
    <w:rsid w:val="00495F61"/>
    <w:rsid w:val="00496662"/>
    <w:rsid w:val="004A2484"/>
    <w:rsid w:val="004A5A85"/>
    <w:rsid w:val="004A71D1"/>
    <w:rsid w:val="004A7C5B"/>
    <w:rsid w:val="004B0FE7"/>
    <w:rsid w:val="004B1845"/>
    <w:rsid w:val="004B2348"/>
    <w:rsid w:val="004B2E01"/>
    <w:rsid w:val="004B2E98"/>
    <w:rsid w:val="004B5640"/>
    <w:rsid w:val="004B5CD9"/>
    <w:rsid w:val="004B6084"/>
    <w:rsid w:val="004BCF29"/>
    <w:rsid w:val="004C03D0"/>
    <w:rsid w:val="004C1BD7"/>
    <w:rsid w:val="004C239C"/>
    <w:rsid w:val="004C31FE"/>
    <w:rsid w:val="004C524C"/>
    <w:rsid w:val="004C5FFA"/>
    <w:rsid w:val="004C691D"/>
    <w:rsid w:val="004C6C07"/>
    <w:rsid w:val="004C7E15"/>
    <w:rsid w:val="004D2CD1"/>
    <w:rsid w:val="004D45FD"/>
    <w:rsid w:val="004D4FF6"/>
    <w:rsid w:val="004D5ADD"/>
    <w:rsid w:val="004E1B22"/>
    <w:rsid w:val="004E38D3"/>
    <w:rsid w:val="004E692D"/>
    <w:rsid w:val="004E7230"/>
    <w:rsid w:val="004E7D87"/>
    <w:rsid w:val="004F1B26"/>
    <w:rsid w:val="004F2553"/>
    <w:rsid w:val="004F306A"/>
    <w:rsid w:val="004F5C3B"/>
    <w:rsid w:val="004F6160"/>
    <w:rsid w:val="004F74AB"/>
    <w:rsid w:val="00501554"/>
    <w:rsid w:val="00502AFE"/>
    <w:rsid w:val="00502E64"/>
    <w:rsid w:val="00503AD7"/>
    <w:rsid w:val="005040C5"/>
    <w:rsid w:val="00504E0C"/>
    <w:rsid w:val="00504E13"/>
    <w:rsid w:val="005109D4"/>
    <w:rsid w:val="00514CD7"/>
    <w:rsid w:val="005167EC"/>
    <w:rsid w:val="005170DA"/>
    <w:rsid w:val="00520D6A"/>
    <w:rsid w:val="00522DB6"/>
    <w:rsid w:val="00523DA2"/>
    <w:rsid w:val="005264A7"/>
    <w:rsid w:val="00526BA3"/>
    <w:rsid w:val="0052792D"/>
    <w:rsid w:val="005301B9"/>
    <w:rsid w:val="005319B2"/>
    <w:rsid w:val="00532402"/>
    <w:rsid w:val="00532C74"/>
    <w:rsid w:val="00534E2E"/>
    <w:rsid w:val="0054064C"/>
    <w:rsid w:val="00544552"/>
    <w:rsid w:val="00545130"/>
    <w:rsid w:val="0055286A"/>
    <w:rsid w:val="00555745"/>
    <w:rsid w:val="00557D4F"/>
    <w:rsid w:val="0056122E"/>
    <w:rsid w:val="00563B2B"/>
    <w:rsid w:val="0056484E"/>
    <w:rsid w:val="00567D8A"/>
    <w:rsid w:val="0057273C"/>
    <w:rsid w:val="005764CD"/>
    <w:rsid w:val="00577C4D"/>
    <w:rsid w:val="00580532"/>
    <w:rsid w:val="00581932"/>
    <w:rsid w:val="00587CE6"/>
    <w:rsid w:val="00590825"/>
    <w:rsid w:val="00591002"/>
    <w:rsid w:val="005963BB"/>
    <w:rsid w:val="00596EB8"/>
    <w:rsid w:val="005A3173"/>
    <w:rsid w:val="005A3223"/>
    <w:rsid w:val="005A3796"/>
    <w:rsid w:val="005A3DA3"/>
    <w:rsid w:val="005A52C4"/>
    <w:rsid w:val="005A63A1"/>
    <w:rsid w:val="005B6E4E"/>
    <w:rsid w:val="005C12A9"/>
    <w:rsid w:val="005C44ED"/>
    <w:rsid w:val="005C4F73"/>
    <w:rsid w:val="005D03AB"/>
    <w:rsid w:val="005D401D"/>
    <w:rsid w:val="005D5017"/>
    <w:rsid w:val="005D63FA"/>
    <w:rsid w:val="005D73C7"/>
    <w:rsid w:val="005E0C2D"/>
    <w:rsid w:val="005E0D82"/>
    <w:rsid w:val="005E1333"/>
    <w:rsid w:val="005E3136"/>
    <w:rsid w:val="005E507D"/>
    <w:rsid w:val="005E5681"/>
    <w:rsid w:val="005F0AD0"/>
    <w:rsid w:val="005F0F4D"/>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682E"/>
    <w:rsid w:val="006374E9"/>
    <w:rsid w:val="00640088"/>
    <w:rsid w:val="00642672"/>
    <w:rsid w:val="00642DA8"/>
    <w:rsid w:val="006436CD"/>
    <w:rsid w:val="00647CF4"/>
    <w:rsid w:val="00651169"/>
    <w:rsid w:val="00653D69"/>
    <w:rsid w:val="006552E6"/>
    <w:rsid w:val="00655794"/>
    <w:rsid w:val="0065590A"/>
    <w:rsid w:val="00657C63"/>
    <w:rsid w:val="00661CBC"/>
    <w:rsid w:val="0066212F"/>
    <w:rsid w:val="00662B85"/>
    <w:rsid w:val="00666C49"/>
    <w:rsid w:val="006670BE"/>
    <w:rsid w:val="00670A76"/>
    <w:rsid w:val="006711AA"/>
    <w:rsid w:val="00671ECD"/>
    <w:rsid w:val="00672B57"/>
    <w:rsid w:val="00673F1F"/>
    <w:rsid w:val="00675622"/>
    <w:rsid w:val="0067747D"/>
    <w:rsid w:val="006818D5"/>
    <w:rsid w:val="00681CA4"/>
    <w:rsid w:val="0069039D"/>
    <w:rsid w:val="006906DB"/>
    <w:rsid w:val="00691900"/>
    <w:rsid w:val="00691E6C"/>
    <w:rsid w:val="0069342D"/>
    <w:rsid w:val="00693DFB"/>
    <w:rsid w:val="0069501D"/>
    <w:rsid w:val="00696129"/>
    <w:rsid w:val="00697CF2"/>
    <w:rsid w:val="006A12A5"/>
    <w:rsid w:val="006A2515"/>
    <w:rsid w:val="006A5E20"/>
    <w:rsid w:val="006B03D5"/>
    <w:rsid w:val="006B0D94"/>
    <w:rsid w:val="006B485D"/>
    <w:rsid w:val="006C0C45"/>
    <w:rsid w:val="006C1468"/>
    <w:rsid w:val="006C334C"/>
    <w:rsid w:val="006C5B33"/>
    <w:rsid w:val="006C6C10"/>
    <w:rsid w:val="006C708E"/>
    <w:rsid w:val="006D14E7"/>
    <w:rsid w:val="006D4444"/>
    <w:rsid w:val="006D6493"/>
    <w:rsid w:val="006D6EC7"/>
    <w:rsid w:val="006E1BCD"/>
    <w:rsid w:val="006E2732"/>
    <w:rsid w:val="006E59CD"/>
    <w:rsid w:val="006F0A71"/>
    <w:rsid w:val="006F40C2"/>
    <w:rsid w:val="006F5125"/>
    <w:rsid w:val="006F54B2"/>
    <w:rsid w:val="006F733D"/>
    <w:rsid w:val="00702B6F"/>
    <w:rsid w:val="00704069"/>
    <w:rsid w:val="00706A2F"/>
    <w:rsid w:val="0070718E"/>
    <w:rsid w:val="00707351"/>
    <w:rsid w:val="00707E52"/>
    <w:rsid w:val="00710259"/>
    <w:rsid w:val="0071031F"/>
    <w:rsid w:val="0071340B"/>
    <w:rsid w:val="0071436D"/>
    <w:rsid w:val="00715BBB"/>
    <w:rsid w:val="007174BB"/>
    <w:rsid w:val="00717F45"/>
    <w:rsid w:val="0072025D"/>
    <w:rsid w:val="00723328"/>
    <w:rsid w:val="0073137C"/>
    <w:rsid w:val="007340B9"/>
    <w:rsid w:val="007353D3"/>
    <w:rsid w:val="00740688"/>
    <w:rsid w:val="0074156B"/>
    <w:rsid w:val="00741619"/>
    <w:rsid w:val="00747092"/>
    <w:rsid w:val="0075072C"/>
    <w:rsid w:val="00751F4B"/>
    <w:rsid w:val="007526E6"/>
    <w:rsid w:val="007537D7"/>
    <w:rsid w:val="00754DF9"/>
    <w:rsid w:val="007555E8"/>
    <w:rsid w:val="00755CC5"/>
    <w:rsid w:val="0076420C"/>
    <w:rsid w:val="00771D07"/>
    <w:rsid w:val="007735C1"/>
    <w:rsid w:val="00773BE3"/>
    <w:rsid w:val="007743DD"/>
    <w:rsid w:val="00774E2C"/>
    <w:rsid w:val="0077518D"/>
    <w:rsid w:val="007753C2"/>
    <w:rsid w:val="007838B8"/>
    <w:rsid w:val="007915BA"/>
    <w:rsid w:val="00791844"/>
    <w:rsid w:val="007979BD"/>
    <w:rsid w:val="007A6A2F"/>
    <w:rsid w:val="007B024E"/>
    <w:rsid w:val="007B3DDC"/>
    <w:rsid w:val="007B72A6"/>
    <w:rsid w:val="007C06D2"/>
    <w:rsid w:val="007C08E0"/>
    <w:rsid w:val="007C0F57"/>
    <w:rsid w:val="007C40B6"/>
    <w:rsid w:val="007C729F"/>
    <w:rsid w:val="007D503D"/>
    <w:rsid w:val="007D59E7"/>
    <w:rsid w:val="007D5F2A"/>
    <w:rsid w:val="007E1D28"/>
    <w:rsid w:val="007E72DB"/>
    <w:rsid w:val="007F0021"/>
    <w:rsid w:val="007F2641"/>
    <w:rsid w:val="007F7C36"/>
    <w:rsid w:val="008055AF"/>
    <w:rsid w:val="008057CD"/>
    <w:rsid w:val="00806796"/>
    <w:rsid w:val="00810167"/>
    <w:rsid w:val="00811CC0"/>
    <w:rsid w:val="008147AE"/>
    <w:rsid w:val="008151D6"/>
    <w:rsid w:val="00821527"/>
    <w:rsid w:val="00822696"/>
    <w:rsid w:val="00825A6C"/>
    <w:rsid w:val="0082617E"/>
    <w:rsid w:val="008268BB"/>
    <w:rsid w:val="00826E16"/>
    <w:rsid w:val="00826F6D"/>
    <w:rsid w:val="008306F3"/>
    <w:rsid w:val="00830E40"/>
    <w:rsid w:val="00832D9A"/>
    <w:rsid w:val="0083570F"/>
    <w:rsid w:val="00835C62"/>
    <w:rsid w:val="008368A1"/>
    <w:rsid w:val="00840EF7"/>
    <w:rsid w:val="00844C0A"/>
    <w:rsid w:val="00845D70"/>
    <w:rsid w:val="00846056"/>
    <w:rsid w:val="0084681F"/>
    <w:rsid w:val="00847EC0"/>
    <w:rsid w:val="00855FD6"/>
    <w:rsid w:val="00856DDD"/>
    <w:rsid w:val="00863E68"/>
    <w:rsid w:val="008647B5"/>
    <w:rsid w:val="00867D64"/>
    <w:rsid w:val="00870869"/>
    <w:rsid w:val="00875DCB"/>
    <w:rsid w:val="0087755A"/>
    <w:rsid w:val="00882085"/>
    <w:rsid w:val="00883188"/>
    <w:rsid w:val="00884A0C"/>
    <w:rsid w:val="00886ACA"/>
    <w:rsid w:val="00886D32"/>
    <w:rsid w:val="0089031E"/>
    <w:rsid w:val="008933BF"/>
    <w:rsid w:val="0089460B"/>
    <w:rsid w:val="00897D58"/>
    <w:rsid w:val="00897F22"/>
    <w:rsid w:val="008A0B39"/>
    <w:rsid w:val="008A17A3"/>
    <w:rsid w:val="008A1956"/>
    <w:rsid w:val="008A1E85"/>
    <w:rsid w:val="008A2419"/>
    <w:rsid w:val="008A4937"/>
    <w:rsid w:val="008A4FDC"/>
    <w:rsid w:val="008A50F1"/>
    <w:rsid w:val="008A59D9"/>
    <w:rsid w:val="008A643E"/>
    <w:rsid w:val="008A6819"/>
    <w:rsid w:val="008B01E6"/>
    <w:rsid w:val="008B2EC0"/>
    <w:rsid w:val="008B6489"/>
    <w:rsid w:val="008B6DCF"/>
    <w:rsid w:val="008C23CB"/>
    <w:rsid w:val="008D0945"/>
    <w:rsid w:val="008D1409"/>
    <w:rsid w:val="008D15CC"/>
    <w:rsid w:val="008D1729"/>
    <w:rsid w:val="008D1B5C"/>
    <w:rsid w:val="008D38D4"/>
    <w:rsid w:val="008D3C82"/>
    <w:rsid w:val="008D447E"/>
    <w:rsid w:val="008D6ACF"/>
    <w:rsid w:val="008D7A41"/>
    <w:rsid w:val="008E0570"/>
    <w:rsid w:val="008E2C72"/>
    <w:rsid w:val="008E3680"/>
    <w:rsid w:val="008E45EC"/>
    <w:rsid w:val="008E5870"/>
    <w:rsid w:val="008E77E4"/>
    <w:rsid w:val="008F01DF"/>
    <w:rsid w:val="008F0213"/>
    <w:rsid w:val="008F07ED"/>
    <w:rsid w:val="008F11F8"/>
    <w:rsid w:val="008F1434"/>
    <w:rsid w:val="008F2BB9"/>
    <w:rsid w:val="008F3D6A"/>
    <w:rsid w:val="008F54C3"/>
    <w:rsid w:val="008F7355"/>
    <w:rsid w:val="009023DC"/>
    <w:rsid w:val="009027C5"/>
    <w:rsid w:val="00904413"/>
    <w:rsid w:val="00905BB7"/>
    <w:rsid w:val="009067B7"/>
    <w:rsid w:val="0090775A"/>
    <w:rsid w:val="00907DFD"/>
    <w:rsid w:val="00917D69"/>
    <w:rsid w:val="00920B6D"/>
    <w:rsid w:val="009215AC"/>
    <w:rsid w:val="00926560"/>
    <w:rsid w:val="00926B15"/>
    <w:rsid w:val="00930291"/>
    <w:rsid w:val="00930937"/>
    <w:rsid w:val="0093209D"/>
    <w:rsid w:val="009324A6"/>
    <w:rsid w:val="00933E6C"/>
    <w:rsid w:val="00935A6E"/>
    <w:rsid w:val="00937958"/>
    <w:rsid w:val="009406E5"/>
    <w:rsid w:val="00940DC3"/>
    <w:rsid w:val="00941602"/>
    <w:rsid w:val="00942160"/>
    <w:rsid w:val="00945018"/>
    <w:rsid w:val="009456E8"/>
    <w:rsid w:val="00946921"/>
    <w:rsid w:val="0095146F"/>
    <w:rsid w:val="00957944"/>
    <w:rsid w:val="009602C5"/>
    <w:rsid w:val="00962223"/>
    <w:rsid w:val="0096252B"/>
    <w:rsid w:val="0096471A"/>
    <w:rsid w:val="00966D0D"/>
    <w:rsid w:val="00967732"/>
    <w:rsid w:val="0096783C"/>
    <w:rsid w:val="009722B3"/>
    <w:rsid w:val="00973E24"/>
    <w:rsid w:val="00974C21"/>
    <w:rsid w:val="00975948"/>
    <w:rsid w:val="00977243"/>
    <w:rsid w:val="00977BF3"/>
    <w:rsid w:val="00977E07"/>
    <w:rsid w:val="009803E4"/>
    <w:rsid w:val="00980B0E"/>
    <w:rsid w:val="009836A3"/>
    <w:rsid w:val="009855A8"/>
    <w:rsid w:val="00985D1A"/>
    <w:rsid w:val="009913F4"/>
    <w:rsid w:val="00991782"/>
    <w:rsid w:val="009937F7"/>
    <w:rsid w:val="0099465B"/>
    <w:rsid w:val="009951A1"/>
    <w:rsid w:val="00997A44"/>
    <w:rsid w:val="009A0CDD"/>
    <w:rsid w:val="009A1234"/>
    <w:rsid w:val="009A3168"/>
    <w:rsid w:val="009A5D04"/>
    <w:rsid w:val="009A61CA"/>
    <w:rsid w:val="009B0C64"/>
    <w:rsid w:val="009B0F67"/>
    <w:rsid w:val="009B3F8C"/>
    <w:rsid w:val="009B750F"/>
    <w:rsid w:val="009C07CA"/>
    <w:rsid w:val="009C5B72"/>
    <w:rsid w:val="009C703C"/>
    <w:rsid w:val="009D206E"/>
    <w:rsid w:val="009D3CAA"/>
    <w:rsid w:val="009D55E2"/>
    <w:rsid w:val="009D6532"/>
    <w:rsid w:val="009D71FD"/>
    <w:rsid w:val="009E2588"/>
    <w:rsid w:val="009E2E8E"/>
    <w:rsid w:val="009E40E1"/>
    <w:rsid w:val="009F0EFA"/>
    <w:rsid w:val="009F4E46"/>
    <w:rsid w:val="009F5B65"/>
    <w:rsid w:val="009F5F2E"/>
    <w:rsid w:val="00A009C4"/>
    <w:rsid w:val="00A01432"/>
    <w:rsid w:val="00A06225"/>
    <w:rsid w:val="00A0658C"/>
    <w:rsid w:val="00A07C4C"/>
    <w:rsid w:val="00A1026D"/>
    <w:rsid w:val="00A110D1"/>
    <w:rsid w:val="00A12587"/>
    <w:rsid w:val="00A128E6"/>
    <w:rsid w:val="00A1369B"/>
    <w:rsid w:val="00A144D3"/>
    <w:rsid w:val="00A16971"/>
    <w:rsid w:val="00A22AC3"/>
    <w:rsid w:val="00A23F3F"/>
    <w:rsid w:val="00A24067"/>
    <w:rsid w:val="00A24A4B"/>
    <w:rsid w:val="00A2744D"/>
    <w:rsid w:val="00A30D16"/>
    <w:rsid w:val="00A34E6C"/>
    <w:rsid w:val="00A34FD0"/>
    <w:rsid w:val="00A36398"/>
    <w:rsid w:val="00A37C8D"/>
    <w:rsid w:val="00A4020E"/>
    <w:rsid w:val="00A40FB5"/>
    <w:rsid w:val="00A42826"/>
    <w:rsid w:val="00A429B3"/>
    <w:rsid w:val="00A44EC1"/>
    <w:rsid w:val="00A510E4"/>
    <w:rsid w:val="00A5273B"/>
    <w:rsid w:val="00A53A9D"/>
    <w:rsid w:val="00A55FEE"/>
    <w:rsid w:val="00A57422"/>
    <w:rsid w:val="00A62C1A"/>
    <w:rsid w:val="00A6426D"/>
    <w:rsid w:val="00A665C1"/>
    <w:rsid w:val="00A673A4"/>
    <w:rsid w:val="00A7001A"/>
    <w:rsid w:val="00A70622"/>
    <w:rsid w:val="00A70977"/>
    <w:rsid w:val="00A70D58"/>
    <w:rsid w:val="00A717ED"/>
    <w:rsid w:val="00A744F9"/>
    <w:rsid w:val="00A77613"/>
    <w:rsid w:val="00A77B87"/>
    <w:rsid w:val="00A81851"/>
    <w:rsid w:val="00A8390C"/>
    <w:rsid w:val="00A86AE0"/>
    <w:rsid w:val="00A91362"/>
    <w:rsid w:val="00A9151C"/>
    <w:rsid w:val="00A919C6"/>
    <w:rsid w:val="00A928BD"/>
    <w:rsid w:val="00A97DE9"/>
    <w:rsid w:val="00AA12CD"/>
    <w:rsid w:val="00AA17F8"/>
    <w:rsid w:val="00AA4D1C"/>
    <w:rsid w:val="00AA52FD"/>
    <w:rsid w:val="00AA7006"/>
    <w:rsid w:val="00AB0A36"/>
    <w:rsid w:val="00AB351A"/>
    <w:rsid w:val="00AB5856"/>
    <w:rsid w:val="00AB63CD"/>
    <w:rsid w:val="00AC193C"/>
    <w:rsid w:val="00AC30C1"/>
    <w:rsid w:val="00AC4DE5"/>
    <w:rsid w:val="00AC4E81"/>
    <w:rsid w:val="00AC5206"/>
    <w:rsid w:val="00AD3106"/>
    <w:rsid w:val="00AD4322"/>
    <w:rsid w:val="00AD44DC"/>
    <w:rsid w:val="00AD6E3F"/>
    <w:rsid w:val="00AE11A5"/>
    <w:rsid w:val="00AE13E2"/>
    <w:rsid w:val="00AE22D3"/>
    <w:rsid w:val="00AE5A49"/>
    <w:rsid w:val="00AF11D8"/>
    <w:rsid w:val="00AF5867"/>
    <w:rsid w:val="00AF62DF"/>
    <w:rsid w:val="00AF6864"/>
    <w:rsid w:val="00AF68CC"/>
    <w:rsid w:val="00AF70D7"/>
    <w:rsid w:val="00B014C2"/>
    <w:rsid w:val="00B01FF4"/>
    <w:rsid w:val="00B031C2"/>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0B21"/>
    <w:rsid w:val="00B327E2"/>
    <w:rsid w:val="00B33635"/>
    <w:rsid w:val="00B35648"/>
    <w:rsid w:val="00B42AF4"/>
    <w:rsid w:val="00B43E90"/>
    <w:rsid w:val="00B467DC"/>
    <w:rsid w:val="00B535A1"/>
    <w:rsid w:val="00B5392A"/>
    <w:rsid w:val="00B56118"/>
    <w:rsid w:val="00B566E1"/>
    <w:rsid w:val="00B5753F"/>
    <w:rsid w:val="00B6773F"/>
    <w:rsid w:val="00B70EB3"/>
    <w:rsid w:val="00B7286D"/>
    <w:rsid w:val="00B72906"/>
    <w:rsid w:val="00B7525E"/>
    <w:rsid w:val="00B760FB"/>
    <w:rsid w:val="00B767AB"/>
    <w:rsid w:val="00B801BA"/>
    <w:rsid w:val="00B812D6"/>
    <w:rsid w:val="00B84D5C"/>
    <w:rsid w:val="00B85AF6"/>
    <w:rsid w:val="00B90B56"/>
    <w:rsid w:val="00B956ED"/>
    <w:rsid w:val="00B97736"/>
    <w:rsid w:val="00BA2DA8"/>
    <w:rsid w:val="00BA347C"/>
    <w:rsid w:val="00BB2F85"/>
    <w:rsid w:val="00BB3469"/>
    <w:rsid w:val="00BB5C49"/>
    <w:rsid w:val="00BB6240"/>
    <w:rsid w:val="00BB6285"/>
    <w:rsid w:val="00BB69F5"/>
    <w:rsid w:val="00BB7EC3"/>
    <w:rsid w:val="00BC470E"/>
    <w:rsid w:val="00BC4B9A"/>
    <w:rsid w:val="00BD02C3"/>
    <w:rsid w:val="00BD15EA"/>
    <w:rsid w:val="00BD3E47"/>
    <w:rsid w:val="00BD7483"/>
    <w:rsid w:val="00BD784C"/>
    <w:rsid w:val="00BE020A"/>
    <w:rsid w:val="00BE13DF"/>
    <w:rsid w:val="00BE25D7"/>
    <w:rsid w:val="00BE5083"/>
    <w:rsid w:val="00BE79AA"/>
    <w:rsid w:val="00BF092C"/>
    <w:rsid w:val="00BF27A0"/>
    <w:rsid w:val="00BF4CB6"/>
    <w:rsid w:val="00BF6D81"/>
    <w:rsid w:val="00C00DA7"/>
    <w:rsid w:val="00C04CDE"/>
    <w:rsid w:val="00C068A6"/>
    <w:rsid w:val="00C0742A"/>
    <w:rsid w:val="00C12768"/>
    <w:rsid w:val="00C12D70"/>
    <w:rsid w:val="00C13DDC"/>
    <w:rsid w:val="00C16724"/>
    <w:rsid w:val="00C21B09"/>
    <w:rsid w:val="00C2673A"/>
    <w:rsid w:val="00C27B58"/>
    <w:rsid w:val="00C32C22"/>
    <w:rsid w:val="00C33186"/>
    <w:rsid w:val="00C34897"/>
    <w:rsid w:val="00C35996"/>
    <w:rsid w:val="00C44929"/>
    <w:rsid w:val="00C4747E"/>
    <w:rsid w:val="00C5151E"/>
    <w:rsid w:val="00C5342C"/>
    <w:rsid w:val="00C53B2B"/>
    <w:rsid w:val="00C57465"/>
    <w:rsid w:val="00C60272"/>
    <w:rsid w:val="00C603D4"/>
    <w:rsid w:val="00C61842"/>
    <w:rsid w:val="00C6256A"/>
    <w:rsid w:val="00C64EBC"/>
    <w:rsid w:val="00C664D2"/>
    <w:rsid w:val="00C675AE"/>
    <w:rsid w:val="00C710E2"/>
    <w:rsid w:val="00C71C3F"/>
    <w:rsid w:val="00C7409E"/>
    <w:rsid w:val="00C74D6D"/>
    <w:rsid w:val="00C76657"/>
    <w:rsid w:val="00C76E76"/>
    <w:rsid w:val="00C77891"/>
    <w:rsid w:val="00C829A9"/>
    <w:rsid w:val="00C87B80"/>
    <w:rsid w:val="00C87FC6"/>
    <w:rsid w:val="00C91449"/>
    <w:rsid w:val="00C92D10"/>
    <w:rsid w:val="00CA29AE"/>
    <w:rsid w:val="00CA48D9"/>
    <w:rsid w:val="00CB1193"/>
    <w:rsid w:val="00CB256F"/>
    <w:rsid w:val="00CB4767"/>
    <w:rsid w:val="00CB493D"/>
    <w:rsid w:val="00CC3B97"/>
    <w:rsid w:val="00CC3CA3"/>
    <w:rsid w:val="00CD0AC7"/>
    <w:rsid w:val="00CD6A28"/>
    <w:rsid w:val="00CD7C0B"/>
    <w:rsid w:val="00CE10C4"/>
    <w:rsid w:val="00CE27B5"/>
    <w:rsid w:val="00CE5BD3"/>
    <w:rsid w:val="00CE6DAF"/>
    <w:rsid w:val="00CF066B"/>
    <w:rsid w:val="00CF1BFB"/>
    <w:rsid w:val="00CF410A"/>
    <w:rsid w:val="00D01C18"/>
    <w:rsid w:val="00D0321E"/>
    <w:rsid w:val="00D038B2"/>
    <w:rsid w:val="00D069EB"/>
    <w:rsid w:val="00D075A3"/>
    <w:rsid w:val="00D07A8A"/>
    <w:rsid w:val="00D11199"/>
    <w:rsid w:val="00D1455A"/>
    <w:rsid w:val="00D14A70"/>
    <w:rsid w:val="00D22093"/>
    <w:rsid w:val="00D24FF1"/>
    <w:rsid w:val="00D304B3"/>
    <w:rsid w:val="00D31150"/>
    <w:rsid w:val="00D3138B"/>
    <w:rsid w:val="00D31FCE"/>
    <w:rsid w:val="00D3280C"/>
    <w:rsid w:val="00D3297F"/>
    <w:rsid w:val="00D34011"/>
    <w:rsid w:val="00D3406A"/>
    <w:rsid w:val="00D40B11"/>
    <w:rsid w:val="00D429EC"/>
    <w:rsid w:val="00D43F05"/>
    <w:rsid w:val="00D441F1"/>
    <w:rsid w:val="00D4572C"/>
    <w:rsid w:val="00D469B2"/>
    <w:rsid w:val="00D54B09"/>
    <w:rsid w:val="00D563A2"/>
    <w:rsid w:val="00D6243E"/>
    <w:rsid w:val="00D65658"/>
    <w:rsid w:val="00D67EB2"/>
    <w:rsid w:val="00D72B6F"/>
    <w:rsid w:val="00D741EB"/>
    <w:rsid w:val="00D7679C"/>
    <w:rsid w:val="00D820F3"/>
    <w:rsid w:val="00D83605"/>
    <w:rsid w:val="00D84880"/>
    <w:rsid w:val="00D84934"/>
    <w:rsid w:val="00D866EB"/>
    <w:rsid w:val="00D87D1A"/>
    <w:rsid w:val="00D91271"/>
    <w:rsid w:val="00D919F5"/>
    <w:rsid w:val="00D945F6"/>
    <w:rsid w:val="00D94F03"/>
    <w:rsid w:val="00D95161"/>
    <w:rsid w:val="00D96A6B"/>
    <w:rsid w:val="00DA0A82"/>
    <w:rsid w:val="00DA0D14"/>
    <w:rsid w:val="00DA1FC9"/>
    <w:rsid w:val="00DA2CB5"/>
    <w:rsid w:val="00DA4BAC"/>
    <w:rsid w:val="00DB0151"/>
    <w:rsid w:val="00DB50E1"/>
    <w:rsid w:val="00DC0566"/>
    <w:rsid w:val="00DC1499"/>
    <w:rsid w:val="00DC2C3E"/>
    <w:rsid w:val="00DC3137"/>
    <w:rsid w:val="00DC4880"/>
    <w:rsid w:val="00DC699F"/>
    <w:rsid w:val="00DD0E9F"/>
    <w:rsid w:val="00DD42AB"/>
    <w:rsid w:val="00DE06AF"/>
    <w:rsid w:val="00DE26A6"/>
    <w:rsid w:val="00DE6D27"/>
    <w:rsid w:val="00DF01F8"/>
    <w:rsid w:val="00DF021D"/>
    <w:rsid w:val="00DF217D"/>
    <w:rsid w:val="00DF26A7"/>
    <w:rsid w:val="00DF3277"/>
    <w:rsid w:val="00DF4821"/>
    <w:rsid w:val="00DF77A1"/>
    <w:rsid w:val="00DF7919"/>
    <w:rsid w:val="00E0207E"/>
    <w:rsid w:val="00E02AE6"/>
    <w:rsid w:val="00E03912"/>
    <w:rsid w:val="00E04748"/>
    <w:rsid w:val="00E078D9"/>
    <w:rsid w:val="00E101D6"/>
    <w:rsid w:val="00E10293"/>
    <w:rsid w:val="00E103A0"/>
    <w:rsid w:val="00E13E60"/>
    <w:rsid w:val="00E15627"/>
    <w:rsid w:val="00E164B3"/>
    <w:rsid w:val="00E16910"/>
    <w:rsid w:val="00E16C00"/>
    <w:rsid w:val="00E17D59"/>
    <w:rsid w:val="00E239E2"/>
    <w:rsid w:val="00E24E09"/>
    <w:rsid w:val="00E27234"/>
    <w:rsid w:val="00E3495C"/>
    <w:rsid w:val="00E42BDB"/>
    <w:rsid w:val="00E56E04"/>
    <w:rsid w:val="00E5726D"/>
    <w:rsid w:val="00E57EEB"/>
    <w:rsid w:val="00E62D94"/>
    <w:rsid w:val="00E64F37"/>
    <w:rsid w:val="00E65091"/>
    <w:rsid w:val="00E65E54"/>
    <w:rsid w:val="00E661C7"/>
    <w:rsid w:val="00E74E41"/>
    <w:rsid w:val="00E80155"/>
    <w:rsid w:val="00E8134B"/>
    <w:rsid w:val="00E81E0D"/>
    <w:rsid w:val="00E81F28"/>
    <w:rsid w:val="00E848C0"/>
    <w:rsid w:val="00E91B96"/>
    <w:rsid w:val="00E935DA"/>
    <w:rsid w:val="00E93D1E"/>
    <w:rsid w:val="00E941A1"/>
    <w:rsid w:val="00E94CE1"/>
    <w:rsid w:val="00E95CE3"/>
    <w:rsid w:val="00E97B47"/>
    <w:rsid w:val="00EA0856"/>
    <w:rsid w:val="00EA252F"/>
    <w:rsid w:val="00EA2825"/>
    <w:rsid w:val="00EA5EF7"/>
    <w:rsid w:val="00EA6518"/>
    <w:rsid w:val="00EA71A2"/>
    <w:rsid w:val="00EA7466"/>
    <w:rsid w:val="00EA7EDE"/>
    <w:rsid w:val="00EB0B63"/>
    <w:rsid w:val="00EB1936"/>
    <w:rsid w:val="00EB3545"/>
    <w:rsid w:val="00EB37BE"/>
    <w:rsid w:val="00EB5088"/>
    <w:rsid w:val="00EC2726"/>
    <w:rsid w:val="00ED1644"/>
    <w:rsid w:val="00ED2593"/>
    <w:rsid w:val="00ED7D55"/>
    <w:rsid w:val="00ED7D9C"/>
    <w:rsid w:val="00EE31A2"/>
    <w:rsid w:val="00EE7BFC"/>
    <w:rsid w:val="00EF0069"/>
    <w:rsid w:val="00EF2A0A"/>
    <w:rsid w:val="00EF44A0"/>
    <w:rsid w:val="00EF44B6"/>
    <w:rsid w:val="00EF4580"/>
    <w:rsid w:val="00EF4FED"/>
    <w:rsid w:val="00EF5F45"/>
    <w:rsid w:val="00EF6843"/>
    <w:rsid w:val="00EF6FB3"/>
    <w:rsid w:val="00EF70F7"/>
    <w:rsid w:val="00F007C6"/>
    <w:rsid w:val="00F0172E"/>
    <w:rsid w:val="00F01B55"/>
    <w:rsid w:val="00F050BD"/>
    <w:rsid w:val="00F05657"/>
    <w:rsid w:val="00F05AB0"/>
    <w:rsid w:val="00F13CE1"/>
    <w:rsid w:val="00F1559A"/>
    <w:rsid w:val="00F16BC5"/>
    <w:rsid w:val="00F17ED6"/>
    <w:rsid w:val="00F20676"/>
    <w:rsid w:val="00F209E2"/>
    <w:rsid w:val="00F2140A"/>
    <w:rsid w:val="00F24479"/>
    <w:rsid w:val="00F25578"/>
    <w:rsid w:val="00F258E5"/>
    <w:rsid w:val="00F25B9C"/>
    <w:rsid w:val="00F2675A"/>
    <w:rsid w:val="00F26CC6"/>
    <w:rsid w:val="00F300BC"/>
    <w:rsid w:val="00F3263C"/>
    <w:rsid w:val="00F3334E"/>
    <w:rsid w:val="00F36CCB"/>
    <w:rsid w:val="00F37316"/>
    <w:rsid w:val="00F374E5"/>
    <w:rsid w:val="00F37B93"/>
    <w:rsid w:val="00F37BAD"/>
    <w:rsid w:val="00F37ECA"/>
    <w:rsid w:val="00F402AD"/>
    <w:rsid w:val="00F40A1C"/>
    <w:rsid w:val="00F43AF2"/>
    <w:rsid w:val="00F45216"/>
    <w:rsid w:val="00F5007E"/>
    <w:rsid w:val="00F50EC4"/>
    <w:rsid w:val="00F52232"/>
    <w:rsid w:val="00F52DC2"/>
    <w:rsid w:val="00F550CF"/>
    <w:rsid w:val="00F553D2"/>
    <w:rsid w:val="00F57A6D"/>
    <w:rsid w:val="00F62F19"/>
    <w:rsid w:val="00F638CC"/>
    <w:rsid w:val="00F64C9E"/>
    <w:rsid w:val="00F64CC1"/>
    <w:rsid w:val="00F678E8"/>
    <w:rsid w:val="00F72317"/>
    <w:rsid w:val="00F7392D"/>
    <w:rsid w:val="00F73DC1"/>
    <w:rsid w:val="00F7499A"/>
    <w:rsid w:val="00F75BB8"/>
    <w:rsid w:val="00F80475"/>
    <w:rsid w:val="00F81390"/>
    <w:rsid w:val="00F81F7A"/>
    <w:rsid w:val="00F8247A"/>
    <w:rsid w:val="00F82E5C"/>
    <w:rsid w:val="00F83F58"/>
    <w:rsid w:val="00F87CEA"/>
    <w:rsid w:val="00F91AFF"/>
    <w:rsid w:val="00F91E8B"/>
    <w:rsid w:val="00F92F97"/>
    <w:rsid w:val="00F9629A"/>
    <w:rsid w:val="00F97EFC"/>
    <w:rsid w:val="00FA0C7C"/>
    <w:rsid w:val="00FA1BDD"/>
    <w:rsid w:val="00FA27D5"/>
    <w:rsid w:val="00FA305C"/>
    <w:rsid w:val="00FA3C24"/>
    <w:rsid w:val="00FA462E"/>
    <w:rsid w:val="00FA4DD5"/>
    <w:rsid w:val="00FA5883"/>
    <w:rsid w:val="00FA6055"/>
    <w:rsid w:val="00FB0B39"/>
    <w:rsid w:val="00FB322F"/>
    <w:rsid w:val="00FB323E"/>
    <w:rsid w:val="00FB3BC4"/>
    <w:rsid w:val="00FB442F"/>
    <w:rsid w:val="00FC118C"/>
    <w:rsid w:val="00FC1929"/>
    <w:rsid w:val="00FC5B46"/>
    <w:rsid w:val="00FC6B6C"/>
    <w:rsid w:val="00FD1D4F"/>
    <w:rsid w:val="00FD24BF"/>
    <w:rsid w:val="00FD3B6E"/>
    <w:rsid w:val="00FD429A"/>
    <w:rsid w:val="00FD57EB"/>
    <w:rsid w:val="00FD6D8E"/>
    <w:rsid w:val="00FE0663"/>
    <w:rsid w:val="00FE0E94"/>
    <w:rsid w:val="00FE369C"/>
    <w:rsid w:val="00FE3CD9"/>
    <w:rsid w:val="00FF00BD"/>
    <w:rsid w:val="00FF0B13"/>
    <w:rsid w:val="00FF1ED4"/>
    <w:rsid w:val="00FF2801"/>
    <w:rsid w:val="00FF39B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9"/>
    <w:semiHidden/>
    <w:unhideWhenUsed/>
    <w:rsid w:val="00940DC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1. Bullet Blank,Bullet1,Bulleted - 2,Bullets Points,ES Paragraph,PBAC ES Paragraph,PBAC normal points"/>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1. Bullet Blank Char,Bullet1 Char,Bulleted - 2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basedOn w:val="DefaultParagraphFont"/>
    <w:uiPriority w:val="99"/>
    <w:semiHidden/>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AD6E3F"/>
    <w:pPr>
      <w:spacing w:after="200"/>
    </w:pPr>
    <w:rPr>
      <w:i/>
      <w:iCs/>
      <w:color w:val="1F497D" w:themeColor="text2"/>
      <w:sz w:val="18"/>
      <w:szCs w:val="18"/>
    </w:rPr>
  </w:style>
  <w:style w:type="paragraph" w:styleId="ListBullet">
    <w:name w:val="List Bullet"/>
    <w:basedOn w:val="Normal"/>
    <w:uiPriority w:val="99"/>
    <w:unhideWhenUsed/>
    <w:rsid w:val="00AD6E3F"/>
    <w:pPr>
      <w:tabs>
        <w:tab w:val="num" w:pos="360"/>
      </w:tabs>
      <w:ind w:left="360" w:hanging="360"/>
      <w:contextualSpacing/>
    </w:pPr>
    <w:rPr>
      <w:rFonts w:cs="Arial"/>
    </w:rPr>
  </w:style>
  <w:style w:type="character" w:customStyle="1" w:styleId="Heading8Char">
    <w:name w:val="Heading 8 Char"/>
    <w:basedOn w:val="DefaultParagraphFont"/>
    <w:link w:val="Heading8"/>
    <w:uiPriority w:val="9"/>
    <w:rsid w:val="00940DC3"/>
    <w:rPr>
      <w:rFonts w:asciiTheme="majorHAnsi" w:eastAsiaTheme="majorEastAsia" w:hAnsiTheme="majorHAnsi" w:cstheme="majorBidi"/>
      <w:color w:val="272727" w:themeColor="text1" w:themeTint="D8"/>
      <w:sz w:val="21"/>
      <w:szCs w:val="21"/>
    </w:rPr>
  </w:style>
  <w:style w:type="paragraph" w:styleId="ListBullet2">
    <w:name w:val="List Bullet 2"/>
    <w:basedOn w:val="Normal"/>
    <w:semiHidden/>
    <w:unhideWhenUsed/>
    <w:rsid w:val="009C07CA"/>
    <w:pPr>
      <w:numPr>
        <w:numId w:val="17"/>
      </w:numPr>
      <w:contextualSpacing/>
    </w:pPr>
  </w:style>
  <w:style w:type="numbering" w:customStyle="1" w:styleId="CustomHeadingList">
    <w:name w:val="Custom Heading List"/>
    <w:uiPriority w:val="99"/>
    <w:rsid w:val="009C07CA"/>
    <w:pPr>
      <w:numPr>
        <w:numId w:val="18"/>
      </w:numPr>
    </w:p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A009C4"/>
    <w:rPr>
      <w:rFonts w:ascii="Calibri" w:hAnsi="Calibri"/>
      <w:i/>
      <w:iCs/>
      <w:color w:val="1F497D" w:themeColor="text2"/>
      <w:sz w:val="18"/>
      <w:szCs w:val="18"/>
    </w:rPr>
  </w:style>
  <w:style w:type="paragraph" w:styleId="Title">
    <w:name w:val="Title"/>
    <w:basedOn w:val="Normal"/>
    <w:next w:val="Normal"/>
    <w:link w:val="TitleChar"/>
    <w:uiPriority w:val="21"/>
    <w:rsid w:val="00F402AD"/>
    <w:pPr>
      <w:spacing w:before="240" w:after="240"/>
      <w:jc w:val="center"/>
    </w:pPr>
    <w:rPr>
      <w:rFonts w:asciiTheme="majorHAnsi" w:eastAsiaTheme="majorEastAsia" w:hAnsiTheme="majorHAnsi" w:cstheme="majorBidi"/>
      <w:caps/>
      <w:sz w:val="68"/>
      <w:szCs w:val="52"/>
      <w:lang w:eastAsia="en-US"/>
    </w:rPr>
  </w:style>
  <w:style w:type="character" w:customStyle="1" w:styleId="TitleChar">
    <w:name w:val="Title Char"/>
    <w:basedOn w:val="DefaultParagraphFont"/>
    <w:link w:val="Title"/>
    <w:uiPriority w:val="21"/>
    <w:rsid w:val="00F402AD"/>
    <w:rPr>
      <w:rFonts w:asciiTheme="majorHAnsi" w:eastAsiaTheme="majorEastAsia" w:hAnsiTheme="majorHAnsi" w:cstheme="majorBidi"/>
      <w:caps/>
      <w:sz w:val="68"/>
      <w:szCs w:val="52"/>
      <w:lang w:eastAsia="en-US"/>
    </w:rPr>
  </w:style>
  <w:style w:type="paragraph" w:customStyle="1" w:styleId="Tabletext0">
    <w:name w:val="Table text"/>
    <w:basedOn w:val="Normal"/>
    <w:link w:val="TabletextChar0"/>
    <w:uiPriority w:val="2"/>
    <w:qFormat/>
    <w:rsid w:val="00977243"/>
    <w:pPr>
      <w:jc w:val="left"/>
    </w:pPr>
    <w:rPr>
      <w:rFonts w:ascii="Arial Narrow" w:hAnsi="Arial Narrow"/>
      <w:snapToGrid w:val="0"/>
      <w:sz w:val="20"/>
    </w:rPr>
  </w:style>
  <w:style w:type="character" w:customStyle="1" w:styleId="TabletextChar0">
    <w:name w:val="Table text Char"/>
    <w:link w:val="Tabletext0"/>
    <w:uiPriority w:val="2"/>
    <w:rsid w:val="00977243"/>
    <w:rPr>
      <w:rFonts w:ascii="Arial Narrow" w:hAnsi="Arial Narrow"/>
      <w:snapToGrid w:val="0"/>
      <w:szCs w:val="24"/>
    </w:rPr>
  </w:style>
  <w:style w:type="paragraph" w:customStyle="1" w:styleId="3-SubsectionHeading">
    <w:name w:val="3-Subsection Heading"/>
    <w:basedOn w:val="Heading2"/>
    <w:next w:val="Normal"/>
    <w:link w:val="3-SubsectionHeadingChar"/>
    <w:qFormat/>
    <w:rsid w:val="008F01DF"/>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8F01DF"/>
    <w:rPr>
      <w:rFonts w:asciiTheme="minorHAnsi" w:eastAsiaTheme="majorEastAsia" w:hAnsiTheme="minorHAnsi" w:cstheme="majorBidi"/>
      <w:b/>
      <w:i/>
      <w:color w:val="365F91" w:themeColor="accent1" w:themeShade="BF"/>
      <w:spacing w:val="5"/>
      <w:kern w:val="28"/>
      <w:sz w:val="28"/>
      <w:szCs w:val="36"/>
      <w:lang w:eastAsia="en-US"/>
    </w:rPr>
  </w:style>
  <w:style w:type="paragraph" w:styleId="FootnoteText">
    <w:name w:val="footnote text"/>
    <w:aliases w:val="Footnote Text Char Char,Footnote Text Char2,Footnote Text Char Char1,Footnote Text Char1"/>
    <w:basedOn w:val="Normal"/>
    <w:link w:val="FootnoteTextChar"/>
    <w:uiPriority w:val="99"/>
    <w:unhideWhenUsed/>
    <w:rsid w:val="000F393E"/>
    <w:rPr>
      <w:rFonts w:cs="Arial"/>
      <w:sz w:val="20"/>
      <w:szCs w:val="20"/>
    </w:rPr>
  </w:style>
  <w:style w:type="character" w:customStyle="1" w:styleId="FootnoteTextChar">
    <w:name w:val="Footnote Text Char"/>
    <w:aliases w:val="Footnote Text Char Char Char,Footnote Text Char2 Char,Footnote Text Char Char1 Char,Footnote Text Char1 Char"/>
    <w:basedOn w:val="DefaultParagraphFont"/>
    <w:link w:val="FootnoteText"/>
    <w:uiPriority w:val="99"/>
    <w:rsid w:val="000F393E"/>
    <w:rPr>
      <w:rFonts w:ascii="Calibri" w:hAnsi="Calibri" w:cs="Arial"/>
    </w:rPr>
  </w:style>
  <w:style w:type="character" w:styleId="FootnoteReference">
    <w:name w:val="footnote reference"/>
    <w:basedOn w:val="DefaultParagraphFont"/>
    <w:unhideWhenUsed/>
    <w:rsid w:val="000F3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7654652">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6635865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834909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5483</Words>
  <Characters>29695</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2023-10-24T23:27:00Z</dcterms:created>
  <dcterms:modified xsi:type="dcterms:W3CDTF">2023-10-24T23:28:00Z</dcterms:modified>
</cp:coreProperties>
</file>