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9AA20BB" w:rsidR="00B60939" w:rsidRPr="00271560" w:rsidRDefault="006630BF" w:rsidP="00C429D8">
      <w:pPr>
        <w:pStyle w:val="1-MainHeading"/>
        <w:ind w:left="851" w:hanging="851"/>
      </w:pPr>
      <w:bookmarkStart w:id="0" w:name="_Toc135214651"/>
      <w:r w:rsidRPr="00271560">
        <w:t>7.05</w:t>
      </w:r>
      <w:r w:rsidR="00163F66" w:rsidRPr="00271560">
        <w:tab/>
      </w:r>
      <w:bookmarkStart w:id="1" w:name="_Hlk89871600"/>
      <w:bookmarkEnd w:id="1"/>
      <w:r w:rsidR="00AD316E" w:rsidRPr="00271560">
        <w:t>NUSINERSEN</w:t>
      </w:r>
      <w:r w:rsidR="00AD316E" w:rsidRPr="00271560">
        <w:br/>
        <w:t>Solution for injection 12 mg in 5 mL,</w:t>
      </w:r>
      <w:r w:rsidR="00AD316E" w:rsidRPr="00271560">
        <w:br/>
        <w:t>Spinraza®,</w:t>
      </w:r>
      <w:r w:rsidR="00AD316E" w:rsidRPr="00271560">
        <w:br/>
        <w:t>Biogen Australia Pty Ltd</w:t>
      </w:r>
      <w:bookmarkEnd w:id="0"/>
    </w:p>
    <w:p w14:paraId="0898E9F9" w14:textId="77777777" w:rsidR="00AC2298" w:rsidRPr="00271560" w:rsidRDefault="00AC2298" w:rsidP="00AC2298">
      <w:pPr>
        <w:pStyle w:val="2-SectionHeading"/>
      </w:pPr>
      <w:bookmarkStart w:id="2" w:name="_Toc132629048"/>
      <w:bookmarkStart w:id="3" w:name="_Toc135214653"/>
      <w:bookmarkStart w:id="4" w:name="_Toc341702043"/>
      <w:bookmarkStart w:id="5" w:name="_Toc380742621"/>
      <w:bookmarkStart w:id="6" w:name="_Toc380746188"/>
      <w:bookmarkStart w:id="7" w:name="_Toc380746314"/>
      <w:bookmarkStart w:id="8" w:name="_Toc380746595"/>
      <w:r w:rsidRPr="00271560">
        <w:t>Purpose of submission</w:t>
      </w:r>
      <w:bookmarkEnd w:id="2"/>
      <w:bookmarkEnd w:id="3"/>
    </w:p>
    <w:p w14:paraId="6D54ABED" w14:textId="6C339BF0" w:rsidR="00AC2298" w:rsidRPr="00271560" w:rsidRDefault="00BD6058" w:rsidP="00AC2298">
      <w:pPr>
        <w:pStyle w:val="3-BodyText"/>
      </w:pPr>
      <w:r>
        <w:t xml:space="preserve">The </w:t>
      </w:r>
      <w:r w:rsidR="008C4019">
        <w:t xml:space="preserve">standard re-entry </w:t>
      </w:r>
      <w:r>
        <w:t>r</w:t>
      </w:r>
      <w:r w:rsidR="0079783E" w:rsidRPr="00271560">
        <w:t>esubmission request</w:t>
      </w:r>
      <w:r>
        <w:t>ed</w:t>
      </w:r>
      <w:r w:rsidR="0079783E" w:rsidRPr="00271560">
        <w:t xml:space="preserve"> a Section 100 (Highly Specialised Drug Program) Authority Required (Written) listing for treatment of individuals with pre-symptomatic </w:t>
      </w:r>
      <w:r w:rsidR="003707FD" w:rsidRPr="00271560">
        <w:t>spinal muscular atrophy (</w:t>
      </w:r>
      <w:r w:rsidR="0079783E" w:rsidRPr="00271560">
        <w:t>SMA</w:t>
      </w:r>
      <w:r w:rsidR="003707FD" w:rsidRPr="00271560">
        <w:t>)</w:t>
      </w:r>
      <w:r w:rsidR="0079783E" w:rsidRPr="00271560">
        <w:t xml:space="preserve"> with 3 copies of the </w:t>
      </w:r>
      <w:r w:rsidR="0079783E" w:rsidRPr="003A6593">
        <w:t xml:space="preserve">survival </w:t>
      </w:r>
      <w:r w:rsidR="003134C8" w:rsidRPr="003A6593">
        <w:t xml:space="preserve">of </w:t>
      </w:r>
      <w:r w:rsidR="0079783E" w:rsidRPr="003A6593">
        <w:t>motor neuron</w:t>
      </w:r>
      <w:r w:rsidR="003134C8" w:rsidRPr="003A6593">
        <w:t xml:space="preserve"> </w:t>
      </w:r>
      <w:r w:rsidR="0079783E" w:rsidRPr="003A6593">
        <w:t>2</w:t>
      </w:r>
      <w:r w:rsidR="0079783E" w:rsidRPr="00271560">
        <w:t xml:space="preserve"> (</w:t>
      </w:r>
      <w:r w:rsidR="0079783E" w:rsidRPr="00271560">
        <w:rPr>
          <w:i/>
          <w:iCs/>
        </w:rPr>
        <w:t>SMN2</w:t>
      </w:r>
      <w:r w:rsidR="0079783E" w:rsidRPr="00271560">
        <w:t>) gene, aged less than 18 years</w:t>
      </w:r>
      <w:r w:rsidR="001E48D7">
        <w:t>.</w:t>
      </w:r>
    </w:p>
    <w:p w14:paraId="6454A552" w14:textId="322D329A" w:rsidR="00AC2298" w:rsidRPr="00271560" w:rsidRDefault="00AC2298" w:rsidP="00AC2298">
      <w:pPr>
        <w:pStyle w:val="3-BodyText"/>
      </w:pPr>
      <w:r w:rsidRPr="00271560">
        <w:t>Listing was requested on the basis of a cost-effectiveness analysis versus the standard of care (SoC), which was the symptomatic treatment of patients with SMA with 3</w:t>
      </w:r>
      <w:r w:rsidR="00C429D8">
        <w:t> </w:t>
      </w:r>
      <w:r w:rsidRPr="00271560">
        <w:t xml:space="preserve">copies of </w:t>
      </w:r>
      <w:r w:rsidRPr="00271560">
        <w:rPr>
          <w:i/>
          <w:iCs/>
        </w:rPr>
        <w:t xml:space="preserve">SMN2 </w:t>
      </w:r>
      <w:r w:rsidRPr="00271560">
        <w:t xml:space="preserve">with nusinersen. </w:t>
      </w:r>
      <w:r w:rsidRPr="00271560">
        <w:fldChar w:fldCharType="begin" w:fldLock="1"/>
      </w:r>
      <w:r w:rsidRPr="00271560">
        <w:instrText xml:space="preserve"> REF _Ref132536671 \h </w:instrText>
      </w:r>
      <w:r w:rsidRPr="00271560">
        <w:fldChar w:fldCharType="separate"/>
      </w:r>
      <w:r w:rsidR="00016BA6" w:rsidRPr="00271560">
        <w:t xml:space="preserve">Table </w:t>
      </w:r>
      <w:r w:rsidR="00016BA6">
        <w:rPr>
          <w:noProof/>
        </w:rPr>
        <w:t>1</w:t>
      </w:r>
      <w:r w:rsidRPr="00271560">
        <w:fldChar w:fldCharType="end"/>
      </w:r>
      <w:r w:rsidRPr="00271560">
        <w:t xml:space="preserve"> provides a summary of the key components of the resubmission.</w:t>
      </w:r>
    </w:p>
    <w:p w14:paraId="1E572F4E" w14:textId="6EFD8DF5" w:rsidR="00AC2298" w:rsidRPr="00271560" w:rsidRDefault="00AC2298" w:rsidP="00AC2298">
      <w:pPr>
        <w:pStyle w:val="Caption"/>
      </w:pPr>
      <w:bookmarkStart w:id="9" w:name="_Ref132536671"/>
      <w:r w:rsidRPr="00271560">
        <w:t xml:space="preserve">Table </w:t>
      </w:r>
      <w:fldSimple w:instr=" SEQ Table \* ARABIC " w:fldLock="1">
        <w:r w:rsidR="00016BA6">
          <w:rPr>
            <w:noProof/>
          </w:rPr>
          <w:t>1</w:t>
        </w:r>
      </w:fldSimple>
      <w:bookmarkEnd w:id="9"/>
      <w:r w:rsidRPr="00271560">
        <w:t xml:space="preserve">: </w:t>
      </w:r>
      <w:r w:rsidRPr="00271560">
        <w:rPr>
          <w:noProof/>
        </w:rPr>
        <w:t>Key components of the clinical issue addressed by the resubmission</w:t>
      </w:r>
    </w:p>
    <w:tbl>
      <w:tblPr>
        <w:tblStyle w:val="TableGrid"/>
        <w:tblW w:w="4991" w:type="pct"/>
        <w:tblInd w:w="-5" w:type="dxa"/>
        <w:tblLook w:val="04A0" w:firstRow="1" w:lastRow="0" w:firstColumn="1" w:lastColumn="0" w:noHBand="0" w:noVBand="1"/>
        <w:tblCaption w:val="Table 1: Key components of the clinical issue addressed by the resubmission"/>
        <w:tblDescription w:val="Table 1: Key components of the clinical issue addressed by the resubmission"/>
      </w:tblPr>
      <w:tblGrid>
        <w:gridCol w:w="1487"/>
        <w:gridCol w:w="7513"/>
      </w:tblGrid>
      <w:tr w:rsidR="00AC2298" w:rsidRPr="00271560" w14:paraId="18D0F2EF" w14:textId="77777777" w:rsidTr="00CB2C92">
        <w:trPr>
          <w:trHeight w:val="20"/>
          <w:tblHeader/>
        </w:trPr>
        <w:tc>
          <w:tcPr>
            <w:tcW w:w="826" w:type="pc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11BE8820" w14:textId="77777777" w:rsidR="00AC2298" w:rsidRPr="00271560" w:rsidRDefault="00AC2298" w:rsidP="00CB2C92">
            <w:pPr>
              <w:pStyle w:val="In-tableHeading"/>
              <w:rPr>
                <w:lang w:val="en-AU"/>
              </w:rPr>
            </w:pPr>
            <w:r w:rsidRPr="00271560">
              <w:rPr>
                <w:lang w:val="en-AU"/>
              </w:rPr>
              <w:t>Component</w:t>
            </w:r>
          </w:p>
        </w:tc>
        <w:tc>
          <w:tcPr>
            <w:tcW w:w="4174" w:type="pct"/>
            <w:tcBorders>
              <w:top w:val="single" w:sz="4" w:space="0" w:color="auto"/>
              <w:left w:val="single" w:sz="4" w:space="0" w:color="auto"/>
              <w:bottom w:val="single" w:sz="4" w:space="0" w:color="auto"/>
              <w:right w:val="single" w:sz="4" w:space="0" w:color="auto"/>
            </w:tcBorders>
            <w:shd w:val="clear" w:color="auto" w:fill="auto"/>
            <w:hideMark/>
          </w:tcPr>
          <w:p w14:paraId="5578DD5C" w14:textId="77777777" w:rsidR="00AC2298" w:rsidRPr="00271560" w:rsidRDefault="00AC2298" w:rsidP="00CB2C92">
            <w:pPr>
              <w:pStyle w:val="In-tableHeading"/>
              <w:rPr>
                <w:lang w:val="en-AU"/>
              </w:rPr>
            </w:pPr>
            <w:r w:rsidRPr="00271560">
              <w:rPr>
                <w:lang w:val="en-AU"/>
              </w:rPr>
              <w:t>Description</w:t>
            </w:r>
          </w:p>
        </w:tc>
      </w:tr>
      <w:tr w:rsidR="00AC2298" w:rsidRPr="00271560" w14:paraId="0F9712F5" w14:textId="77777777" w:rsidTr="00CB2C92">
        <w:trPr>
          <w:trHeight w:val="20"/>
        </w:trPr>
        <w:tc>
          <w:tcPr>
            <w:tcW w:w="826" w:type="pct"/>
            <w:tcBorders>
              <w:top w:val="single" w:sz="4" w:space="0" w:color="auto"/>
              <w:left w:val="single" w:sz="4" w:space="0" w:color="auto"/>
              <w:bottom w:val="nil"/>
              <w:right w:val="single" w:sz="4" w:space="0" w:color="auto"/>
            </w:tcBorders>
            <w:vAlign w:val="center"/>
            <w:hideMark/>
          </w:tcPr>
          <w:p w14:paraId="23046C81" w14:textId="77777777" w:rsidR="00AC2298" w:rsidRPr="00271560" w:rsidRDefault="00AC2298" w:rsidP="00CB2C92">
            <w:pPr>
              <w:pStyle w:val="TableText0"/>
            </w:pPr>
            <w:r w:rsidRPr="00271560">
              <w:t>Population</w:t>
            </w:r>
          </w:p>
        </w:tc>
        <w:tc>
          <w:tcPr>
            <w:tcW w:w="4174" w:type="pct"/>
            <w:tcBorders>
              <w:top w:val="single" w:sz="4" w:space="0" w:color="auto"/>
              <w:left w:val="single" w:sz="4" w:space="0" w:color="auto"/>
              <w:bottom w:val="single" w:sz="4" w:space="0" w:color="auto"/>
              <w:right w:val="single" w:sz="4" w:space="0" w:color="auto"/>
            </w:tcBorders>
            <w:hideMark/>
          </w:tcPr>
          <w:p w14:paraId="7BC354BF" w14:textId="0BD1416B" w:rsidR="00AC2298" w:rsidRPr="00271560" w:rsidRDefault="00AC2298" w:rsidP="00CB2C92">
            <w:pPr>
              <w:pStyle w:val="TableText0"/>
            </w:pPr>
            <w:r w:rsidRPr="00271560">
              <w:t xml:space="preserve">Treatment of individuals </w:t>
            </w:r>
            <w:r w:rsidRPr="00271560">
              <w:rPr>
                <w:u w:val="single"/>
              </w:rPr>
              <w:t>with pre-symptomatic SMA (</w:t>
            </w:r>
            <w:r w:rsidRPr="00271560">
              <w:rPr>
                <w:i/>
                <w:iCs/>
                <w:u w:val="single"/>
              </w:rPr>
              <w:t>SMN1</w:t>
            </w:r>
            <w:r w:rsidRPr="00271560">
              <w:rPr>
                <w:u w:val="single"/>
              </w:rPr>
              <w:t xml:space="preserve"> deletion </w:t>
            </w:r>
            <w:r w:rsidRPr="00271560">
              <w:rPr>
                <w:rFonts w:cs="Calibri"/>
                <w:u w:val="single"/>
              </w:rPr>
              <w:t xml:space="preserve">or mutation) with a </w:t>
            </w:r>
            <w:r w:rsidRPr="00271560">
              <w:rPr>
                <w:rFonts w:cs="Calibri"/>
                <w:i/>
                <w:iCs/>
                <w:u w:val="single"/>
              </w:rPr>
              <w:t>SMN2</w:t>
            </w:r>
            <w:r w:rsidRPr="00271560">
              <w:rPr>
                <w:rFonts w:cs="Calibri"/>
                <w:u w:val="single"/>
              </w:rPr>
              <w:t xml:space="preserve"> copy number of 3</w:t>
            </w:r>
            <w:r w:rsidRPr="00271560">
              <w:rPr>
                <w:u w:val="single"/>
              </w:rPr>
              <w:t xml:space="preserve"> aged under 18 years.</w:t>
            </w:r>
            <w:r w:rsidR="000B488A">
              <w:rPr>
                <w:u w:val="single"/>
              </w:rPr>
              <w:t xml:space="preserve"> </w:t>
            </w:r>
            <w:r w:rsidRPr="00271560">
              <w:rPr>
                <w:u w:val="single"/>
                <w:vertAlign w:val="superscript"/>
              </w:rPr>
              <w:t>a</w:t>
            </w:r>
          </w:p>
        </w:tc>
      </w:tr>
      <w:tr w:rsidR="00AC2298" w:rsidRPr="00271560" w14:paraId="337CC26D" w14:textId="77777777" w:rsidTr="00CB2C92">
        <w:trPr>
          <w:trHeight w:val="20"/>
        </w:trPr>
        <w:tc>
          <w:tcPr>
            <w:tcW w:w="826" w:type="pct"/>
            <w:tcBorders>
              <w:top w:val="single" w:sz="4" w:space="0" w:color="auto"/>
              <w:left w:val="single" w:sz="4" w:space="0" w:color="auto"/>
              <w:bottom w:val="single" w:sz="4" w:space="0" w:color="auto"/>
              <w:right w:val="single" w:sz="4" w:space="0" w:color="auto"/>
            </w:tcBorders>
            <w:vAlign w:val="center"/>
            <w:hideMark/>
          </w:tcPr>
          <w:p w14:paraId="31BF0650" w14:textId="77777777" w:rsidR="00AC2298" w:rsidRPr="00271560" w:rsidRDefault="00AC2298" w:rsidP="00CB2C92">
            <w:pPr>
              <w:pStyle w:val="TableText0"/>
            </w:pPr>
            <w:r w:rsidRPr="00271560">
              <w:t>Intervention</w:t>
            </w:r>
          </w:p>
        </w:tc>
        <w:tc>
          <w:tcPr>
            <w:tcW w:w="4174" w:type="pct"/>
            <w:tcBorders>
              <w:top w:val="single" w:sz="4" w:space="0" w:color="auto"/>
              <w:left w:val="single" w:sz="4" w:space="0" w:color="auto"/>
              <w:bottom w:val="single" w:sz="4" w:space="0" w:color="auto"/>
              <w:right w:val="single" w:sz="4" w:space="0" w:color="auto"/>
            </w:tcBorders>
            <w:hideMark/>
          </w:tcPr>
          <w:p w14:paraId="08620594" w14:textId="77777777" w:rsidR="00AC2298" w:rsidRPr="00271560" w:rsidRDefault="00AC2298" w:rsidP="00CB2C92">
            <w:pPr>
              <w:pStyle w:val="TableText0"/>
            </w:pPr>
            <w:r w:rsidRPr="00271560">
              <w:t>Nusinersen administered at a dose of 12 mg via intrathecal injection with four loading doses and two maintenance doses in year 1 and three doses per year thereafter.</w:t>
            </w:r>
          </w:p>
        </w:tc>
      </w:tr>
      <w:tr w:rsidR="00AC2298" w:rsidRPr="00271560" w14:paraId="5C5AD29B" w14:textId="77777777" w:rsidTr="00CB2C92">
        <w:trPr>
          <w:trHeight w:val="20"/>
        </w:trPr>
        <w:tc>
          <w:tcPr>
            <w:tcW w:w="826" w:type="pct"/>
            <w:tcBorders>
              <w:top w:val="single" w:sz="4" w:space="0" w:color="auto"/>
              <w:left w:val="single" w:sz="4" w:space="0" w:color="auto"/>
              <w:bottom w:val="single" w:sz="4" w:space="0" w:color="auto"/>
              <w:right w:val="single" w:sz="4" w:space="0" w:color="auto"/>
            </w:tcBorders>
            <w:vAlign w:val="center"/>
            <w:hideMark/>
          </w:tcPr>
          <w:p w14:paraId="543BAA43" w14:textId="77777777" w:rsidR="00AC2298" w:rsidRPr="00271560" w:rsidRDefault="00AC2298" w:rsidP="00CB2C92">
            <w:pPr>
              <w:pStyle w:val="TableText0"/>
            </w:pPr>
            <w:r w:rsidRPr="00271560">
              <w:t>Comparator</w:t>
            </w:r>
          </w:p>
        </w:tc>
        <w:tc>
          <w:tcPr>
            <w:tcW w:w="4174" w:type="pct"/>
            <w:tcBorders>
              <w:top w:val="single" w:sz="4" w:space="0" w:color="auto"/>
              <w:left w:val="single" w:sz="4" w:space="0" w:color="auto"/>
              <w:bottom w:val="single" w:sz="4" w:space="0" w:color="auto"/>
              <w:right w:val="single" w:sz="4" w:space="0" w:color="auto"/>
            </w:tcBorders>
            <w:hideMark/>
          </w:tcPr>
          <w:p w14:paraId="0FFF9DF1" w14:textId="77777777" w:rsidR="00AC2298" w:rsidRPr="00271560" w:rsidRDefault="00AC2298" w:rsidP="00CB2C92">
            <w:pPr>
              <w:pStyle w:val="TableText0"/>
            </w:pPr>
            <w:r w:rsidRPr="00271560">
              <w:t>Nusinersen (administered as above) upon symptom onset.</w:t>
            </w:r>
          </w:p>
        </w:tc>
      </w:tr>
      <w:tr w:rsidR="00AC2298" w:rsidRPr="00271560" w14:paraId="0DCB11C0" w14:textId="77777777" w:rsidTr="00CB2C92">
        <w:trPr>
          <w:trHeight w:val="20"/>
        </w:trPr>
        <w:tc>
          <w:tcPr>
            <w:tcW w:w="826" w:type="pct"/>
            <w:tcBorders>
              <w:top w:val="single" w:sz="4" w:space="0" w:color="auto"/>
              <w:left w:val="single" w:sz="4" w:space="0" w:color="auto"/>
              <w:bottom w:val="single" w:sz="4" w:space="0" w:color="auto"/>
              <w:right w:val="single" w:sz="4" w:space="0" w:color="auto"/>
            </w:tcBorders>
            <w:vAlign w:val="center"/>
          </w:tcPr>
          <w:p w14:paraId="234E7D05" w14:textId="77777777" w:rsidR="00AC2298" w:rsidRPr="00271560" w:rsidRDefault="00AC2298" w:rsidP="00CB2C92">
            <w:pPr>
              <w:pStyle w:val="TableText0"/>
            </w:pPr>
            <w:r w:rsidRPr="00271560">
              <w:t>Outcomes</w:t>
            </w:r>
          </w:p>
        </w:tc>
        <w:tc>
          <w:tcPr>
            <w:tcW w:w="4174" w:type="pct"/>
            <w:tcBorders>
              <w:top w:val="single" w:sz="4" w:space="0" w:color="auto"/>
              <w:left w:val="single" w:sz="4" w:space="0" w:color="auto"/>
              <w:bottom w:val="single" w:sz="4" w:space="0" w:color="auto"/>
              <w:right w:val="single" w:sz="4" w:space="0" w:color="auto"/>
            </w:tcBorders>
            <w:hideMark/>
          </w:tcPr>
          <w:p w14:paraId="151EF432" w14:textId="77777777" w:rsidR="00AC2298" w:rsidRPr="00271560" w:rsidRDefault="00AC2298" w:rsidP="00106AA4">
            <w:pPr>
              <w:pStyle w:val="TableText0"/>
              <w:numPr>
                <w:ilvl w:val="0"/>
                <w:numId w:val="7"/>
              </w:numPr>
            </w:pPr>
            <w:r w:rsidRPr="00271560">
              <w:t>Time to death or respiratory intervention (primary endpoint)</w:t>
            </w:r>
          </w:p>
          <w:p w14:paraId="5F8AF1A9" w14:textId="77777777" w:rsidR="00AC2298" w:rsidRPr="00271560" w:rsidRDefault="00AC2298" w:rsidP="00106AA4">
            <w:pPr>
              <w:pStyle w:val="TableText0"/>
              <w:numPr>
                <w:ilvl w:val="0"/>
                <w:numId w:val="7"/>
              </w:numPr>
            </w:pPr>
            <w:r w:rsidRPr="00271560">
              <w:t>Survival and Motor function as assessed by HINE-2, CHOP INTEND, and WHO instruments</w:t>
            </w:r>
          </w:p>
          <w:p w14:paraId="7065D5E1" w14:textId="77777777" w:rsidR="00AC2298" w:rsidRPr="00271560" w:rsidRDefault="00AC2298" w:rsidP="00106AA4">
            <w:pPr>
              <w:pStyle w:val="TableText0"/>
              <w:numPr>
                <w:ilvl w:val="0"/>
                <w:numId w:val="7"/>
              </w:numPr>
            </w:pPr>
            <w:r w:rsidRPr="00271560">
              <w:t>Safety</w:t>
            </w:r>
          </w:p>
        </w:tc>
      </w:tr>
      <w:tr w:rsidR="00AC2298" w:rsidRPr="00271560" w14:paraId="52EC56BB" w14:textId="77777777" w:rsidTr="00CB2C92">
        <w:trPr>
          <w:trHeight w:val="20"/>
        </w:trPr>
        <w:tc>
          <w:tcPr>
            <w:tcW w:w="826" w:type="pct"/>
            <w:tcBorders>
              <w:top w:val="single" w:sz="4" w:space="0" w:color="auto"/>
              <w:left w:val="single" w:sz="4" w:space="0" w:color="auto"/>
              <w:bottom w:val="single" w:sz="4" w:space="0" w:color="auto"/>
              <w:right w:val="single" w:sz="4" w:space="0" w:color="auto"/>
            </w:tcBorders>
            <w:vAlign w:val="center"/>
            <w:hideMark/>
          </w:tcPr>
          <w:p w14:paraId="4274B3B7" w14:textId="77777777" w:rsidR="00AC2298" w:rsidRPr="00271560" w:rsidRDefault="00AC2298" w:rsidP="00CB2C92">
            <w:pPr>
              <w:pStyle w:val="TableText0"/>
            </w:pPr>
            <w:r w:rsidRPr="00271560">
              <w:t>Clinical claim</w:t>
            </w:r>
          </w:p>
        </w:tc>
        <w:tc>
          <w:tcPr>
            <w:tcW w:w="4174" w:type="pct"/>
            <w:tcBorders>
              <w:top w:val="single" w:sz="4" w:space="0" w:color="auto"/>
              <w:left w:val="single" w:sz="4" w:space="0" w:color="auto"/>
              <w:bottom w:val="single" w:sz="4" w:space="0" w:color="auto"/>
              <w:right w:val="single" w:sz="4" w:space="0" w:color="auto"/>
            </w:tcBorders>
          </w:tcPr>
          <w:p w14:paraId="121F3977" w14:textId="77777777" w:rsidR="00AC2298" w:rsidRPr="00271560" w:rsidRDefault="00AC2298" w:rsidP="00CB2C92">
            <w:pPr>
              <w:pStyle w:val="TableText0"/>
            </w:pPr>
            <w:r w:rsidRPr="00271560">
              <w:t xml:space="preserve">In individuals with pre-symptomatic SMA with 3 </w:t>
            </w:r>
            <w:r w:rsidRPr="00271560">
              <w:rPr>
                <w:i/>
                <w:iCs/>
              </w:rPr>
              <w:t xml:space="preserve">SMN2 </w:t>
            </w:r>
            <w:r w:rsidRPr="00271560">
              <w:t xml:space="preserve">copies, nusinersen is clinically superior in terms of comparative effectiveness and no worse in terms of comparative safety, compared to treatment with nusinersen upon symptom onset in the same population. </w:t>
            </w:r>
          </w:p>
        </w:tc>
      </w:tr>
    </w:tbl>
    <w:p w14:paraId="4FC82F3B" w14:textId="77777777" w:rsidR="00AC2298" w:rsidRPr="00271560" w:rsidRDefault="00AC2298" w:rsidP="00AC2298">
      <w:pPr>
        <w:pStyle w:val="FooterTableFigure"/>
      </w:pPr>
      <w:r w:rsidRPr="00271560">
        <w:t>Source: Table 1.1, p32 of the resubmission</w:t>
      </w:r>
    </w:p>
    <w:p w14:paraId="4DC8C878" w14:textId="77777777" w:rsidR="00AC2298" w:rsidRPr="00271560" w:rsidRDefault="00AC2298" w:rsidP="00AC2298">
      <w:pPr>
        <w:pStyle w:val="FooterTableFigure"/>
      </w:pPr>
      <w:r w:rsidRPr="00271560">
        <w:t xml:space="preserve">CHOP-INTEND = Children’s Hospital of Philadelphia Infant Test of Neuromuscular Disorders; HINE = Hammersmith Infant Neurological Examination; SMA = spinal muscular atrophy; </w:t>
      </w:r>
      <w:r w:rsidRPr="00C429D8">
        <w:rPr>
          <w:i/>
          <w:iCs/>
        </w:rPr>
        <w:t>SMN</w:t>
      </w:r>
      <w:r w:rsidRPr="00271560">
        <w:t xml:space="preserve"> = survival of motor neuron; WHO = World Health Organization</w:t>
      </w:r>
    </w:p>
    <w:p w14:paraId="2ABF7BDC" w14:textId="77777777" w:rsidR="00AC2298" w:rsidRPr="00271560" w:rsidRDefault="00AC2298" w:rsidP="00AC2298">
      <w:pPr>
        <w:pStyle w:val="FooterTableFigure"/>
      </w:pPr>
      <w:r w:rsidRPr="00271560">
        <w:t xml:space="preserve">Underlined text indicates the proposed additional patient population compared current nusinersen PBS listing. </w:t>
      </w:r>
    </w:p>
    <w:p w14:paraId="0EFF7FB7" w14:textId="77777777" w:rsidR="00AC2298" w:rsidRPr="00271560" w:rsidRDefault="00AC2298" w:rsidP="00AC2298">
      <w:pPr>
        <w:pStyle w:val="FooterTableFigure"/>
      </w:pPr>
      <w:r w:rsidRPr="00271560">
        <w:rPr>
          <w:vertAlign w:val="superscript"/>
        </w:rPr>
        <w:t>a</w:t>
      </w:r>
      <w:r w:rsidRPr="00271560">
        <w:t xml:space="preserve"> The resubmission also proposed a change in the current pre-symptomatic PBS listing to allow initiation of nusinersen treatment in patients aged less than 18 years, instead of the current 36 months.</w:t>
      </w:r>
    </w:p>
    <w:p w14:paraId="7AD34C52" w14:textId="77777777" w:rsidR="00AC2298" w:rsidRPr="00271560" w:rsidRDefault="00AC2298" w:rsidP="00AC2298">
      <w:pPr>
        <w:pStyle w:val="2-SectionHeading"/>
      </w:pPr>
      <w:bookmarkStart w:id="10" w:name="_Toc132629049"/>
      <w:bookmarkStart w:id="11" w:name="_Toc135214654"/>
      <w:r w:rsidRPr="00271560">
        <w:t>Background</w:t>
      </w:r>
      <w:bookmarkEnd w:id="10"/>
      <w:bookmarkEnd w:id="11"/>
    </w:p>
    <w:p w14:paraId="1723D283" w14:textId="77777777" w:rsidR="00AC2298" w:rsidRPr="00271560" w:rsidRDefault="00AC2298" w:rsidP="00AC2298">
      <w:pPr>
        <w:pStyle w:val="4-SubsectionHeading"/>
      </w:pPr>
      <w:bookmarkStart w:id="12" w:name="_Toc22897638"/>
      <w:bookmarkStart w:id="13" w:name="_Toc132629050"/>
      <w:bookmarkStart w:id="14" w:name="_Toc135214655"/>
      <w:r w:rsidRPr="00271560">
        <w:t>Registration status</w:t>
      </w:r>
      <w:bookmarkEnd w:id="12"/>
      <w:bookmarkEnd w:id="13"/>
      <w:bookmarkEnd w:id="14"/>
    </w:p>
    <w:p w14:paraId="544FB4A5" w14:textId="77777777" w:rsidR="00AC2298" w:rsidRPr="00271560" w:rsidRDefault="00AC2298" w:rsidP="00AC2298">
      <w:pPr>
        <w:pStyle w:val="ListParagraph"/>
        <w:numPr>
          <w:ilvl w:val="1"/>
          <w:numId w:val="1"/>
        </w:numPr>
        <w:spacing w:after="160"/>
      </w:pPr>
      <w:r w:rsidRPr="00271560">
        <w:t>Nusinersen was TGA registered “for the treatment of 5q spinal muscular atrophy (SMA)”</w:t>
      </w:r>
      <w:r w:rsidRPr="0067202A">
        <w:t xml:space="preserve"> </w:t>
      </w:r>
      <w:r w:rsidRPr="00271560">
        <w:t xml:space="preserve">on 2 November 2017. </w:t>
      </w:r>
      <w:r w:rsidRPr="00ED192D">
        <w:rPr>
          <w:iCs/>
        </w:rPr>
        <w:t>The TGA indication would include the patient population in the proposed restriction.</w:t>
      </w:r>
    </w:p>
    <w:p w14:paraId="10D1FB9B" w14:textId="77777777" w:rsidR="00AC2298" w:rsidRPr="00271560" w:rsidRDefault="00AC2298" w:rsidP="00AC2298">
      <w:pPr>
        <w:pStyle w:val="4-SubsectionHeading"/>
      </w:pPr>
      <w:bookmarkStart w:id="15" w:name="_Toc22897639"/>
      <w:bookmarkStart w:id="16" w:name="_Toc132629051"/>
      <w:bookmarkStart w:id="17" w:name="_Toc135214656"/>
      <w:r w:rsidRPr="00271560">
        <w:lastRenderedPageBreak/>
        <w:t>Previous PBAC consideration</w:t>
      </w:r>
      <w:bookmarkEnd w:id="15"/>
      <w:bookmarkEnd w:id="16"/>
      <w:bookmarkEnd w:id="17"/>
    </w:p>
    <w:p w14:paraId="62AE1EBB" w14:textId="1A746295" w:rsidR="00AC2298" w:rsidRPr="00271560" w:rsidRDefault="00AC2298" w:rsidP="00AC2298">
      <w:pPr>
        <w:pStyle w:val="3-BodyText"/>
      </w:pPr>
      <w:r w:rsidRPr="00271560">
        <w:t xml:space="preserve">This </w:t>
      </w:r>
      <w:r w:rsidR="00F06161">
        <w:t>wa</w:t>
      </w:r>
      <w:r w:rsidRPr="00271560">
        <w:t>s a resubmission for the pre-symptomatic initiation of nusinersen for the treatment of SMA. The PBAC ha</w:t>
      </w:r>
      <w:r w:rsidR="00B3439E">
        <w:t>s</w:t>
      </w:r>
      <w:r w:rsidRPr="00271560">
        <w:t xml:space="preserve"> considered several submissions for this population</w:t>
      </w:r>
      <w:r w:rsidR="000E3893">
        <w:t>. Nusinersen for the</w:t>
      </w:r>
      <w:r w:rsidRPr="00271560">
        <w:t xml:space="preserve"> pre-symptomatic treatment of SMA </w:t>
      </w:r>
      <w:r w:rsidR="000E3893">
        <w:t xml:space="preserve">in </w:t>
      </w:r>
      <w:r w:rsidR="00B47BBD">
        <w:t>individual</w:t>
      </w:r>
      <w:r w:rsidR="000E3893">
        <w:t xml:space="preserve">s </w:t>
      </w:r>
      <w:r w:rsidRPr="00271560">
        <w:t xml:space="preserve">with 1, 2 or </w:t>
      </w:r>
      <w:r w:rsidR="00C429D8" w:rsidRPr="00271560">
        <w:t>3</w:t>
      </w:r>
      <w:r w:rsidR="00C429D8">
        <w:t> </w:t>
      </w:r>
      <w:r w:rsidRPr="00271560">
        <w:t xml:space="preserve">copies of </w:t>
      </w:r>
      <w:r w:rsidRPr="00271560">
        <w:rPr>
          <w:i/>
          <w:iCs/>
        </w:rPr>
        <w:t>SMN2</w:t>
      </w:r>
      <w:r w:rsidRPr="00271560">
        <w:t xml:space="preserve"> </w:t>
      </w:r>
      <w:r w:rsidR="000E3893">
        <w:t xml:space="preserve">was </w:t>
      </w:r>
      <w:r w:rsidRPr="00271560">
        <w:t xml:space="preserve">considered at the </w:t>
      </w:r>
      <w:r w:rsidR="00C429D8" w:rsidRPr="00271560">
        <w:t>July</w:t>
      </w:r>
      <w:r w:rsidR="00C429D8">
        <w:t> </w:t>
      </w:r>
      <w:r w:rsidRPr="00271560">
        <w:t xml:space="preserve">2019 and </w:t>
      </w:r>
      <w:r w:rsidR="00C429D8" w:rsidRPr="00271560">
        <w:t>November</w:t>
      </w:r>
      <w:r w:rsidR="00C429D8">
        <w:t> </w:t>
      </w:r>
      <w:r w:rsidRPr="00271560">
        <w:t xml:space="preserve">2019 PBAC meetings. Subsequently, pre-symptomatic treatment of SMA </w:t>
      </w:r>
      <w:r w:rsidR="000E3893">
        <w:t xml:space="preserve">in </w:t>
      </w:r>
      <w:r w:rsidR="00B47BBD">
        <w:t>individual</w:t>
      </w:r>
      <w:r w:rsidR="000E3893">
        <w:t xml:space="preserve">s </w:t>
      </w:r>
      <w:r w:rsidRPr="00271560">
        <w:t xml:space="preserve">with 1 or </w:t>
      </w:r>
      <w:r w:rsidR="00C429D8" w:rsidRPr="00271560">
        <w:t>2</w:t>
      </w:r>
      <w:r w:rsidR="00C429D8">
        <w:t> </w:t>
      </w:r>
      <w:r w:rsidRPr="00271560">
        <w:t xml:space="preserve">copies of </w:t>
      </w:r>
      <w:r w:rsidRPr="00271560">
        <w:rPr>
          <w:i/>
          <w:iCs/>
        </w:rPr>
        <w:t>SMN2</w:t>
      </w:r>
      <w:r w:rsidRPr="00271560">
        <w:t xml:space="preserve"> was considered at the July 2020 PBAC meeting.</w:t>
      </w:r>
    </w:p>
    <w:p w14:paraId="4CDDD954" w14:textId="46CE6F5D" w:rsidR="00AC2298" w:rsidRPr="00271560" w:rsidRDefault="00D406BF" w:rsidP="00AC2298">
      <w:pPr>
        <w:pStyle w:val="3-BodyText"/>
      </w:pPr>
      <w:r>
        <w:fldChar w:fldCharType="begin" w:fldLock="1"/>
      </w:r>
      <w:r>
        <w:instrText xml:space="preserve"> REF _Ref141438188 \h </w:instrText>
      </w:r>
      <w:r>
        <w:fldChar w:fldCharType="separate"/>
      </w:r>
      <w:r w:rsidRPr="00271560">
        <w:t xml:space="preserve">Table </w:t>
      </w:r>
      <w:r>
        <w:rPr>
          <w:noProof/>
        </w:rPr>
        <w:t>2</w:t>
      </w:r>
      <w:r>
        <w:fldChar w:fldCharType="end"/>
      </w:r>
      <w:r>
        <w:t xml:space="preserve"> </w:t>
      </w:r>
      <w:r w:rsidR="00AC2298" w:rsidRPr="00271560">
        <w:t xml:space="preserve">provides a summary of the outstanding matters of concern relating to the SMA population with 3 </w:t>
      </w:r>
      <w:r w:rsidR="00AC2298" w:rsidRPr="00271560">
        <w:rPr>
          <w:i/>
          <w:iCs/>
        </w:rPr>
        <w:t>SMN2</w:t>
      </w:r>
      <w:r w:rsidR="00AC2298" w:rsidRPr="00271560">
        <w:t xml:space="preserve"> copies identified in the November 2019 submission, as provided by the resubmission.</w:t>
      </w:r>
    </w:p>
    <w:p w14:paraId="75E74CD8" w14:textId="398F1615" w:rsidR="00AC2298" w:rsidRDefault="00D406BF" w:rsidP="00D406BF">
      <w:pPr>
        <w:pStyle w:val="Caption"/>
        <w:keepNext w:val="0"/>
        <w:keepLines w:val="0"/>
        <w:widowControl w:val="0"/>
      </w:pPr>
      <w:bookmarkStart w:id="18" w:name="_Ref141438188"/>
      <w:r w:rsidRPr="00271560">
        <w:t xml:space="preserve">Table </w:t>
      </w:r>
      <w:r w:rsidR="007020B8">
        <w:fldChar w:fldCharType="begin" w:fldLock="1"/>
      </w:r>
      <w:r w:rsidR="007020B8">
        <w:instrText xml:space="preserve"> SEQ Table \* ARABIC </w:instrText>
      </w:r>
      <w:r w:rsidR="007020B8">
        <w:fldChar w:fldCharType="separate"/>
      </w:r>
      <w:r>
        <w:rPr>
          <w:noProof/>
        </w:rPr>
        <w:t>2</w:t>
      </w:r>
      <w:r w:rsidR="007020B8">
        <w:rPr>
          <w:noProof/>
        </w:rPr>
        <w:fldChar w:fldCharType="end"/>
      </w:r>
      <w:bookmarkEnd w:id="18"/>
      <w:r w:rsidRPr="00271560">
        <w:t>:</w:t>
      </w:r>
      <w:r>
        <w:t xml:space="preserve"> Summary of outstanding matters of concern from previous submission</w:t>
      </w:r>
    </w:p>
    <w:tbl>
      <w:tblPr>
        <w:tblStyle w:val="TableGrid"/>
        <w:tblW w:w="8931" w:type="dxa"/>
        <w:tblInd w:w="-5" w:type="dxa"/>
        <w:tblLook w:val="04A0" w:firstRow="1" w:lastRow="0" w:firstColumn="1" w:lastColumn="0" w:noHBand="0" w:noVBand="1"/>
        <w:tblCaption w:val="Table 2: Summary of outstanding matters of concern from previous submission"/>
        <w:tblDescription w:val="Table 2: Summary of outstanding matters of concern from previous submission"/>
      </w:tblPr>
      <w:tblGrid>
        <w:gridCol w:w="4395"/>
        <w:gridCol w:w="4536"/>
      </w:tblGrid>
      <w:tr w:rsidR="00AC2298" w:rsidRPr="00271560" w14:paraId="09B6C266" w14:textId="77777777" w:rsidTr="00EB1270">
        <w:trPr>
          <w:trHeight w:val="143"/>
          <w:tblHeader/>
        </w:trPr>
        <w:tc>
          <w:tcPr>
            <w:tcW w:w="4395" w:type="dxa"/>
            <w:tcBorders>
              <w:bottom w:val="double" w:sz="4" w:space="0" w:color="auto"/>
            </w:tcBorders>
            <w:shd w:val="clear" w:color="auto" w:fill="auto"/>
          </w:tcPr>
          <w:p w14:paraId="457BF8CC" w14:textId="0CCCC8DB" w:rsidR="00AC2298" w:rsidRPr="00271560" w:rsidRDefault="00AC2298" w:rsidP="00D406BF">
            <w:pPr>
              <w:pStyle w:val="In-tableHeading"/>
              <w:keepNext w:val="0"/>
              <w:widowControl w:val="0"/>
              <w:rPr>
                <w:rFonts w:cstheme="minorHAnsi"/>
                <w:lang w:val="en-AU"/>
              </w:rPr>
            </w:pPr>
            <w:r w:rsidRPr="00271560">
              <w:rPr>
                <w:lang w:val="en-AU"/>
              </w:rPr>
              <w:t xml:space="preserve">Matter of concern </w:t>
            </w:r>
          </w:p>
        </w:tc>
        <w:tc>
          <w:tcPr>
            <w:tcW w:w="4536" w:type="dxa"/>
            <w:tcBorders>
              <w:bottom w:val="double" w:sz="4" w:space="0" w:color="auto"/>
            </w:tcBorders>
            <w:shd w:val="clear" w:color="auto" w:fill="auto"/>
          </w:tcPr>
          <w:p w14:paraId="40048D8A" w14:textId="77777777" w:rsidR="00AC2298" w:rsidRPr="00271560" w:rsidRDefault="00AC2298" w:rsidP="00D406BF">
            <w:pPr>
              <w:pStyle w:val="In-tableHeading"/>
              <w:keepNext w:val="0"/>
              <w:widowControl w:val="0"/>
              <w:rPr>
                <w:rFonts w:cstheme="minorHAnsi"/>
                <w:lang w:val="en-AU"/>
              </w:rPr>
            </w:pPr>
            <w:r w:rsidRPr="00271560">
              <w:rPr>
                <w:lang w:val="en-AU"/>
              </w:rPr>
              <w:t>How this resubmission addressed it</w:t>
            </w:r>
          </w:p>
        </w:tc>
      </w:tr>
      <w:tr w:rsidR="00EB1270" w:rsidRPr="00271560" w14:paraId="68CAC14C" w14:textId="77777777" w:rsidTr="00EB1270">
        <w:trPr>
          <w:trHeight w:val="110"/>
        </w:trPr>
        <w:tc>
          <w:tcPr>
            <w:tcW w:w="4395" w:type="dxa"/>
            <w:tcBorders>
              <w:top w:val="double" w:sz="4" w:space="0" w:color="auto"/>
            </w:tcBorders>
            <w:shd w:val="clear" w:color="auto" w:fill="auto"/>
          </w:tcPr>
          <w:p w14:paraId="0E545D41" w14:textId="77777777" w:rsidR="00EB1270" w:rsidRPr="00271560" w:rsidRDefault="00EB1270" w:rsidP="00D406BF">
            <w:pPr>
              <w:pStyle w:val="In-tableHeading"/>
              <w:keepNext w:val="0"/>
              <w:widowControl w:val="0"/>
              <w:rPr>
                <w:rFonts w:cstheme="minorHAnsi"/>
                <w:lang w:val="en-AU"/>
              </w:rPr>
            </w:pPr>
            <w:r w:rsidRPr="00271560">
              <w:rPr>
                <w:lang w:val="en-AU"/>
              </w:rPr>
              <w:t>PBS restriction</w:t>
            </w:r>
          </w:p>
        </w:tc>
        <w:tc>
          <w:tcPr>
            <w:tcW w:w="4536" w:type="dxa"/>
            <w:tcBorders>
              <w:top w:val="double" w:sz="4" w:space="0" w:color="auto"/>
            </w:tcBorders>
            <w:shd w:val="clear" w:color="auto" w:fill="auto"/>
          </w:tcPr>
          <w:p w14:paraId="434C7FAC" w14:textId="5532863B" w:rsidR="00EB1270" w:rsidRPr="00271560" w:rsidRDefault="00EB1270" w:rsidP="00D406BF">
            <w:pPr>
              <w:pStyle w:val="In-tableHeading"/>
              <w:keepNext w:val="0"/>
              <w:widowControl w:val="0"/>
              <w:rPr>
                <w:rFonts w:cstheme="minorHAnsi"/>
                <w:lang w:val="en-AU"/>
              </w:rPr>
            </w:pPr>
          </w:p>
        </w:tc>
      </w:tr>
      <w:tr w:rsidR="00AC2298" w:rsidRPr="00271560" w14:paraId="6B5D737F" w14:textId="77777777" w:rsidTr="00EB1270">
        <w:tc>
          <w:tcPr>
            <w:tcW w:w="4395" w:type="dxa"/>
            <w:shd w:val="clear" w:color="auto" w:fill="auto"/>
          </w:tcPr>
          <w:p w14:paraId="45667C51" w14:textId="258B7AA8" w:rsidR="00AC2298" w:rsidRPr="00271560" w:rsidRDefault="00AC2298" w:rsidP="00D406BF">
            <w:pPr>
              <w:pStyle w:val="TableText0"/>
              <w:keepNext w:val="0"/>
              <w:widowControl w:val="0"/>
            </w:pPr>
            <w:r w:rsidRPr="00271560">
              <w:t xml:space="preserve">The PBAC considered that in the absence of further information to better predict the progression of pre-symptomatic patients with SMA, it may be appropriate to restrict any future listing of nusinersen for the pre-symptomatic initiation of treatment to those with 2 or less copies of </w:t>
            </w:r>
            <w:r w:rsidRPr="00271560">
              <w:rPr>
                <w:i/>
                <w:iCs/>
              </w:rPr>
              <w:t>SMN2</w:t>
            </w:r>
            <w:r w:rsidRPr="00271560">
              <w:t xml:space="preserve"> (paragraph 11.4, nusinersen PSD, July 2019 PBAC meeting).</w:t>
            </w:r>
          </w:p>
        </w:tc>
        <w:tc>
          <w:tcPr>
            <w:tcW w:w="4536" w:type="dxa"/>
            <w:shd w:val="clear" w:color="auto" w:fill="auto"/>
          </w:tcPr>
          <w:p w14:paraId="53186EBF" w14:textId="57E72C56" w:rsidR="00AC2298" w:rsidRPr="00ED192D" w:rsidRDefault="00AC2298" w:rsidP="00D406BF">
            <w:pPr>
              <w:pStyle w:val="TableText0"/>
              <w:keepNext w:val="0"/>
              <w:widowControl w:val="0"/>
            </w:pPr>
            <w:r w:rsidRPr="00ED192D">
              <w:t xml:space="preserve">Nusinersen treatment for individuals with 1 or 2 </w:t>
            </w:r>
            <w:r w:rsidRPr="00511B19">
              <w:rPr>
                <w:i/>
                <w:iCs/>
              </w:rPr>
              <w:t>SMN2</w:t>
            </w:r>
            <w:r w:rsidRPr="00ED192D">
              <w:t xml:space="preserve"> copies in the pre-symptomatic setting was PBS-listed in December 2020.</w:t>
            </w:r>
            <w:r w:rsidR="00F873F8" w:rsidRPr="00ED192D">
              <w:t xml:space="preserve"> </w:t>
            </w:r>
            <w:r w:rsidRPr="00ED192D">
              <w:t xml:space="preserve">Concern regarding the appropriateness of listing nusinersen for the pre-symptomatic treatment of SMA with 3 copies of </w:t>
            </w:r>
            <w:r w:rsidRPr="00511B19">
              <w:rPr>
                <w:i/>
                <w:iCs/>
              </w:rPr>
              <w:t>SMN2</w:t>
            </w:r>
            <w:r w:rsidRPr="00ED192D">
              <w:t xml:space="preserve"> still remain</w:t>
            </w:r>
            <w:r w:rsidR="0048740D">
              <w:t>s</w:t>
            </w:r>
            <w:r w:rsidRPr="00ED192D">
              <w:t xml:space="preserve"> as no additional data was provided to allow the progression of pre-symptomatic patients with SMA to be better predicted.</w:t>
            </w:r>
          </w:p>
        </w:tc>
      </w:tr>
      <w:tr w:rsidR="00AC2298" w:rsidRPr="00271560" w14:paraId="0EB4733D" w14:textId="77777777" w:rsidTr="00EB1270">
        <w:trPr>
          <w:trHeight w:val="64"/>
        </w:trPr>
        <w:tc>
          <w:tcPr>
            <w:tcW w:w="4395" w:type="dxa"/>
            <w:shd w:val="clear" w:color="auto" w:fill="auto"/>
          </w:tcPr>
          <w:p w14:paraId="7B24AE5E" w14:textId="77777777" w:rsidR="00AC2298" w:rsidRPr="00271560" w:rsidRDefault="00AC2298" w:rsidP="00D406BF">
            <w:pPr>
              <w:pStyle w:val="In-tableHeading"/>
              <w:keepNext w:val="0"/>
              <w:widowControl w:val="0"/>
              <w:rPr>
                <w:rFonts w:cstheme="minorHAnsi"/>
                <w:lang w:val="en-AU"/>
              </w:rPr>
            </w:pPr>
            <w:r w:rsidRPr="00271560">
              <w:rPr>
                <w:lang w:val="en-AU"/>
              </w:rPr>
              <w:t>Clinical</w:t>
            </w:r>
          </w:p>
        </w:tc>
        <w:tc>
          <w:tcPr>
            <w:tcW w:w="4536" w:type="dxa"/>
            <w:shd w:val="clear" w:color="auto" w:fill="auto"/>
          </w:tcPr>
          <w:p w14:paraId="49424741" w14:textId="77777777" w:rsidR="00AC2298" w:rsidRPr="00ED192D" w:rsidRDefault="00AC2298" w:rsidP="00D406BF">
            <w:pPr>
              <w:pStyle w:val="In-tableHeading"/>
              <w:keepNext w:val="0"/>
              <w:widowControl w:val="0"/>
              <w:rPr>
                <w:rFonts w:cstheme="minorHAnsi"/>
                <w:lang w:val="en-AU"/>
              </w:rPr>
            </w:pPr>
          </w:p>
        </w:tc>
      </w:tr>
      <w:tr w:rsidR="00AC2298" w:rsidRPr="00271560" w14:paraId="04FFF54A" w14:textId="77777777" w:rsidTr="00EB1270">
        <w:tc>
          <w:tcPr>
            <w:tcW w:w="4395" w:type="dxa"/>
            <w:shd w:val="clear" w:color="auto" w:fill="auto"/>
          </w:tcPr>
          <w:p w14:paraId="3BB5B0D8" w14:textId="72ED3EDE" w:rsidR="00AC2298" w:rsidRPr="00271560" w:rsidRDefault="00AC2298" w:rsidP="00D406BF">
            <w:pPr>
              <w:pStyle w:val="TableText0"/>
              <w:keepNext w:val="0"/>
              <w:widowControl w:val="0"/>
            </w:pPr>
            <w:r w:rsidRPr="00271560">
              <w:t>PBAC considered there was likely an incremental benefit from pre-symptomatic treatment with nusinersen compared with symptomatic treatment. However, the magnitude of incremental benefit could not be ascertained without appropriate comparative data (paragraph 11.3, nusinersen PSD, July 2019 PBAC meeting).</w:t>
            </w:r>
          </w:p>
        </w:tc>
        <w:tc>
          <w:tcPr>
            <w:tcW w:w="4536" w:type="dxa"/>
            <w:shd w:val="clear" w:color="auto" w:fill="auto"/>
          </w:tcPr>
          <w:p w14:paraId="444E2576" w14:textId="77777777" w:rsidR="00AC2298" w:rsidRPr="00ED192D" w:rsidRDefault="00AC2298" w:rsidP="00D406BF">
            <w:pPr>
              <w:pStyle w:val="TableText0"/>
              <w:keepNext w:val="0"/>
              <w:widowControl w:val="0"/>
            </w:pPr>
            <w:r w:rsidRPr="00ED192D">
              <w:t>Not addressed. No data was provided in the resubmission to allow the magnitude of incremental benefit for pre-symptomatic nusinersen treatment compared to symptomatic treatment to be ascertained.</w:t>
            </w:r>
          </w:p>
        </w:tc>
      </w:tr>
      <w:tr w:rsidR="00AC2298" w:rsidRPr="00271560" w14:paraId="73DB082B" w14:textId="77777777" w:rsidTr="00EB1270">
        <w:tc>
          <w:tcPr>
            <w:tcW w:w="4395" w:type="dxa"/>
            <w:shd w:val="clear" w:color="auto" w:fill="auto"/>
          </w:tcPr>
          <w:p w14:paraId="6A71CE0E" w14:textId="77777777" w:rsidR="00AC2298" w:rsidRPr="00271560" w:rsidRDefault="00AC2298" w:rsidP="00D406BF">
            <w:pPr>
              <w:pStyle w:val="In-tableHeading"/>
              <w:keepNext w:val="0"/>
              <w:widowControl w:val="0"/>
              <w:rPr>
                <w:rFonts w:cstheme="minorHAnsi"/>
                <w:lang w:val="en-AU"/>
              </w:rPr>
            </w:pPr>
            <w:r w:rsidRPr="00271560">
              <w:rPr>
                <w:lang w:val="en-AU"/>
              </w:rPr>
              <w:t>Economic</w:t>
            </w:r>
          </w:p>
        </w:tc>
        <w:tc>
          <w:tcPr>
            <w:tcW w:w="4536" w:type="dxa"/>
            <w:shd w:val="clear" w:color="auto" w:fill="auto"/>
          </w:tcPr>
          <w:p w14:paraId="2AFAD571" w14:textId="77777777" w:rsidR="00AC2298" w:rsidRPr="00271560" w:rsidRDefault="00AC2298" w:rsidP="00D406BF">
            <w:pPr>
              <w:pStyle w:val="In-tableHeading"/>
              <w:keepNext w:val="0"/>
              <w:widowControl w:val="0"/>
              <w:rPr>
                <w:rFonts w:cstheme="minorHAnsi"/>
                <w:lang w:val="en-AU"/>
              </w:rPr>
            </w:pPr>
          </w:p>
        </w:tc>
      </w:tr>
      <w:tr w:rsidR="00AC2298" w:rsidRPr="00271560" w14:paraId="4BE1A9F1" w14:textId="77777777" w:rsidTr="00EB1270">
        <w:tc>
          <w:tcPr>
            <w:tcW w:w="4395" w:type="dxa"/>
            <w:shd w:val="clear" w:color="auto" w:fill="auto"/>
          </w:tcPr>
          <w:p w14:paraId="34D55BB3" w14:textId="1291C190" w:rsidR="00AC2298" w:rsidRPr="00271560" w:rsidRDefault="00AC2298" w:rsidP="00D406BF">
            <w:pPr>
              <w:pStyle w:val="TableText0"/>
              <w:keepNext w:val="0"/>
              <w:widowControl w:val="0"/>
            </w:pPr>
            <w:r w:rsidRPr="00271560">
              <w:t>The PBAC considered the economic model was unsuitable for decision making based on issues around extrapolation of treatment effect, estimated incremental duration of treatment, estimated utility gain and assumption of no difference in adverse events between pre-symptomatic initiation of treatment and symptomatic treatment (paragraph 11.6, nusinersen PSD, July 2019 PBAC meeting).</w:t>
            </w:r>
          </w:p>
        </w:tc>
        <w:tc>
          <w:tcPr>
            <w:tcW w:w="4536" w:type="dxa"/>
            <w:shd w:val="clear" w:color="auto" w:fill="auto"/>
          </w:tcPr>
          <w:p w14:paraId="3CF631CF" w14:textId="533E770D" w:rsidR="00AC2298" w:rsidRPr="00271560" w:rsidRDefault="00AC2298" w:rsidP="00D406BF">
            <w:pPr>
              <w:pStyle w:val="TableText0"/>
              <w:keepNext w:val="0"/>
              <w:widowControl w:val="0"/>
              <w:rPr>
                <w:i/>
                <w:iCs/>
              </w:rPr>
            </w:pPr>
            <w:r w:rsidRPr="00271560">
              <w:t xml:space="preserve">The resubmission claimed that these issues were previously addressed in the July 2020 submission, resulting in a positive recommendation in individuals with </w:t>
            </w:r>
            <w:r w:rsidR="00F64F1B">
              <w:t>1-</w:t>
            </w:r>
            <w:r w:rsidRPr="00271560">
              <w:t xml:space="preserve">2 </w:t>
            </w:r>
            <w:r w:rsidRPr="00271560">
              <w:rPr>
                <w:i/>
                <w:iCs/>
              </w:rPr>
              <w:t>SMN2</w:t>
            </w:r>
            <w:r w:rsidRPr="00271560">
              <w:t xml:space="preserve"> copies. An updated cost-utility analysis was provided in the current </w:t>
            </w:r>
            <w:r w:rsidR="003379D4">
              <w:t>re</w:t>
            </w:r>
            <w:r w:rsidRPr="00271560">
              <w:t>submission, using the same methodology as the July 2020 submission, updated to reflect the proposed population (</w:t>
            </w:r>
            <w:r w:rsidR="0001364A">
              <w:t>i.e.,</w:t>
            </w:r>
            <w:r w:rsidRPr="00271560">
              <w:t xml:space="preserve"> 3 </w:t>
            </w:r>
            <w:r w:rsidRPr="00271560">
              <w:rPr>
                <w:i/>
                <w:iCs/>
              </w:rPr>
              <w:t>SMN2</w:t>
            </w:r>
            <w:r w:rsidRPr="00271560">
              <w:t xml:space="preserve"> copies) and recent changes to clinical </w:t>
            </w:r>
            <w:r w:rsidRPr="00ED192D">
              <w:t>practice (</w:t>
            </w:r>
            <w:r w:rsidR="0001364A">
              <w:t>i.e.,</w:t>
            </w:r>
            <w:r w:rsidRPr="00ED192D">
              <w:t xml:space="preserve"> nusinersen listing in Type IIIb/c SMA). </w:t>
            </w:r>
            <w:r w:rsidR="00BD4F7C" w:rsidRPr="00ED192D">
              <w:t xml:space="preserve">The PBAC previously noted it was uncertain whether the model structure accurately reflected the progression of SMA and that a rebate to reduce uncertainty was required (paragraph 7.6, nusinersen PSD, July 2020 PBAC meeting). </w:t>
            </w:r>
            <w:r w:rsidR="00F873F8" w:rsidRPr="00ED192D">
              <w:t>E</w:t>
            </w:r>
            <w:r w:rsidRPr="00ED192D">
              <w:t>fficacy benefit for pre-symptomatic treatment</w:t>
            </w:r>
            <w:r w:rsidR="00E37D1E">
              <w:t xml:space="preserve"> was</w:t>
            </w:r>
            <w:r w:rsidRPr="00ED192D">
              <w:t xml:space="preserve"> </w:t>
            </w:r>
            <w:r w:rsidR="00F873F8" w:rsidRPr="00ED192D">
              <w:t xml:space="preserve">still </w:t>
            </w:r>
            <w:r w:rsidRPr="00ED192D">
              <w:t>not based on clinical data and the economic model continued to rely on assumptions (</w:t>
            </w:r>
            <w:r w:rsidR="0001364A">
              <w:t>e.g.,</w:t>
            </w:r>
            <w:r w:rsidRPr="00ED192D">
              <w:t xml:space="preserve"> benefit based on assumed difference in utility, 20-year duration of treatment effect, no SMA-related mortality</w:t>
            </w:r>
            <w:r w:rsidR="00C10CD5" w:rsidRPr="00ED192D">
              <w:t>)</w:t>
            </w:r>
            <w:r w:rsidRPr="00ED192D">
              <w:t>.</w:t>
            </w:r>
          </w:p>
        </w:tc>
      </w:tr>
      <w:tr w:rsidR="00AC2298" w:rsidRPr="00271560" w14:paraId="07E2A21F" w14:textId="77777777" w:rsidTr="00EB1270">
        <w:tc>
          <w:tcPr>
            <w:tcW w:w="4395" w:type="dxa"/>
            <w:shd w:val="clear" w:color="auto" w:fill="auto"/>
          </w:tcPr>
          <w:p w14:paraId="2B4150ED" w14:textId="77777777" w:rsidR="00AC2298" w:rsidRPr="00271560" w:rsidRDefault="00AC2298" w:rsidP="00EB1270">
            <w:pPr>
              <w:pStyle w:val="In-tableHeading"/>
              <w:keepLines/>
              <w:widowControl w:val="0"/>
              <w:rPr>
                <w:lang w:val="en-AU"/>
              </w:rPr>
            </w:pPr>
            <w:r w:rsidRPr="00271560">
              <w:rPr>
                <w:lang w:val="en-AU"/>
              </w:rPr>
              <w:lastRenderedPageBreak/>
              <w:t>Estimated cost to PBS</w:t>
            </w:r>
          </w:p>
        </w:tc>
        <w:tc>
          <w:tcPr>
            <w:tcW w:w="4536" w:type="dxa"/>
            <w:shd w:val="clear" w:color="auto" w:fill="auto"/>
          </w:tcPr>
          <w:p w14:paraId="03CA6DCA" w14:textId="77777777" w:rsidR="00AC2298" w:rsidRPr="00271560" w:rsidRDefault="00AC2298" w:rsidP="00EB1270">
            <w:pPr>
              <w:pStyle w:val="In-tableHeading"/>
              <w:keepLines/>
              <w:widowControl w:val="0"/>
              <w:rPr>
                <w:lang w:val="en-AU"/>
              </w:rPr>
            </w:pPr>
          </w:p>
        </w:tc>
      </w:tr>
      <w:tr w:rsidR="00AC2298" w:rsidRPr="00271560" w14:paraId="5391F0E5" w14:textId="77777777" w:rsidTr="00EB1270">
        <w:tc>
          <w:tcPr>
            <w:tcW w:w="4395" w:type="dxa"/>
            <w:shd w:val="clear" w:color="auto" w:fill="auto"/>
          </w:tcPr>
          <w:p w14:paraId="1C723A88" w14:textId="07A314A2" w:rsidR="00AC2298" w:rsidRPr="00271560" w:rsidRDefault="00AC2298" w:rsidP="00EB1270">
            <w:pPr>
              <w:pStyle w:val="TableText0"/>
              <w:keepLines/>
              <w:widowControl w:val="0"/>
            </w:pPr>
            <w:r w:rsidRPr="00271560">
              <w:t xml:space="preserve">The PBAC noted that the sponsor had not confirmed whether the rebate for </w:t>
            </w:r>
            <w:r w:rsidR="00546AD5" w:rsidRPr="00546AD5">
              <w:rPr>
                <w:color w:val="000000"/>
                <w:spacing w:val="49"/>
                <w:shd w:val="solid" w:color="000000" w:fill="000000"/>
                <w:fitText w:val="321" w:id="-1167898880"/>
                <w14:textFill>
                  <w14:solidFill>
                    <w14:srgbClr w14:val="000000">
                      <w14:alpha w14:val="100000"/>
                    </w14:srgbClr>
                  </w14:solidFill>
                </w14:textFill>
              </w:rPr>
              <w:t>|||</w:t>
            </w:r>
            <w:r w:rsidR="00546AD5" w:rsidRPr="00546AD5">
              <w:rPr>
                <w:color w:val="000000"/>
                <w:spacing w:val="2"/>
                <w:shd w:val="solid" w:color="000000" w:fill="000000"/>
                <w:fitText w:val="321" w:id="-1167898880"/>
                <w14:textFill>
                  <w14:solidFill>
                    <w14:srgbClr w14:val="000000">
                      <w14:alpha w14:val="100000"/>
                    </w14:srgbClr>
                  </w14:solidFill>
                </w14:textFill>
              </w:rPr>
              <w:t>|</w:t>
            </w:r>
            <w:r w:rsidRPr="00271560">
              <w:t xml:space="preserve"> </w:t>
            </w:r>
            <w:r w:rsidR="00546AD5" w:rsidRPr="00546AD5">
              <w:rPr>
                <w:color w:val="000000"/>
                <w:spacing w:val="53"/>
                <w:shd w:val="solid" w:color="000000" w:fill="000000"/>
                <w:fitText w:val="332" w:id="-1167898879"/>
                <w14:textFill>
                  <w14:solidFill>
                    <w14:srgbClr w14:val="000000">
                      <w14:alpha w14:val="100000"/>
                    </w14:srgbClr>
                  </w14:solidFill>
                </w14:textFill>
              </w:rPr>
              <w:t>|||</w:t>
            </w:r>
            <w:r w:rsidR="00546AD5" w:rsidRPr="00546AD5">
              <w:rPr>
                <w:color w:val="000000"/>
                <w:spacing w:val="1"/>
                <w:shd w:val="solid" w:color="000000" w:fill="000000"/>
                <w:fitText w:val="332" w:id="-1167898879"/>
                <w14:textFill>
                  <w14:solidFill>
                    <w14:srgbClr w14:val="000000">
                      <w14:alpha w14:val="100000"/>
                    </w14:srgbClr>
                  </w14:solidFill>
                </w14:textFill>
              </w:rPr>
              <w:t>|</w:t>
            </w:r>
            <w:r w:rsidR="00523ABB" w:rsidRPr="00523ABB">
              <w:t xml:space="preserve"> </w:t>
            </w:r>
            <w:r w:rsidR="00546AD5" w:rsidRPr="00546AD5">
              <w:rPr>
                <w:color w:val="000000"/>
                <w:spacing w:val="53"/>
                <w:shd w:val="solid" w:color="000000" w:fill="000000"/>
                <w:fitText w:val="332" w:id="-1167898878"/>
                <w14:textFill>
                  <w14:solidFill>
                    <w14:srgbClr w14:val="000000">
                      <w14:alpha w14:val="100000"/>
                    </w14:srgbClr>
                  </w14:solidFill>
                </w14:textFill>
              </w:rPr>
              <w:t>|||</w:t>
            </w:r>
            <w:r w:rsidR="00546AD5" w:rsidRPr="00546AD5">
              <w:rPr>
                <w:color w:val="000000"/>
                <w:spacing w:val="1"/>
                <w:shd w:val="solid" w:color="000000" w:fill="000000"/>
                <w:fitText w:val="332" w:id="-1167898878"/>
                <w14:textFill>
                  <w14:solidFill>
                    <w14:srgbClr w14:val="000000">
                      <w14:alpha w14:val="100000"/>
                    </w14:srgbClr>
                  </w14:solidFill>
                </w14:textFill>
              </w:rPr>
              <w:t>|</w:t>
            </w:r>
            <w:r w:rsidR="00523ABB" w:rsidRPr="00523ABB">
              <w:t xml:space="preserve"> </w:t>
            </w:r>
            <w:r w:rsidR="00546AD5" w:rsidRPr="00546AD5">
              <w:rPr>
                <w:color w:val="000000"/>
                <w:spacing w:val="53"/>
                <w:shd w:val="solid" w:color="000000" w:fill="000000"/>
                <w:fitText w:val="332" w:id="-1167898877"/>
                <w14:textFill>
                  <w14:solidFill>
                    <w14:srgbClr w14:val="000000">
                      <w14:alpha w14:val="100000"/>
                    </w14:srgbClr>
                  </w14:solidFill>
                </w14:textFill>
              </w:rPr>
              <w:t>|||</w:t>
            </w:r>
            <w:r w:rsidR="00546AD5" w:rsidRPr="00546AD5">
              <w:rPr>
                <w:color w:val="000000"/>
                <w:spacing w:val="1"/>
                <w:shd w:val="solid" w:color="000000" w:fill="000000"/>
                <w:fitText w:val="332" w:id="-1167898877"/>
                <w14:textFill>
                  <w14:solidFill>
                    <w14:srgbClr w14:val="000000">
                      <w14:alpha w14:val="100000"/>
                    </w14:srgbClr>
                  </w14:solidFill>
                </w14:textFill>
              </w:rPr>
              <w:t>|</w:t>
            </w:r>
            <w:r w:rsidR="00523ABB" w:rsidRPr="00523ABB">
              <w:t xml:space="preserve"> </w:t>
            </w:r>
            <w:r w:rsidR="00546AD5" w:rsidRPr="00546AD5">
              <w:rPr>
                <w:color w:val="000000"/>
                <w:spacing w:val="53"/>
                <w:shd w:val="solid" w:color="000000" w:fill="000000"/>
                <w:fitText w:val="333" w:id="-1167898876"/>
                <w14:textFill>
                  <w14:solidFill>
                    <w14:srgbClr w14:val="000000">
                      <w14:alpha w14:val="100000"/>
                    </w14:srgbClr>
                  </w14:solidFill>
                </w14:textFill>
              </w:rPr>
              <w:t>|||</w:t>
            </w:r>
            <w:r w:rsidR="00546AD5" w:rsidRPr="00546AD5">
              <w:rPr>
                <w:color w:val="000000"/>
                <w:spacing w:val="2"/>
                <w:shd w:val="solid" w:color="000000" w:fill="000000"/>
                <w:fitText w:val="333" w:id="-1167898876"/>
                <w14:textFill>
                  <w14:solidFill>
                    <w14:srgbClr w14:val="000000">
                      <w14:alpha w14:val="100000"/>
                    </w14:srgbClr>
                  </w14:solidFill>
                </w14:textFill>
              </w:rPr>
              <w:t>|</w:t>
            </w:r>
            <w:r w:rsidRPr="00271560">
              <w:t xml:space="preserve"> which currently applies for patients diagnosed with SMA Type II or IIIa is intended to be extended to patients who initiate treatment prior to the onset of symptoms and requested that any future resubmission confirm this matter (paragraph 11.7, nusinersen PSD, July 2019 PBAC meeting).</w:t>
            </w:r>
          </w:p>
        </w:tc>
        <w:tc>
          <w:tcPr>
            <w:tcW w:w="4536" w:type="dxa"/>
            <w:shd w:val="clear" w:color="auto" w:fill="auto"/>
          </w:tcPr>
          <w:p w14:paraId="653C40E1" w14:textId="7B8D734B" w:rsidR="00AC2298" w:rsidRPr="00271560" w:rsidRDefault="00AC2298" w:rsidP="00EB1270">
            <w:pPr>
              <w:pStyle w:val="TableText0"/>
              <w:keepLines/>
              <w:widowControl w:val="0"/>
            </w:pPr>
            <w:r w:rsidRPr="00ED192D">
              <w:t>Addressed.</w:t>
            </w:r>
            <w:r w:rsidRPr="00271560">
              <w:t xml:space="preserve"> The resubmission proposed a rebate for </w:t>
            </w:r>
            <w:r w:rsidR="00546AD5" w:rsidRPr="00546AD5">
              <w:rPr>
                <w:color w:val="000000"/>
                <w:spacing w:val="49"/>
                <w:shd w:val="solid" w:color="000000" w:fill="000000"/>
                <w:fitText w:val="321" w:id="-1167898875"/>
                <w14:textFill>
                  <w14:solidFill>
                    <w14:srgbClr w14:val="000000">
                      <w14:alpha w14:val="100000"/>
                    </w14:srgbClr>
                  </w14:solidFill>
                </w14:textFill>
              </w:rPr>
              <w:t>|||</w:t>
            </w:r>
            <w:r w:rsidR="00546AD5" w:rsidRPr="00546AD5">
              <w:rPr>
                <w:color w:val="000000"/>
                <w:spacing w:val="2"/>
                <w:shd w:val="solid" w:color="000000" w:fill="000000"/>
                <w:fitText w:val="321" w:id="-1167898875"/>
                <w14:textFill>
                  <w14:solidFill>
                    <w14:srgbClr w14:val="000000">
                      <w14:alpha w14:val="100000"/>
                    </w14:srgbClr>
                  </w14:solidFill>
                </w14:textFill>
              </w:rPr>
              <w:t>|</w:t>
            </w:r>
            <w:r w:rsidRPr="00271560">
              <w:t xml:space="preserve"> </w:t>
            </w:r>
            <w:r w:rsidR="00546AD5" w:rsidRPr="00546AD5">
              <w:rPr>
                <w:color w:val="000000"/>
                <w:spacing w:val="49"/>
                <w:shd w:val="solid" w:color="000000" w:fill="000000"/>
                <w:fitText w:val="321" w:id="-1167898874"/>
                <w14:textFill>
                  <w14:solidFill>
                    <w14:srgbClr w14:val="000000">
                      <w14:alpha w14:val="100000"/>
                    </w14:srgbClr>
                  </w14:solidFill>
                </w14:textFill>
              </w:rPr>
              <w:t>|||</w:t>
            </w:r>
            <w:r w:rsidR="00546AD5" w:rsidRPr="00546AD5">
              <w:rPr>
                <w:color w:val="000000"/>
                <w:spacing w:val="2"/>
                <w:shd w:val="solid" w:color="000000" w:fill="000000"/>
                <w:fitText w:val="321" w:id="-1167898874"/>
                <w14:textFill>
                  <w14:solidFill>
                    <w14:srgbClr w14:val="000000">
                      <w14:alpha w14:val="100000"/>
                    </w14:srgbClr>
                  </w14:solidFill>
                </w14:textFill>
              </w:rPr>
              <w:t>|</w:t>
            </w:r>
            <w:r w:rsidR="00523ABB" w:rsidRPr="00523ABB">
              <w:t xml:space="preserve"> </w:t>
            </w:r>
            <w:r w:rsidR="00546AD5" w:rsidRPr="00546AD5">
              <w:rPr>
                <w:color w:val="000000"/>
                <w:spacing w:val="53"/>
                <w:shd w:val="solid" w:color="000000" w:fill="000000"/>
                <w:fitText w:val="332" w:id="-1167898873"/>
                <w14:textFill>
                  <w14:solidFill>
                    <w14:srgbClr w14:val="000000">
                      <w14:alpha w14:val="100000"/>
                    </w14:srgbClr>
                  </w14:solidFill>
                </w14:textFill>
              </w:rPr>
              <w:t>|||</w:t>
            </w:r>
            <w:r w:rsidR="00546AD5" w:rsidRPr="00546AD5">
              <w:rPr>
                <w:color w:val="000000"/>
                <w:spacing w:val="1"/>
                <w:shd w:val="solid" w:color="000000" w:fill="000000"/>
                <w:fitText w:val="332" w:id="-1167898873"/>
                <w14:textFill>
                  <w14:solidFill>
                    <w14:srgbClr w14:val="000000">
                      <w14:alpha w14:val="100000"/>
                    </w14:srgbClr>
                  </w14:solidFill>
                </w14:textFill>
              </w:rPr>
              <w:t>|</w:t>
            </w:r>
            <w:r w:rsidRPr="00271560">
              <w:t xml:space="preserve"> for individuals with pre-symptomatic SMA with 3 </w:t>
            </w:r>
            <w:r w:rsidRPr="00271560">
              <w:rPr>
                <w:i/>
                <w:iCs/>
              </w:rPr>
              <w:t>SMN2</w:t>
            </w:r>
            <w:r w:rsidRPr="00271560">
              <w:t xml:space="preserve"> copies.</w:t>
            </w:r>
          </w:p>
        </w:tc>
      </w:tr>
      <w:tr w:rsidR="00AC2298" w:rsidRPr="00271560" w14:paraId="7358E83F" w14:textId="77777777" w:rsidTr="00EB1270">
        <w:tc>
          <w:tcPr>
            <w:tcW w:w="4395" w:type="dxa"/>
            <w:shd w:val="clear" w:color="auto" w:fill="auto"/>
          </w:tcPr>
          <w:p w14:paraId="20D37662" w14:textId="77A25EDC" w:rsidR="00AC2298" w:rsidRPr="00271560" w:rsidRDefault="00AC2298" w:rsidP="00D406BF">
            <w:pPr>
              <w:pStyle w:val="TableText0"/>
              <w:keepNext w:val="0"/>
              <w:widowControl w:val="0"/>
            </w:pPr>
            <w:r w:rsidRPr="00271560">
              <w:t>The PBAC advised that any resubmission should include revised financial estimates to account for underestimate in treatment duration, potential increase in SMA screening and for patients enrolled in any ongoing clinical trials for investigating treatments for pre-symptomatic patients genetically diagnosed with SMA (paragraph 11.8, nusinersen PSD, July 2019 PBAC meeting).</w:t>
            </w:r>
          </w:p>
        </w:tc>
        <w:tc>
          <w:tcPr>
            <w:tcW w:w="4536" w:type="dxa"/>
            <w:shd w:val="clear" w:color="auto" w:fill="auto"/>
          </w:tcPr>
          <w:p w14:paraId="6B71445F" w14:textId="056A5665" w:rsidR="00AC2298" w:rsidRPr="00271560" w:rsidRDefault="00AC2298" w:rsidP="00D406BF">
            <w:pPr>
              <w:pStyle w:val="TableText0"/>
              <w:keepNext w:val="0"/>
              <w:widowControl w:val="0"/>
            </w:pPr>
            <w:r w:rsidRPr="00ED192D">
              <w:t>Addressed.</w:t>
            </w:r>
            <w:r w:rsidRPr="00271560">
              <w:t xml:space="preserve"> The resubmission included updated financial estimates with a revised treatment duration (as used in the updated economic model) and the impact of an increase in SMA screening. The net increase in financial implications </w:t>
            </w:r>
            <w:r w:rsidR="00F06161">
              <w:t>wa</w:t>
            </w:r>
            <w:r w:rsidRPr="00271560">
              <w:t>s a result of the earlier treatment of the population who would have received nusinersen following the onset of symptoms (</w:t>
            </w:r>
            <w:r w:rsidR="0001364A">
              <w:t>i.e.,</w:t>
            </w:r>
            <w:r w:rsidRPr="00271560">
              <w:t xml:space="preserve"> costs were brought forward).</w:t>
            </w:r>
          </w:p>
        </w:tc>
      </w:tr>
    </w:tbl>
    <w:p w14:paraId="34D29CEB" w14:textId="77777777" w:rsidR="00AC2298" w:rsidRPr="00271560" w:rsidRDefault="00AC2298" w:rsidP="00D406BF">
      <w:pPr>
        <w:pStyle w:val="FooterTableFigure"/>
        <w:widowControl w:val="0"/>
      </w:pPr>
      <w:r w:rsidRPr="00271560">
        <w:t>Source: Table 1.2, p33 of the resubmission</w:t>
      </w:r>
    </w:p>
    <w:p w14:paraId="0092A7C3" w14:textId="56EAA088" w:rsidR="00FD5741" w:rsidRDefault="00AC2298" w:rsidP="00C62521">
      <w:pPr>
        <w:pStyle w:val="FooterTableFigure"/>
        <w:widowControl w:val="0"/>
        <w:contextualSpacing w:val="0"/>
      </w:pPr>
      <w:r w:rsidRPr="00271560">
        <w:t xml:space="preserve">PSD = public summary document; SMA = spinal muscular atrophy; </w:t>
      </w:r>
      <w:r w:rsidRPr="00C62521">
        <w:rPr>
          <w:i/>
          <w:iCs/>
        </w:rPr>
        <w:t>SMN</w:t>
      </w:r>
      <w:r w:rsidRPr="00271560">
        <w:t xml:space="preserve"> = survival of motor neuron</w:t>
      </w:r>
    </w:p>
    <w:p w14:paraId="77269BF6" w14:textId="0C2B23B5" w:rsidR="00FD5741" w:rsidRPr="00FD5741" w:rsidRDefault="00FD5741" w:rsidP="00FD5741">
      <w:pPr>
        <w:pStyle w:val="FooterTableFigure"/>
        <w:ind w:firstLine="720"/>
        <w:rPr>
          <w:rFonts w:asciiTheme="minorHAnsi" w:hAnsiTheme="minorHAnsi" w:cstheme="minorHAnsi"/>
          <w:i/>
          <w:iCs/>
          <w:sz w:val="24"/>
          <w:szCs w:val="24"/>
        </w:rPr>
      </w:pPr>
      <w:r w:rsidRPr="00FD5741">
        <w:rPr>
          <w:rFonts w:asciiTheme="minorHAnsi" w:hAnsiTheme="minorHAnsi" w:cstheme="minorHAnsi"/>
          <w:i/>
          <w:iCs/>
          <w:sz w:val="24"/>
          <w:szCs w:val="24"/>
        </w:rPr>
        <w:t>For more detail on PBAC’s view, see section 7 PBAC outcome.</w:t>
      </w:r>
    </w:p>
    <w:p w14:paraId="75AE33E9" w14:textId="77777777" w:rsidR="00AC2298" w:rsidRPr="00271560" w:rsidRDefault="00AC2298" w:rsidP="00AC2298">
      <w:pPr>
        <w:pStyle w:val="2-SectionHeading"/>
      </w:pPr>
      <w:bookmarkStart w:id="19" w:name="_Toc132629052"/>
      <w:bookmarkStart w:id="20" w:name="_Toc135214657"/>
      <w:r w:rsidRPr="00271560">
        <w:t>Requested listing</w:t>
      </w:r>
      <w:bookmarkEnd w:id="19"/>
      <w:bookmarkEnd w:id="20"/>
    </w:p>
    <w:tbl>
      <w:tblPr>
        <w:tblW w:w="5031" w:type="pct"/>
        <w:tblInd w:w="-5" w:type="dxa"/>
        <w:tblLook w:val="04A0" w:firstRow="1" w:lastRow="0" w:firstColumn="1" w:lastColumn="0" w:noHBand="0" w:noVBand="1"/>
      </w:tblPr>
      <w:tblGrid>
        <w:gridCol w:w="2837"/>
        <w:gridCol w:w="2549"/>
        <w:gridCol w:w="1132"/>
        <w:gridCol w:w="1132"/>
        <w:gridCol w:w="1422"/>
      </w:tblGrid>
      <w:tr w:rsidR="00AC2298" w:rsidRPr="00271560" w14:paraId="09870FB8" w14:textId="77777777" w:rsidTr="00CB2C92">
        <w:trPr>
          <w:cantSplit/>
          <w:trHeight w:val="471"/>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A6EB3" w14:textId="77777777" w:rsidR="00AC2298" w:rsidRPr="00271560" w:rsidRDefault="00AC2298" w:rsidP="00CB2C92">
            <w:pPr>
              <w:keepNext/>
              <w:keepLines/>
              <w:rPr>
                <w:rFonts w:ascii="Arial Narrow" w:hAnsi="Arial Narrow"/>
                <w:b/>
                <w:bCs/>
                <w:sz w:val="20"/>
                <w:szCs w:val="20"/>
              </w:rPr>
            </w:pPr>
            <w:r w:rsidRPr="00271560">
              <w:rPr>
                <w:rFonts w:ascii="Arial Narrow" w:hAnsi="Arial Narrow"/>
                <w:b/>
                <w:bCs/>
                <w:sz w:val="20"/>
                <w:szCs w:val="20"/>
              </w:rPr>
              <w:t>MEDICINAL PRODUCT</w:t>
            </w:r>
          </w:p>
          <w:p w14:paraId="2645A903" w14:textId="77777777" w:rsidR="00AC2298" w:rsidRPr="00271560" w:rsidRDefault="00AC2298" w:rsidP="00CB2C92">
            <w:pPr>
              <w:pStyle w:val="In-tableHeading"/>
              <w:rPr>
                <w:rFonts w:cstheme="minorHAnsi"/>
                <w:lang w:val="en-AU"/>
              </w:rPr>
            </w:pPr>
            <w:r w:rsidRPr="00271560">
              <w:rPr>
                <w:bCs/>
                <w:szCs w:val="20"/>
                <w:lang w:val="en-AU"/>
              </w:rPr>
              <w:t>medicinal product pack</w:t>
            </w:r>
          </w:p>
        </w:tc>
        <w:tc>
          <w:tcPr>
            <w:tcW w:w="1405" w:type="pct"/>
            <w:tcBorders>
              <w:top w:val="single" w:sz="4" w:space="0" w:color="auto"/>
              <w:left w:val="single" w:sz="4" w:space="0" w:color="auto"/>
              <w:bottom w:val="single" w:sz="4" w:space="0" w:color="auto"/>
              <w:right w:val="single" w:sz="4" w:space="0" w:color="auto"/>
            </w:tcBorders>
            <w:vAlign w:val="center"/>
          </w:tcPr>
          <w:p w14:paraId="5971A5B7" w14:textId="77777777" w:rsidR="00AC2298" w:rsidRPr="00271560" w:rsidRDefault="00AC2298" w:rsidP="00CB2C92">
            <w:pPr>
              <w:pStyle w:val="In-tableHeading"/>
              <w:jc w:val="center"/>
              <w:rPr>
                <w:lang w:val="en-AU"/>
              </w:rPr>
            </w:pPr>
            <w:r w:rsidRPr="00271560">
              <w:rPr>
                <w:lang w:val="en-AU"/>
              </w:rPr>
              <w:t>Dispensed price for maximum quantity</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F3E36" w14:textId="77777777" w:rsidR="00AC2298" w:rsidRPr="00271560" w:rsidRDefault="00AC2298" w:rsidP="00CB2C92">
            <w:pPr>
              <w:pStyle w:val="In-tableHeading"/>
              <w:jc w:val="center"/>
              <w:rPr>
                <w:rFonts w:cstheme="minorHAnsi"/>
                <w:lang w:val="en-AU"/>
              </w:rPr>
            </w:pPr>
            <w:r w:rsidRPr="00271560">
              <w:rPr>
                <w:lang w:val="en-AU"/>
              </w:rPr>
              <w:t>Maximum</w:t>
            </w:r>
          </w:p>
          <w:p w14:paraId="30328A90" w14:textId="77777777" w:rsidR="00AC2298" w:rsidRPr="00271560" w:rsidRDefault="00AC2298" w:rsidP="00CB2C92">
            <w:pPr>
              <w:pStyle w:val="In-tableHeading"/>
              <w:jc w:val="center"/>
              <w:rPr>
                <w:rFonts w:cstheme="minorHAnsi"/>
                <w:lang w:val="en-AU"/>
              </w:rPr>
            </w:pPr>
            <w:r w:rsidRPr="00271560">
              <w:rPr>
                <w:lang w:val="en-AU"/>
              </w:rPr>
              <w:t>quantity</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A945A" w14:textId="77777777" w:rsidR="00AC2298" w:rsidRPr="00271560" w:rsidRDefault="00AC2298" w:rsidP="00CB2C92">
            <w:pPr>
              <w:pStyle w:val="In-tableHeading"/>
              <w:jc w:val="center"/>
              <w:rPr>
                <w:rFonts w:cstheme="minorHAnsi"/>
                <w:lang w:val="en-AU"/>
              </w:rPr>
            </w:pPr>
            <w:r w:rsidRPr="00271560">
              <w:rPr>
                <w:lang w:val="en-AU"/>
              </w:rPr>
              <w:t>Number of</w:t>
            </w:r>
          </w:p>
          <w:p w14:paraId="3119F299" w14:textId="77777777" w:rsidR="00AC2298" w:rsidRPr="00271560" w:rsidRDefault="00AC2298" w:rsidP="00CB2C92">
            <w:pPr>
              <w:pStyle w:val="In-tableHeading"/>
              <w:jc w:val="center"/>
              <w:rPr>
                <w:rFonts w:cstheme="minorHAnsi"/>
                <w:lang w:val="en-AU"/>
              </w:rPr>
            </w:pPr>
            <w:r w:rsidRPr="00271560">
              <w:rPr>
                <w:lang w:val="en-AU"/>
              </w:rPr>
              <w:t>repeats</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4B7CB05F" w14:textId="77777777" w:rsidR="00AC2298" w:rsidRPr="00271560" w:rsidRDefault="00AC2298" w:rsidP="00CB2C92">
            <w:pPr>
              <w:pStyle w:val="In-tableHeading"/>
              <w:jc w:val="center"/>
              <w:rPr>
                <w:rFonts w:cstheme="minorHAnsi"/>
                <w:lang w:val="en-AU"/>
              </w:rPr>
            </w:pPr>
            <w:r w:rsidRPr="00271560">
              <w:rPr>
                <w:szCs w:val="20"/>
                <w:lang w:val="en-AU"/>
              </w:rPr>
              <w:t>Available brands</w:t>
            </w:r>
          </w:p>
        </w:tc>
      </w:tr>
      <w:tr w:rsidR="00AC2298" w:rsidRPr="00271560" w14:paraId="5810AFDF" w14:textId="77777777" w:rsidTr="00CB2C92">
        <w:trPr>
          <w:cantSplit/>
          <w:trHeight w:val="298"/>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D72CC34" w14:textId="77777777" w:rsidR="00AC2298" w:rsidRPr="00271560" w:rsidRDefault="00AC2298" w:rsidP="00CB2C92">
            <w:pPr>
              <w:pStyle w:val="TableText0"/>
              <w:rPr>
                <w:rFonts w:cstheme="minorHAnsi"/>
              </w:rPr>
            </w:pPr>
            <w:r w:rsidRPr="00271560">
              <w:rPr>
                <w:rFonts w:cstheme="minorBidi"/>
                <w:b/>
              </w:rPr>
              <w:t>INITIAL LOADING DOSE</w:t>
            </w:r>
          </w:p>
        </w:tc>
      </w:tr>
      <w:tr w:rsidR="00AC2298" w:rsidRPr="00271560" w14:paraId="10FB7587" w14:textId="77777777" w:rsidTr="00CB2C92">
        <w:trPr>
          <w:cantSplit/>
          <w:trHeight w:val="577"/>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7D4B5" w14:textId="77777777" w:rsidR="00AC2298" w:rsidRPr="00271560" w:rsidRDefault="00AC2298" w:rsidP="00CB2C92">
            <w:pPr>
              <w:pStyle w:val="TableText0"/>
              <w:rPr>
                <w:rFonts w:cstheme="minorHAnsi"/>
              </w:rPr>
            </w:pPr>
            <w:r w:rsidRPr="00271560">
              <w:rPr>
                <w:rFonts w:cstheme="minorBidi"/>
              </w:rPr>
              <w:t>Nusinersen</w:t>
            </w:r>
          </w:p>
          <w:p w14:paraId="5FE7DD4C" w14:textId="021D649E" w:rsidR="00AC2298" w:rsidRPr="00271560" w:rsidRDefault="00AC2298" w:rsidP="00CB2C92">
            <w:pPr>
              <w:pStyle w:val="TableText0"/>
              <w:rPr>
                <w:rFonts w:cstheme="minorHAnsi"/>
              </w:rPr>
            </w:pPr>
            <w:r w:rsidRPr="00271560">
              <w:rPr>
                <w:rFonts w:cstheme="minorBidi"/>
              </w:rPr>
              <w:t>12</w:t>
            </w:r>
            <w:r w:rsidR="00DF3315">
              <w:rPr>
                <w:rFonts w:cstheme="minorBidi"/>
              </w:rPr>
              <w:t> </w:t>
            </w:r>
            <w:r w:rsidRPr="00271560">
              <w:rPr>
                <w:rFonts w:cstheme="minorBidi"/>
              </w:rPr>
              <w:t>mg/5</w:t>
            </w:r>
            <w:r w:rsidR="00DF3315">
              <w:rPr>
                <w:rFonts w:cstheme="minorBidi"/>
              </w:rPr>
              <w:t> </w:t>
            </w:r>
            <w:r w:rsidRPr="00271560">
              <w:rPr>
                <w:rFonts w:cstheme="minorBidi"/>
              </w:rPr>
              <w:t>ml injection, 5</w:t>
            </w:r>
            <w:r w:rsidR="00DF3315">
              <w:rPr>
                <w:rFonts w:cstheme="minorBidi"/>
              </w:rPr>
              <w:t> </w:t>
            </w:r>
            <w:r w:rsidRPr="00271560">
              <w:rPr>
                <w:rFonts w:cstheme="minorBidi"/>
              </w:rPr>
              <w:t>mL vial, 1</w:t>
            </w:r>
          </w:p>
        </w:tc>
        <w:tc>
          <w:tcPr>
            <w:tcW w:w="1405" w:type="pct"/>
            <w:tcBorders>
              <w:top w:val="single" w:sz="4" w:space="0" w:color="auto"/>
              <w:left w:val="single" w:sz="4" w:space="0" w:color="auto"/>
              <w:bottom w:val="single" w:sz="4" w:space="0" w:color="auto"/>
              <w:right w:val="single" w:sz="4" w:space="0" w:color="auto"/>
            </w:tcBorders>
            <w:vAlign w:val="center"/>
          </w:tcPr>
          <w:p w14:paraId="5D2199A1" w14:textId="77777777" w:rsidR="00AC2298" w:rsidRPr="00271560" w:rsidRDefault="00AC2298" w:rsidP="00CB2C92">
            <w:pPr>
              <w:pStyle w:val="TableText0"/>
              <w:jc w:val="center"/>
              <w:rPr>
                <w:rFonts w:cstheme="minorHAnsi"/>
              </w:rPr>
            </w:pPr>
            <w:r w:rsidRPr="00271560">
              <w:rPr>
                <w:rFonts w:cstheme="minorBidi"/>
              </w:rPr>
              <w:t>DPMQ (public): $110,000</w:t>
            </w:r>
          </w:p>
          <w:p w14:paraId="6D0F9A57" w14:textId="77777777" w:rsidR="00AC2298" w:rsidRPr="00271560" w:rsidRDefault="00AC2298" w:rsidP="00CB2C92">
            <w:pPr>
              <w:pStyle w:val="TableText0"/>
              <w:jc w:val="center"/>
              <w:rPr>
                <w:rFonts w:cstheme="minorHAnsi"/>
              </w:rPr>
            </w:pPr>
            <w:r w:rsidRPr="00271560">
              <w:rPr>
                <w:rFonts w:cstheme="minorBidi"/>
              </w:rPr>
              <w:t>DPMQ (private): $110,047.82</w:t>
            </w:r>
          </w:p>
          <w:p w14:paraId="0AA0E82E" w14:textId="77777777" w:rsidR="00AC2298" w:rsidRPr="00271560" w:rsidRDefault="00AC2298" w:rsidP="00CB2C92">
            <w:pPr>
              <w:pStyle w:val="TableText0"/>
              <w:jc w:val="center"/>
              <w:rPr>
                <w:rFonts w:cstheme="minorHAnsi"/>
              </w:rPr>
            </w:pPr>
            <w:r w:rsidRPr="00271560">
              <w:rPr>
                <w:rFonts w:cstheme="minorBidi"/>
              </w:rPr>
              <w:t>AEMP: $110,000</w:t>
            </w:r>
            <w:r w:rsidRPr="00271560">
              <w:rPr>
                <w:rFonts w:cstheme="minorBidi"/>
                <w:vertAlign w:val="superscript"/>
              </w:rPr>
              <w:t>a</w:t>
            </w:r>
          </w:p>
          <w:p w14:paraId="59F7E7D4" w14:textId="53E76F37" w:rsidR="00AC2298" w:rsidRPr="00271560" w:rsidRDefault="00AC2298" w:rsidP="00CB2C92">
            <w:pPr>
              <w:pStyle w:val="TableText0"/>
              <w:jc w:val="center"/>
              <w:rPr>
                <w:rFonts w:cstheme="minorBidi"/>
              </w:rPr>
            </w:pPr>
            <w:r w:rsidRPr="00271560">
              <w:rPr>
                <w:rFonts w:cstheme="minorBidi"/>
              </w:rPr>
              <w:t>effective price: $</w:t>
            </w:r>
            <w:r w:rsidR="00546AD5" w:rsidRPr="00546AD5">
              <w:rPr>
                <w:rFonts w:cstheme="minorBidi"/>
                <w:color w:val="000000"/>
                <w:shd w:val="solid" w:color="000000" w:fill="000000"/>
                <w14:textFill>
                  <w14:solidFill>
                    <w14:srgbClr w14:val="000000">
                      <w14:alpha w14:val="100000"/>
                    </w14:srgbClr>
                  </w14:solidFill>
                </w14:textFill>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168595EC" w14:textId="77777777" w:rsidR="00AC2298" w:rsidRPr="00271560" w:rsidRDefault="00AC2298" w:rsidP="00CB2C92">
            <w:pPr>
              <w:pStyle w:val="TableText0"/>
              <w:jc w:val="center"/>
              <w:rPr>
                <w:rFonts w:cstheme="minorHAnsi"/>
              </w:rPr>
            </w:pPr>
            <w:r w:rsidRPr="00271560">
              <w:rPr>
                <w:rFonts w:cstheme="minorBidi"/>
              </w:rPr>
              <w:t>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1DD53369" w14:textId="77777777" w:rsidR="00AC2298" w:rsidRPr="00271560" w:rsidRDefault="00AC2298" w:rsidP="00CB2C92">
            <w:pPr>
              <w:pStyle w:val="TableText0"/>
              <w:jc w:val="center"/>
              <w:rPr>
                <w:rFonts w:cstheme="minorHAnsi"/>
              </w:rPr>
            </w:pPr>
            <w:r w:rsidRPr="00271560">
              <w:rPr>
                <w:rFonts w:cstheme="minorBidi"/>
              </w:rPr>
              <w:t>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7221139" w14:textId="77777777" w:rsidR="00AC2298" w:rsidRPr="00271560" w:rsidRDefault="00AC2298" w:rsidP="00CB2C92">
            <w:pPr>
              <w:pStyle w:val="TableText0"/>
              <w:jc w:val="center"/>
              <w:rPr>
                <w:rFonts w:cstheme="minorHAnsi"/>
              </w:rPr>
            </w:pPr>
            <w:r w:rsidRPr="00271560">
              <w:rPr>
                <w:rFonts w:cstheme="minorBidi"/>
              </w:rPr>
              <w:t>Spinraza</w:t>
            </w:r>
          </w:p>
        </w:tc>
      </w:tr>
      <w:tr w:rsidR="00AC2298" w:rsidRPr="00271560" w14:paraId="1E637CB1" w14:textId="77777777" w:rsidTr="00CB2C92">
        <w:trPr>
          <w:cantSplit/>
          <w:trHeight w:val="1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9D869E7" w14:textId="77777777" w:rsidR="00AC2298" w:rsidRPr="00271560" w:rsidRDefault="00AC2298" w:rsidP="00CB2C92">
            <w:pPr>
              <w:pStyle w:val="TableText0"/>
              <w:rPr>
                <w:rFonts w:cstheme="minorHAnsi"/>
              </w:rPr>
            </w:pPr>
            <w:r w:rsidRPr="00271560">
              <w:rPr>
                <w:rFonts w:cstheme="minorBidi"/>
                <w:b/>
              </w:rPr>
              <w:t>MAINTENANCE TREATMENT</w:t>
            </w:r>
          </w:p>
        </w:tc>
      </w:tr>
      <w:tr w:rsidR="00AC2298" w:rsidRPr="00271560" w14:paraId="18A1EDC8" w14:textId="77777777" w:rsidTr="00CB2C92">
        <w:trPr>
          <w:cantSplit/>
          <w:trHeight w:val="577"/>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3477F" w14:textId="77777777" w:rsidR="00AC2298" w:rsidRPr="00271560" w:rsidRDefault="00AC2298" w:rsidP="00CB2C92">
            <w:pPr>
              <w:pStyle w:val="TableText0"/>
              <w:rPr>
                <w:rFonts w:cstheme="minorHAnsi"/>
              </w:rPr>
            </w:pPr>
            <w:r w:rsidRPr="00271560">
              <w:rPr>
                <w:rFonts w:cstheme="minorBidi"/>
              </w:rPr>
              <w:t>Nusinersen</w:t>
            </w:r>
          </w:p>
          <w:p w14:paraId="1DCAD1FE" w14:textId="3CA9A165" w:rsidR="00AC2298" w:rsidRPr="00271560" w:rsidRDefault="00AC2298" w:rsidP="00CB2C92">
            <w:pPr>
              <w:pStyle w:val="TableText0"/>
              <w:rPr>
                <w:rFonts w:cstheme="minorHAnsi"/>
              </w:rPr>
            </w:pPr>
            <w:r w:rsidRPr="00271560">
              <w:rPr>
                <w:rFonts w:cstheme="minorBidi"/>
              </w:rPr>
              <w:t>12</w:t>
            </w:r>
            <w:r w:rsidR="00DF3315">
              <w:rPr>
                <w:rFonts w:cstheme="minorBidi"/>
              </w:rPr>
              <w:t> </w:t>
            </w:r>
            <w:r w:rsidRPr="00271560">
              <w:rPr>
                <w:rFonts w:cstheme="minorBidi"/>
              </w:rPr>
              <w:t>mg/5</w:t>
            </w:r>
            <w:r w:rsidR="00DF3315">
              <w:rPr>
                <w:rFonts w:cstheme="minorBidi"/>
              </w:rPr>
              <w:t> </w:t>
            </w:r>
            <w:r w:rsidRPr="00271560">
              <w:rPr>
                <w:rFonts w:cstheme="minorBidi"/>
              </w:rPr>
              <w:t>ml injection, 5</w:t>
            </w:r>
            <w:r w:rsidR="00DF3315">
              <w:rPr>
                <w:rFonts w:cstheme="minorBidi"/>
              </w:rPr>
              <w:t> </w:t>
            </w:r>
            <w:r w:rsidRPr="00271560">
              <w:rPr>
                <w:rFonts w:cstheme="minorBidi"/>
              </w:rPr>
              <w:t>mL vial, 1</w:t>
            </w:r>
          </w:p>
        </w:tc>
        <w:tc>
          <w:tcPr>
            <w:tcW w:w="1405" w:type="pct"/>
            <w:tcBorders>
              <w:top w:val="single" w:sz="4" w:space="0" w:color="auto"/>
              <w:left w:val="single" w:sz="4" w:space="0" w:color="auto"/>
              <w:bottom w:val="single" w:sz="4" w:space="0" w:color="auto"/>
              <w:right w:val="single" w:sz="4" w:space="0" w:color="auto"/>
            </w:tcBorders>
            <w:vAlign w:val="center"/>
          </w:tcPr>
          <w:p w14:paraId="08E6C49C" w14:textId="77777777" w:rsidR="00AC2298" w:rsidRPr="00271560" w:rsidRDefault="00AC2298" w:rsidP="00CB2C92">
            <w:pPr>
              <w:pStyle w:val="TableText0"/>
              <w:jc w:val="center"/>
              <w:rPr>
                <w:rFonts w:cstheme="minorHAnsi"/>
              </w:rPr>
            </w:pPr>
            <w:r w:rsidRPr="00271560">
              <w:rPr>
                <w:rFonts w:cstheme="minorBidi"/>
              </w:rPr>
              <w:t>DPMQ (public): $110,000</w:t>
            </w:r>
          </w:p>
          <w:p w14:paraId="18114527" w14:textId="77777777" w:rsidR="00AC2298" w:rsidRPr="00271560" w:rsidRDefault="00AC2298" w:rsidP="00CB2C92">
            <w:pPr>
              <w:pStyle w:val="TableText0"/>
              <w:jc w:val="center"/>
              <w:rPr>
                <w:rFonts w:cstheme="minorHAnsi"/>
              </w:rPr>
            </w:pPr>
            <w:r w:rsidRPr="00271560">
              <w:rPr>
                <w:rFonts w:cstheme="minorBidi"/>
              </w:rPr>
              <w:t>DPMQ (private): $110,047.82</w:t>
            </w:r>
          </w:p>
          <w:p w14:paraId="6996B0A6" w14:textId="77777777" w:rsidR="00AC2298" w:rsidRPr="00271560" w:rsidRDefault="00AC2298" w:rsidP="00CB2C92">
            <w:pPr>
              <w:pStyle w:val="TableText0"/>
              <w:jc w:val="center"/>
              <w:rPr>
                <w:rFonts w:cstheme="minorHAnsi"/>
              </w:rPr>
            </w:pPr>
            <w:r w:rsidRPr="00271560">
              <w:rPr>
                <w:rFonts w:cstheme="minorBidi"/>
              </w:rPr>
              <w:t>AEMP: $110,000</w:t>
            </w:r>
            <w:r w:rsidRPr="00271560">
              <w:rPr>
                <w:rFonts w:cstheme="minorBidi"/>
                <w:vertAlign w:val="superscript"/>
              </w:rPr>
              <w:t xml:space="preserve">a </w:t>
            </w:r>
          </w:p>
          <w:p w14:paraId="5503B515" w14:textId="6ACF7F83" w:rsidR="00AC2298" w:rsidRPr="00271560" w:rsidRDefault="00AC2298" w:rsidP="00CB2C92">
            <w:pPr>
              <w:pStyle w:val="TableText0"/>
              <w:jc w:val="center"/>
              <w:rPr>
                <w:rFonts w:cstheme="minorBidi"/>
              </w:rPr>
            </w:pPr>
            <w:r w:rsidRPr="00271560">
              <w:rPr>
                <w:rFonts w:cstheme="minorBidi"/>
              </w:rPr>
              <w:t>effective price: $</w:t>
            </w:r>
            <w:r w:rsidR="00546AD5" w:rsidRPr="00546AD5">
              <w:rPr>
                <w:rFonts w:cstheme="minorBidi"/>
                <w:color w:val="000000"/>
                <w:shd w:val="solid" w:color="000000" w:fill="000000"/>
                <w14:textFill>
                  <w14:solidFill>
                    <w14:srgbClr w14:val="000000">
                      <w14:alpha w14:val="100000"/>
                    </w14:srgbClr>
                  </w14:solidFill>
                </w14:textFill>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0A46CC3C" w14:textId="77777777" w:rsidR="00AC2298" w:rsidRPr="00271560" w:rsidRDefault="00AC2298" w:rsidP="00CB2C92">
            <w:pPr>
              <w:pStyle w:val="TableText0"/>
              <w:jc w:val="center"/>
              <w:rPr>
                <w:rFonts w:cstheme="minorHAnsi"/>
              </w:rPr>
            </w:pPr>
            <w:r w:rsidRPr="00271560">
              <w:rPr>
                <w:rFonts w:cstheme="minorBidi"/>
              </w:rPr>
              <w:t>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915D8F6" w14:textId="77777777" w:rsidR="00AC2298" w:rsidRPr="00271560" w:rsidRDefault="00AC2298" w:rsidP="00CB2C92">
            <w:pPr>
              <w:pStyle w:val="TableText0"/>
              <w:jc w:val="center"/>
              <w:rPr>
                <w:rFonts w:cstheme="minorHAnsi"/>
              </w:rPr>
            </w:pPr>
            <w:r w:rsidRPr="00271560">
              <w:rPr>
                <w:rFonts w:cstheme="minorBidi"/>
              </w:rPr>
              <w:t>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63133ED" w14:textId="77777777" w:rsidR="00AC2298" w:rsidRPr="00271560" w:rsidRDefault="00AC2298" w:rsidP="00CB2C92">
            <w:pPr>
              <w:pStyle w:val="TableText0"/>
              <w:jc w:val="center"/>
              <w:rPr>
                <w:rFonts w:cstheme="minorHAnsi"/>
              </w:rPr>
            </w:pPr>
            <w:r w:rsidRPr="00271560">
              <w:rPr>
                <w:rFonts w:cstheme="minorBidi"/>
              </w:rPr>
              <w:t>Spinraza</w:t>
            </w:r>
          </w:p>
        </w:tc>
      </w:tr>
    </w:tbl>
    <w:p w14:paraId="172BCD9A" w14:textId="77777777" w:rsidR="00AC2298" w:rsidRPr="00271560" w:rsidRDefault="00AC2298" w:rsidP="00AC2298">
      <w:pPr>
        <w:pStyle w:val="FooterTableFigure"/>
      </w:pPr>
      <w:r w:rsidRPr="00C62521">
        <w:rPr>
          <w:vertAlign w:val="superscript"/>
        </w:rPr>
        <w:t>a</w:t>
      </w:r>
      <w:r w:rsidRPr="00C62521">
        <w:t xml:space="preserve"> Published approved ex-manufacturer price</w:t>
      </w:r>
      <w:r w:rsidRPr="00271560">
        <w:t>.</w:t>
      </w:r>
    </w:p>
    <w:tbl>
      <w:tblPr>
        <w:tblW w:w="5063" w:type="pct"/>
        <w:tblInd w:w="-5" w:type="dxa"/>
        <w:tblLook w:val="04A0" w:firstRow="1" w:lastRow="0" w:firstColumn="1" w:lastColumn="0" w:noHBand="0" w:noVBand="1"/>
      </w:tblPr>
      <w:tblGrid>
        <w:gridCol w:w="1985"/>
        <w:gridCol w:w="7145"/>
      </w:tblGrid>
      <w:tr w:rsidR="00AC2298" w:rsidRPr="00C62521" w14:paraId="03C00C2E" w14:textId="77777777" w:rsidTr="00C62521">
        <w:trPr>
          <w:cantSplit/>
          <w:trHeight w:val="20"/>
        </w:trPr>
        <w:tc>
          <w:tcPr>
            <w:tcW w:w="1087" w:type="pct"/>
            <w:tcBorders>
              <w:top w:val="single" w:sz="4" w:space="0" w:color="auto"/>
              <w:left w:val="single" w:sz="4" w:space="0" w:color="auto"/>
              <w:bottom w:val="single" w:sz="4" w:space="0" w:color="auto"/>
              <w:right w:val="single" w:sz="4" w:space="0" w:color="auto"/>
            </w:tcBorders>
            <w:hideMark/>
          </w:tcPr>
          <w:p w14:paraId="067B4C6A" w14:textId="77777777" w:rsidR="00AC2298" w:rsidRPr="00C62521" w:rsidRDefault="00AC2298" w:rsidP="00C62521">
            <w:pPr>
              <w:pStyle w:val="TableText0"/>
              <w:keepNext w:val="0"/>
              <w:keepLines/>
            </w:pPr>
            <w:r w:rsidRPr="00C62521">
              <w:t>Category/Program</w:t>
            </w:r>
          </w:p>
        </w:tc>
        <w:tc>
          <w:tcPr>
            <w:tcW w:w="3913" w:type="pct"/>
            <w:tcBorders>
              <w:top w:val="single" w:sz="4" w:space="0" w:color="auto"/>
              <w:left w:val="single" w:sz="4" w:space="0" w:color="auto"/>
              <w:bottom w:val="single" w:sz="4" w:space="0" w:color="auto"/>
              <w:right w:val="single" w:sz="4" w:space="0" w:color="auto"/>
            </w:tcBorders>
            <w:hideMark/>
          </w:tcPr>
          <w:p w14:paraId="432F2C37" w14:textId="77777777" w:rsidR="00AC2298" w:rsidRPr="00C62521" w:rsidRDefault="00AC2298" w:rsidP="00C62521">
            <w:pPr>
              <w:pStyle w:val="TableText0"/>
              <w:keepNext w:val="0"/>
              <w:keepLines/>
            </w:pPr>
            <w:r w:rsidRPr="00C62521">
              <w:t>Section 100 – Highly Specialised Drugs Program</w:t>
            </w:r>
          </w:p>
        </w:tc>
      </w:tr>
      <w:tr w:rsidR="00AC2298" w:rsidRPr="00C62521" w14:paraId="5617BA18" w14:textId="77777777" w:rsidTr="00C62521">
        <w:trPr>
          <w:cantSplit/>
          <w:trHeight w:val="20"/>
        </w:trPr>
        <w:tc>
          <w:tcPr>
            <w:tcW w:w="1087" w:type="pct"/>
            <w:tcBorders>
              <w:top w:val="single" w:sz="4" w:space="0" w:color="auto"/>
              <w:left w:val="single" w:sz="4" w:space="0" w:color="auto"/>
              <w:bottom w:val="single" w:sz="4" w:space="0" w:color="auto"/>
              <w:right w:val="single" w:sz="4" w:space="0" w:color="auto"/>
            </w:tcBorders>
            <w:hideMark/>
          </w:tcPr>
          <w:p w14:paraId="799FFE26" w14:textId="77777777" w:rsidR="00AC2298" w:rsidRPr="00C62521" w:rsidRDefault="00AC2298" w:rsidP="00C62521">
            <w:pPr>
              <w:pStyle w:val="TableText0"/>
              <w:keepNext w:val="0"/>
              <w:keepLines/>
            </w:pPr>
            <w:r w:rsidRPr="00C62521">
              <w:t>Restriction</w:t>
            </w:r>
          </w:p>
        </w:tc>
        <w:tc>
          <w:tcPr>
            <w:tcW w:w="3913" w:type="pct"/>
            <w:tcBorders>
              <w:top w:val="single" w:sz="4" w:space="0" w:color="auto"/>
              <w:left w:val="single" w:sz="4" w:space="0" w:color="auto"/>
              <w:bottom w:val="single" w:sz="4" w:space="0" w:color="auto"/>
              <w:right w:val="single" w:sz="4" w:space="0" w:color="auto"/>
            </w:tcBorders>
            <w:hideMark/>
          </w:tcPr>
          <w:p w14:paraId="09E5F5EA" w14:textId="77777777" w:rsidR="00AC2298" w:rsidRPr="00C62521" w:rsidRDefault="00AC2298" w:rsidP="00C62521">
            <w:pPr>
              <w:pStyle w:val="TableText0"/>
              <w:keepNext w:val="0"/>
              <w:keepLines/>
            </w:pPr>
            <w:r w:rsidRPr="00C62521">
              <w:fldChar w:fldCharType="begin" w:fldLock="1">
                <w:ffData>
                  <w:name w:val=""/>
                  <w:enabled/>
                  <w:calcOnExit w:val="0"/>
                  <w:checkBox>
                    <w:sizeAuto/>
                    <w:default w:val="1"/>
                  </w:checkBox>
                </w:ffData>
              </w:fldChar>
            </w:r>
            <w:r w:rsidRPr="00C62521">
              <w:instrText xml:space="preserve"> FORMCHECKBOX </w:instrText>
            </w:r>
            <w:r w:rsidR="007020B8">
              <w:fldChar w:fldCharType="separate"/>
            </w:r>
            <w:r w:rsidRPr="00C62521">
              <w:fldChar w:fldCharType="end"/>
            </w:r>
            <w:r w:rsidRPr="00C62521">
              <w:tab/>
              <w:t>Authority Required (in writing only via post/HPOS upload)</w:t>
            </w:r>
          </w:p>
        </w:tc>
      </w:tr>
      <w:tr w:rsidR="00AC2298" w:rsidRPr="00C62521" w14:paraId="36D15834" w14:textId="77777777" w:rsidTr="00C62521">
        <w:trPr>
          <w:cantSplit/>
          <w:trHeight w:val="20"/>
        </w:trPr>
        <w:tc>
          <w:tcPr>
            <w:tcW w:w="1087" w:type="pct"/>
            <w:tcBorders>
              <w:top w:val="single" w:sz="4" w:space="0" w:color="auto"/>
              <w:left w:val="single" w:sz="4" w:space="0" w:color="auto"/>
              <w:bottom w:val="single" w:sz="4" w:space="0" w:color="auto"/>
              <w:right w:val="single" w:sz="4" w:space="0" w:color="auto"/>
            </w:tcBorders>
            <w:hideMark/>
          </w:tcPr>
          <w:p w14:paraId="674B0B60" w14:textId="77777777" w:rsidR="00AC2298" w:rsidRPr="00C62521" w:rsidRDefault="00AC2298" w:rsidP="00C62521">
            <w:pPr>
              <w:pStyle w:val="TableText0"/>
              <w:keepNext w:val="0"/>
              <w:keepLines/>
            </w:pPr>
            <w:r w:rsidRPr="00C62521">
              <w:t>Condition</w:t>
            </w:r>
          </w:p>
        </w:tc>
        <w:tc>
          <w:tcPr>
            <w:tcW w:w="3913" w:type="pct"/>
            <w:tcBorders>
              <w:top w:val="single" w:sz="4" w:space="0" w:color="auto"/>
              <w:left w:val="single" w:sz="4" w:space="0" w:color="auto"/>
              <w:bottom w:val="single" w:sz="4" w:space="0" w:color="auto"/>
              <w:right w:val="single" w:sz="4" w:space="0" w:color="auto"/>
            </w:tcBorders>
            <w:hideMark/>
          </w:tcPr>
          <w:p w14:paraId="450047DA" w14:textId="77777777" w:rsidR="00AC2298" w:rsidRPr="00C62521" w:rsidRDefault="00AC2298" w:rsidP="00C62521">
            <w:pPr>
              <w:pStyle w:val="TableText0"/>
              <w:keepNext w:val="0"/>
              <w:keepLines/>
            </w:pPr>
            <w:r w:rsidRPr="00C62521">
              <w:t>Pre-symptomatic spinal muscular atrophy (SMA)</w:t>
            </w:r>
          </w:p>
        </w:tc>
      </w:tr>
      <w:tr w:rsidR="00AC2298" w:rsidRPr="00C62521" w14:paraId="39B3F9E1" w14:textId="77777777" w:rsidTr="00C62521">
        <w:trPr>
          <w:cantSplit/>
          <w:trHeight w:val="20"/>
        </w:trPr>
        <w:tc>
          <w:tcPr>
            <w:tcW w:w="1087" w:type="pct"/>
            <w:tcBorders>
              <w:top w:val="single" w:sz="4" w:space="0" w:color="auto"/>
              <w:left w:val="single" w:sz="4" w:space="0" w:color="auto"/>
              <w:bottom w:val="single" w:sz="4" w:space="0" w:color="auto"/>
              <w:right w:val="single" w:sz="4" w:space="0" w:color="auto"/>
            </w:tcBorders>
            <w:hideMark/>
          </w:tcPr>
          <w:p w14:paraId="18318CD9" w14:textId="77777777" w:rsidR="00AC2298" w:rsidRPr="00C62521" w:rsidRDefault="00AC2298" w:rsidP="00C62521">
            <w:pPr>
              <w:pStyle w:val="TableText0"/>
              <w:keepNext w:val="0"/>
              <w:keepLines/>
            </w:pPr>
            <w:r w:rsidRPr="00C62521">
              <w:t>PBS Indication</w:t>
            </w:r>
          </w:p>
        </w:tc>
        <w:tc>
          <w:tcPr>
            <w:tcW w:w="3913" w:type="pct"/>
            <w:tcBorders>
              <w:top w:val="single" w:sz="4" w:space="0" w:color="auto"/>
              <w:left w:val="single" w:sz="4" w:space="0" w:color="auto"/>
              <w:bottom w:val="single" w:sz="4" w:space="0" w:color="auto"/>
              <w:right w:val="single" w:sz="4" w:space="0" w:color="auto"/>
            </w:tcBorders>
            <w:hideMark/>
          </w:tcPr>
          <w:p w14:paraId="3FF51F06" w14:textId="77777777" w:rsidR="00AC2298" w:rsidRPr="00C62521" w:rsidRDefault="00AC2298" w:rsidP="00C62521">
            <w:pPr>
              <w:pStyle w:val="TableText0"/>
              <w:keepNext w:val="0"/>
              <w:keepLines/>
            </w:pPr>
            <w:r w:rsidRPr="00C62521">
              <w:t>Initial treatment of pre-symptomatic spinal muscular atrophy (SMA) - Loading doses</w:t>
            </w:r>
          </w:p>
        </w:tc>
      </w:tr>
      <w:tr w:rsidR="00AC2298" w:rsidRPr="00C62521" w14:paraId="3FCDF9F6" w14:textId="77777777" w:rsidTr="00C62521">
        <w:trPr>
          <w:cantSplit/>
          <w:trHeight w:val="20"/>
        </w:trPr>
        <w:tc>
          <w:tcPr>
            <w:tcW w:w="1087" w:type="pct"/>
            <w:tcBorders>
              <w:top w:val="single" w:sz="4" w:space="0" w:color="auto"/>
              <w:left w:val="single" w:sz="4" w:space="0" w:color="auto"/>
              <w:bottom w:val="single" w:sz="4" w:space="0" w:color="auto"/>
              <w:right w:val="single" w:sz="4" w:space="0" w:color="auto"/>
            </w:tcBorders>
            <w:hideMark/>
          </w:tcPr>
          <w:p w14:paraId="4885F844" w14:textId="77777777" w:rsidR="00AC2298" w:rsidRPr="00C62521" w:rsidRDefault="00AC2298" w:rsidP="00C62521">
            <w:pPr>
              <w:pStyle w:val="TableText0"/>
              <w:keepNext w:val="0"/>
              <w:keepLines/>
            </w:pPr>
            <w:r w:rsidRPr="00C62521">
              <w:t>Treatment phase</w:t>
            </w:r>
          </w:p>
        </w:tc>
        <w:tc>
          <w:tcPr>
            <w:tcW w:w="3913" w:type="pct"/>
            <w:tcBorders>
              <w:top w:val="single" w:sz="4" w:space="0" w:color="auto"/>
              <w:left w:val="single" w:sz="4" w:space="0" w:color="auto"/>
              <w:bottom w:val="single" w:sz="4" w:space="0" w:color="auto"/>
              <w:right w:val="single" w:sz="4" w:space="0" w:color="auto"/>
            </w:tcBorders>
            <w:hideMark/>
          </w:tcPr>
          <w:p w14:paraId="56922623" w14:textId="77777777" w:rsidR="00AC2298" w:rsidRPr="00C62521" w:rsidRDefault="00AC2298" w:rsidP="00C62521">
            <w:pPr>
              <w:pStyle w:val="TableText0"/>
              <w:keepNext w:val="0"/>
              <w:keepLines/>
            </w:pPr>
            <w:r w:rsidRPr="00C62521">
              <w:t>Initial – New patients</w:t>
            </w:r>
          </w:p>
        </w:tc>
      </w:tr>
      <w:tr w:rsidR="00AC2298" w:rsidRPr="00C62521" w14:paraId="7690D0E3" w14:textId="77777777" w:rsidTr="00C62521">
        <w:trPr>
          <w:cantSplit/>
          <w:trHeight w:val="20"/>
        </w:trPr>
        <w:tc>
          <w:tcPr>
            <w:tcW w:w="1087" w:type="pct"/>
            <w:tcBorders>
              <w:top w:val="single" w:sz="4" w:space="0" w:color="auto"/>
              <w:left w:val="single" w:sz="4" w:space="0" w:color="auto"/>
              <w:bottom w:val="single" w:sz="4" w:space="0" w:color="auto"/>
              <w:right w:val="single" w:sz="4" w:space="0" w:color="auto"/>
            </w:tcBorders>
          </w:tcPr>
          <w:p w14:paraId="5BFB25C3" w14:textId="77777777" w:rsidR="00AC2298" w:rsidRPr="00C62521" w:rsidRDefault="00AC2298" w:rsidP="00C62521">
            <w:pPr>
              <w:pStyle w:val="TableText0"/>
              <w:keepNext w:val="0"/>
              <w:keepLines/>
            </w:pPr>
            <w:r w:rsidRPr="00C62521">
              <w:t>Treatment criteria</w:t>
            </w:r>
          </w:p>
        </w:tc>
        <w:tc>
          <w:tcPr>
            <w:tcW w:w="3913" w:type="pct"/>
            <w:tcBorders>
              <w:top w:val="single" w:sz="4" w:space="0" w:color="auto"/>
              <w:left w:val="single" w:sz="4" w:space="0" w:color="auto"/>
              <w:bottom w:val="single" w:sz="4" w:space="0" w:color="auto"/>
              <w:right w:val="single" w:sz="4" w:space="0" w:color="auto"/>
            </w:tcBorders>
          </w:tcPr>
          <w:p w14:paraId="4CE48A0C" w14:textId="77777777" w:rsidR="00AC2298" w:rsidRPr="00C62521" w:rsidRDefault="00AC2298" w:rsidP="00C62521">
            <w:pPr>
              <w:pStyle w:val="TableText0"/>
              <w:keepNext w:val="0"/>
              <w:keepLines/>
            </w:pPr>
            <w:r w:rsidRPr="00C62521">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AC2298" w:rsidRPr="00C62521" w14:paraId="4F03B1C6" w14:textId="77777777" w:rsidTr="00C62521">
        <w:trPr>
          <w:cantSplit/>
          <w:trHeight w:val="20"/>
        </w:trPr>
        <w:tc>
          <w:tcPr>
            <w:tcW w:w="1087" w:type="pct"/>
            <w:tcBorders>
              <w:top w:val="single" w:sz="4" w:space="0" w:color="auto"/>
              <w:left w:val="single" w:sz="4" w:space="0" w:color="auto"/>
              <w:right w:val="single" w:sz="4" w:space="0" w:color="auto"/>
            </w:tcBorders>
          </w:tcPr>
          <w:p w14:paraId="2CAA8F33" w14:textId="77777777" w:rsidR="00AC2298" w:rsidRPr="00C62521" w:rsidRDefault="00AC2298" w:rsidP="00C62521">
            <w:pPr>
              <w:pStyle w:val="TableText0"/>
              <w:keepNext w:val="0"/>
              <w:keepLines/>
            </w:pPr>
            <w:r w:rsidRPr="00C62521">
              <w:t>Clinical criteria</w:t>
            </w:r>
          </w:p>
        </w:tc>
        <w:tc>
          <w:tcPr>
            <w:tcW w:w="3913" w:type="pct"/>
            <w:tcBorders>
              <w:top w:val="single" w:sz="4" w:space="0" w:color="auto"/>
              <w:left w:val="single" w:sz="4" w:space="0" w:color="auto"/>
              <w:right w:val="single" w:sz="4" w:space="0" w:color="auto"/>
            </w:tcBorders>
          </w:tcPr>
          <w:p w14:paraId="26445F63" w14:textId="77777777" w:rsidR="00AC2298" w:rsidRPr="00C62521" w:rsidRDefault="00AC2298" w:rsidP="00C62521">
            <w:pPr>
              <w:pStyle w:val="TableText0"/>
              <w:keepNext w:val="0"/>
              <w:keepLines/>
            </w:pPr>
            <w:r w:rsidRPr="00C62521">
              <w:t>The condition must have genetic confirmation of 5q homozygous deletion of the survival motor neuron 1 (</w:t>
            </w:r>
            <w:r w:rsidRPr="00C62521">
              <w:rPr>
                <w:i/>
                <w:iCs/>
              </w:rPr>
              <w:t>SMN1</w:t>
            </w:r>
            <w:r w:rsidRPr="00C62521">
              <w:t>) gene; OR</w:t>
            </w:r>
          </w:p>
          <w:p w14:paraId="280C13DC" w14:textId="77777777" w:rsidR="00AC2298" w:rsidRPr="00C62521" w:rsidRDefault="00AC2298" w:rsidP="00C62521">
            <w:pPr>
              <w:pStyle w:val="TableText0"/>
              <w:keepNext w:val="0"/>
              <w:keepLines/>
            </w:pPr>
            <w:r w:rsidRPr="00C62521">
              <w:rPr>
                <w:rFonts w:cs="Arial"/>
              </w:rPr>
              <w:t xml:space="preserve">The condition must have genetic confirmation of deletion of one copy of the </w:t>
            </w:r>
            <w:r w:rsidRPr="00C62521">
              <w:rPr>
                <w:rFonts w:cs="Arial"/>
                <w:i/>
                <w:iCs/>
              </w:rPr>
              <w:t>SMN1</w:t>
            </w:r>
            <w:r w:rsidRPr="00C62521">
              <w:rPr>
                <w:rFonts w:cs="Arial"/>
              </w:rPr>
              <w:t xml:space="preserve"> gene in addition to a pathogenic/likely pathogenic variant in the remaining single copy of the </w:t>
            </w:r>
            <w:r w:rsidRPr="00C62521">
              <w:rPr>
                <w:rFonts w:cs="Arial"/>
                <w:i/>
                <w:iCs/>
              </w:rPr>
              <w:t>SMN1</w:t>
            </w:r>
            <w:r w:rsidRPr="00C62521">
              <w:rPr>
                <w:rFonts w:cs="Arial"/>
              </w:rPr>
              <w:t xml:space="preserve"> gene,</w:t>
            </w:r>
          </w:p>
          <w:p w14:paraId="7262AFEB" w14:textId="77777777" w:rsidR="00AC2298" w:rsidRPr="00C62521" w:rsidRDefault="00AC2298" w:rsidP="00C62521">
            <w:pPr>
              <w:pStyle w:val="TableText0"/>
              <w:keepNext w:val="0"/>
              <w:keepLines/>
            </w:pPr>
            <w:r w:rsidRPr="00C62521">
              <w:t>AND</w:t>
            </w:r>
          </w:p>
        </w:tc>
      </w:tr>
      <w:tr w:rsidR="00AC2298" w:rsidRPr="00C62521" w14:paraId="6F00555A" w14:textId="77777777" w:rsidTr="00C62521">
        <w:trPr>
          <w:cantSplit/>
          <w:trHeight w:val="20"/>
        </w:trPr>
        <w:tc>
          <w:tcPr>
            <w:tcW w:w="1087" w:type="pct"/>
            <w:tcBorders>
              <w:left w:val="single" w:sz="4" w:space="0" w:color="auto"/>
              <w:right w:val="single" w:sz="4" w:space="0" w:color="auto"/>
            </w:tcBorders>
          </w:tcPr>
          <w:p w14:paraId="5BC7C5E1"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19FF377C" w14:textId="77777777" w:rsidR="00AC2298" w:rsidRPr="00C62521" w:rsidRDefault="00AC2298" w:rsidP="00C62521">
            <w:pPr>
              <w:pStyle w:val="TableText0"/>
              <w:keepNext w:val="0"/>
              <w:keepLines/>
            </w:pPr>
            <w:r w:rsidRPr="00C62521">
              <w:t>The condition must have genetic confirmation that there are 1 to</w:t>
            </w:r>
            <w:r w:rsidRPr="00C62521">
              <w:rPr>
                <w:strike/>
              </w:rPr>
              <w:t xml:space="preserve"> </w:t>
            </w:r>
            <w:r w:rsidRPr="00C62521">
              <w:rPr>
                <w:b/>
                <w:bCs w:val="0"/>
                <w:strike/>
              </w:rPr>
              <w:t>2</w:t>
            </w:r>
            <w:r w:rsidRPr="00C62521">
              <w:rPr>
                <w:b/>
                <w:bCs w:val="0"/>
              </w:rPr>
              <w:t xml:space="preserve"> 3 copies</w:t>
            </w:r>
            <w:r w:rsidRPr="00C62521">
              <w:t xml:space="preserve"> of the survival motor neuron 2 (</w:t>
            </w:r>
            <w:r w:rsidRPr="00C62521">
              <w:rPr>
                <w:i/>
                <w:iCs/>
              </w:rPr>
              <w:t>SMN2</w:t>
            </w:r>
            <w:r w:rsidRPr="00C62521">
              <w:t>) gene,</w:t>
            </w:r>
          </w:p>
        </w:tc>
      </w:tr>
      <w:tr w:rsidR="00AC2298" w:rsidRPr="00C62521" w14:paraId="3653CD8D" w14:textId="77777777" w:rsidTr="00C62521">
        <w:trPr>
          <w:cantSplit/>
          <w:trHeight w:val="20"/>
        </w:trPr>
        <w:tc>
          <w:tcPr>
            <w:tcW w:w="1087" w:type="pct"/>
            <w:tcBorders>
              <w:left w:val="single" w:sz="4" w:space="0" w:color="auto"/>
              <w:right w:val="single" w:sz="4" w:space="0" w:color="auto"/>
            </w:tcBorders>
          </w:tcPr>
          <w:p w14:paraId="7AD75E92"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3353F110" w14:textId="77777777" w:rsidR="00AC2298" w:rsidRPr="00C62521" w:rsidRDefault="00AC2298" w:rsidP="00C62521">
            <w:pPr>
              <w:pStyle w:val="TableText0"/>
              <w:keepNext w:val="0"/>
              <w:keepLines/>
            </w:pPr>
            <w:r w:rsidRPr="00C62521">
              <w:t>AND</w:t>
            </w:r>
          </w:p>
        </w:tc>
      </w:tr>
      <w:tr w:rsidR="00AC2298" w:rsidRPr="00C62521" w14:paraId="06EB754D" w14:textId="77777777" w:rsidTr="00C62521">
        <w:trPr>
          <w:cantSplit/>
          <w:trHeight w:val="20"/>
        </w:trPr>
        <w:tc>
          <w:tcPr>
            <w:tcW w:w="1087" w:type="pct"/>
            <w:tcBorders>
              <w:left w:val="single" w:sz="4" w:space="0" w:color="auto"/>
              <w:right w:val="single" w:sz="4" w:space="0" w:color="auto"/>
            </w:tcBorders>
          </w:tcPr>
          <w:p w14:paraId="480172CA"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7A9D7DAE" w14:textId="77777777" w:rsidR="00AC2298" w:rsidRPr="00C62521" w:rsidRDefault="00AC2298" w:rsidP="00C62521">
            <w:pPr>
              <w:pStyle w:val="TableText0"/>
              <w:keepNext w:val="0"/>
              <w:keepLines/>
            </w:pPr>
            <w:r w:rsidRPr="00C62521">
              <w:t>The condition must be pre-symptomatic,</w:t>
            </w:r>
          </w:p>
        </w:tc>
      </w:tr>
      <w:tr w:rsidR="00AC2298" w:rsidRPr="00C62521" w14:paraId="3C05B669" w14:textId="77777777" w:rsidTr="00C62521">
        <w:trPr>
          <w:cantSplit/>
          <w:trHeight w:val="20"/>
        </w:trPr>
        <w:tc>
          <w:tcPr>
            <w:tcW w:w="1087" w:type="pct"/>
            <w:tcBorders>
              <w:left w:val="single" w:sz="4" w:space="0" w:color="auto"/>
              <w:right w:val="single" w:sz="4" w:space="0" w:color="auto"/>
            </w:tcBorders>
          </w:tcPr>
          <w:p w14:paraId="11FFAC78"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1888327D" w14:textId="77777777" w:rsidR="00AC2298" w:rsidRPr="00C62521" w:rsidRDefault="00AC2298" w:rsidP="00C62521">
            <w:pPr>
              <w:pStyle w:val="TableText0"/>
              <w:keepNext w:val="0"/>
              <w:keepLines/>
            </w:pPr>
            <w:r w:rsidRPr="00C62521">
              <w:t>AND</w:t>
            </w:r>
          </w:p>
        </w:tc>
      </w:tr>
      <w:tr w:rsidR="00AC2298" w:rsidRPr="00C62521" w14:paraId="1C46FFED" w14:textId="77777777" w:rsidTr="00C62521">
        <w:trPr>
          <w:cantSplit/>
          <w:trHeight w:val="20"/>
        </w:trPr>
        <w:tc>
          <w:tcPr>
            <w:tcW w:w="1087" w:type="pct"/>
            <w:tcBorders>
              <w:left w:val="single" w:sz="4" w:space="0" w:color="auto"/>
              <w:right w:val="single" w:sz="4" w:space="0" w:color="auto"/>
            </w:tcBorders>
          </w:tcPr>
          <w:p w14:paraId="42339B2F"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50D52706" w14:textId="77777777" w:rsidR="00AC2298" w:rsidRPr="00C62521" w:rsidRDefault="00AC2298" w:rsidP="00C62521">
            <w:pPr>
              <w:pStyle w:val="TableText0"/>
              <w:keepNext w:val="0"/>
              <w:keepLines/>
            </w:pPr>
            <w:r w:rsidRPr="00C62521">
              <w:t>The treatment must be given concomitantly with best supportive care for this condition,</w:t>
            </w:r>
          </w:p>
        </w:tc>
      </w:tr>
      <w:tr w:rsidR="00AC2298" w:rsidRPr="00C62521" w14:paraId="54762345" w14:textId="77777777" w:rsidTr="00C62521">
        <w:trPr>
          <w:cantSplit/>
          <w:trHeight w:val="20"/>
        </w:trPr>
        <w:tc>
          <w:tcPr>
            <w:tcW w:w="1087" w:type="pct"/>
            <w:tcBorders>
              <w:left w:val="single" w:sz="4" w:space="0" w:color="auto"/>
              <w:right w:val="single" w:sz="4" w:space="0" w:color="auto"/>
            </w:tcBorders>
          </w:tcPr>
          <w:p w14:paraId="6AD4EC67"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057E2C4C" w14:textId="77777777" w:rsidR="00AC2298" w:rsidRPr="00C62521" w:rsidRDefault="00AC2298" w:rsidP="00C62521">
            <w:pPr>
              <w:pStyle w:val="TableText0"/>
              <w:keepNext w:val="0"/>
              <w:keepLines/>
            </w:pPr>
            <w:r w:rsidRPr="00C62521">
              <w:t>AND</w:t>
            </w:r>
          </w:p>
        </w:tc>
      </w:tr>
      <w:tr w:rsidR="00AC2298" w:rsidRPr="00C62521" w14:paraId="46EA76D4" w14:textId="77777777" w:rsidTr="00C62521">
        <w:trPr>
          <w:cantSplit/>
          <w:trHeight w:val="20"/>
        </w:trPr>
        <w:tc>
          <w:tcPr>
            <w:tcW w:w="1087" w:type="pct"/>
            <w:tcBorders>
              <w:left w:val="single" w:sz="4" w:space="0" w:color="auto"/>
              <w:right w:val="single" w:sz="4" w:space="0" w:color="auto"/>
            </w:tcBorders>
          </w:tcPr>
          <w:p w14:paraId="5333E8BB"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09741F89" w14:textId="77777777" w:rsidR="00AC2298" w:rsidRPr="00C62521" w:rsidRDefault="00AC2298" w:rsidP="00C62521">
            <w:pPr>
              <w:pStyle w:val="TableText0"/>
              <w:keepNext w:val="0"/>
              <w:keepLines/>
            </w:pPr>
            <w:r w:rsidRPr="00C62521">
              <w:t>The treatment must not exceed four loading doses (at days 0, 14, 28 and 63) under this restriction,</w:t>
            </w:r>
          </w:p>
        </w:tc>
      </w:tr>
      <w:tr w:rsidR="00AC2298" w:rsidRPr="00C62521" w14:paraId="26CCE6C2" w14:textId="77777777" w:rsidTr="00C62521">
        <w:trPr>
          <w:cantSplit/>
          <w:trHeight w:val="20"/>
        </w:trPr>
        <w:tc>
          <w:tcPr>
            <w:tcW w:w="1087" w:type="pct"/>
            <w:tcBorders>
              <w:left w:val="single" w:sz="4" w:space="0" w:color="auto"/>
              <w:right w:val="single" w:sz="4" w:space="0" w:color="auto"/>
            </w:tcBorders>
          </w:tcPr>
          <w:p w14:paraId="2BDD755D"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69EC3C29" w14:textId="77777777" w:rsidR="00AC2298" w:rsidRPr="00C62521" w:rsidRDefault="00AC2298" w:rsidP="00C62521">
            <w:pPr>
              <w:pStyle w:val="TableText0"/>
              <w:keepNext w:val="0"/>
              <w:keepLines/>
            </w:pPr>
            <w:r w:rsidRPr="00C62521">
              <w:t>AND</w:t>
            </w:r>
          </w:p>
        </w:tc>
      </w:tr>
      <w:tr w:rsidR="00AC2298" w:rsidRPr="00C62521" w14:paraId="51013D1B" w14:textId="77777777" w:rsidTr="00C62521">
        <w:trPr>
          <w:cantSplit/>
          <w:trHeight w:val="20"/>
        </w:trPr>
        <w:tc>
          <w:tcPr>
            <w:tcW w:w="1087" w:type="pct"/>
            <w:tcBorders>
              <w:left w:val="single" w:sz="4" w:space="0" w:color="auto"/>
              <w:right w:val="single" w:sz="4" w:space="0" w:color="auto"/>
            </w:tcBorders>
          </w:tcPr>
          <w:p w14:paraId="1DBD6F9A" w14:textId="77777777" w:rsidR="00AC2298" w:rsidRPr="00C62521" w:rsidRDefault="00AC2298" w:rsidP="00C62521">
            <w:pPr>
              <w:pStyle w:val="TableText0"/>
              <w:keepNext w:val="0"/>
              <w:keepLines/>
            </w:pPr>
          </w:p>
        </w:tc>
        <w:tc>
          <w:tcPr>
            <w:tcW w:w="3913" w:type="pct"/>
            <w:tcBorders>
              <w:left w:val="single" w:sz="4" w:space="0" w:color="auto"/>
              <w:right w:val="single" w:sz="4" w:space="0" w:color="auto"/>
            </w:tcBorders>
          </w:tcPr>
          <w:p w14:paraId="076F3998" w14:textId="77777777" w:rsidR="00AC2298" w:rsidRPr="00C62521" w:rsidRDefault="00AC2298" w:rsidP="00C62521">
            <w:pPr>
              <w:pStyle w:val="TableText0"/>
              <w:keepNext w:val="0"/>
              <w:keepLines/>
            </w:pPr>
            <w:r w:rsidRPr="00C62521">
              <w:t>Patient must be untreated with gene therapy.</w:t>
            </w:r>
          </w:p>
        </w:tc>
      </w:tr>
      <w:tr w:rsidR="00AC2298" w:rsidRPr="00C62521" w14:paraId="4E884E5F" w14:textId="77777777" w:rsidTr="00C62521">
        <w:trPr>
          <w:cantSplit/>
          <w:trHeight w:val="20"/>
        </w:trPr>
        <w:tc>
          <w:tcPr>
            <w:tcW w:w="1087" w:type="pct"/>
            <w:tcBorders>
              <w:top w:val="single" w:sz="4" w:space="0" w:color="auto"/>
              <w:left w:val="single" w:sz="4" w:space="0" w:color="auto"/>
              <w:bottom w:val="single" w:sz="4" w:space="0" w:color="auto"/>
              <w:right w:val="single" w:sz="4" w:space="0" w:color="auto"/>
            </w:tcBorders>
          </w:tcPr>
          <w:p w14:paraId="37921A30" w14:textId="77777777" w:rsidR="00AC2298" w:rsidRPr="00C62521" w:rsidRDefault="00AC2298" w:rsidP="00C62521">
            <w:pPr>
              <w:pStyle w:val="TableText0"/>
              <w:keepNext w:val="0"/>
              <w:keepLines/>
            </w:pPr>
            <w:r w:rsidRPr="00C62521">
              <w:t>Population criteria</w:t>
            </w:r>
          </w:p>
        </w:tc>
        <w:tc>
          <w:tcPr>
            <w:tcW w:w="3913" w:type="pct"/>
            <w:tcBorders>
              <w:top w:val="single" w:sz="4" w:space="0" w:color="auto"/>
              <w:left w:val="single" w:sz="4" w:space="0" w:color="auto"/>
              <w:bottom w:val="single" w:sz="4" w:space="0" w:color="auto"/>
              <w:right w:val="single" w:sz="4" w:space="0" w:color="auto"/>
            </w:tcBorders>
          </w:tcPr>
          <w:p w14:paraId="7B03740F" w14:textId="77777777" w:rsidR="00AC2298" w:rsidRPr="00C62521" w:rsidRDefault="00AC2298" w:rsidP="00C62521">
            <w:pPr>
              <w:pStyle w:val="TableText0"/>
              <w:keepNext w:val="0"/>
              <w:keepLines/>
            </w:pPr>
            <w:r w:rsidRPr="00C62521">
              <w:t xml:space="preserve">Patient must be aged under </w:t>
            </w:r>
            <w:r w:rsidRPr="00C62521">
              <w:rPr>
                <w:b/>
                <w:bCs w:val="0"/>
                <w:strike/>
              </w:rPr>
              <w:t>36 months</w:t>
            </w:r>
            <w:r w:rsidRPr="00C62521">
              <w:rPr>
                <w:b/>
                <w:bCs w:val="0"/>
              </w:rPr>
              <w:t xml:space="preserve"> 18 years</w:t>
            </w:r>
            <w:r w:rsidRPr="00C62521">
              <w:rPr>
                <w:i/>
                <w:iCs/>
              </w:rPr>
              <w:t xml:space="preserve"> </w:t>
            </w:r>
            <w:r w:rsidRPr="00C62521">
              <w:t>prior to commencing treatment.</w:t>
            </w:r>
          </w:p>
        </w:tc>
      </w:tr>
    </w:tbl>
    <w:p w14:paraId="5E337424" w14:textId="77777777" w:rsidR="00AC2298" w:rsidRPr="00C62521" w:rsidRDefault="00AC2298" w:rsidP="00C62521">
      <w:pPr>
        <w:pStyle w:val="FooterTableFigure"/>
      </w:pPr>
      <w:r w:rsidRPr="00C62521">
        <w:t>Source: Table 1.9, p46 of the resubmission</w:t>
      </w:r>
    </w:p>
    <w:p w14:paraId="76FB7CEA" w14:textId="77777777" w:rsidR="00AC2298" w:rsidRPr="00C62521" w:rsidRDefault="00AC2298" w:rsidP="00C62521">
      <w:pPr>
        <w:pStyle w:val="FooterTableFigure"/>
      </w:pPr>
      <w:r w:rsidRPr="00C62521">
        <w:t>Bold text reflects change from the current listing.</w:t>
      </w:r>
    </w:p>
    <w:p w14:paraId="28F4162B" w14:textId="18DD10C2" w:rsidR="00AC2298" w:rsidRPr="00271560" w:rsidRDefault="00AC2298" w:rsidP="00AC2298">
      <w:pPr>
        <w:pStyle w:val="ExecSumBodyText"/>
        <w:numPr>
          <w:ilvl w:val="1"/>
          <w:numId w:val="1"/>
        </w:numPr>
      </w:pPr>
      <w:r w:rsidRPr="00271560">
        <w:t xml:space="preserve">This request could </w:t>
      </w:r>
      <w:r w:rsidR="0048740D">
        <w:t xml:space="preserve">have </w:t>
      </w:r>
      <w:r w:rsidRPr="00271560">
        <w:t>be</w:t>
      </w:r>
      <w:r w:rsidR="0048740D">
        <w:t>en</w:t>
      </w:r>
      <w:r w:rsidRPr="00271560">
        <w:t xml:space="preserve"> more clearly expressed as two separate requests for expansion of the current listing:</w:t>
      </w:r>
    </w:p>
    <w:p w14:paraId="37033E85" w14:textId="52A168AC" w:rsidR="00AC2298" w:rsidRPr="00271560" w:rsidRDefault="00AC2298" w:rsidP="001876B8">
      <w:pPr>
        <w:pStyle w:val="BulletPBAC"/>
      </w:pPr>
      <w:r w:rsidRPr="00271560">
        <w:t>The addition of treatment in the pre-symptomatic SMA setting for patients with 3</w:t>
      </w:r>
      <w:r w:rsidR="00C62521">
        <w:t> </w:t>
      </w:r>
      <w:r w:rsidRPr="00271560">
        <w:rPr>
          <w:i/>
          <w:iCs/>
        </w:rPr>
        <w:t>SMN2</w:t>
      </w:r>
      <w:r w:rsidRPr="00271560">
        <w:t xml:space="preserve"> copies who are aged less than 18 years when commencing treatment; and</w:t>
      </w:r>
    </w:p>
    <w:p w14:paraId="1282586C" w14:textId="2442AA4E" w:rsidR="00AC2298" w:rsidRPr="00271560" w:rsidRDefault="00AC2298" w:rsidP="001876B8">
      <w:pPr>
        <w:pStyle w:val="BulletPBAC"/>
      </w:pPr>
      <w:r w:rsidRPr="00271560">
        <w:t xml:space="preserve">Modification of the existing pre-symptomatic SMA listing to increase the age at which patients with 1 to 2 copies of </w:t>
      </w:r>
      <w:r w:rsidRPr="00271560">
        <w:rPr>
          <w:i/>
          <w:iCs/>
        </w:rPr>
        <w:t>SMN2</w:t>
      </w:r>
      <w:r w:rsidRPr="00271560">
        <w:t xml:space="preserve"> can commence treatment with nusinersen from </w:t>
      </w:r>
      <w:r w:rsidR="000C6D6C">
        <w:t xml:space="preserve">under </w:t>
      </w:r>
      <w:r w:rsidRPr="00271560">
        <w:t xml:space="preserve">36 months to </w:t>
      </w:r>
      <w:r w:rsidR="000C6D6C">
        <w:t xml:space="preserve">under </w:t>
      </w:r>
      <w:r w:rsidRPr="00271560">
        <w:t>18 years.</w:t>
      </w:r>
    </w:p>
    <w:p w14:paraId="2D86F47D" w14:textId="77777777" w:rsidR="00AC2298" w:rsidRPr="00271560" w:rsidRDefault="00AC2298" w:rsidP="00AC2298">
      <w:pPr>
        <w:pStyle w:val="3-BodyText"/>
        <w:rPr>
          <w:color w:val="000000" w:themeColor="text1"/>
        </w:rPr>
      </w:pPr>
      <w:r w:rsidRPr="00271560">
        <w:t>The resubmission stated that the continuation criteria for the current PBS restriction for nusinersen would also be applicable under the proposed initiation restriction, therefore no specific continuation criteria was proposed</w:t>
      </w:r>
      <w:r w:rsidRPr="00271560">
        <w:rPr>
          <w:color w:val="000000" w:themeColor="text1"/>
        </w:rPr>
        <w:t xml:space="preserve">. </w:t>
      </w:r>
    </w:p>
    <w:p w14:paraId="2D5E1D4D" w14:textId="74ECDFA6" w:rsidR="00AC2298" w:rsidRPr="00271560" w:rsidRDefault="00AC2298" w:rsidP="00206D10">
      <w:pPr>
        <w:pStyle w:val="ExecSumBodyText"/>
        <w:numPr>
          <w:ilvl w:val="1"/>
          <w:numId w:val="1"/>
        </w:numPr>
      </w:pPr>
      <w:r w:rsidRPr="00271560">
        <w:t xml:space="preserve">No grandfathering restriction was proposed in the resubmission. </w:t>
      </w:r>
      <w:r w:rsidRPr="0067202A">
        <w:rPr>
          <w:iCs/>
        </w:rPr>
        <w:t>However</w:t>
      </w:r>
      <w:r w:rsidR="00871DD6" w:rsidRPr="0067202A">
        <w:rPr>
          <w:iCs/>
        </w:rPr>
        <w:t>,</w:t>
      </w:r>
      <w:r w:rsidRPr="0067202A">
        <w:rPr>
          <w:iCs/>
        </w:rPr>
        <w:t xml:space="preserve"> the request to extend listing of pre-symptomatic treatment to </w:t>
      </w:r>
      <w:r w:rsidR="00871DD6" w:rsidRPr="0067202A">
        <w:rPr>
          <w:iCs/>
        </w:rPr>
        <w:t xml:space="preserve">patients under </w:t>
      </w:r>
      <w:r w:rsidRPr="0067202A">
        <w:rPr>
          <w:iCs/>
        </w:rPr>
        <w:t xml:space="preserve">18 years of age was functionally a grandfathering restriction as it would only affect prevalent patients, with all incident patients likely </w:t>
      </w:r>
      <w:r w:rsidR="0048740D">
        <w:rPr>
          <w:iCs/>
        </w:rPr>
        <w:t xml:space="preserve">to be </w:t>
      </w:r>
      <w:r w:rsidRPr="0067202A">
        <w:rPr>
          <w:iCs/>
        </w:rPr>
        <w:t>identified via newborn bloodspot screening (NBS)</w:t>
      </w:r>
      <w:r w:rsidR="0048740D">
        <w:rPr>
          <w:iCs/>
        </w:rPr>
        <w:t>,</w:t>
      </w:r>
      <w:r w:rsidRPr="0067202A">
        <w:rPr>
          <w:iCs/>
        </w:rPr>
        <w:t xml:space="preserve"> which would allow them to be treated under the current restriction (</w:t>
      </w:r>
      <w:r w:rsidR="0001364A">
        <w:rPr>
          <w:iCs/>
        </w:rPr>
        <w:t>i.e.,</w:t>
      </w:r>
      <w:r w:rsidRPr="0067202A">
        <w:rPr>
          <w:iCs/>
        </w:rPr>
        <w:t xml:space="preserve"> aged &lt;</w:t>
      </w:r>
      <w:r w:rsidR="001876B8">
        <w:rPr>
          <w:iCs/>
        </w:rPr>
        <w:t> </w:t>
      </w:r>
      <w:r w:rsidRPr="0067202A">
        <w:rPr>
          <w:iCs/>
        </w:rPr>
        <w:t>36 months).</w:t>
      </w:r>
      <w:r w:rsidR="009C5796">
        <w:rPr>
          <w:iCs/>
        </w:rPr>
        <w:t xml:space="preserve"> </w:t>
      </w:r>
      <w:r w:rsidR="009C5796" w:rsidRPr="00A143F7">
        <w:rPr>
          <w:iCs/>
        </w:rPr>
        <w:t xml:space="preserve">The </w:t>
      </w:r>
      <w:r w:rsidR="008C0AD8" w:rsidRPr="00A143F7">
        <w:rPr>
          <w:iCs/>
        </w:rPr>
        <w:t>Pre-Sub-Committee Response (</w:t>
      </w:r>
      <w:r w:rsidR="009C5796" w:rsidRPr="00A143F7">
        <w:rPr>
          <w:iCs/>
        </w:rPr>
        <w:t>PSCR</w:t>
      </w:r>
      <w:r w:rsidR="008C0AD8" w:rsidRPr="00A143F7">
        <w:rPr>
          <w:iCs/>
        </w:rPr>
        <w:t>)</w:t>
      </w:r>
      <w:r w:rsidR="009C5796" w:rsidRPr="00A143F7">
        <w:rPr>
          <w:iCs/>
        </w:rPr>
        <w:t xml:space="preserve"> </w:t>
      </w:r>
      <w:r w:rsidR="00817BC1">
        <w:rPr>
          <w:iCs/>
        </w:rPr>
        <w:t xml:space="preserve">and </w:t>
      </w:r>
      <w:r w:rsidR="00E37D1E">
        <w:rPr>
          <w:iCs/>
        </w:rPr>
        <w:t xml:space="preserve">the </w:t>
      </w:r>
      <w:r w:rsidR="00817BC1">
        <w:rPr>
          <w:iCs/>
        </w:rPr>
        <w:t xml:space="preserve">pre-PBAC response </w:t>
      </w:r>
      <w:r w:rsidR="00A326D3" w:rsidRPr="00A143F7">
        <w:rPr>
          <w:iCs/>
        </w:rPr>
        <w:t>sta</w:t>
      </w:r>
      <w:r w:rsidR="009C5796" w:rsidRPr="00A143F7">
        <w:rPr>
          <w:iCs/>
        </w:rPr>
        <w:t>ted that</w:t>
      </w:r>
      <w:r w:rsidR="00A326D3" w:rsidRPr="00A143F7">
        <w:rPr>
          <w:iCs/>
        </w:rPr>
        <w:t xml:space="preserve"> this request was </w:t>
      </w:r>
      <w:r w:rsidR="0048740D">
        <w:rPr>
          <w:iCs/>
        </w:rPr>
        <w:t xml:space="preserve">made </w:t>
      </w:r>
      <w:r w:rsidR="00A326D3" w:rsidRPr="00A143F7">
        <w:rPr>
          <w:iCs/>
        </w:rPr>
        <w:t>to avoid creating a treatment gap and noted that it would not affect the current listing for pre-symptomatic treatment of patients with 1</w:t>
      </w:r>
      <w:r w:rsidR="00206D10">
        <w:rPr>
          <w:iCs/>
        </w:rPr>
        <w:t xml:space="preserve"> or </w:t>
      </w:r>
      <w:r w:rsidR="00A326D3" w:rsidRPr="00206D10">
        <w:rPr>
          <w:iCs/>
        </w:rPr>
        <w:t xml:space="preserve">2 </w:t>
      </w:r>
      <w:r w:rsidR="00A326D3" w:rsidRPr="00206D10">
        <w:rPr>
          <w:i/>
        </w:rPr>
        <w:t>SMN2</w:t>
      </w:r>
      <w:r w:rsidR="00A326D3" w:rsidRPr="00206D10">
        <w:rPr>
          <w:iCs/>
        </w:rPr>
        <w:t xml:space="preserve"> copies as symptom onset would occur before 3 years of age. </w:t>
      </w:r>
      <w:r w:rsidR="009C5796" w:rsidRPr="00206D10">
        <w:rPr>
          <w:iCs/>
        </w:rPr>
        <w:t xml:space="preserve">The ESC </w:t>
      </w:r>
      <w:r w:rsidR="00DD07E6" w:rsidRPr="0048740D">
        <w:rPr>
          <w:iCs/>
        </w:rPr>
        <w:t xml:space="preserve">and the PBAC </w:t>
      </w:r>
      <w:r w:rsidR="009C5796" w:rsidRPr="0048740D">
        <w:rPr>
          <w:iCs/>
        </w:rPr>
        <w:t xml:space="preserve">noted that there was no clinical evidence presented in support of </w:t>
      </w:r>
      <w:r w:rsidR="00A326D3" w:rsidRPr="0048740D">
        <w:rPr>
          <w:iCs/>
        </w:rPr>
        <w:t>t</w:t>
      </w:r>
      <w:r w:rsidR="00A326D3" w:rsidRPr="00206D10">
        <w:rPr>
          <w:iCs/>
        </w:rPr>
        <w:t xml:space="preserve">he proposed </w:t>
      </w:r>
      <w:r w:rsidR="009C5796" w:rsidRPr="00206D10">
        <w:rPr>
          <w:iCs/>
        </w:rPr>
        <w:t>increas</w:t>
      </w:r>
      <w:r w:rsidR="00A326D3" w:rsidRPr="00206D10">
        <w:rPr>
          <w:iCs/>
        </w:rPr>
        <w:t>ed</w:t>
      </w:r>
      <w:r w:rsidR="009C5796" w:rsidRPr="00206D10">
        <w:rPr>
          <w:iCs/>
        </w:rPr>
        <w:t xml:space="preserve"> age for commencement of pre-symptomatic treatment.</w:t>
      </w:r>
    </w:p>
    <w:p w14:paraId="24FD1E4B" w14:textId="0D107B38" w:rsidR="00B46025" w:rsidRPr="00271560" w:rsidRDefault="00AC2298" w:rsidP="00AC2298">
      <w:pPr>
        <w:pStyle w:val="3-BodyText"/>
      </w:pPr>
      <w:r w:rsidRPr="00271560">
        <w:t>An effective price of $</w:t>
      </w:r>
      <w:r w:rsidR="00546AD5" w:rsidRPr="00550E22">
        <w:rPr>
          <w:color w:val="000000"/>
          <w:w w:val="61"/>
          <w:shd w:val="solid" w:color="000000" w:fill="000000"/>
          <w:fitText w:val="478" w:id="-1167898872"/>
          <w14:textFill>
            <w14:solidFill>
              <w14:srgbClr w14:val="000000">
                <w14:alpha w14:val="100000"/>
              </w14:srgbClr>
            </w14:solidFill>
          </w14:textFill>
        </w:rPr>
        <w:t>|||  ||</w:t>
      </w:r>
      <w:r w:rsidR="00546AD5" w:rsidRPr="00550E22">
        <w:rPr>
          <w:color w:val="000000"/>
          <w:spacing w:val="8"/>
          <w:w w:val="61"/>
          <w:shd w:val="solid" w:color="000000" w:fill="000000"/>
          <w:fitText w:val="478" w:id="-1167898872"/>
          <w14:textFill>
            <w14:solidFill>
              <w14:srgbClr w14:val="000000">
                <w14:alpha w14:val="100000"/>
              </w14:srgbClr>
            </w14:solidFill>
          </w14:textFill>
        </w:rPr>
        <w:t>|</w:t>
      </w:r>
      <w:r w:rsidRPr="00271560">
        <w:t xml:space="preserve"> per dose with </w:t>
      </w:r>
      <w:r w:rsidR="00546AD5" w:rsidRPr="00550E22">
        <w:rPr>
          <w:color w:val="000000"/>
          <w:w w:val="60"/>
          <w:shd w:val="solid" w:color="000000" w:fill="000000"/>
          <w:fitText w:val="468" w:id="-1167898871"/>
          <w14:textFill>
            <w14:solidFill>
              <w14:srgbClr w14:val="000000">
                <w14:alpha w14:val="100000"/>
              </w14:srgbClr>
            </w14:solidFill>
          </w14:textFill>
        </w:rPr>
        <w:t>|||  ||</w:t>
      </w:r>
      <w:r w:rsidR="00546AD5" w:rsidRPr="00550E22">
        <w:rPr>
          <w:color w:val="000000"/>
          <w:spacing w:val="4"/>
          <w:w w:val="60"/>
          <w:shd w:val="solid" w:color="000000" w:fill="000000"/>
          <w:fitText w:val="468" w:id="-1167898871"/>
          <w14:textFill>
            <w14:solidFill>
              <w14:srgbClr w14:val="000000">
                <w14:alpha w14:val="100000"/>
              </w14:srgbClr>
            </w14:solidFill>
          </w14:textFill>
        </w:rPr>
        <w:t>|</w:t>
      </w:r>
      <w:r w:rsidRPr="00773FCD">
        <w:t xml:space="preserve"> </w:t>
      </w:r>
      <w:r w:rsidR="00546AD5" w:rsidRPr="00550E22">
        <w:rPr>
          <w:color w:val="000000"/>
          <w:w w:val="61"/>
          <w:shd w:val="solid" w:color="000000" w:fill="000000"/>
          <w:fitText w:val="478" w:id="-1167898870"/>
          <w14:textFill>
            <w14:solidFill>
              <w14:srgbClr w14:val="000000">
                <w14:alpha w14:val="100000"/>
              </w14:srgbClr>
            </w14:solidFill>
          </w14:textFill>
        </w:rPr>
        <w:t>|||  |||</w:t>
      </w:r>
      <w:r w:rsidRPr="00271560">
        <w:t xml:space="preserve"> </w:t>
      </w:r>
      <w:r w:rsidR="00546AD5" w:rsidRPr="00550E22">
        <w:rPr>
          <w:color w:val="000000"/>
          <w:w w:val="62"/>
          <w:shd w:val="solid" w:color="000000" w:fill="000000"/>
          <w:fitText w:val="479" w:id="-1167898869"/>
          <w14:textFill>
            <w14:solidFill>
              <w14:srgbClr w14:val="000000">
                <w14:alpha w14:val="100000"/>
              </w14:srgbClr>
            </w14:solidFill>
          </w14:textFill>
        </w:rPr>
        <w:t>|||  |||</w:t>
      </w:r>
      <w:r w:rsidR="00523ABB" w:rsidRPr="00523ABB">
        <w:t xml:space="preserve"> </w:t>
      </w:r>
      <w:r w:rsidR="00546AD5" w:rsidRPr="00550E22">
        <w:rPr>
          <w:color w:val="000000"/>
          <w:w w:val="61"/>
          <w:shd w:val="solid" w:color="000000" w:fill="000000"/>
          <w:fitText w:val="478" w:id="-1167898868"/>
          <w14:textFill>
            <w14:solidFill>
              <w14:srgbClr w14:val="000000">
                <w14:alpha w14:val="100000"/>
              </w14:srgbClr>
            </w14:solidFill>
          </w14:textFill>
        </w:rPr>
        <w:t>|||  |||</w:t>
      </w:r>
      <w:r w:rsidRPr="00271560">
        <w:t xml:space="preserve"> was proposed. This </w:t>
      </w:r>
      <w:r w:rsidR="00206D10">
        <w:t>wa</w:t>
      </w:r>
      <w:r w:rsidRPr="00271560">
        <w:t xml:space="preserve">s the same as the special pricing arrangement (SPA) </w:t>
      </w:r>
      <w:r w:rsidR="00206D10">
        <w:t xml:space="preserve">that is </w:t>
      </w:r>
      <w:r w:rsidRPr="00271560">
        <w:t xml:space="preserve">currently applied in the symptomatic setting for SMA Type II/IIIa and in the pre-symptomatic setting for individuals with SMA with 1 to 2 </w:t>
      </w:r>
      <w:r w:rsidRPr="00271560">
        <w:rPr>
          <w:i/>
          <w:iCs/>
        </w:rPr>
        <w:t>SMN2</w:t>
      </w:r>
      <w:r w:rsidRPr="00271560">
        <w:t xml:space="preserve"> copies. The current SPA for symptomatic treatment includes an effective nusinersen price of $</w:t>
      </w:r>
      <w:r w:rsidR="00546AD5" w:rsidRPr="00EB1270">
        <w:rPr>
          <w:color w:val="000000"/>
          <w:w w:val="15"/>
          <w:shd w:val="solid" w:color="000000" w:fill="000000"/>
          <w:fitText w:val="-20" w:id="-1167898867"/>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867"/>
          <w14:textFill>
            <w14:solidFill>
              <w14:srgbClr w14:val="000000">
                <w14:alpha w14:val="100000"/>
              </w14:srgbClr>
            </w14:solidFill>
          </w14:textFill>
        </w:rPr>
        <w:t>|</w:t>
      </w:r>
      <w:r w:rsidRPr="00271560">
        <w:t xml:space="preserve"> but no </w:t>
      </w:r>
      <w:r w:rsidR="00546AD5" w:rsidRPr="00EB1270">
        <w:rPr>
          <w:color w:val="000000"/>
          <w:w w:val="15"/>
          <w:shd w:val="solid" w:color="000000" w:fill="000000"/>
          <w:fitText w:val="-20" w:id="-1167898866"/>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866"/>
          <w14:textFill>
            <w14:solidFill>
              <w14:srgbClr w14:val="000000">
                <w14:alpha w14:val="100000"/>
              </w14:srgbClr>
            </w14:solidFill>
          </w14:textFill>
        </w:rPr>
        <w:t>|</w:t>
      </w:r>
      <w:r w:rsidRPr="00271560">
        <w:t xml:space="preserve"> </w:t>
      </w:r>
      <w:r w:rsidR="00546AD5" w:rsidRPr="00EB1270">
        <w:rPr>
          <w:color w:val="000000"/>
          <w:w w:val="15"/>
          <w:shd w:val="solid" w:color="000000" w:fill="000000"/>
          <w:fitText w:val="-20" w:id="-1167898865"/>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865"/>
          <w14:textFill>
            <w14:solidFill>
              <w14:srgbClr w14:val="000000">
                <w14:alpha w14:val="100000"/>
              </w14:srgbClr>
            </w14:solidFill>
          </w14:textFill>
        </w:rPr>
        <w:t>|</w:t>
      </w:r>
      <w:r w:rsidR="00523ABB" w:rsidRPr="00523ABB">
        <w:t xml:space="preserve"> </w:t>
      </w:r>
      <w:r w:rsidR="00546AD5" w:rsidRPr="00EB1270">
        <w:rPr>
          <w:color w:val="000000"/>
          <w:w w:val="15"/>
          <w:shd w:val="solid" w:color="000000" w:fill="000000"/>
          <w:fitText w:val="-20" w:id="-1167898864"/>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864"/>
          <w14:textFill>
            <w14:solidFill>
              <w14:srgbClr w14:val="000000">
                <w14:alpha w14:val="100000"/>
              </w14:srgbClr>
            </w14:solidFill>
          </w14:textFill>
        </w:rPr>
        <w:t>|</w:t>
      </w:r>
      <w:r w:rsidRPr="00271560">
        <w:t xml:space="preserve"> for patients with SMA Type I and an effective </w:t>
      </w:r>
      <w:r w:rsidR="00206D10">
        <w:t xml:space="preserve">price </w:t>
      </w:r>
      <w:r w:rsidRPr="00271560">
        <w:t>of $</w:t>
      </w:r>
      <w:r w:rsidR="00546AD5" w:rsidRPr="00EB1270">
        <w:rPr>
          <w:color w:val="000000"/>
          <w:w w:val="15"/>
          <w:shd w:val="solid" w:color="000000" w:fill="000000"/>
          <w:fitText w:val="-20" w:id="-1167898880"/>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880"/>
          <w14:textFill>
            <w14:solidFill>
              <w14:srgbClr w14:val="000000">
                <w14:alpha w14:val="100000"/>
              </w14:srgbClr>
            </w14:solidFill>
          </w14:textFill>
        </w:rPr>
        <w:t>|</w:t>
      </w:r>
      <w:r w:rsidRPr="00271560">
        <w:t xml:space="preserve"> with </w:t>
      </w:r>
      <w:r w:rsidR="00546AD5" w:rsidRPr="00EB1270">
        <w:rPr>
          <w:color w:val="000000"/>
          <w:w w:val="15"/>
          <w:shd w:val="solid" w:color="000000" w:fill="000000"/>
          <w:fitText w:val="-20" w:id="-1167898879"/>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879"/>
          <w14:textFill>
            <w14:solidFill>
              <w14:srgbClr w14:val="000000">
                <w14:alpha w14:val="100000"/>
              </w14:srgbClr>
            </w14:solidFill>
          </w14:textFill>
        </w:rPr>
        <w:t>|</w:t>
      </w:r>
      <w:r w:rsidRPr="00773FCD">
        <w:t xml:space="preserve"> </w:t>
      </w:r>
      <w:r w:rsidR="00546AD5" w:rsidRPr="00EB1270">
        <w:rPr>
          <w:color w:val="000000"/>
          <w:w w:val="15"/>
          <w:shd w:val="solid" w:color="000000" w:fill="000000"/>
          <w:fitText w:val="-20" w:id="-1167898624"/>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624"/>
          <w14:textFill>
            <w14:solidFill>
              <w14:srgbClr w14:val="000000">
                <w14:alpha w14:val="100000"/>
              </w14:srgbClr>
            </w14:solidFill>
          </w14:textFill>
        </w:rPr>
        <w:t>|</w:t>
      </w:r>
      <w:r w:rsidRPr="00271560">
        <w:t xml:space="preserve"> </w:t>
      </w:r>
      <w:r w:rsidR="00546AD5" w:rsidRPr="00EB1270">
        <w:rPr>
          <w:color w:val="000000"/>
          <w:w w:val="15"/>
          <w:shd w:val="solid" w:color="000000" w:fill="000000"/>
          <w:fitText w:val="-20" w:id="-1167898623"/>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623"/>
          <w14:textFill>
            <w14:solidFill>
              <w14:srgbClr w14:val="000000">
                <w14:alpha w14:val="100000"/>
              </w14:srgbClr>
            </w14:solidFill>
          </w14:textFill>
        </w:rPr>
        <w:t>|</w:t>
      </w:r>
      <w:r w:rsidR="00523ABB" w:rsidRPr="00523ABB">
        <w:t xml:space="preserve"> </w:t>
      </w:r>
      <w:r w:rsidR="00546AD5" w:rsidRPr="00EB1270">
        <w:rPr>
          <w:color w:val="000000"/>
          <w:w w:val="15"/>
          <w:shd w:val="solid" w:color="000000" w:fill="000000"/>
          <w:fitText w:val="-20" w:id="-1167898622"/>
          <w14:textFill>
            <w14:solidFill>
              <w14:srgbClr w14:val="000000">
                <w14:alpha w14:val="100000"/>
              </w14:srgbClr>
            </w14:solidFill>
          </w14:textFill>
        </w:rPr>
        <w:t xml:space="preserve">|  </w:t>
      </w:r>
      <w:r w:rsidR="00546AD5" w:rsidRPr="00EB1270">
        <w:rPr>
          <w:color w:val="000000"/>
          <w:spacing w:val="-69"/>
          <w:w w:val="15"/>
          <w:shd w:val="solid" w:color="000000" w:fill="000000"/>
          <w:fitText w:val="-20" w:id="-1167898622"/>
          <w14:textFill>
            <w14:solidFill>
              <w14:srgbClr w14:val="000000">
                <w14:alpha w14:val="100000"/>
              </w14:srgbClr>
            </w14:solidFill>
          </w14:textFill>
        </w:rPr>
        <w:t>|</w:t>
      </w:r>
      <w:r w:rsidRPr="00271560">
        <w:t xml:space="preserve"> for SMA Type IIIb</w:t>
      </w:r>
      <w:r w:rsidR="000313A5">
        <w:t>/c</w:t>
      </w:r>
      <w:r w:rsidRPr="00271560">
        <w:rPr>
          <w:i/>
          <w:iCs/>
        </w:rPr>
        <w:t xml:space="preserve">. </w:t>
      </w:r>
      <w:r w:rsidR="00E37D1E">
        <w:t>That is, i</w:t>
      </w:r>
      <w:r w:rsidRPr="009F61AC">
        <w:t xml:space="preserve">n symptomatic treatment, the effective price is higher for patients likely to have more severe disease and lower for patients likely to have less severe disease. </w:t>
      </w:r>
      <w:r w:rsidR="007D543C" w:rsidRPr="009F61AC">
        <w:t>However</w:t>
      </w:r>
      <w:r w:rsidR="000313A5" w:rsidRPr="009F61AC">
        <w:t>,</w:t>
      </w:r>
      <w:r w:rsidR="007D543C" w:rsidRPr="009F61AC">
        <w:t xml:space="preserve"> the proposed price </w:t>
      </w:r>
      <w:r w:rsidR="007D543C" w:rsidRPr="009F61AC">
        <w:lastRenderedPageBreak/>
        <w:t xml:space="preserve">for pre-symptomatic </w:t>
      </w:r>
      <w:r w:rsidR="00F046E0" w:rsidRPr="009F61AC">
        <w:t xml:space="preserve">treatment in </w:t>
      </w:r>
      <w:r w:rsidR="000E5A9B" w:rsidRPr="009F61AC">
        <w:t xml:space="preserve">patients with 3 copies of </w:t>
      </w:r>
      <w:r w:rsidR="000E5A9B" w:rsidRPr="00DE039B">
        <w:rPr>
          <w:i/>
          <w:iCs/>
        </w:rPr>
        <w:t>SMN2</w:t>
      </w:r>
      <w:r w:rsidR="000E5A9B" w:rsidRPr="009F61AC">
        <w:t xml:space="preserve"> was the same as </w:t>
      </w:r>
      <w:r w:rsidR="00206D10">
        <w:t xml:space="preserve">for </w:t>
      </w:r>
      <w:r w:rsidR="000E5A9B" w:rsidRPr="009F61AC">
        <w:t>patients with 1</w:t>
      </w:r>
      <w:r w:rsidR="00206D10">
        <w:t xml:space="preserve"> to </w:t>
      </w:r>
      <w:r w:rsidR="000E5A9B" w:rsidRPr="009F61AC">
        <w:t>2 copies of</w:t>
      </w:r>
      <w:r w:rsidR="000E5A9B" w:rsidRPr="00271560">
        <w:rPr>
          <w:i/>
          <w:iCs/>
        </w:rPr>
        <w:t xml:space="preserve"> SMN2. </w:t>
      </w:r>
    </w:p>
    <w:p w14:paraId="50CA4D6E" w14:textId="15397C2F" w:rsidR="007D543C" w:rsidRPr="00A143F7" w:rsidRDefault="007D543C" w:rsidP="00AC2298">
      <w:pPr>
        <w:pStyle w:val="3-BodyText"/>
      </w:pPr>
      <w:r w:rsidRPr="0067202A">
        <w:rPr>
          <w:iCs/>
        </w:rPr>
        <w:t>I</w:t>
      </w:r>
      <w:r w:rsidR="00AC2298" w:rsidRPr="0067202A">
        <w:rPr>
          <w:iCs/>
        </w:rPr>
        <w:t xml:space="preserve">n </w:t>
      </w:r>
      <w:r w:rsidR="00A326D3">
        <w:rPr>
          <w:iCs/>
        </w:rPr>
        <w:t>its</w:t>
      </w:r>
      <w:r w:rsidR="00A326D3" w:rsidRPr="0067202A">
        <w:rPr>
          <w:iCs/>
        </w:rPr>
        <w:t xml:space="preserve"> </w:t>
      </w:r>
      <w:r w:rsidR="00AC2298" w:rsidRPr="0067202A">
        <w:rPr>
          <w:iCs/>
        </w:rPr>
        <w:t xml:space="preserve">consideration </w:t>
      </w:r>
      <w:r w:rsidR="00A326D3">
        <w:rPr>
          <w:iCs/>
        </w:rPr>
        <w:t>of</w:t>
      </w:r>
      <w:r w:rsidR="00A326D3" w:rsidRPr="0067202A">
        <w:rPr>
          <w:iCs/>
        </w:rPr>
        <w:t xml:space="preserve"> </w:t>
      </w:r>
      <w:r w:rsidR="00AC2298" w:rsidRPr="0067202A">
        <w:rPr>
          <w:iCs/>
        </w:rPr>
        <w:t xml:space="preserve">onasemnogene abeparvovec for the pre-symptomatic treatment of SMA </w:t>
      </w:r>
      <w:r w:rsidR="00E37D1E">
        <w:rPr>
          <w:iCs/>
        </w:rPr>
        <w:t xml:space="preserve">in patients </w:t>
      </w:r>
      <w:r w:rsidR="00AC2298" w:rsidRPr="0067202A">
        <w:rPr>
          <w:iCs/>
        </w:rPr>
        <w:t xml:space="preserve">with 3 copies of </w:t>
      </w:r>
      <w:r w:rsidR="00AC2298" w:rsidRPr="00A73666">
        <w:rPr>
          <w:i/>
        </w:rPr>
        <w:t>SMN2</w:t>
      </w:r>
      <w:r w:rsidR="00AC2298" w:rsidRPr="0067202A">
        <w:rPr>
          <w:iCs/>
        </w:rPr>
        <w:t>, the PBAC previously considered that the incremental benefit of pre-symptomatic treatment with onasemnogene abeparvovec compared to symptomatic treatment with disease modifying therapies</w:t>
      </w:r>
      <w:r w:rsidR="005E0A2F" w:rsidRPr="0067202A">
        <w:rPr>
          <w:iCs/>
        </w:rPr>
        <w:t xml:space="preserve"> (DMT)</w:t>
      </w:r>
      <w:r w:rsidR="00AC2298" w:rsidRPr="0067202A">
        <w:rPr>
          <w:iCs/>
        </w:rPr>
        <w:t xml:space="preserve"> for patients with 3 </w:t>
      </w:r>
      <w:r w:rsidR="00AC2298" w:rsidRPr="00A73666">
        <w:rPr>
          <w:i/>
        </w:rPr>
        <w:t>SMN2</w:t>
      </w:r>
      <w:r w:rsidR="00AC2298" w:rsidRPr="0067202A">
        <w:rPr>
          <w:iCs/>
        </w:rPr>
        <w:t xml:space="preserve"> copies would be less than that for patients with 1</w:t>
      </w:r>
      <w:r w:rsidR="00206D10">
        <w:rPr>
          <w:iCs/>
        </w:rPr>
        <w:t xml:space="preserve"> to </w:t>
      </w:r>
      <w:r w:rsidR="00AC2298" w:rsidRPr="0067202A">
        <w:rPr>
          <w:iCs/>
        </w:rPr>
        <w:t xml:space="preserve">2 </w:t>
      </w:r>
      <w:r w:rsidR="00AC2298" w:rsidRPr="00A73666">
        <w:rPr>
          <w:i/>
        </w:rPr>
        <w:t>SMN2</w:t>
      </w:r>
      <w:r w:rsidR="00AC2298" w:rsidRPr="0067202A">
        <w:rPr>
          <w:iCs/>
        </w:rPr>
        <w:t xml:space="preserve"> copies due to patients with 3 </w:t>
      </w:r>
      <w:r w:rsidR="00AC2298" w:rsidRPr="00A73666">
        <w:rPr>
          <w:i/>
        </w:rPr>
        <w:t>SMN2</w:t>
      </w:r>
      <w:r w:rsidR="00AC2298" w:rsidRPr="0067202A">
        <w:rPr>
          <w:iCs/>
        </w:rPr>
        <w:t xml:space="preserve"> copies likely having better outcomes in the absence of pre-symptomatic treatment (</w:t>
      </w:r>
      <w:r w:rsidR="0001364A">
        <w:rPr>
          <w:iCs/>
        </w:rPr>
        <w:t>i.e.,</w:t>
      </w:r>
      <w:r w:rsidR="00AC2298" w:rsidRPr="0067202A">
        <w:rPr>
          <w:iCs/>
        </w:rPr>
        <w:t xml:space="preserve"> the baseline for patients would be higher therefore the potential incremental benefit would be lower) (paragraph 7.6, onasemnogene abeparvovec</w:t>
      </w:r>
      <w:r w:rsidR="001876B8">
        <w:rPr>
          <w:iCs/>
        </w:rPr>
        <w:t xml:space="preserve"> Public Summary Document</w:t>
      </w:r>
      <w:r w:rsidR="00AC2298" w:rsidRPr="0067202A">
        <w:rPr>
          <w:iCs/>
        </w:rPr>
        <w:t xml:space="preserve"> </w:t>
      </w:r>
      <w:r w:rsidR="001876B8">
        <w:rPr>
          <w:iCs/>
        </w:rPr>
        <w:t>(</w:t>
      </w:r>
      <w:r w:rsidR="00AC2298" w:rsidRPr="0067202A">
        <w:rPr>
          <w:iCs/>
        </w:rPr>
        <w:t>PSD</w:t>
      </w:r>
      <w:r w:rsidR="001876B8">
        <w:rPr>
          <w:iCs/>
        </w:rPr>
        <w:t>)</w:t>
      </w:r>
      <w:r w:rsidR="00AC2298" w:rsidRPr="0067202A">
        <w:rPr>
          <w:iCs/>
        </w:rPr>
        <w:t xml:space="preserve">, November 2022 PBAC meeting) </w:t>
      </w:r>
      <w:r w:rsidRPr="0067202A">
        <w:rPr>
          <w:iCs/>
        </w:rPr>
        <w:t>and that to be considered similarly cost</w:t>
      </w:r>
      <w:r w:rsidR="00624A05" w:rsidRPr="0067202A">
        <w:rPr>
          <w:iCs/>
        </w:rPr>
        <w:t>-</w:t>
      </w:r>
      <w:r w:rsidRPr="0067202A">
        <w:rPr>
          <w:iCs/>
        </w:rPr>
        <w:t>effective, the price of onasemnogene abeparvovec in</w:t>
      </w:r>
      <w:r w:rsidR="00F2638A" w:rsidRPr="0067202A">
        <w:rPr>
          <w:iCs/>
        </w:rPr>
        <w:t xml:space="preserve"> individuals with</w:t>
      </w:r>
      <w:r w:rsidRPr="0067202A">
        <w:rPr>
          <w:iCs/>
        </w:rPr>
        <w:t xml:space="preserve"> 3 </w:t>
      </w:r>
      <w:r w:rsidRPr="00DE039B">
        <w:rPr>
          <w:i/>
        </w:rPr>
        <w:t>SMN2</w:t>
      </w:r>
      <w:r w:rsidRPr="0067202A">
        <w:rPr>
          <w:iCs/>
        </w:rPr>
        <w:t xml:space="preserve"> copies would need to be lower than for</w:t>
      </w:r>
      <w:r w:rsidR="00F2638A" w:rsidRPr="0067202A">
        <w:rPr>
          <w:iCs/>
        </w:rPr>
        <w:t xml:space="preserve"> those with</w:t>
      </w:r>
      <w:r w:rsidRPr="0067202A">
        <w:rPr>
          <w:iCs/>
        </w:rPr>
        <w:t xml:space="preserve"> 1-2 </w:t>
      </w:r>
      <w:r w:rsidRPr="00A73666">
        <w:rPr>
          <w:i/>
        </w:rPr>
        <w:t>SMN2</w:t>
      </w:r>
      <w:r w:rsidRPr="0067202A">
        <w:rPr>
          <w:iCs/>
        </w:rPr>
        <w:t xml:space="preserve"> copies (paragraph 7.10 onasemnogene abeparvovec PSD, November 2022 PBAC meeting)</w:t>
      </w:r>
      <w:r w:rsidR="00E94442" w:rsidRPr="0067202A">
        <w:rPr>
          <w:iCs/>
        </w:rPr>
        <w:t xml:space="preserve">. </w:t>
      </w:r>
      <w:r w:rsidR="00F64F1B">
        <w:rPr>
          <w:iCs/>
        </w:rPr>
        <w:t>The PBAC considered the same applied</w:t>
      </w:r>
      <w:r w:rsidR="00E94442" w:rsidRPr="0067202A">
        <w:rPr>
          <w:iCs/>
        </w:rPr>
        <w:t xml:space="preserve"> for nusinersen</w:t>
      </w:r>
      <w:r w:rsidR="00F2638A" w:rsidRPr="0067202A">
        <w:rPr>
          <w:iCs/>
        </w:rPr>
        <w:t xml:space="preserve">: </w:t>
      </w:r>
      <w:r w:rsidR="0001364A">
        <w:rPr>
          <w:iCs/>
        </w:rPr>
        <w:t>i.e.,</w:t>
      </w:r>
      <w:r w:rsidR="00E94442" w:rsidRPr="0067202A">
        <w:rPr>
          <w:iCs/>
        </w:rPr>
        <w:t xml:space="preserve"> </w:t>
      </w:r>
      <w:r w:rsidR="00F2638A" w:rsidRPr="0067202A">
        <w:rPr>
          <w:iCs/>
        </w:rPr>
        <w:t xml:space="preserve">that </w:t>
      </w:r>
      <w:r w:rsidR="00E94442" w:rsidRPr="0067202A">
        <w:rPr>
          <w:iCs/>
        </w:rPr>
        <w:t xml:space="preserve">the price of nusinersen for pre-symptomatic treatment in patients with 3 copies of </w:t>
      </w:r>
      <w:r w:rsidR="00E94442" w:rsidRPr="00A73666">
        <w:rPr>
          <w:i/>
        </w:rPr>
        <w:t>SMN2</w:t>
      </w:r>
      <w:r w:rsidR="00E94442" w:rsidRPr="0067202A">
        <w:rPr>
          <w:iCs/>
        </w:rPr>
        <w:t xml:space="preserve"> should be lower than </w:t>
      </w:r>
      <w:r w:rsidR="00F2638A" w:rsidRPr="0067202A">
        <w:rPr>
          <w:iCs/>
        </w:rPr>
        <w:t>for</w:t>
      </w:r>
      <w:r w:rsidR="00E94442" w:rsidRPr="0067202A">
        <w:rPr>
          <w:iCs/>
        </w:rPr>
        <w:t xml:space="preserve"> patients with 1</w:t>
      </w:r>
      <w:r w:rsidR="00206D10">
        <w:rPr>
          <w:iCs/>
        </w:rPr>
        <w:t xml:space="preserve"> to </w:t>
      </w:r>
      <w:r w:rsidR="00E94442" w:rsidRPr="0067202A">
        <w:rPr>
          <w:iCs/>
        </w:rPr>
        <w:t xml:space="preserve">2 copies of </w:t>
      </w:r>
      <w:r w:rsidR="00E94442" w:rsidRPr="00A73666">
        <w:rPr>
          <w:i/>
        </w:rPr>
        <w:t>SMN2</w:t>
      </w:r>
      <w:r w:rsidR="00E94442" w:rsidRPr="0067202A">
        <w:rPr>
          <w:iCs/>
        </w:rPr>
        <w:t>.</w:t>
      </w:r>
      <w:r w:rsidR="00A326D3" w:rsidRPr="00A326D3">
        <w:rPr>
          <w:i/>
          <w:iCs/>
        </w:rPr>
        <w:t xml:space="preserve"> </w:t>
      </w:r>
      <w:r w:rsidR="00A326D3" w:rsidRPr="00A143F7">
        <w:t xml:space="preserve">The PSCR disagreed that the incremental benefit was lower for patients with 3 copies </w:t>
      </w:r>
      <w:r w:rsidR="00A326D3">
        <w:rPr>
          <w:i/>
          <w:iCs/>
        </w:rPr>
        <w:t>SMN2</w:t>
      </w:r>
      <w:r w:rsidR="00A326D3" w:rsidRPr="00A143F7">
        <w:t>. The PSCR argued that the proposed ICER was lower than the accepted ICER for symptomatic treatment of SMA and that “aligning cost-effectiveness and price directly to severity assumes nusinersen treatment effect is linear across the 1-2 and 3</w:t>
      </w:r>
      <w:r w:rsidR="00A326D3" w:rsidRPr="0024608E">
        <w:rPr>
          <w:i/>
          <w:iCs/>
        </w:rPr>
        <w:t xml:space="preserve"> SMN2 </w:t>
      </w:r>
      <w:r w:rsidR="00A326D3" w:rsidRPr="00A143F7">
        <w:t>copies populations”.</w:t>
      </w:r>
    </w:p>
    <w:p w14:paraId="4F3B76E8" w14:textId="180D75A5" w:rsidR="00AC2298" w:rsidRDefault="00AC2298" w:rsidP="00AC2298">
      <w:pPr>
        <w:pStyle w:val="3-BodyText"/>
      </w:pPr>
      <w:r w:rsidRPr="00271560">
        <w:t>The requested maximum quantity and number of repeats remain</w:t>
      </w:r>
      <w:r w:rsidR="00E37D1E">
        <w:t>ed</w:t>
      </w:r>
      <w:r w:rsidRPr="00271560">
        <w:t xml:space="preserve"> unchanged from the current nusinersen listing.</w:t>
      </w:r>
    </w:p>
    <w:p w14:paraId="029098BD" w14:textId="0D5E878D" w:rsidR="00FD5741" w:rsidRPr="00FD5741" w:rsidRDefault="00FD5741" w:rsidP="00FD5741">
      <w:pPr>
        <w:pStyle w:val="3-BodyText"/>
        <w:numPr>
          <w:ilvl w:val="0"/>
          <w:numId w:val="0"/>
        </w:numPr>
        <w:ind w:firstLine="720"/>
        <w:rPr>
          <w:i/>
          <w:iCs/>
        </w:rPr>
      </w:pPr>
      <w:r w:rsidRPr="00FD5741">
        <w:rPr>
          <w:i/>
          <w:iCs/>
        </w:rPr>
        <w:t>For more detail on PBAC’s view, see section 7 PBAC outcome.</w:t>
      </w:r>
    </w:p>
    <w:p w14:paraId="32EFFF50" w14:textId="77777777" w:rsidR="00AC2298" w:rsidRPr="00271560" w:rsidDel="00195452" w:rsidRDefault="00AC2298" w:rsidP="00AC2298">
      <w:pPr>
        <w:pStyle w:val="2-SectionHeading"/>
      </w:pPr>
      <w:bookmarkStart w:id="21" w:name="_Toc132629053"/>
      <w:bookmarkStart w:id="22" w:name="_Toc135214658"/>
      <w:r w:rsidRPr="00271560" w:rsidDel="00195452">
        <w:t>Population and disease</w:t>
      </w:r>
      <w:bookmarkEnd w:id="21"/>
      <w:bookmarkEnd w:id="22"/>
    </w:p>
    <w:p w14:paraId="3C227927" w14:textId="51F1E8A2" w:rsidR="00AC2298" w:rsidRPr="00271560" w:rsidRDefault="00AC2298" w:rsidP="00AC2298">
      <w:pPr>
        <w:pStyle w:val="3-BodyText"/>
      </w:pPr>
      <w:r w:rsidRPr="00271560">
        <w:t xml:space="preserve">SMA is an autosomal recessive progressive neuromuscular disease caused by mutations or deletions in the </w:t>
      </w:r>
      <w:r w:rsidRPr="00271560">
        <w:rPr>
          <w:i/>
        </w:rPr>
        <w:t>SMN1</w:t>
      </w:r>
      <w:r w:rsidRPr="00271560">
        <w:t xml:space="preserve"> gene on chromosome 5q. Alterations to this gene result in deficiency of SMN protein, which in turn results in loss of motor function and respiratory failure, which is a major cause of morbidity and mortality. The </w:t>
      </w:r>
      <w:r w:rsidRPr="00271560">
        <w:rPr>
          <w:i/>
        </w:rPr>
        <w:t>SMN2</w:t>
      </w:r>
      <w:r w:rsidRPr="00271560">
        <w:t xml:space="preserve"> gene also produces SMN protein, albeit at low levels which are not sufficient to sustain survival of spinal motor neuron function. As </w:t>
      </w:r>
      <w:r w:rsidRPr="00271560">
        <w:rPr>
          <w:i/>
        </w:rPr>
        <w:t>SMN2</w:t>
      </w:r>
      <w:r w:rsidRPr="00271560">
        <w:t xml:space="preserve"> copy number varies from patient to patient, there is a clinical spectrum of the disease where fewer </w:t>
      </w:r>
      <w:r w:rsidRPr="00271560">
        <w:rPr>
          <w:i/>
        </w:rPr>
        <w:t>SMN2</w:t>
      </w:r>
      <w:r w:rsidRPr="00271560">
        <w:t xml:space="preserve"> gene copies may correlate to earlier age of onset and increased disease severity</w:t>
      </w:r>
      <w:r w:rsidR="00206D10">
        <w:t>.</w:t>
      </w:r>
      <w:r w:rsidRPr="00271560">
        <w:t xml:space="preserve"> SMA is classified based on age of onset and maximal motor function achieved, into types (0, I, II, III and IV) with </w:t>
      </w:r>
      <w:r w:rsidR="001F305B" w:rsidRPr="00271560">
        <w:t>T</w:t>
      </w:r>
      <w:r w:rsidRPr="00271560">
        <w:t xml:space="preserve">ype III SMA further classified into subtypes (a, b, c), see </w:t>
      </w:r>
      <w:r w:rsidRPr="00271560">
        <w:fldChar w:fldCharType="begin" w:fldLock="1"/>
      </w:r>
      <w:r w:rsidRPr="00271560">
        <w:instrText xml:space="preserve"> REF _Ref132573291 \h </w:instrText>
      </w:r>
      <w:r w:rsidRPr="00271560">
        <w:fldChar w:fldCharType="separate"/>
      </w:r>
      <w:r w:rsidR="00016BA6" w:rsidRPr="00271560">
        <w:t xml:space="preserve">Table </w:t>
      </w:r>
      <w:r w:rsidR="00016BA6">
        <w:rPr>
          <w:noProof/>
        </w:rPr>
        <w:t>3</w:t>
      </w:r>
      <w:r w:rsidRPr="00271560">
        <w:fldChar w:fldCharType="end"/>
      </w:r>
      <w:r w:rsidRPr="00271560">
        <w:t>.</w:t>
      </w:r>
    </w:p>
    <w:p w14:paraId="118EA5E3" w14:textId="575C5198" w:rsidR="00AC2298" w:rsidRPr="00271560" w:rsidRDefault="00AC2298" w:rsidP="00AC2298">
      <w:pPr>
        <w:pStyle w:val="Caption"/>
        <w:rPr>
          <w:snapToGrid w:val="0"/>
        </w:rPr>
      </w:pPr>
      <w:bookmarkStart w:id="23" w:name="_Ref132573291"/>
      <w:r w:rsidRPr="00271560">
        <w:lastRenderedPageBreak/>
        <w:t xml:space="preserve">Table </w:t>
      </w:r>
      <w:fldSimple w:instr=" SEQ Table \* ARABIC " w:fldLock="1">
        <w:r w:rsidR="00016BA6">
          <w:rPr>
            <w:noProof/>
          </w:rPr>
          <w:t>3</w:t>
        </w:r>
      </w:fldSimple>
      <w:bookmarkEnd w:id="23"/>
      <w:r w:rsidRPr="00271560">
        <w:rPr>
          <w:snapToGrid w:val="0"/>
        </w:rPr>
        <w:t>: Classification of SMA based on age of onset and maximal motor function achieved</w:t>
      </w:r>
    </w:p>
    <w:tbl>
      <w:tblPr>
        <w:tblW w:w="5006" w:type="pct"/>
        <w:tblInd w:w="-10" w:type="dxa"/>
        <w:tblCellMar>
          <w:left w:w="0" w:type="dxa"/>
          <w:right w:w="0" w:type="dxa"/>
        </w:tblCellMar>
        <w:tblLook w:val="04A0" w:firstRow="1" w:lastRow="0" w:firstColumn="1" w:lastColumn="0" w:noHBand="0" w:noVBand="1"/>
        <w:tblCaption w:val="Table 3: Classification of SMA based on age of onset and maximal motor function achieved"/>
        <w:tblDescription w:val="Table 3: Classification of SMA based on age of onset and maximal motor function achieved"/>
      </w:tblPr>
      <w:tblGrid>
        <w:gridCol w:w="1275"/>
        <w:gridCol w:w="851"/>
        <w:gridCol w:w="994"/>
        <w:gridCol w:w="1818"/>
        <w:gridCol w:w="2429"/>
        <w:gridCol w:w="1650"/>
      </w:tblGrid>
      <w:tr w:rsidR="00AC2298" w:rsidRPr="00271560" w14:paraId="3D425CB9" w14:textId="77777777" w:rsidTr="001F305B">
        <w:trPr>
          <w:cantSplit/>
          <w:tblHeader/>
        </w:trPr>
        <w:tc>
          <w:tcPr>
            <w:tcW w:w="707" w:type="pct"/>
            <w:tcBorders>
              <w:top w:val="single" w:sz="8" w:space="0" w:color="000000"/>
              <w:left w:val="single" w:sz="8" w:space="0" w:color="000000"/>
              <w:bottom w:val="single" w:sz="8" w:space="0" w:color="000000"/>
              <w:right w:val="single" w:sz="8" w:space="0" w:color="000000"/>
            </w:tcBorders>
            <w:vAlign w:val="center"/>
            <w:hideMark/>
          </w:tcPr>
          <w:p w14:paraId="287EAB57" w14:textId="77777777" w:rsidR="00AC2298" w:rsidRPr="00271560" w:rsidRDefault="00AC2298" w:rsidP="00CB2C92">
            <w:pPr>
              <w:pStyle w:val="In-tableHeading"/>
              <w:jc w:val="center"/>
              <w:rPr>
                <w:lang w:val="en-AU"/>
              </w:rPr>
            </w:pPr>
            <w:r w:rsidRPr="00271560">
              <w:rPr>
                <w:lang w:val="en-AU"/>
              </w:rPr>
              <w:t>Terminology</w:t>
            </w:r>
          </w:p>
        </w:tc>
        <w:tc>
          <w:tcPr>
            <w:tcW w:w="4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7FF316" w14:textId="77777777" w:rsidR="00AC2298" w:rsidRPr="00271560" w:rsidRDefault="00AC2298" w:rsidP="00CB2C92">
            <w:pPr>
              <w:pStyle w:val="In-tableHeading"/>
              <w:jc w:val="center"/>
              <w:rPr>
                <w:lang w:val="en-AU" w:eastAsia="ja-JP"/>
              </w:rPr>
            </w:pPr>
            <w:r w:rsidRPr="00271560">
              <w:rPr>
                <w:lang w:val="en-AU"/>
              </w:rPr>
              <w:t>SMA type</w:t>
            </w:r>
          </w:p>
        </w:tc>
        <w:tc>
          <w:tcPr>
            <w:tcW w:w="551" w:type="pct"/>
            <w:tcBorders>
              <w:top w:val="single" w:sz="8" w:space="0" w:color="000000"/>
              <w:left w:val="nil"/>
              <w:bottom w:val="single" w:sz="8" w:space="0" w:color="000000"/>
              <w:right w:val="single" w:sz="4" w:space="0" w:color="auto"/>
            </w:tcBorders>
            <w:vAlign w:val="center"/>
          </w:tcPr>
          <w:p w14:paraId="2D9D5B99" w14:textId="75C76602" w:rsidR="00AC2298" w:rsidRPr="00271560" w:rsidRDefault="00AC2298" w:rsidP="001F305B">
            <w:pPr>
              <w:pStyle w:val="In-tableHeading"/>
              <w:jc w:val="center"/>
              <w:rPr>
                <w:lang w:val="en-AU"/>
              </w:rPr>
            </w:pPr>
            <w:r w:rsidRPr="00271560">
              <w:rPr>
                <w:i/>
                <w:iCs/>
                <w:lang w:val="en-AU"/>
              </w:rPr>
              <w:t>SMN2</w:t>
            </w:r>
            <w:r w:rsidRPr="00271560">
              <w:rPr>
                <w:lang w:val="en-AU"/>
              </w:rPr>
              <w:t xml:space="preserve"> copies</w:t>
            </w:r>
            <w:r w:rsidR="001F305B" w:rsidRPr="00271560">
              <w:rPr>
                <w:lang w:val="en-AU"/>
              </w:rPr>
              <w:t xml:space="preserve"> </w:t>
            </w:r>
            <w:r w:rsidRPr="00271560">
              <w:rPr>
                <w:vertAlign w:val="superscript"/>
                <w:lang w:val="en-AU"/>
              </w:rPr>
              <w:t>a,</w:t>
            </w:r>
            <w:r w:rsidR="000B488A">
              <w:rPr>
                <w:vertAlign w:val="superscript"/>
                <w:lang w:val="en-AU"/>
              </w:rPr>
              <w:t xml:space="preserve"> </w:t>
            </w:r>
            <w:r w:rsidRPr="00271560">
              <w:rPr>
                <w:vertAlign w:val="superscript"/>
                <w:lang w:val="en-AU"/>
              </w:rPr>
              <w:t>b</w:t>
            </w:r>
          </w:p>
        </w:tc>
        <w:tc>
          <w:tcPr>
            <w:tcW w:w="1008" w:type="pct"/>
            <w:tcBorders>
              <w:top w:val="single" w:sz="8" w:space="0" w:color="000000"/>
              <w:left w:val="single" w:sz="4" w:space="0" w:color="auto"/>
              <w:bottom w:val="single" w:sz="8" w:space="0" w:color="000000"/>
              <w:right w:val="single" w:sz="8" w:space="0" w:color="auto"/>
            </w:tcBorders>
            <w:tcMar>
              <w:top w:w="0" w:type="dxa"/>
              <w:left w:w="108" w:type="dxa"/>
              <w:bottom w:w="0" w:type="dxa"/>
              <w:right w:w="108" w:type="dxa"/>
            </w:tcMar>
            <w:vAlign w:val="center"/>
            <w:hideMark/>
          </w:tcPr>
          <w:p w14:paraId="08CFD6CD" w14:textId="77777777" w:rsidR="00AC2298" w:rsidRPr="00271560" w:rsidRDefault="00AC2298" w:rsidP="00CB2C92">
            <w:pPr>
              <w:pStyle w:val="In-tableHeading"/>
              <w:jc w:val="center"/>
              <w:rPr>
                <w:lang w:val="en-AU" w:eastAsia="ja-JP"/>
              </w:rPr>
            </w:pPr>
            <w:r w:rsidRPr="00271560">
              <w:rPr>
                <w:lang w:val="en-AU"/>
              </w:rPr>
              <w:t>Age at symptom onset</w:t>
            </w:r>
          </w:p>
        </w:tc>
        <w:tc>
          <w:tcPr>
            <w:tcW w:w="1347" w:type="pct"/>
            <w:tcBorders>
              <w:top w:val="single" w:sz="8" w:space="0" w:color="000000"/>
              <w:left w:val="nil"/>
              <w:bottom w:val="single" w:sz="8" w:space="0" w:color="000000"/>
              <w:right w:val="single" w:sz="8" w:space="0" w:color="auto"/>
            </w:tcBorders>
            <w:vAlign w:val="center"/>
            <w:hideMark/>
          </w:tcPr>
          <w:p w14:paraId="28701E43" w14:textId="21DE95F7" w:rsidR="00AC2298" w:rsidRPr="0075338A" w:rsidRDefault="00AC2298" w:rsidP="00CB2C92">
            <w:pPr>
              <w:pStyle w:val="In-tableHeading"/>
              <w:jc w:val="center"/>
              <w:rPr>
                <w:lang w:val="en-AU" w:eastAsia="en-US"/>
              </w:rPr>
            </w:pPr>
            <w:r w:rsidRPr="0075338A">
              <w:rPr>
                <w:lang w:val="en-AU"/>
              </w:rPr>
              <w:t>Highest motor function achieved</w:t>
            </w:r>
            <w:r w:rsidR="00507A88" w:rsidRPr="0075338A">
              <w:rPr>
                <w:lang w:val="en-AU"/>
              </w:rPr>
              <w:t xml:space="preserve"> without treatment</w:t>
            </w:r>
          </w:p>
        </w:tc>
        <w:tc>
          <w:tcPr>
            <w:tcW w:w="915" w:type="pct"/>
            <w:tcBorders>
              <w:top w:val="single" w:sz="8" w:space="0" w:color="000000"/>
              <w:left w:val="nil"/>
              <w:bottom w:val="single" w:sz="8" w:space="0" w:color="000000"/>
              <w:right w:val="single" w:sz="8" w:space="0" w:color="auto"/>
            </w:tcBorders>
            <w:vAlign w:val="center"/>
            <w:hideMark/>
          </w:tcPr>
          <w:p w14:paraId="7045B51F" w14:textId="4151F4A6" w:rsidR="00AC2298" w:rsidRPr="0075338A" w:rsidRDefault="00AC2298" w:rsidP="00CB2C92">
            <w:pPr>
              <w:pStyle w:val="In-tableHeading"/>
              <w:jc w:val="center"/>
              <w:rPr>
                <w:lang w:val="en-AU"/>
              </w:rPr>
            </w:pPr>
            <w:r w:rsidRPr="0075338A">
              <w:rPr>
                <w:lang w:val="en-AU"/>
              </w:rPr>
              <w:t>Average life expectancy</w:t>
            </w:r>
            <w:r w:rsidR="00C47DA7" w:rsidRPr="0075338A">
              <w:rPr>
                <w:lang w:val="en-AU"/>
              </w:rPr>
              <w:t xml:space="preserve"> without treatment</w:t>
            </w:r>
          </w:p>
        </w:tc>
      </w:tr>
      <w:tr w:rsidR="00AC2298" w:rsidRPr="00271560" w14:paraId="05A03E53" w14:textId="77777777" w:rsidTr="001F305B">
        <w:trPr>
          <w:cantSplit/>
        </w:trPr>
        <w:tc>
          <w:tcPr>
            <w:tcW w:w="707" w:type="pct"/>
            <w:tcBorders>
              <w:top w:val="nil"/>
              <w:left w:val="single" w:sz="8" w:space="0" w:color="000000"/>
              <w:bottom w:val="single" w:sz="8" w:space="0" w:color="000000"/>
              <w:right w:val="single" w:sz="8" w:space="0" w:color="000000"/>
            </w:tcBorders>
            <w:vAlign w:val="center"/>
            <w:hideMark/>
          </w:tcPr>
          <w:p w14:paraId="35EC05CA" w14:textId="77777777" w:rsidR="00AC2298" w:rsidRPr="00271560" w:rsidRDefault="00AC2298" w:rsidP="00CB2C92">
            <w:pPr>
              <w:pStyle w:val="TableText0"/>
            </w:pPr>
            <w:r w:rsidRPr="00271560">
              <w:t>Pre-natal</w:t>
            </w:r>
          </w:p>
        </w:tc>
        <w:tc>
          <w:tcPr>
            <w:tcW w:w="47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A6F564" w14:textId="77777777" w:rsidR="00AC2298" w:rsidRPr="00271560" w:rsidRDefault="00AC2298" w:rsidP="00CB2C92">
            <w:pPr>
              <w:pStyle w:val="TableText0"/>
              <w:jc w:val="center"/>
            </w:pPr>
            <w:r w:rsidRPr="00271560">
              <w:t>0</w:t>
            </w:r>
          </w:p>
        </w:tc>
        <w:tc>
          <w:tcPr>
            <w:tcW w:w="551" w:type="pct"/>
            <w:tcBorders>
              <w:top w:val="single" w:sz="8" w:space="0" w:color="000000"/>
              <w:left w:val="nil"/>
              <w:bottom w:val="single" w:sz="8" w:space="0" w:color="000000"/>
              <w:right w:val="single" w:sz="4" w:space="0" w:color="auto"/>
            </w:tcBorders>
            <w:vAlign w:val="center"/>
          </w:tcPr>
          <w:p w14:paraId="3220E375" w14:textId="77777777" w:rsidR="00AC2298" w:rsidRPr="00271560" w:rsidRDefault="00AC2298" w:rsidP="001F305B">
            <w:pPr>
              <w:pStyle w:val="TableText0"/>
              <w:jc w:val="center"/>
            </w:pPr>
            <w:r w:rsidRPr="00271560">
              <w:t>1</w:t>
            </w:r>
          </w:p>
        </w:tc>
        <w:tc>
          <w:tcPr>
            <w:tcW w:w="1008"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32C2C916" w14:textId="77777777" w:rsidR="00AC2298" w:rsidRPr="00271560" w:rsidRDefault="00AC2298" w:rsidP="00CB2C92">
            <w:pPr>
              <w:pStyle w:val="TableText0"/>
              <w:jc w:val="center"/>
            </w:pPr>
            <w:r w:rsidRPr="00271560">
              <w:t>Prenatal</w:t>
            </w:r>
          </w:p>
        </w:tc>
        <w:tc>
          <w:tcPr>
            <w:tcW w:w="1347" w:type="pct"/>
            <w:tcBorders>
              <w:top w:val="nil"/>
              <w:left w:val="nil"/>
              <w:bottom w:val="single" w:sz="8" w:space="0" w:color="000000"/>
              <w:right w:val="single" w:sz="8" w:space="0" w:color="000000"/>
            </w:tcBorders>
            <w:vAlign w:val="center"/>
            <w:hideMark/>
          </w:tcPr>
          <w:p w14:paraId="75A912B4" w14:textId="77777777" w:rsidR="00AC2298" w:rsidRPr="00271560" w:rsidRDefault="00AC2298" w:rsidP="00CB2C92">
            <w:pPr>
              <w:pStyle w:val="TableText0"/>
              <w:jc w:val="center"/>
            </w:pPr>
            <w:r w:rsidRPr="00271560">
              <w:t>None – unable to sit or roll</w:t>
            </w:r>
          </w:p>
        </w:tc>
        <w:tc>
          <w:tcPr>
            <w:tcW w:w="915" w:type="pct"/>
            <w:tcBorders>
              <w:top w:val="nil"/>
              <w:left w:val="nil"/>
              <w:bottom w:val="single" w:sz="8" w:space="0" w:color="000000"/>
              <w:right w:val="single" w:sz="8" w:space="0" w:color="000000"/>
            </w:tcBorders>
            <w:vAlign w:val="center"/>
            <w:hideMark/>
          </w:tcPr>
          <w:p w14:paraId="723F68B1" w14:textId="77777777" w:rsidR="00AC2298" w:rsidRPr="00271560" w:rsidRDefault="00AC2298" w:rsidP="00CB2C92">
            <w:pPr>
              <w:pStyle w:val="TableText0"/>
              <w:jc w:val="center"/>
            </w:pPr>
            <w:r w:rsidRPr="00271560">
              <w:t>Death within weeks</w:t>
            </w:r>
          </w:p>
        </w:tc>
      </w:tr>
      <w:tr w:rsidR="00AC2298" w:rsidRPr="00271560" w14:paraId="64ECF47D" w14:textId="77777777" w:rsidTr="001F305B">
        <w:trPr>
          <w:cantSplit/>
        </w:trPr>
        <w:tc>
          <w:tcPr>
            <w:tcW w:w="707" w:type="pct"/>
            <w:tcBorders>
              <w:top w:val="nil"/>
              <w:left w:val="single" w:sz="8" w:space="0" w:color="000000"/>
              <w:bottom w:val="single" w:sz="8" w:space="0" w:color="000000"/>
              <w:right w:val="single" w:sz="8" w:space="0" w:color="000000"/>
            </w:tcBorders>
            <w:vAlign w:val="center"/>
            <w:hideMark/>
          </w:tcPr>
          <w:p w14:paraId="6F83988B" w14:textId="77777777" w:rsidR="00AC2298" w:rsidRPr="00271560" w:rsidRDefault="00AC2298" w:rsidP="00CB2C92">
            <w:pPr>
              <w:pStyle w:val="TableText0"/>
            </w:pPr>
            <w:r w:rsidRPr="00271560">
              <w:t>Infantile-onset</w:t>
            </w:r>
          </w:p>
        </w:tc>
        <w:tc>
          <w:tcPr>
            <w:tcW w:w="47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7FF4A6" w14:textId="77777777" w:rsidR="00AC2298" w:rsidRPr="00271560" w:rsidRDefault="00AC2298" w:rsidP="00CB2C92">
            <w:pPr>
              <w:pStyle w:val="TableText0"/>
              <w:jc w:val="center"/>
              <w:rPr>
                <w:lang w:eastAsia="ja-JP"/>
              </w:rPr>
            </w:pPr>
            <w:r w:rsidRPr="00271560">
              <w:t>I</w:t>
            </w:r>
          </w:p>
        </w:tc>
        <w:tc>
          <w:tcPr>
            <w:tcW w:w="551" w:type="pct"/>
            <w:tcBorders>
              <w:top w:val="single" w:sz="8" w:space="0" w:color="000000"/>
              <w:left w:val="nil"/>
              <w:bottom w:val="single" w:sz="8" w:space="0" w:color="000000"/>
              <w:right w:val="single" w:sz="4" w:space="0" w:color="auto"/>
            </w:tcBorders>
            <w:vAlign w:val="center"/>
          </w:tcPr>
          <w:p w14:paraId="15D94A5E" w14:textId="77777777" w:rsidR="00AC2298" w:rsidRPr="00271560" w:rsidRDefault="00AC2298" w:rsidP="001F305B">
            <w:pPr>
              <w:pStyle w:val="TableText0"/>
              <w:jc w:val="center"/>
            </w:pPr>
            <w:r w:rsidRPr="00271560">
              <w:t xml:space="preserve">1, </w:t>
            </w:r>
            <w:r w:rsidRPr="00271560">
              <w:rPr>
                <w:b/>
                <w:bCs w:val="0"/>
              </w:rPr>
              <w:t>2</w:t>
            </w:r>
            <w:r w:rsidRPr="00271560">
              <w:t>, 3</w:t>
            </w:r>
          </w:p>
        </w:tc>
        <w:tc>
          <w:tcPr>
            <w:tcW w:w="1008"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4C06A541" w14:textId="77777777" w:rsidR="00AC2298" w:rsidRPr="00271560" w:rsidRDefault="00AC2298" w:rsidP="00CB2C92">
            <w:pPr>
              <w:pStyle w:val="TableText0"/>
              <w:jc w:val="center"/>
              <w:rPr>
                <w:lang w:eastAsia="en-US"/>
              </w:rPr>
            </w:pPr>
            <w:r w:rsidRPr="00271560">
              <w:t>&lt; 6 months</w:t>
            </w:r>
          </w:p>
        </w:tc>
        <w:tc>
          <w:tcPr>
            <w:tcW w:w="1347" w:type="pct"/>
            <w:tcBorders>
              <w:top w:val="nil"/>
              <w:left w:val="nil"/>
              <w:bottom w:val="single" w:sz="8" w:space="0" w:color="000000"/>
              <w:right w:val="single" w:sz="8" w:space="0" w:color="000000"/>
            </w:tcBorders>
            <w:vAlign w:val="center"/>
            <w:hideMark/>
          </w:tcPr>
          <w:p w14:paraId="35FE95CA" w14:textId="77777777" w:rsidR="00AC2298" w:rsidRPr="00271560" w:rsidRDefault="00AC2298" w:rsidP="00CB2C92">
            <w:pPr>
              <w:pStyle w:val="TableText0"/>
              <w:jc w:val="center"/>
            </w:pPr>
            <w:r w:rsidRPr="00271560">
              <w:t>None – unable to sit or roll</w:t>
            </w:r>
          </w:p>
        </w:tc>
        <w:tc>
          <w:tcPr>
            <w:tcW w:w="915" w:type="pct"/>
            <w:tcBorders>
              <w:top w:val="nil"/>
              <w:left w:val="nil"/>
              <w:bottom w:val="single" w:sz="8" w:space="0" w:color="000000"/>
              <w:right w:val="single" w:sz="8" w:space="0" w:color="000000"/>
            </w:tcBorders>
            <w:vAlign w:val="center"/>
            <w:hideMark/>
          </w:tcPr>
          <w:p w14:paraId="02C544CC" w14:textId="77777777" w:rsidR="00AC2298" w:rsidRPr="00271560" w:rsidRDefault="00AC2298" w:rsidP="00CB2C92">
            <w:pPr>
              <w:pStyle w:val="TableText0"/>
              <w:jc w:val="center"/>
            </w:pPr>
            <w:r w:rsidRPr="00271560">
              <w:t>Death within two years</w:t>
            </w:r>
          </w:p>
        </w:tc>
      </w:tr>
      <w:tr w:rsidR="00AC2298" w:rsidRPr="00271560" w14:paraId="75DE3E37" w14:textId="77777777" w:rsidTr="001F305B">
        <w:trPr>
          <w:cantSplit/>
        </w:trPr>
        <w:tc>
          <w:tcPr>
            <w:tcW w:w="707" w:type="pct"/>
            <w:vMerge w:val="restart"/>
            <w:tcBorders>
              <w:top w:val="nil"/>
              <w:left w:val="single" w:sz="8" w:space="0" w:color="000000"/>
              <w:bottom w:val="single" w:sz="8" w:space="0" w:color="000000"/>
              <w:right w:val="single" w:sz="8" w:space="0" w:color="000000"/>
            </w:tcBorders>
            <w:vAlign w:val="center"/>
            <w:hideMark/>
          </w:tcPr>
          <w:p w14:paraId="716C49F5" w14:textId="77777777" w:rsidR="00AC2298" w:rsidRPr="00271560" w:rsidRDefault="00AC2298" w:rsidP="00CB2C92">
            <w:pPr>
              <w:pStyle w:val="TableText0"/>
              <w:rPr>
                <w:lang w:eastAsia="ja-JP"/>
              </w:rPr>
            </w:pPr>
            <w:r w:rsidRPr="00271560">
              <w:rPr>
                <w:lang w:eastAsia="ja-JP"/>
              </w:rPr>
              <w:t>Childhood-onset</w:t>
            </w:r>
          </w:p>
        </w:tc>
        <w:tc>
          <w:tcPr>
            <w:tcW w:w="47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5E3815" w14:textId="77777777" w:rsidR="00AC2298" w:rsidRPr="00271560" w:rsidRDefault="00AC2298" w:rsidP="00CB2C92">
            <w:pPr>
              <w:pStyle w:val="TableText0"/>
              <w:jc w:val="center"/>
              <w:rPr>
                <w:lang w:eastAsia="ja-JP"/>
              </w:rPr>
            </w:pPr>
            <w:r w:rsidRPr="00271560">
              <w:rPr>
                <w:lang w:eastAsia="ja-JP"/>
              </w:rPr>
              <w:t>II</w:t>
            </w:r>
          </w:p>
        </w:tc>
        <w:tc>
          <w:tcPr>
            <w:tcW w:w="551" w:type="pct"/>
            <w:tcBorders>
              <w:top w:val="single" w:sz="8" w:space="0" w:color="000000"/>
              <w:left w:val="nil"/>
              <w:bottom w:val="single" w:sz="8" w:space="0" w:color="000000"/>
              <w:right w:val="single" w:sz="4" w:space="0" w:color="auto"/>
            </w:tcBorders>
            <w:vAlign w:val="center"/>
          </w:tcPr>
          <w:p w14:paraId="539A760A" w14:textId="77777777" w:rsidR="00AC2298" w:rsidRPr="00271560" w:rsidRDefault="00AC2298" w:rsidP="001F305B">
            <w:pPr>
              <w:pStyle w:val="TableText0"/>
              <w:jc w:val="center"/>
            </w:pPr>
            <w:r w:rsidRPr="00271560">
              <w:t xml:space="preserve">2, </w:t>
            </w:r>
            <w:r w:rsidRPr="00271560">
              <w:rPr>
                <w:b/>
                <w:bCs w:val="0"/>
              </w:rPr>
              <w:t>3</w:t>
            </w:r>
            <w:r w:rsidRPr="00271560">
              <w:t>, 4</w:t>
            </w:r>
          </w:p>
        </w:tc>
        <w:tc>
          <w:tcPr>
            <w:tcW w:w="1008"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67AF3380" w14:textId="77777777" w:rsidR="00AC2298" w:rsidRPr="00271560" w:rsidRDefault="00AC2298" w:rsidP="00CB2C92">
            <w:pPr>
              <w:pStyle w:val="TableText0"/>
              <w:jc w:val="center"/>
              <w:rPr>
                <w:lang w:eastAsia="en-US"/>
              </w:rPr>
            </w:pPr>
            <w:r w:rsidRPr="00271560">
              <w:t>6 - 18 months</w:t>
            </w:r>
          </w:p>
        </w:tc>
        <w:tc>
          <w:tcPr>
            <w:tcW w:w="1347" w:type="pct"/>
            <w:tcBorders>
              <w:top w:val="nil"/>
              <w:left w:val="nil"/>
              <w:bottom w:val="single" w:sz="8" w:space="0" w:color="000000"/>
              <w:right w:val="single" w:sz="8" w:space="0" w:color="000000"/>
            </w:tcBorders>
            <w:vAlign w:val="center"/>
            <w:hideMark/>
          </w:tcPr>
          <w:p w14:paraId="4757957C" w14:textId="77777777" w:rsidR="00AC2298" w:rsidRPr="00271560" w:rsidRDefault="00AC2298" w:rsidP="00CB2C92">
            <w:pPr>
              <w:pStyle w:val="TableText0"/>
              <w:jc w:val="center"/>
            </w:pPr>
            <w:r w:rsidRPr="00271560">
              <w:t>Sitting – unable to walk independently</w:t>
            </w:r>
          </w:p>
        </w:tc>
        <w:tc>
          <w:tcPr>
            <w:tcW w:w="915" w:type="pct"/>
            <w:tcBorders>
              <w:top w:val="nil"/>
              <w:left w:val="nil"/>
              <w:bottom w:val="single" w:sz="8" w:space="0" w:color="000000"/>
              <w:right w:val="single" w:sz="8" w:space="0" w:color="000000"/>
            </w:tcBorders>
            <w:vAlign w:val="center"/>
            <w:hideMark/>
          </w:tcPr>
          <w:p w14:paraId="060E83AD" w14:textId="77777777" w:rsidR="00AC2298" w:rsidRPr="00271560" w:rsidRDefault="00AC2298" w:rsidP="00CB2C92">
            <w:pPr>
              <w:pStyle w:val="TableText0"/>
              <w:jc w:val="center"/>
            </w:pPr>
            <w:r w:rsidRPr="00271560">
              <w:t>Survival into adulthood</w:t>
            </w:r>
          </w:p>
        </w:tc>
      </w:tr>
      <w:tr w:rsidR="00AC2298" w:rsidRPr="00271560" w14:paraId="16D3D2F9" w14:textId="77777777" w:rsidTr="001F305B">
        <w:trPr>
          <w:cantSplit/>
        </w:trPr>
        <w:tc>
          <w:tcPr>
            <w:tcW w:w="707" w:type="pct"/>
            <w:vMerge/>
            <w:tcBorders>
              <w:top w:val="nil"/>
              <w:left w:val="single" w:sz="8" w:space="0" w:color="000000"/>
              <w:bottom w:val="single" w:sz="8" w:space="0" w:color="000000"/>
              <w:right w:val="single" w:sz="8" w:space="0" w:color="000000"/>
            </w:tcBorders>
            <w:vAlign w:val="center"/>
            <w:hideMark/>
          </w:tcPr>
          <w:p w14:paraId="6A05B0ED" w14:textId="77777777" w:rsidR="00AC2298" w:rsidRPr="00271560" w:rsidRDefault="00AC2298" w:rsidP="00CB2C92">
            <w:pPr>
              <w:pStyle w:val="TableText0"/>
              <w:rPr>
                <w:rFonts w:cs="Arial"/>
                <w:lang w:eastAsia="ja-JP"/>
              </w:rPr>
            </w:pPr>
          </w:p>
        </w:tc>
        <w:tc>
          <w:tcPr>
            <w:tcW w:w="47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615221" w14:textId="77777777" w:rsidR="00AC2298" w:rsidRPr="00271560" w:rsidRDefault="00AC2298" w:rsidP="00CB2C92">
            <w:pPr>
              <w:pStyle w:val="TableText0"/>
              <w:jc w:val="center"/>
              <w:rPr>
                <w:lang w:eastAsia="ja-JP"/>
              </w:rPr>
            </w:pPr>
            <w:r w:rsidRPr="00271560">
              <w:t>III</w:t>
            </w:r>
          </w:p>
        </w:tc>
        <w:tc>
          <w:tcPr>
            <w:tcW w:w="551" w:type="pct"/>
            <w:tcBorders>
              <w:top w:val="single" w:sz="8" w:space="0" w:color="000000"/>
              <w:left w:val="nil"/>
              <w:bottom w:val="single" w:sz="8" w:space="0" w:color="000000"/>
              <w:right w:val="single" w:sz="4" w:space="0" w:color="auto"/>
            </w:tcBorders>
            <w:vAlign w:val="center"/>
          </w:tcPr>
          <w:p w14:paraId="6B98BA9D" w14:textId="77777777" w:rsidR="00AC2298" w:rsidRPr="00271560" w:rsidRDefault="00AC2298" w:rsidP="001F305B">
            <w:pPr>
              <w:pStyle w:val="TableText0"/>
              <w:jc w:val="center"/>
            </w:pPr>
            <w:r w:rsidRPr="00271560">
              <w:t xml:space="preserve">2, </w:t>
            </w:r>
            <w:r w:rsidRPr="00271560">
              <w:rPr>
                <w:b/>
                <w:bCs w:val="0"/>
              </w:rPr>
              <w:t>3, 4</w:t>
            </w:r>
          </w:p>
        </w:tc>
        <w:tc>
          <w:tcPr>
            <w:tcW w:w="1008"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5D3C1856" w14:textId="77777777" w:rsidR="00AC2298" w:rsidRPr="00271560" w:rsidRDefault="00AC2298" w:rsidP="00CB2C92">
            <w:pPr>
              <w:pStyle w:val="TableText0"/>
              <w:jc w:val="center"/>
              <w:rPr>
                <w:lang w:eastAsia="en-US"/>
              </w:rPr>
            </w:pPr>
            <w:r w:rsidRPr="00271560">
              <w:t>&lt; 3 years (IIIa)</w:t>
            </w:r>
          </w:p>
          <w:p w14:paraId="657E8C75" w14:textId="77777777" w:rsidR="00AC2298" w:rsidRPr="00271560" w:rsidRDefault="00AC2298" w:rsidP="00CB2C92">
            <w:pPr>
              <w:pStyle w:val="TableText0"/>
              <w:jc w:val="center"/>
            </w:pPr>
            <w:r w:rsidRPr="00271560">
              <w:t>&gt; 3 years (IIIb)</w:t>
            </w:r>
          </w:p>
          <w:p w14:paraId="42DF4FF4" w14:textId="77777777" w:rsidR="00AC2298" w:rsidRPr="00271560" w:rsidRDefault="00AC2298" w:rsidP="00CB2C92">
            <w:pPr>
              <w:pStyle w:val="TableText0"/>
              <w:jc w:val="center"/>
            </w:pPr>
            <w:r w:rsidRPr="00271560">
              <w:t xml:space="preserve">&gt; 12 to </w:t>
            </w:r>
            <w:r w:rsidRPr="00271560">
              <w:rPr>
                <w:rFonts w:cs="Arial"/>
              </w:rPr>
              <w:t>≤</w:t>
            </w:r>
            <w:r w:rsidRPr="00271560">
              <w:t> 18 years (IIIc)</w:t>
            </w:r>
          </w:p>
        </w:tc>
        <w:tc>
          <w:tcPr>
            <w:tcW w:w="1347" w:type="pct"/>
            <w:tcBorders>
              <w:top w:val="nil"/>
              <w:left w:val="nil"/>
              <w:bottom w:val="single" w:sz="8" w:space="0" w:color="000000"/>
              <w:right w:val="single" w:sz="8" w:space="0" w:color="000000"/>
            </w:tcBorders>
            <w:vAlign w:val="center"/>
            <w:hideMark/>
          </w:tcPr>
          <w:p w14:paraId="0C0B0941" w14:textId="77777777" w:rsidR="00AC2298" w:rsidRPr="00271560" w:rsidRDefault="00AC2298" w:rsidP="00CB2C92">
            <w:pPr>
              <w:pStyle w:val="TableText0"/>
              <w:jc w:val="center"/>
            </w:pPr>
            <w:r w:rsidRPr="00271560">
              <w:t>Independently stand and walk, may lose ability to walk over time</w:t>
            </w:r>
          </w:p>
        </w:tc>
        <w:tc>
          <w:tcPr>
            <w:tcW w:w="915" w:type="pct"/>
            <w:tcBorders>
              <w:top w:val="nil"/>
              <w:left w:val="nil"/>
              <w:bottom w:val="single" w:sz="8" w:space="0" w:color="000000"/>
              <w:right w:val="single" w:sz="8" w:space="0" w:color="000000"/>
            </w:tcBorders>
            <w:vAlign w:val="center"/>
            <w:hideMark/>
          </w:tcPr>
          <w:p w14:paraId="1E6EAC47" w14:textId="77777777" w:rsidR="00AC2298" w:rsidRPr="00271560" w:rsidRDefault="00AC2298" w:rsidP="00CB2C92">
            <w:pPr>
              <w:pStyle w:val="TableText0"/>
              <w:jc w:val="center"/>
            </w:pPr>
            <w:r w:rsidRPr="00271560">
              <w:t>Normal lifespan</w:t>
            </w:r>
          </w:p>
        </w:tc>
      </w:tr>
      <w:tr w:rsidR="00AC2298" w:rsidRPr="00271560" w14:paraId="1AC41960" w14:textId="77777777" w:rsidTr="001F305B">
        <w:trPr>
          <w:cantSplit/>
        </w:trPr>
        <w:tc>
          <w:tcPr>
            <w:tcW w:w="707" w:type="pct"/>
            <w:tcBorders>
              <w:top w:val="nil"/>
              <w:left w:val="single" w:sz="8" w:space="0" w:color="000000"/>
              <w:bottom w:val="single" w:sz="8" w:space="0" w:color="000000"/>
              <w:right w:val="single" w:sz="8" w:space="0" w:color="000000"/>
            </w:tcBorders>
            <w:vAlign w:val="center"/>
            <w:hideMark/>
          </w:tcPr>
          <w:p w14:paraId="57515041" w14:textId="77777777" w:rsidR="00AC2298" w:rsidRPr="00271560" w:rsidRDefault="00AC2298" w:rsidP="00CB2C92">
            <w:pPr>
              <w:pStyle w:val="TableText0"/>
            </w:pPr>
            <w:r w:rsidRPr="00271560">
              <w:t>Adult-onset</w:t>
            </w:r>
          </w:p>
        </w:tc>
        <w:tc>
          <w:tcPr>
            <w:tcW w:w="47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80B77C" w14:textId="77777777" w:rsidR="00AC2298" w:rsidRPr="00271560" w:rsidRDefault="00AC2298" w:rsidP="00CB2C92">
            <w:pPr>
              <w:pStyle w:val="TableText0"/>
              <w:jc w:val="center"/>
              <w:rPr>
                <w:lang w:eastAsia="ja-JP"/>
              </w:rPr>
            </w:pPr>
            <w:r w:rsidRPr="00271560">
              <w:t>IV</w:t>
            </w:r>
          </w:p>
        </w:tc>
        <w:tc>
          <w:tcPr>
            <w:tcW w:w="551" w:type="pct"/>
            <w:tcBorders>
              <w:top w:val="single" w:sz="8" w:space="0" w:color="000000"/>
              <w:left w:val="nil"/>
              <w:bottom w:val="single" w:sz="8" w:space="0" w:color="000000"/>
              <w:right w:val="single" w:sz="4" w:space="0" w:color="auto"/>
            </w:tcBorders>
            <w:vAlign w:val="center"/>
          </w:tcPr>
          <w:p w14:paraId="160C0324" w14:textId="77777777" w:rsidR="00AC2298" w:rsidRPr="00271560" w:rsidRDefault="00AC2298" w:rsidP="001F305B">
            <w:pPr>
              <w:pStyle w:val="TableText0"/>
              <w:jc w:val="center"/>
            </w:pPr>
            <w:r w:rsidRPr="00271560">
              <w:t>4, 5</w:t>
            </w:r>
          </w:p>
        </w:tc>
        <w:tc>
          <w:tcPr>
            <w:tcW w:w="1008"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65E12F8D" w14:textId="77777777" w:rsidR="00AC2298" w:rsidRPr="00271560" w:rsidRDefault="00AC2298" w:rsidP="00CB2C92">
            <w:pPr>
              <w:pStyle w:val="TableText0"/>
              <w:jc w:val="center"/>
              <w:rPr>
                <w:lang w:eastAsia="en-US"/>
              </w:rPr>
            </w:pPr>
            <w:r w:rsidRPr="00271560">
              <w:t>&gt; 18 years</w:t>
            </w:r>
          </w:p>
        </w:tc>
        <w:tc>
          <w:tcPr>
            <w:tcW w:w="1347" w:type="pct"/>
            <w:tcBorders>
              <w:top w:val="nil"/>
              <w:left w:val="nil"/>
              <w:bottom w:val="single" w:sz="8" w:space="0" w:color="000000"/>
              <w:right w:val="single" w:sz="8" w:space="0" w:color="000000"/>
            </w:tcBorders>
            <w:vAlign w:val="center"/>
            <w:hideMark/>
          </w:tcPr>
          <w:p w14:paraId="0AEA2C43" w14:textId="77777777" w:rsidR="00AC2298" w:rsidRPr="00271560" w:rsidRDefault="00AC2298" w:rsidP="00CB2C92">
            <w:pPr>
              <w:pStyle w:val="TableText0"/>
              <w:jc w:val="center"/>
            </w:pPr>
            <w:r w:rsidRPr="00271560">
              <w:t>Normal – mild motor impairment</w:t>
            </w:r>
          </w:p>
        </w:tc>
        <w:tc>
          <w:tcPr>
            <w:tcW w:w="915" w:type="pct"/>
            <w:tcBorders>
              <w:top w:val="nil"/>
              <w:left w:val="nil"/>
              <w:bottom w:val="single" w:sz="8" w:space="0" w:color="000000"/>
              <w:right w:val="single" w:sz="8" w:space="0" w:color="000000"/>
            </w:tcBorders>
            <w:vAlign w:val="center"/>
            <w:hideMark/>
          </w:tcPr>
          <w:p w14:paraId="54B0B95D" w14:textId="77777777" w:rsidR="00AC2298" w:rsidRPr="00271560" w:rsidRDefault="00AC2298" w:rsidP="00CB2C92">
            <w:pPr>
              <w:pStyle w:val="TableText0"/>
              <w:jc w:val="center"/>
            </w:pPr>
            <w:r w:rsidRPr="00271560">
              <w:t>Normal lifespan</w:t>
            </w:r>
          </w:p>
        </w:tc>
      </w:tr>
    </w:tbl>
    <w:p w14:paraId="700E43A0" w14:textId="77777777" w:rsidR="00AC2298" w:rsidRPr="00271560" w:rsidRDefault="00AC2298" w:rsidP="00AC2298">
      <w:pPr>
        <w:pStyle w:val="TableFooter"/>
      </w:pPr>
      <w:r w:rsidRPr="00271560">
        <w:t>Source: Tables 1.3 and 1.4, pp 34 and 35 of the resubmission</w:t>
      </w:r>
    </w:p>
    <w:p w14:paraId="6E454377" w14:textId="77777777" w:rsidR="00AC2298" w:rsidRPr="00206D10" w:rsidRDefault="00AC2298" w:rsidP="00AC2298">
      <w:pPr>
        <w:pStyle w:val="TableFooter"/>
        <w:rPr>
          <w:i/>
          <w:iCs/>
        </w:rPr>
      </w:pPr>
      <w:r w:rsidRPr="00271560">
        <w:t xml:space="preserve">SMA = spinal muscular atrophy; SMN = </w:t>
      </w:r>
      <w:r w:rsidRPr="00E3660D">
        <w:t>survival of motor neuron</w:t>
      </w:r>
    </w:p>
    <w:p w14:paraId="723A0D43" w14:textId="0D7FFB7D" w:rsidR="00AC2298" w:rsidRPr="0067202A" w:rsidRDefault="00AC2298" w:rsidP="00AC2298">
      <w:pPr>
        <w:pStyle w:val="TableFooter"/>
        <w:rPr>
          <w:iCs/>
        </w:rPr>
      </w:pPr>
      <w:r w:rsidRPr="00271560">
        <w:rPr>
          <w:vertAlign w:val="superscript"/>
        </w:rPr>
        <w:t>a</w:t>
      </w:r>
      <w:r w:rsidRPr="00271560">
        <w:t xml:space="preserve"> In SMA the majority of infants (&gt;90%) with two </w:t>
      </w:r>
      <w:r w:rsidRPr="00271560">
        <w:rPr>
          <w:i/>
          <w:iCs/>
        </w:rPr>
        <w:t>SMN2</w:t>
      </w:r>
      <w:r w:rsidRPr="00271560">
        <w:t xml:space="preserve"> copies develop SMA Type I and the majority of infants (&gt;80%) with 3 copies of </w:t>
      </w:r>
      <w:r w:rsidRPr="00271560">
        <w:rPr>
          <w:i/>
          <w:iCs/>
        </w:rPr>
        <w:t>SMN2</w:t>
      </w:r>
      <w:r w:rsidRPr="00271560">
        <w:t xml:space="preserve"> develop SMA Type II.</w:t>
      </w:r>
      <w:r w:rsidR="007A1A62">
        <w:t xml:space="preserve"> </w:t>
      </w:r>
      <w:r w:rsidR="007A1A62" w:rsidRPr="0067202A">
        <w:rPr>
          <w:iCs/>
        </w:rPr>
        <w:t xml:space="preserve">The resubmission sourced this statement from Sampaio 2018, however </w:t>
      </w:r>
      <w:r w:rsidR="006C3688" w:rsidRPr="0067202A">
        <w:rPr>
          <w:iCs/>
        </w:rPr>
        <w:t>this data</w:t>
      </w:r>
      <w:r w:rsidR="00EB1570" w:rsidRPr="0067202A">
        <w:rPr>
          <w:iCs/>
        </w:rPr>
        <w:t xml:space="preserve"> was </w:t>
      </w:r>
      <w:r w:rsidR="007A1A62" w:rsidRPr="0067202A">
        <w:rPr>
          <w:iCs/>
        </w:rPr>
        <w:t>inconsistent with the assumptions used in Sections 3 and 4 of the resubmission</w:t>
      </w:r>
      <w:r w:rsidR="00EB1570" w:rsidRPr="0067202A">
        <w:rPr>
          <w:iCs/>
        </w:rPr>
        <w:t xml:space="preserve"> where data from 11 studies was used to calculate the distribution of </w:t>
      </w:r>
      <w:r w:rsidR="00EB1570" w:rsidRPr="0067202A">
        <w:rPr>
          <w:i/>
        </w:rPr>
        <w:t>SMN2</w:t>
      </w:r>
      <w:r w:rsidR="00EB1570" w:rsidRPr="0067202A">
        <w:rPr>
          <w:iCs/>
        </w:rPr>
        <w:t xml:space="preserve"> copy number by SMA type</w:t>
      </w:r>
      <w:r w:rsidR="007A1A62" w:rsidRPr="0067202A">
        <w:rPr>
          <w:iCs/>
        </w:rPr>
        <w:t>.</w:t>
      </w:r>
    </w:p>
    <w:p w14:paraId="381BA5DF" w14:textId="77777777" w:rsidR="00AC2298" w:rsidRPr="00271560" w:rsidRDefault="00AC2298" w:rsidP="001876B8">
      <w:pPr>
        <w:pStyle w:val="TableFooter"/>
        <w:spacing w:after="120"/>
        <w:rPr>
          <w:szCs w:val="22"/>
          <w:lang w:eastAsia="en-US"/>
        </w:rPr>
      </w:pPr>
      <w:r w:rsidRPr="00271560">
        <w:rPr>
          <w:szCs w:val="22"/>
          <w:vertAlign w:val="superscript"/>
          <w:lang w:eastAsia="en-US"/>
        </w:rPr>
        <w:t>b</w:t>
      </w:r>
      <w:r w:rsidRPr="00271560">
        <w:rPr>
          <w:szCs w:val="22"/>
          <w:lang w:eastAsia="en-US"/>
        </w:rPr>
        <w:t xml:space="preserve"> Figures in bold letters represent the most common copy numbers.</w:t>
      </w:r>
    </w:p>
    <w:p w14:paraId="69CAC72D" w14:textId="59261B87" w:rsidR="00AC2298" w:rsidRPr="00271560" w:rsidRDefault="00AC2298" w:rsidP="00AC2298">
      <w:pPr>
        <w:pStyle w:val="3-BodyText"/>
      </w:pPr>
      <w:r w:rsidRPr="00271560">
        <w:rPr>
          <w:color w:val="000000" w:themeColor="text1"/>
        </w:rPr>
        <w:t xml:space="preserve">Under the proposed restriction, patients with confirmed </w:t>
      </w:r>
      <w:r w:rsidRPr="00271560">
        <w:rPr>
          <w:i/>
          <w:color w:val="000000" w:themeColor="text1"/>
        </w:rPr>
        <w:t>SMN1</w:t>
      </w:r>
      <w:r w:rsidRPr="00271560">
        <w:rPr>
          <w:color w:val="000000" w:themeColor="text1"/>
        </w:rPr>
        <w:t xml:space="preserve"> deletion or mutation and an </w:t>
      </w:r>
      <w:r w:rsidRPr="00271560">
        <w:rPr>
          <w:i/>
          <w:color w:val="000000" w:themeColor="text1"/>
        </w:rPr>
        <w:t>SMN2</w:t>
      </w:r>
      <w:r w:rsidRPr="00271560">
        <w:rPr>
          <w:color w:val="000000" w:themeColor="text1"/>
        </w:rPr>
        <w:t xml:space="preserve"> copy number </w:t>
      </w:r>
      <w:r w:rsidR="004E3D9C">
        <w:rPr>
          <w:color w:val="000000" w:themeColor="text1"/>
        </w:rPr>
        <w:t xml:space="preserve">of </w:t>
      </w:r>
      <w:r w:rsidRPr="00271560">
        <w:rPr>
          <w:rFonts w:cstheme="minorHAnsi"/>
          <w:color w:val="000000" w:themeColor="text1"/>
        </w:rPr>
        <w:t>3</w:t>
      </w:r>
      <w:r w:rsidRPr="00271560">
        <w:rPr>
          <w:color w:val="000000" w:themeColor="text1"/>
        </w:rPr>
        <w:t xml:space="preserve"> will be treated with nusinersen in the absence of any SMA symptoms. Currently, nusinersen is PBS subsidised for patients with confirmed </w:t>
      </w:r>
      <w:r w:rsidRPr="00271560">
        <w:rPr>
          <w:i/>
          <w:iCs/>
          <w:color w:val="000000" w:themeColor="text1"/>
        </w:rPr>
        <w:t>SMN1</w:t>
      </w:r>
      <w:r w:rsidRPr="00271560">
        <w:rPr>
          <w:color w:val="000000" w:themeColor="text1"/>
        </w:rPr>
        <w:t xml:space="preserve"> deletion or mutation and an </w:t>
      </w:r>
      <w:r w:rsidRPr="00271560">
        <w:rPr>
          <w:i/>
          <w:iCs/>
          <w:color w:val="000000" w:themeColor="text1"/>
        </w:rPr>
        <w:t>SMN2</w:t>
      </w:r>
      <w:r w:rsidRPr="00271560">
        <w:rPr>
          <w:color w:val="000000" w:themeColor="text1"/>
        </w:rPr>
        <w:t xml:space="preserve"> copy number </w:t>
      </w:r>
      <w:r w:rsidR="004E3D9C">
        <w:rPr>
          <w:color w:val="000000" w:themeColor="text1"/>
        </w:rPr>
        <w:t xml:space="preserve">of </w:t>
      </w:r>
      <w:r w:rsidRPr="00271560">
        <w:rPr>
          <w:color w:val="000000" w:themeColor="text1"/>
        </w:rPr>
        <w:t>1 or 2, as well as for symptomatic SMA populations.</w:t>
      </w:r>
    </w:p>
    <w:p w14:paraId="2347FEEA" w14:textId="0C18EA8F" w:rsidR="00AC2298" w:rsidRDefault="00AC2298" w:rsidP="00AC2298">
      <w:pPr>
        <w:pStyle w:val="3-BodyText"/>
      </w:pPr>
      <w:r w:rsidRPr="00271560">
        <w:t xml:space="preserve">The resubmission reported that in clinical practice, healthcare providers currently offer NBS to all babies born in Australia and that NBS for the detection of SMA in Australian infants is expected to roll out nationally. </w:t>
      </w:r>
      <w:bookmarkStart w:id="24" w:name="_Hlk140503933"/>
      <w:r w:rsidRPr="00271560">
        <w:t>It is therefore likely that, once NBS for the detection of SMA is implemented across Australia, all patients with SMA will be detected soon after birth and eligibility for the proposed nusinersen listing will be able to be determined.</w:t>
      </w:r>
      <w:bookmarkEnd w:id="24"/>
    </w:p>
    <w:p w14:paraId="1630CA5D" w14:textId="45C454A8" w:rsidR="00FD5741" w:rsidRPr="00FD5741" w:rsidRDefault="00FD5741" w:rsidP="00FD5741">
      <w:pPr>
        <w:pStyle w:val="3-BodyText"/>
        <w:numPr>
          <w:ilvl w:val="0"/>
          <w:numId w:val="0"/>
        </w:numPr>
        <w:ind w:left="720"/>
        <w:rPr>
          <w:i/>
          <w:iCs/>
        </w:rPr>
      </w:pPr>
      <w:r w:rsidRPr="00FD5741">
        <w:rPr>
          <w:i/>
          <w:iCs/>
        </w:rPr>
        <w:t>For more detail on PBAC’s view, see section 7 PBAC outcome.</w:t>
      </w:r>
    </w:p>
    <w:p w14:paraId="1C0B0A43" w14:textId="77777777" w:rsidR="00AC2298" w:rsidRPr="00271560" w:rsidRDefault="00AC2298" w:rsidP="00AC2298">
      <w:pPr>
        <w:pStyle w:val="2-SectionHeading"/>
      </w:pPr>
      <w:bookmarkStart w:id="25" w:name="_Toc132629054"/>
      <w:bookmarkStart w:id="26" w:name="_Toc135214659"/>
      <w:r w:rsidRPr="00271560">
        <w:t>Comparator</w:t>
      </w:r>
      <w:bookmarkEnd w:id="25"/>
      <w:bookmarkEnd w:id="26"/>
    </w:p>
    <w:p w14:paraId="6E95691B" w14:textId="646FFD91" w:rsidR="00AC2298" w:rsidRPr="00271560" w:rsidRDefault="00AC2298" w:rsidP="00AC2298">
      <w:pPr>
        <w:pStyle w:val="3-BodyText"/>
        <w:rPr>
          <w:snapToGrid/>
          <w:color w:val="000000" w:themeColor="text1"/>
        </w:rPr>
      </w:pPr>
      <w:r w:rsidRPr="00271560">
        <w:rPr>
          <w:snapToGrid/>
          <w:color w:val="000000" w:themeColor="text1"/>
        </w:rPr>
        <w:t xml:space="preserve">The resubmission nominated nusinersen in the symptomatic setting as the main comparator (SoC) to the proposed use of nusinersen in the pre-symptomatic setting. This was based on the absence of a DMT being listed on the PBS for the treatment of SMA in patients with 3 copies of </w:t>
      </w:r>
      <w:r w:rsidRPr="00271560">
        <w:rPr>
          <w:i/>
          <w:iCs/>
          <w:snapToGrid/>
          <w:color w:val="000000" w:themeColor="text1"/>
        </w:rPr>
        <w:t>SMN2</w:t>
      </w:r>
      <w:r w:rsidRPr="00271560">
        <w:rPr>
          <w:snapToGrid/>
          <w:color w:val="000000" w:themeColor="text1"/>
        </w:rPr>
        <w:t xml:space="preserve"> (as of March 2023). </w:t>
      </w:r>
      <w:r w:rsidRPr="0067202A">
        <w:rPr>
          <w:color w:val="000000" w:themeColor="text1"/>
        </w:rPr>
        <w:t>The nominated comparator was previously accepted by the PBAC (July 2019 PBAC meeting) and was appropriate.</w:t>
      </w:r>
      <w:r w:rsidRPr="00271560">
        <w:rPr>
          <w:color w:val="000000" w:themeColor="text1"/>
        </w:rPr>
        <w:t xml:space="preserve"> </w:t>
      </w:r>
    </w:p>
    <w:p w14:paraId="74EE168F" w14:textId="52D3D21A" w:rsidR="00AC2298" w:rsidRDefault="00AC2298" w:rsidP="00AC2298">
      <w:pPr>
        <w:pStyle w:val="3-BodyText"/>
        <w:rPr>
          <w:snapToGrid/>
        </w:rPr>
      </w:pPr>
      <w:r w:rsidRPr="00271560">
        <w:rPr>
          <w:snapToGrid/>
        </w:rPr>
        <w:t xml:space="preserve">The resubmission additionally nominated risdiplam and onasemnogene abeparvovec as near market comparators for the treatment of individuals with pre-symptomatic SMA with 3 copies of </w:t>
      </w:r>
      <w:r w:rsidRPr="00271560">
        <w:rPr>
          <w:i/>
          <w:iCs/>
          <w:snapToGrid/>
        </w:rPr>
        <w:t>SMN2</w:t>
      </w:r>
      <w:r w:rsidRPr="00271560">
        <w:rPr>
          <w:snapToGrid/>
        </w:rPr>
        <w:t xml:space="preserve">. Expansion of the onasemnogene abeparvovec indication was sought at the November 2022 PBAC meeting to include individuals with pre-symptomatic SMA with 3 </w:t>
      </w:r>
      <w:r w:rsidRPr="00271560">
        <w:rPr>
          <w:i/>
          <w:iCs/>
          <w:snapToGrid/>
        </w:rPr>
        <w:t>SMN2</w:t>
      </w:r>
      <w:r w:rsidRPr="00271560">
        <w:rPr>
          <w:snapToGrid/>
        </w:rPr>
        <w:t xml:space="preserve"> copies but was not recommended</w:t>
      </w:r>
      <w:r w:rsidR="00220C4D" w:rsidRPr="00271560">
        <w:rPr>
          <w:snapToGrid/>
        </w:rPr>
        <w:t>, with another resubmission considered at the July 2023 PBAC meeting</w:t>
      </w:r>
      <w:r w:rsidRPr="00271560">
        <w:rPr>
          <w:snapToGrid/>
        </w:rPr>
        <w:t xml:space="preserve">. Reimbursement </w:t>
      </w:r>
      <w:r w:rsidR="00220C4D" w:rsidRPr="00271560">
        <w:rPr>
          <w:snapToGrid/>
        </w:rPr>
        <w:t xml:space="preserve">was </w:t>
      </w:r>
      <w:r w:rsidRPr="00271560">
        <w:rPr>
          <w:snapToGrid/>
        </w:rPr>
        <w:t xml:space="preserve">sought </w:t>
      </w:r>
      <w:r w:rsidRPr="00271560">
        <w:rPr>
          <w:snapToGrid/>
        </w:rPr>
        <w:lastRenderedPageBreak/>
        <w:t>for risdiplam for the same population (as listed in the PBAC meeting agenda for March 2023).</w:t>
      </w:r>
      <w:r w:rsidR="00926EAB">
        <w:rPr>
          <w:snapToGrid/>
        </w:rPr>
        <w:t xml:space="preserve"> </w:t>
      </w:r>
      <w:r w:rsidR="00926EAB" w:rsidRPr="00926EAB">
        <w:rPr>
          <w:snapToGrid/>
        </w:rPr>
        <w:t xml:space="preserve">The submission to expand the PBS listing for risdiplam to include the pre-symptomatic treatment of patients with 3 copies of </w:t>
      </w:r>
      <w:r w:rsidR="00926EAB" w:rsidRPr="004E3DF5">
        <w:rPr>
          <w:i/>
          <w:iCs/>
          <w:snapToGrid/>
        </w:rPr>
        <w:t>SMN2</w:t>
      </w:r>
      <w:r w:rsidR="00926EAB" w:rsidRPr="00926EAB">
        <w:rPr>
          <w:snapToGrid/>
        </w:rPr>
        <w:t xml:space="preserve"> was withdrawn by the </w:t>
      </w:r>
      <w:r w:rsidR="003F0F9D">
        <w:rPr>
          <w:snapToGrid/>
        </w:rPr>
        <w:t>s</w:t>
      </w:r>
      <w:r w:rsidR="00926EAB" w:rsidRPr="00926EAB">
        <w:rPr>
          <w:snapToGrid/>
        </w:rPr>
        <w:t>ponsor.</w:t>
      </w:r>
    </w:p>
    <w:p w14:paraId="109EC99F" w14:textId="52D4DA36" w:rsidR="00FD5741" w:rsidRPr="00FD5741" w:rsidRDefault="00FD5741" w:rsidP="00FD5741">
      <w:pPr>
        <w:pStyle w:val="3-BodyText"/>
        <w:numPr>
          <w:ilvl w:val="0"/>
          <w:numId w:val="0"/>
        </w:numPr>
        <w:ind w:firstLine="720"/>
        <w:rPr>
          <w:i/>
          <w:iCs/>
          <w:snapToGrid/>
        </w:rPr>
      </w:pPr>
      <w:r w:rsidRPr="00FD5741">
        <w:rPr>
          <w:i/>
          <w:iCs/>
          <w:snapToGrid/>
        </w:rPr>
        <w:t>For more detail on PBAC’s view, see section 7 PBAC outcome.</w:t>
      </w:r>
    </w:p>
    <w:p w14:paraId="6CE45F90" w14:textId="77777777" w:rsidR="00AC2298" w:rsidRPr="00271560" w:rsidRDefault="00AC2298" w:rsidP="00AC2298">
      <w:pPr>
        <w:pStyle w:val="2-SectionHeading"/>
      </w:pPr>
      <w:bookmarkStart w:id="27" w:name="_Toc132629055"/>
      <w:bookmarkStart w:id="28" w:name="_Toc135214660"/>
      <w:bookmarkStart w:id="29" w:name="_Toc22897640"/>
      <w:r w:rsidRPr="00271560">
        <w:t>Consideration of the evidence</w:t>
      </w:r>
      <w:bookmarkEnd w:id="27"/>
      <w:bookmarkEnd w:id="28"/>
    </w:p>
    <w:p w14:paraId="02F85939" w14:textId="77777777" w:rsidR="0062203B" w:rsidRPr="006E1229" w:rsidRDefault="0062203B" w:rsidP="005A7416">
      <w:pPr>
        <w:pStyle w:val="4-SubsectionHeading"/>
      </w:pPr>
      <w:bookmarkStart w:id="30" w:name="_Toc132629056"/>
      <w:bookmarkStart w:id="31" w:name="_Toc135214661"/>
      <w:r w:rsidRPr="006E1229">
        <w:t>Sponsor hearing</w:t>
      </w:r>
    </w:p>
    <w:p w14:paraId="0C838C5E" w14:textId="595DC78D" w:rsidR="0062203B" w:rsidRPr="0078263F" w:rsidRDefault="0062203B" w:rsidP="000A2F42">
      <w:pPr>
        <w:widowControl w:val="0"/>
        <w:numPr>
          <w:ilvl w:val="1"/>
          <w:numId w:val="1"/>
        </w:numPr>
        <w:spacing w:after="120"/>
        <w:rPr>
          <w:rFonts w:asciiTheme="minorHAnsi" w:hAnsiTheme="minorHAnsi"/>
          <w:bCs/>
          <w:snapToGrid w:val="0"/>
        </w:rPr>
      </w:pPr>
      <w:bookmarkStart w:id="32" w:name="_Hlk76382586"/>
      <w:r w:rsidRPr="0078263F">
        <w:rPr>
          <w:rFonts w:asciiTheme="minorHAnsi" w:hAnsiTheme="minorHAnsi"/>
          <w:bCs/>
          <w:snapToGrid w:val="0"/>
        </w:rPr>
        <w:t xml:space="preserve">The sponsor requested a hearing for this item. The clinician </w:t>
      </w:r>
      <w:r w:rsidR="0078263F">
        <w:rPr>
          <w:rFonts w:asciiTheme="minorHAnsi" w:hAnsiTheme="minorHAnsi"/>
          <w:bCs/>
          <w:snapToGrid w:val="0"/>
        </w:rPr>
        <w:t xml:space="preserve">discussed the heterogenous spectrum of disease severity </w:t>
      </w:r>
      <w:r w:rsidR="00047641">
        <w:rPr>
          <w:rFonts w:asciiTheme="minorHAnsi" w:hAnsiTheme="minorHAnsi"/>
          <w:bCs/>
          <w:snapToGrid w:val="0"/>
        </w:rPr>
        <w:t xml:space="preserve">that can develop when a patient </w:t>
      </w:r>
      <w:r w:rsidR="0078263F">
        <w:rPr>
          <w:rFonts w:asciiTheme="minorHAnsi" w:hAnsiTheme="minorHAnsi"/>
          <w:bCs/>
          <w:snapToGrid w:val="0"/>
        </w:rPr>
        <w:t xml:space="preserve">with </w:t>
      </w:r>
      <w:r w:rsidR="001876B8">
        <w:rPr>
          <w:rFonts w:asciiTheme="minorHAnsi" w:hAnsiTheme="minorHAnsi"/>
          <w:bCs/>
          <w:snapToGrid w:val="0"/>
        </w:rPr>
        <w:t>3 </w:t>
      </w:r>
      <w:r w:rsidR="0078263F">
        <w:rPr>
          <w:rFonts w:asciiTheme="minorHAnsi" w:hAnsiTheme="minorHAnsi"/>
          <w:bCs/>
          <w:snapToGrid w:val="0"/>
        </w:rPr>
        <w:t xml:space="preserve">copies of </w:t>
      </w:r>
      <w:r w:rsidR="0078263F" w:rsidRPr="0078263F">
        <w:rPr>
          <w:rFonts w:asciiTheme="minorHAnsi" w:hAnsiTheme="minorHAnsi"/>
          <w:bCs/>
          <w:i/>
          <w:iCs/>
          <w:snapToGrid w:val="0"/>
        </w:rPr>
        <w:t>SMN2</w:t>
      </w:r>
      <w:r w:rsidR="0090022C">
        <w:rPr>
          <w:rFonts w:asciiTheme="minorHAnsi" w:hAnsiTheme="minorHAnsi"/>
          <w:bCs/>
          <w:snapToGrid w:val="0"/>
        </w:rPr>
        <w:t xml:space="preserve"> </w:t>
      </w:r>
      <w:r w:rsidR="00047641">
        <w:rPr>
          <w:rFonts w:asciiTheme="minorHAnsi" w:hAnsiTheme="minorHAnsi"/>
          <w:bCs/>
          <w:snapToGrid w:val="0"/>
        </w:rPr>
        <w:t>is not treated pre-symptomatically</w:t>
      </w:r>
      <w:r w:rsidR="005A7416">
        <w:rPr>
          <w:rFonts w:asciiTheme="minorHAnsi" w:hAnsiTheme="minorHAnsi"/>
          <w:bCs/>
          <w:snapToGrid w:val="0"/>
        </w:rPr>
        <w:t xml:space="preserve"> and the significant need for pre-symptomatic treatment to prevent irreversible residual motor deficit</w:t>
      </w:r>
      <w:r w:rsidR="007A73F3">
        <w:rPr>
          <w:rFonts w:asciiTheme="minorHAnsi" w:hAnsiTheme="minorHAnsi"/>
          <w:bCs/>
          <w:snapToGrid w:val="0"/>
        </w:rPr>
        <w:t>.</w:t>
      </w:r>
      <w:r w:rsidR="00FE28BE">
        <w:rPr>
          <w:rFonts w:asciiTheme="minorHAnsi" w:hAnsiTheme="minorHAnsi"/>
          <w:bCs/>
          <w:snapToGrid w:val="0"/>
        </w:rPr>
        <w:t xml:space="preserve"> The clinician noted all </w:t>
      </w:r>
      <w:r w:rsidR="00E971F7">
        <w:rPr>
          <w:rFonts w:asciiTheme="minorHAnsi" w:hAnsiTheme="minorHAnsi"/>
          <w:bCs/>
          <w:snapToGrid w:val="0"/>
        </w:rPr>
        <w:t>types</w:t>
      </w:r>
      <w:r w:rsidR="00FE28BE">
        <w:rPr>
          <w:rFonts w:asciiTheme="minorHAnsi" w:hAnsiTheme="minorHAnsi"/>
          <w:bCs/>
          <w:snapToGrid w:val="0"/>
        </w:rPr>
        <w:t xml:space="preserve"> of SMA represent a severe disease, but the disease is less severe on average in patients with </w:t>
      </w:r>
      <w:r w:rsidR="00C74B90">
        <w:rPr>
          <w:rFonts w:asciiTheme="minorHAnsi" w:hAnsiTheme="minorHAnsi"/>
          <w:bCs/>
          <w:snapToGrid w:val="0"/>
        </w:rPr>
        <w:t xml:space="preserve">3 copies of </w:t>
      </w:r>
      <w:r w:rsidR="00C74B90">
        <w:rPr>
          <w:rFonts w:asciiTheme="minorHAnsi" w:hAnsiTheme="minorHAnsi"/>
          <w:bCs/>
          <w:i/>
          <w:iCs/>
          <w:snapToGrid w:val="0"/>
        </w:rPr>
        <w:t xml:space="preserve">SMN2 </w:t>
      </w:r>
      <w:r w:rsidR="00C74B90">
        <w:rPr>
          <w:rFonts w:asciiTheme="minorHAnsi" w:hAnsiTheme="minorHAnsi"/>
          <w:bCs/>
          <w:snapToGrid w:val="0"/>
        </w:rPr>
        <w:t>compared with patients with fewer copies.</w:t>
      </w:r>
      <w:r w:rsidR="007A73F3">
        <w:rPr>
          <w:rFonts w:asciiTheme="minorHAnsi" w:hAnsiTheme="minorHAnsi"/>
          <w:bCs/>
          <w:snapToGrid w:val="0"/>
        </w:rPr>
        <w:t xml:space="preserve"> The clinician discussed that </w:t>
      </w:r>
      <w:r w:rsidR="008F689E">
        <w:rPr>
          <w:rFonts w:asciiTheme="minorHAnsi" w:hAnsiTheme="minorHAnsi"/>
          <w:bCs/>
          <w:snapToGrid w:val="0"/>
        </w:rPr>
        <w:t>SoC</w:t>
      </w:r>
      <w:r w:rsidR="007A73F3">
        <w:rPr>
          <w:rFonts w:asciiTheme="minorHAnsi" w:hAnsiTheme="minorHAnsi"/>
          <w:bCs/>
          <w:snapToGrid w:val="0"/>
        </w:rPr>
        <w:t xml:space="preserve"> for patients who have not developed symptoms includes education on how to monitor for symptoms at home and regular assessment by neuromuscular specialists to minimise </w:t>
      </w:r>
      <w:r w:rsidR="006F2523">
        <w:rPr>
          <w:rFonts w:asciiTheme="minorHAnsi" w:hAnsiTheme="minorHAnsi"/>
          <w:bCs/>
          <w:snapToGrid w:val="0"/>
        </w:rPr>
        <w:t xml:space="preserve">treatment </w:t>
      </w:r>
      <w:r w:rsidR="007A73F3">
        <w:rPr>
          <w:rFonts w:asciiTheme="minorHAnsi" w:hAnsiTheme="minorHAnsi"/>
          <w:bCs/>
          <w:snapToGrid w:val="0"/>
        </w:rPr>
        <w:t>delay. The clinician noted</w:t>
      </w:r>
      <w:r w:rsidR="00B3666D">
        <w:rPr>
          <w:rFonts w:asciiTheme="minorHAnsi" w:hAnsiTheme="minorHAnsi"/>
          <w:bCs/>
          <w:snapToGrid w:val="0"/>
        </w:rPr>
        <w:t xml:space="preserve"> th</w:t>
      </w:r>
      <w:r w:rsidR="00047641">
        <w:rPr>
          <w:rFonts w:asciiTheme="minorHAnsi" w:hAnsiTheme="minorHAnsi"/>
          <w:bCs/>
          <w:snapToGrid w:val="0"/>
        </w:rPr>
        <w:t xml:space="preserve">at </w:t>
      </w:r>
      <w:r w:rsidR="005A7416">
        <w:rPr>
          <w:rFonts w:asciiTheme="minorHAnsi" w:hAnsiTheme="minorHAnsi"/>
          <w:bCs/>
          <w:snapToGrid w:val="0"/>
        </w:rPr>
        <w:t>this places</w:t>
      </w:r>
      <w:r w:rsidR="00047641">
        <w:rPr>
          <w:rFonts w:asciiTheme="minorHAnsi" w:hAnsiTheme="minorHAnsi"/>
          <w:bCs/>
          <w:snapToGrid w:val="0"/>
        </w:rPr>
        <w:t xml:space="preserve"> a particularly</w:t>
      </w:r>
      <w:r w:rsidR="00B3666D">
        <w:rPr>
          <w:rFonts w:asciiTheme="minorHAnsi" w:hAnsiTheme="minorHAnsi"/>
          <w:bCs/>
          <w:snapToGrid w:val="0"/>
        </w:rPr>
        <w:t xml:space="preserve"> </w:t>
      </w:r>
      <w:r w:rsidR="007A73F3">
        <w:rPr>
          <w:rFonts w:asciiTheme="minorHAnsi" w:hAnsiTheme="minorHAnsi"/>
          <w:bCs/>
          <w:snapToGrid w:val="0"/>
        </w:rPr>
        <w:t>high burden on</w:t>
      </w:r>
      <w:r w:rsidR="0078263F">
        <w:rPr>
          <w:rFonts w:asciiTheme="minorHAnsi" w:hAnsiTheme="minorHAnsi"/>
          <w:bCs/>
          <w:snapToGrid w:val="0"/>
        </w:rPr>
        <w:t xml:space="preserve"> families in rural and remote areas.</w:t>
      </w:r>
      <w:r w:rsidR="000A2F42">
        <w:rPr>
          <w:rFonts w:asciiTheme="minorHAnsi" w:hAnsiTheme="minorHAnsi"/>
          <w:bCs/>
          <w:snapToGrid w:val="0"/>
        </w:rPr>
        <w:t xml:space="preserve"> The clinician</w:t>
      </w:r>
      <w:r w:rsidRPr="0078263F">
        <w:rPr>
          <w:rFonts w:asciiTheme="minorHAnsi" w:hAnsiTheme="minorHAnsi"/>
          <w:bCs/>
          <w:snapToGrid w:val="0"/>
        </w:rPr>
        <w:t xml:space="preserve"> </w:t>
      </w:r>
      <w:r w:rsidR="00047641">
        <w:rPr>
          <w:rFonts w:asciiTheme="minorHAnsi" w:hAnsiTheme="minorHAnsi"/>
          <w:bCs/>
          <w:snapToGrid w:val="0"/>
        </w:rPr>
        <w:t xml:space="preserve">also </w:t>
      </w:r>
      <w:r w:rsidRPr="0078263F">
        <w:rPr>
          <w:rFonts w:asciiTheme="minorHAnsi" w:hAnsiTheme="minorHAnsi"/>
          <w:bCs/>
          <w:snapToGrid w:val="0"/>
        </w:rPr>
        <w:t>addressed other matters in response to the Committee’s questions.</w:t>
      </w:r>
      <w:r w:rsidR="0078263F" w:rsidRPr="0078263F">
        <w:rPr>
          <w:rFonts w:asciiTheme="minorHAnsi" w:hAnsiTheme="minorHAnsi"/>
          <w:bCs/>
          <w:snapToGrid w:val="0"/>
        </w:rPr>
        <w:t xml:space="preserve"> </w:t>
      </w:r>
      <w:r w:rsidRPr="0078263F">
        <w:rPr>
          <w:rFonts w:asciiTheme="minorHAnsi" w:hAnsiTheme="minorHAnsi"/>
          <w:bCs/>
          <w:snapToGrid w:val="0"/>
        </w:rPr>
        <w:t>The PBAC considered that the hearing was informative.</w:t>
      </w:r>
    </w:p>
    <w:bookmarkEnd w:id="32"/>
    <w:p w14:paraId="3ACA6D64" w14:textId="77777777" w:rsidR="0062203B" w:rsidRPr="006E1229" w:rsidRDefault="0062203B" w:rsidP="005A7416">
      <w:pPr>
        <w:pStyle w:val="4-SubsectionHeading"/>
      </w:pPr>
      <w:r w:rsidRPr="006E1229">
        <w:t>Consumer comments</w:t>
      </w:r>
    </w:p>
    <w:p w14:paraId="02D35DB7" w14:textId="381E9D34" w:rsidR="0062203B" w:rsidRDefault="0062203B" w:rsidP="0078263F">
      <w:pPr>
        <w:widowControl w:val="0"/>
        <w:numPr>
          <w:ilvl w:val="1"/>
          <w:numId w:val="1"/>
        </w:numPr>
        <w:spacing w:after="120"/>
        <w:rPr>
          <w:rFonts w:asciiTheme="minorHAnsi" w:hAnsiTheme="minorHAnsi"/>
          <w:bCs/>
          <w:snapToGrid w:val="0"/>
        </w:rPr>
      </w:pPr>
      <w:r w:rsidRPr="00740E3B">
        <w:rPr>
          <w:rFonts w:asciiTheme="minorHAnsi" w:hAnsiTheme="minorHAnsi"/>
          <w:bCs/>
          <w:snapToGrid w:val="0"/>
        </w:rPr>
        <w:t>The PBAC noted and welcomed the input from individuals (</w:t>
      </w:r>
      <w:r w:rsidR="00740E3B">
        <w:rPr>
          <w:rFonts w:asciiTheme="minorHAnsi" w:hAnsiTheme="minorHAnsi"/>
          <w:bCs/>
          <w:snapToGrid w:val="0"/>
        </w:rPr>
        <w:t>1</w:t>
      </w:r>
      <w:r w:rsidRPr="00740E3B">
        <w:rPr>
          <w:rFonts w:asciiTheme="minorHAnsi" w:hAnsiTheme="minorHAnsi"/>
          <w:bCs/>
          <w:snapToGrid w:val="0"/>
        </w:rPr>
        <w:t xml:space="preserve">), health care professionals (1) and </w:t>
      </w:r>
      <w:r w:rsidR="00740E3B">
        <w:rPr>
          <w:rFonts w:asciiTheme="minorHAnsi" w:hAnsiTheme="minorHAnsi"/>
          <w:bCs/>
          <w:snapToGrid w:val="0"/>
        </w:rPr>
        <w:t>The National Paediatric Medicines Forum</w:t>
      </w:r>
      <w:r w:rsidRPr="00740E3B">
        <w:rPr>
          <w:rFonts w:asciiTheme="minorHAnsi" w:hAnsiTheme="minorHAnsi"/>
          <w:bCs/>
          <w:snapToGrid w:val="0"/>
        </w:rPr>
        <w:t xml:space="preserve"> via the Consumer Comments facility on the PBS website. </w:t>
      </w:r>
      <w:r w:rsidR="0078263F" w:rsidRPr="00361189">
        <w:t>The comments emphasised the importance of early diagnosis and treatment of SMA</w:t>
      </w:r>
      <w:r w:rsidR="0078263F">
        <w:t>, including the potential for</w:t>
      </w:r>
      <w:r w:rsidR="00AB73EB">
        <w:rPr>
          <w:rFonts w:asciiTheme="minorHAnsi" w:hAnsiTheme="minorHAnsi"/>
          <w:bCs/>
          <w:snapToGrid w:val="0"/>
        </w:rPr>
        <w:t xml:space="preserve"> </w:t>
      </w:r>
      <w:r w:rsidR="00740E3B">
        <w:rPr>
          <w:rFonts w:asciiTheme="minorHAnsi" w:hAnsiTheme="minorHAnsi"/>
          <w:bCs/>
          <w:snapToGrid w:val="0"/>
        </w:rPr>
        <w:t>improve</w:t>
      </w:r>
      <w:r w:rsidR="00112706">
        <w:rPr>
          <w:rFonts w:asciiTheme="minorHAnsi" w:hAnsiTheme="minorHAnsi"/>
          <w:bCs/>
          <w:snapToGrid w:val="0"/>
        </w:rPr>
        <w:t>d</w:t>
      </w:r>
      <w:r w:rsidR="00740E3B">
        <w:rPr>
          <w:rFonts w:asciiTheme="minorHAnsi" w:hAnsiTheme="minorHAnsi"/>
          <w:bCs/>
          <w:snapToGrid w:val="0"/>
        </w:rPr>
        <w:t xml:space="preserve"> motor function in children with SMA </w:t>
      </w:r>
      <w:r w:rsidR="004652B7">
        <w:rPr>
          <w:rFonts w:asciiTheme="minorHAnsi" w:hAnsiTheme="minorHAnsi"/>
          <w:bCs/>
          <w:snapToGrid w:val="0"/>
        </w:rPr>
        <w:t xml:space="preserve">who </w:t>
      </w:r>
      <w:r w:rsidR="00740E3B">
        <w:rPr>
          <w:rFonts w:asciiTheme="minorHAnsi" w:hAnsiTheme="minorHAnsi"/>
          <w:bCs/>
          <w:snapToGrid w:val="0"/>
        </w:rPr>
        <w:t>undergo</w:t>
      </w:r>
      <w:r w:rsidR="004652B7">
        <w:rPr>
          <w:rFonts w:asciiTheme="minorHAnsi" w:hAnsiTheme="minorHAnsi"/>
          <w:bCs/>
          <w:snapToGrid w:val="0"/>
        </w:rPr>
        <w:t xml:space="preserve"> </w:t>
      </w:r>
      <w:r w:rsidR="00740E3B">
        <w:rPr>
          <w:rFonts w:asciiTheme="minorHAnsi" w:hAnsiTheme="minorHAnsi"/>
          <w:bCs/>
          <w:snapToGrid w:val="0"/>
        </w:rPr>
        <w:t>early intervention</w:t>
      </w:r>
      <w:r w:rsidR="00740E3B" w:rsidRPr="0078263F">
        <w:rPr>
          <w:rFonts w:asciiTheme="minorHAnsi" w:hAnsiTheme="minorHAnsi"/>
          <w:bCs/>
          <w:snapToGrid w:val="0"/>
        </w:rPr>
        <w:t xml:space="preserve">. </w:t>
      </w:r>
    </w:p>
    <w:p w14:paraId="5FD0E930" w14:textId="67FBFD7C" w:rsidR="00E771FD" w:rsidRPr="00E771FD" w:rsidRDefault="00E771FD" w:rsidP="00E771FD">
      <w:pPr>
        <w:widowControl w:val="0"/>
        <w:numPr>
          <w:ilvl w:val="1"/>
          <w:numId w:val="1"/>
        </w:numPr>
        <w:spacing w:after="120"/>
        <w:rPr>
          <w:rFonts w:ascii="CIDFont+F2" w:hAnsi="CIDFont+F2" w:cs="CIDFont+F2"/>
          <w:sz w:val="23"/>
          <w:szCs w:val="23"/>
        </w:rPr>
      </w:pPr>
      <w:r w:rsidRPr="000D3E00">
        <w:rPr>
          <w:rFonts w:ascii="CIDFont+F2" w:hAnsi="CIDFont+F2" w:cs="CIDFont+F2"/>
          <w:sz w:val="23"/>
          <w:szCs w:val="23"/>
        </w:rPr>
        <w:t xml:space="preserve">The PBAC noted the advice received from the National Paediatric Medicines Forum (NPMF) in support of PBS listing of </w:t>
      </w:r>
      <w:r>
        <w:rPr>
          <w:rFonts w:ascii="CIDFont+F2" w:hAnsi="CIDFont+F2" w:cs="CIDFont+F2"/>
          <w:sz w:val="23"/>
          <w:szCs w:val="23"/>
        </w:rPr>
        <w:t>nusinersen</w:t>
      </w:r>
      <w:r w:rsidRPr="000D3E00">
        <w:rPr>
          <w:rFonts w:ascii="CIDFont+F2" w:hAnsi="CIDFont+F2" w:cs="CIDFont+F2"/>
          <w:sz w:val="23"/>
          <w:szCs w:val="23"/>
        </w:rPr>
        <w:t xml:space="preserve"> for patients with SMA who have 3 copies of </w:t>
      </w:r>
      <w:r w:rsidRPr="001876B8">
        <w:rPr>
          <w:rFonts w:ascii="CIDFont+F2" w:hAnsi="CIDFont+F2" w:cs="CIDFont+F2"/>
          <w:i/>
          <w:iCs/>
          <w:sz w:val="23"/>
          <w:szCs w:val="23"/>
        </w:rPr>
        <w:t>SMN2</w:t>
      </w:r>
      <w:r w:rsidRPr="000D3E00">
        <w:rPr>
          <w:rFonts w:ascii="CIDFont+F2" w:hAnsi="CIDFont+F2" w:cs="CIDFont+F2"/>
          <w:sz w:val="23"/>
          <w:szCs w:val="23"/>
        </w:rPr>
        <w:t xml:space="preserve">. The NPMF considered that this expanded listing would improve equitable access and best outcomes for all stakeholders, while reducing anguish for families of recently diagnosed babies. The NPMF noted that currently approximately 30% of newborns with a SMA diagnosis and 3 </w:t>
      </w:r>
      <w:r w:rsidRPr="001876B8">
        <w:rPr>
          <w:rFonts w:ascii="CIDFont+F2" w:hAnsi="CIDFont+F2" w:cs="CIDFont+F2"/>
          <w:i/>
          <w:iCs/>
          <w:sz w:val="23"/>
          <w:szCs w:val="23"/>
        </w:rPr>
        <w:t>SMN2</w:t>
      </w:r>
      <w:r w:rsidRPr="000D3E00">
        <w:rPr>
          <w:rFonts w:ascii="CIDFont+F2" w:hAnsi="CIDFont+F2" w:cs="CIDFont+F2"/>
          <w:sz w:val="23"/>
          <w:szCs w:val="23"/>
        </w:rPr>
        <w:t xml:space="preserve"> copies are not eligible for genetic therapy. By the time signs of irreversible motor neuron degeneration manifest and they become eligible for genetic therapy, it can be too late to save the death of many more motor neurons, leading to the potential for a lifetime of neurodisability. The range of presentations are intermediate in half (onset in first three years and ability to sit but not walk), severe for 15% (inability to sit), and ‘mild’ for one third (falls and</w:t>
      </w:r>
      <w:r>
        <w:rPr>
          <w:rFonts w:ascii="CIDFont+F2" w:hAnsi="CIDFont+F2" w:cs="CIDFont+F2"/>
          <w:sz w:val="23"/>
          <w:szCs w:val="23"/>
        </w:rPr>
        <w:t xml:space="preserve"> </w:t>
      </w:r>
      <w:r w:rsidRPr="000D3E00">
        <w:rPr>
          <w:rFonts w:ascii="CIDFont+F2" w:hAnsi="CIDFont+F2" w:cs="CIDFont+F2"/>
          <w:sz w:val="23"/>
          <w:szCs w:val="23"/>
        </w:rPr>
        <w:t xml:space="preserve">mobility problems in childhood). </w:t>
      </w:r>
      <w:r>
        <w:rPr>
          <w:rFonts w:ascii="CIDFont+F2" w:hAnsi="CIDFont+F2" w:cs="CIDFont+F2"/>
          <w:sz w:val="23"/>
          <w:szCs w:val="23"/>
        </w:rPr>
        <w:t xml:space="preserve">The NPMF also referred to Australian data (Kariyawasam et al, 2023) demonstrating significant functional differences from pre-symptomatic treatment, with all children with 3 </w:t>
      </w:r>
      <w:r w:rsidRPr="001876B8">
        <w:rPr>
          <w:rFonts w:ascii="CIDFont+F2" w:hAnsi="CIDFont+F2" w:cs="CIDFont+F2"/>
          <w:i/>
          <w:iCs/>
          <w:sz w:val="23"/>
          <w:szCs w:val="23"/>
        </w:rPr>
        <w:t>SMN2</w:t>
      </w:r>
      <w:r>
        <w:rPr>
          <w:rFonts w:ascii="CIDFont+F2" w:hAnsi="CIDFont+F2" w:cs="CIDFont+F2"/>
          <w:sz w:val="23"/>
          <w:szCs w:val="23"/>
        </w:rPr>
        <w:t xml:space="preserve"> copies achieving walking status when treated pre-symptomatically, whereas walking was rarely achieved in those treated after symptom onset. </w:t>
      </w:r>
    </w:p>
    <w:p w14:paraId="1032FBA5" w14:textId="77777777" w:rsidR="00AC2298" w:rsidRPr="00271560" w:rsidRDefault="00AC2298" w:rsidP="00AC2298">
      <w:pPr>
        <w:pStyle w:val="4-SubsectionHeading"/>
      </w:pPr>
      <w:r w:rsidRPr="00271560">
        <w:lastRenderedPageBreak/>
        <w:t>Clinical studies</w:t>
      </w:r>
      <w:bookmarkEnd w:id="29"/>
      <w:bookmarkEnd w:id="30"/>
      <w:bookmarkEnd w:id="31"/>
    </w:p>
    <w:p w14:paraId="277B780F" w14:textId="79DDAA09" w:rsidR="00AC2298" w:rsidRPr="00271560" w:rsidRDefault="00AC2298" w:rsidP="00AC2298">
      <w:pPr>
        <w:pStyle w:val="3-BodyText"/>
      </w:pPr>
      <w:r w:rsidRPr="00271560">
        <w:t xml:space="preserve">The resubmission was primarily based on an updated interim analysis of NURTURE, an ongoing phase 2 study of nusinersen in infants with confirmed homozygous or compound heterozygous </w:t>
      </w:r>
      <w:r w:rsidRPr="00271560">
        <w:rPr>
          <w:i/>
          <w:iCs/>
        </w:rPr>
        <w:t>SMN1</w:t>
      </w:r>
      <w:r w:rsidRPr="00271560">
        <w:t xml:space="preserve"> deletion and either 2 or 3 copies of </w:t>
      </w:r>
      <w:r w:rsidRPr="00271560">
        <w:rPr>
          <w:i/>
          <w:iCs/>
        </w:rPr>
        <w:t>SMN2</w:t>
      </w:r>
      <w:r w:rsidRPr="00271560">
        <w:t>. NURTURE was included in previous nusinersen submissions that were considered at the November 2017, July 2019 and July 2020 PBAC meetings when interim analyses from the February 2017 (median follow up unknown), May 2018 (</w:t>
      </w:r>
      <w:r w:rsidRPr="0067202A">
        <w:rPr>
          <w:iCs/>
        </w:rPr>
        <w:t>median follow up = 27.</w:t>
      </w:r>
      <w:r w:rsidR="001876B8" w:rsidRPr="0067202A">
        <w:rPr>
          <w:iCs/>
        </w:rPr>
        <w:t>1</w:t>
      </w:r>
      <w:r w:rsidR="001876B8">
        <w:rPr>
          <w:iCs/>
        </w:rPr>
        <w:t> </w:t>
      </w:r>
      <w:r w:rsidRPr="0067202A">
        <w:rPr>
          <w:iCs/>
        </w:rPr>
        <w:t>months; interim analysis 4</w:t>
      </w:r>
      <w:r w:rsidRPr="00271560">
        <w:t>) and March 2019 (</w:t>
      </w:r>
      <w:r w:rsidRPr="0067202A">
        <w:rPr>
          <w:iCs/>
        </w:rPr>
        <w:t>median follow-up = 33.8 months</w:t>
      </w:r>
      <w:r w:rsidRPr="00271560">
        <w:t xml:space="preserve">) data cut-offs were presented. The data from the most recent NURTURE interim analysis (data cut off February 2020, interim analysis 5: median follow up 48.3 months for all patients and 44.44 months for the 10 patients with 3 copies of </w:t>
      </w:r>
      <w:r w:rsidRPr="00271560">
        <w:rPr>
          <w:i/>
          <w:iCs/>
        </w:rPr>
        <w:t>SMN2</w:t>
      </w:r>
      <w:r w:rsidRPr="00271560">
        <w:t>) formed the evidence base of the current resubmission. A conference presentation including data from a subsequent interim analysis (Crawford 2022; data cut-off February 2021, median follow-up 4.9 years for all patients) was also presented.</w:t>
      </w:r>
    </w:p>
    <w:p w14:paraId="46B9AFA4" w14:textId="77777777" w:rsidR="00AC2298" w:rsidRPr="00271560" w:rsidRDefault="00AC2298" w:rsidP="00AC2298">
      <w:pPr>
        <w:pStyle w:val="3-BodyText"/>
      </w:pPr>
      <w:r w:rsidRPr="00271560">
        <w:t xml:space="preserve">In addition to NURTURE, four studies (Alves 2021, Boemer 2022, Kariyawasam 2023 and Vill 2021) were identified in the resubmission that investigated individuals with SMA treated with nusinersen prior to the onset of symptoms. These studies were included as supportive data to inform the effectiveness of nusinersen used in a pre-symptomatic SMA population with 3 </w:t>
      </w:r>
      <w:r w:rsidRPr="00271560">
        <w:rPr>
          <w:i/>
          <w:iCs/>
        </w:rPr>
        <w:t>SMN2</w:t>
      </w:r>
      <w:r w:rsidRPr="00271560">
        <w:t xml:space="preserve"> copies.</w:t>
      </w:r>
    </w:p>
    <w:p w14:paraId="5C93F866" w14:textId="04D6F2DF" w:rsidR="00AC2298" w:rsidRPr="00271560" w:rsidRDefault="00AC2298" w:rsidP="00AC2298">
      <w:pPr>
        <w:pStyle w:val="3-BodyText"/>
      </w:pPr>
      <w:r w:rsidRPr="00271560">
        <w:t>Additionally, a naïve, numerical comparison of results of pre-symptomatic treatment with nusinersen and treatment upon symptom onset was presented in the resubmission. No formal statistical comparisons were provided. The data presented to represent treatment upon symptom onset was comprised of six studies (Alves 2021, Aragon</w:t>
      </w:r>
      <w:r w:rsidR="008B48E5">
        <w:t>-</w:t>
      </w:r>
      <w:r w:rsidRPr="00271560">
        <w:t>Gawinska 2018, Chen 2021, CS3A, EMBRACE and Kariyawasam 2023). CS3A was previously used in the naïve informal indirect comparison with NURTURE presented in the nusinersen July 2020 and July 2019 PBAC (re)submissions.</w:t>
      </w:r>
    </w:p>
    <w:p w14:paraId="5E1E1C7F" w14:textId="39F4D138" w:rsidR="00A01CC2" w:rsidRPr="00271560" w:rsidRDefault="00A01CC2" w:rsidP="00AC2298">
      <w:pPr>
        <w:pStyle w:val="3-BodyText"/>
      </w:pPr>
      <w:r w:rsidRPr="0067202A">
        <w:rPr>
          <w:iCs/>
        </w:rPr>
        <w:t xml:space="preserve">While the resubmission also proposed an increase in age cut off for pre-symptomatic patients with SMA and 1 or 2 copies of </w:t>
      </w:r>
      <w:r w:rsidRPr="005E4150">
        <w:rPr>
          <w:i/>
        </w:rPr>
        <w:t>SMN2</w:t>
      </w:r>
      <w:r w:rsidRPr="0067202A">
        <w:rPr>
          <w:iCs/>
        </w:rPr>
        <w:t xml:space="preserve"> (from 36 months to 18 years), no data was provided to support the use of nusinersen in this population.</w:t>
      </w:r>
    </w:p>
    <w:p w14:paraId="33AD4862" w14:textId="64CDA191" w:rsidR="00AC2298" w:rsidRPr="00271560" w:rsidRDefault="00AC2298" w:rsidP="00AC2298">
      <w:pPr>
        <w:pStyle w:val="3-BodyText"/>
      </w:pPr>
      <w:r w:rsidRPr="00271560">
        <w:rPr>
          <w:snapToGrid/>
        </w:rPr>
        <w:t xml:space="preserve">Details of the studies presented in the resubmission to support the pre-symptomatic treatment of patients with SMA with 3 copies of </w:t>
      </w:r>
      <w:r w:rsidRPr="00271560">
        <w:rPr>
          <w:i/>
          <w:iCs/>
          <w:snapToGrid/>
        </w:rPr>
        <w:t>SMN2</w:t>
      </w:r>
      <w:r w:rsidRPr="00271560">
        <w:rPr>
          <w:snapToGrid/>
        </w:rPr>
        <w:t xml:space="preserve"> are provided in </w:t>
      </w:r>
      <w:r w:rsidRPr="00271560">
        <w:rPr>
          <w:snapToGrid/>
        </w:rPr>
        <w:fldChar w:fldCharType="begin" w:fldLock="1"/>
      </w:r>
      <w:r w:rsidRPr="00271560">
        <w:rPr>
          <w:snapToGrid/>
        </w:rPr>
        <w:instrText xml:space="preserve"> REF _Ref132573324 \h </w:instrText>
      </w:r>
      <w:r w:rsidRPr="00271560">
        <w:rPr>
          <w:snapToGrid/>
        </w:rPr>
      </w:r>
      <w:r w:rsidRPr="00271560">
        <w:rPr>
          <w:snapToGrid/>
        </w:rPr>
        <w:fldChar w:fldCharType="separate"/>
      </w:r>
      <w:r w:rsidR="00016BA6" w:rsidRPr="00271560">
        <w:t xml:space="preserve">Table </w:t>
      </w:r>
      <w:r w:rsidR="00016BA6">
        <w:rPr>
          <w:noProof/>
        </w:rPr>
        <w:t>4</w:t>
      </w:r>
      <w:r w:rsidRPr="00271560">
        <w:rPr>
          <w:snapToGrid/>
        </w:rPr>
        <w:fldChar w:fldCharType="end"/>
      </w:r>
      <w:r w:rsidRPr="00271560">
        <w:rPr>
          <w:snapToGrid/>
        </w:rPr>
        <w:t>.</w:t>
      </w:r>
    </w:p>
    <w:p w14:paraId="19BE9D96" w14:textId="74C7D9FF" w:rsidR="00AC2298" w:rsidRPr="00271560" w:rsidRDefault="00AC2298" w:rsidP="00C97CD6">
      <w:pPr>
        <w:pStyle w:val="Caption"/>
        <w:rPr>
          <w:rStyle w:val="CommentReference"/>
          <w:b/>
          <w:szCs w:val="24"/>
        </w:rPr>
      </w:pPr>
      <w:bookmarkStart w:id="33" w:name="_Ref132573324"/>
      <w:r w:rsidRPr="00271560">
        <w:lastRenderedPageBreak/>
        <w:t xml:space="preserve">Table </w:t>
      </w:r>
      <w:fldSimple w:instr=" SEQ Table \* ARABIC " w:fldLock="1">
        <w:r w:rsidR="00016BA6">
          <w:rPr>
            <w:noProof/>
          </w:rPr>
          <w:t>4</w:t>
        </w:r>
      </w:fldSimple>
      <w:bookmarkEnd w:id="33"/>
      <w:r w:rsidRPr="00271560">
        <w:t>:</w:t>
      </w:r>
      <w:r w:rsidRPr="00271560">
        <w:rPr>
          <w:rStyle w:val="CommentReference"/>
          <w:b/>
          <w:szCs w:val="24"/>
        </w:rPr>
        <w:t xml:space="preserve"> Studies and associated reports presented in the resubmission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4: Studies and associated reports presented in the resubmission"/>
      </w:tblPr>
      <w:tblGrid>
        <w:gridCol w:w="1739"/>
        <w:gridCol w:w="1518"/>
        <w:gridCol w:w="5759"/>
      </w:tblGrid>
      <w:tr w:rsidR="00AC2298" w:rsidRPr="00271560" w14:paraId="0088B22C" w14:textId="77777777" w:rsidTr="000D3D5C">
        <w:trPr>
          <w:trHeight w:val="20"/>
          <w:tblHeader/>
        </w:trPr>
        <w:tc>
          <w:tcPr>
            <w:tcW w:w="964" w:type="pct"/>
            <w:tcBorders>
              <w:top w:val="single" w:sz="4" w:space="0" w:color="000000"/>
              <w:left w:val="single" w:sz="4" w:space="0" w:color="000000"/>
              <w:bottom w:val="single" w:sz="4" w:space="0" w:color="000000"/>
              <w:right w:val="single" w:sz="4" w:space="0" w:color="000000"/>
            </w:tcBorders>
            <w:vAlign w:val="center"/>
            <w:hideMark/>
          </w:tcPr>
          <w:p w14:paraId="40B04FFF" w14:textId="77777777" w:rsidR="00AC2298" w:rsidRPr="00271560" w:rsidRDefault="00AC2298" w:rsidP="000D3D5C">
            <w:pPr>
              <w:pStyle w:val="Tabletext"/>
              <w:keepNext/>
              <w:keepLines/>
              <w:rPr>
                <w:rFonts w:cs="Arial"/>
                <w:b/>
                <w:bCs/>
                <w:szCs w:val="20"/>
              </w:rPr>
            </w:pPr>
            <w:r w:rsidRPr="00271560">
              <w:rPr>
                <w:rFonts w:cs="Arial"/>
                <w:b/>
                <w:bCs/>
                <w:szCs w:val="20"/>
              </w:rPr>
              <w:t>Study ID</w:t>
            </w:r>
          </w:p>
        </w:tc>
        <w:tc>
          <w:tcPr>
            <w:tcW w:w="842" w:type="pct"/>
            <w:tcBorders>
              <w:top w:val="single" w:sz="4" w:space="0" w:color="000000"/>
              <w:left w:val="single" w:sz="4" w:space="0" w:color="000000"/>
              <w:bottom w:val="single" w:sz="4" w:space="0" w:color="000000"/>
              <w:right w:val="single" w:sz="4" w:space="0" w:color="000000"/>
            </w:tcBorders>
            <w:vAlign w:val="center"/>
            <w:hideMark/>
          </w:tcPr>
          <w:p w14:paraId="46F9AE92" w14:textId="77777777" w:rsidR="00AC2298" w:rsidRPr="00271560" w:rsidRDefault="00AC2298" w:rsidP="000D3D5C">
            <w:pPr>
              <w:pStyle w:val="Tabletext"/>
              <w:keepNext/>
              <w:keepLines/>
              <w:jc w:val="both"/>
              <w:rPr>
                <w:rFonts w:cs="Arial"/>
                <w:b/>
                <w:bCs/>
                <w:szCs w:val="20"/>
              </w:rPr>
            </w:pPr>
            <w:r w:rsidRPr="00271560">
              <w:rPr>
                <w:rFonts w:cs="Arial"/>
                <w:b/>
                <w:bCs/>
                <w:szCs w:val="20"/>
              </w:rPr>
              <w:t>Study design</w:t>
            </w:r>
          </w:p>
        </w:tc>
        <w:tc>
          <w:tcPr>
            <w:tcW w:w="3194" w:type="pct"/>
            <w:tcBorders>
              <w:top w:val="single" w:sz="4" w:space="0" w:color="000000"/>
              <w:left w:val="single" w:sz="4" w:space="0" w:color="000000"/>
              <w:bottom w:val="single" w:sz="4" w:space="0" w:color="000000"/>
              <w:right w:val="single" w:sz="4" w:space="0" w:color="000000"/>
            </w:tcBorders>
            <w:vAlign w:val="center"/>
            <w:hideMark/>
          </w:tcPr>
          <w:p w14:paraId="73AAF512" w14:textId="3F19F967" w:rsidR="00AC2298" w:rsidRPr="00271560" w:rsidRDefault="009C2522" w:rsidP="000D3D5C">
            <w:pPr>
              <w:pStyle w:val="Tabletext"/>
              <w:keepNext/>
              <w:keepLines/>
              <w:jc w:val="both"/>
              <w:rPr>
                <w:rFonts w:cs="Arial"/>
                <w:b/>
                <w:bCs/>
                <w:szCs w:val="20"/>
              </w:rPr>
            </w:pPr>
            <w:r>
              <w:rPr>
                <w:rFonts w:cs="Arial"/>
                <w:b/>
                <w:bCs/>
                <w:szCs w:val="20"/>
              </w:rPr>
              <w:t>Publication citation</w:t>
            </w:r>
          </w:p>
        </w:tc>
      </w:tr>
      <w:tr w:rsidR="00AC2298" w:rsidRPr="00271560" w14:paraId="3420B0BC" w14:textId="77777777" w:rsidTr="000D3D5C">
        <w:trPr>
          <w:trHeight w:val="20"/>
        </w:trPr>
        <w:tc>
          <w:tcPr>
            <w:tcW w:w="964" w:type="pct"/>
            <w:tcBorders>
              <w:top w:val="single" w:sz="4" w:space="0" w:color="000000"/>
              <w:left w:val="single" w:sz="4" w:space="0" w:color="000000"/>
              <w:bottom w:val="single" w:sz="4" w:space="0" w:color="000000"/>
              <w:right w:val="nil"/>
            </w:tcBorders>
            <w:shd w:val="clear" w:color="auto" w:fill="auto"/>
            <w:vAlign w:val="center"/>
          </w:tcPr>
          <w:p w14:paraId="1727F490" w14:textId="77777777" w:rsidR="00AC2298" w:rsidRPr="00271560" w:rsidRDefault="00AC2298" w:rsidP="000D3D5C">
            <w:pPr>
              <w:pStyle w:val="Tabletext"/>
              <w:keepNext/>
              <w:keepLines/>
              <w:rPr>
                <w:rFonts w:cs="Arial"/>
                <w:b/>
                <w:bCs/>
                <w:szCs w:val="20"/>
              </w:rPr>
            </w:pPr>
            <w:r w:rsidRPr="00271560">
              <w:rPr>
                <w:rFonts w:cs="Arial"/>
                <w:b/>
                <w:bCs/>
                <w:szCs w:val="20"/>
              </w:rPr>
              <w:t>Clinical trial</w:t>
            </w:r>
          </w:p>
        </w:tc>
        <w:tc>
          <w:tcPr>
            <w:tcW w:w="842" w:type="pct"/>
            <w:tcBorders>
              <w:top w:val="single" w:sz="4" w:space="0" w:color="000000"/>
              <w:left w:val="nil"/>
              <w:bottom w:val="single" w:sz="4" w:space="0" w:color="000000"/>
              <w:right w:val="nil"/>
            </w:tcBorders>
            <w:shd w:val="clear" w:color="auto" w:fill="auto"/>
            <w:vAlign w:val="center"/>
          </w:tcPr>
          <w:p w14:paraId="72DE0317" w14:textId="77777777" w:rsidR="00AC2298" w:rsidRPr="00271560" w:rsidRDefault="00AC2298" w:rsidP="000D3D5C">
            <w:pPr>
              <w:pStyle w:val="Tabletext"/>
              <w:keepNext/>
              <w:keepLines/>
              <w:jc w:val="both"/>
              <w:rPr>
                <w:rFonts w:cs="Arial"/>
                <w:szCs w:val="20"/>
              </w:rPr>
            </w:pPr>
          </w:p>
        </w:tc>
        <w:tc>
          <w:tcPr>
            <w:tcW w:w="3194" w:type="pct"/>
            <w:tcBorders>
              <w:top w:val="single" w:sz="4" w:space="0" w:color="000000"/>
              <w:left w:val="nil"/>
              <w:bottom w:val="single" w:sz="4" w:space="0" w:color="000000"/>
              <w:right w:val="nil"/>
            </w:tcBorders>
            <w:shd w:val="clear" w:color="auto" w:fill="auto"/>
            <w:vAlign w:val="center"/>
          </w:tcPr>
          <w:p w14:paraId="4A297956" w14:textId="77777777" w:rsidR="00AC2298" w:rsidRPr="00271560" w:rsidRDefault="00AC2298" w:rsidP="000D3D5C">
            <w:pPr>
              <w:pStyle w:val="Tabletext"/>
              <w:keepNext/>
              <w:keepLines/>
              <w:jc w:val="both"/>
              <w:rPr>
                <w:rFonts w:cs="Arial"/>
                <w:szCs w:val="20"/>
              </w:rPr>
            </w:pPr>
          </w:p>
        </w:tc>
      </w:tr>
      <w:tr w:rsidR="00770524" w:rsidRPr="00271560" w14:paraId="247D005A" w14:textId="77777777" w:rsidTr="00770524">
        <w:trPr>
          <w:trHeight w:val="58"/>
        </w:trPr>
        <w:tc>
          <w:tcPr>
            <w:tcW w:w="964" w:type="pct"/>
            <w:tcBorders>
              <w:top w:val="single" w:sz="4" w:space="0" w:color="000000"/>
              <w:left w:val="single" w:sz="4" w:space="0" w:color="000000"/>
              <w:bottom w:val="nil"/>
              <w:right w:val="single" w:sz="4" w:space="0" w:color="000000"/>
            </w:tcBorders>
            <w:shd w:val="clear" w:color="auto" w:fill="C6D9F1" w:themeFill="text2" w:themeFillTint="33"/>
            <w:vAlign w:val="center"/>
            <w:hideMark/>
          </w:tcPr>
          <w:p w14:paraId="6528E3A0" w14:textId="7E589A3D" w:rsidR="00AC2298" w:rsidRPr="00271560" w:rsidRDefault="00AC2298" w:rsidP="000D3D5C">
            <w:pPr>
              <w:pStyle w:val="Tabletext"/>
              <w:keepNext/>
              <w:keepLines/>
              <w:rPr>
                <w:rFonts w:cs="Arial"/>
                <w:szCs w:val="20"/>
                <w:vertAlign w:val="superscript"/>
              </w:rPr>
            </w:pPr>
            <w:r w:rsidRPr="00271560">
              <w:rPr>
                <w:rFonts w:cs="Arial"/>
                <w:szCs w:val="20"/>
              </w:rPr>
              <w:t>SM201/NURTURE</w:t>
            </w:r>
            <w:r w:rsidR="00780848" w:rsidRPr="00271560">
              <w:rPr>
                <w:rFonts w:cs="Arial"/>
                <w:szCs w:val="20"/>
              </w:rPr>
              <w:t xml:space="preserve"> </w:t>
            </w:r>
            <w:r w:rsidR="00780848" w:rsidRPr="00271560">
              <w:rPr>
                <w:rFonts w:cs="Arial"/>
                <w:szCs w:val="20"/>
                <w:vertAlign w:val="superscript"/>
              </w:rPr>
              <w:t>a</w:t>
            </w:r>
          </w:p>
        </w:tc>
        <w:tc>
          <w:tcPr>
            <w:tcW w:w="842" w:type="pct"/>
            <w:tcBorders>
              <w:top w:val="single" w:sz="4" w:space="0" w:color="000000"/>
              <w:left w:val="single" w:sz="4" w:space="0" w:color="000000"/>
              <w:bottom w:val="nil"/>
              <w:right w:val="single" w:sz="4" w:space="0" w:color="000000"/>
            </w:tcBorders>
            <w:shd w:val="clear" w:color="auto" w:fill="C6D9F1" w:themeFill="text2" w:themeFillTint="33"/>
            <w:vAlign w:val="center"/>
            <w:hideMark/>
          </w:tcPr>
          <w:p w14:paraId="6CB16E54" w14:textId="77777777" w:rsidR="00AC2298" w:rsidRPr="00271560" w:rsidRDefault="00AC2298" w:rsidP="000D3D5C">
            <w:pPr>
              <w:pStyle w:val="Tabletext"/>
              <w:keepNext/>
              <w:keepLines/>
              <w:jc w:val="both"/>
              <w:rPr>
                <w:rFonts w:cs="Arial"/>
                <w:szCs w:val="20"/>
              </w:rPr>
            </w:pPr>
            <w:r w:rsidRPr="00271560">
              <w:rPr>
                <w:rFonts w:cs="Arial"/>
                <w:szCs w:val="20"/>
              </w:rPr>
              <w:t>Phase 2</w:t>
            </w:r>
          </w:p>
        </w:tc>
        <w:tc>
          <w:tcPr>
            <w:tcW w:w="3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27A5C" w14:textId="549ADF03" w:rsidR="00AC2298" w:rsidRPr="00271560" w:rsidRDefault="00C97CD6" w:rsidP="000D3D5C">
            <w:pPr>
              <w:pStyle w:val="Tabletext"/>
              <w:keepNext/>
              <w:keepLines/>
              <w:jc w:val="both"/>
              <w:rPr>
                <w:rFonts w:cs="Arial"/>
                <w:szCs w:val="20"/>
              </w:rPr>
            </w:pPr>
            <w:r w:rsidRPr="00271560">
              <w:rPr>
                <w:rFonts w:cs="Arial"/>
                <w:szCs w:val="20"/>
              </w:rPr>
              <w:t>Clinical study report, Interim 5. 05 November 2020</w:t>
            </w:r>
          </w:p>
        </w:tc>
      </w:tr>
      <w:tr w:rsidR="00AC2298" w:rsidRPr="00271560" w14:paraId="1B2F5237" w14:textId="77777777" w:rsidTr="000D3D5C">
        <w:trPr>
          <w:trHeight w:val="677"/>
        </w:trPr>
        <w:tc>
          <w:tcPr>
            <w:tcW w:w="964" w:type="pct"/>
            <w:tcBorders>
              <w:top w:val="nil"/>
              <w:left w:val="single" w:sz="4" w:space="0" w:color="000000"/>
              <w:bottom w:val="single" w:sz="4" w:space="0" w:color="auto"/>
              <w:right w:val="single" w:sz="4" w:space="0" w:color="000000"/>
            </w:tcBorders>
            <w:vAlign w:val="center"/>
          </w:tcPr>
          <w:p w14:paraId="6A8349F2" w14:textId="1E131BD0" w:rsidR="00AC2298" w:rsidRPr="00271560" w:rsidRDefault="00AC2298" w:rsidP="000D3D5C">
            <w:pPr>
              <w:pStyle w:val="Tabletext"/>
              <w:keepNext/>
              <w:keepLines/>
              <w:rPr>
                <w:rFonts w:cs="Arial"/>
                <w:szCs w:val="20"/>
              </w:rPr>
            </w:pPr>
          </w:p>
        </w:tc>
        <w:tc>
          <w:tcPr>
            <w:tcW w:w="842" w:type="pct"/>
            <w:tcBorders>
              <w:top w:val="nil"/>
              <w:left w:val="single" w:sz="4" w:space="0" w:color="000000"/>
              <w:bottom w:val="single" w:sz="4" w:space="0" w:color="auto"/>
              <w:right w:val="single" w:sz="4" w:space="0" w:color="000000"/>
            </w:tcBorders>
            <w:vAlign w:val="center"/>
          </w:tcPr>
          <w:p w14:paraId="49B8AD2B" w14:textId="77777777" w:rsidR="00AC2298" w:rsidRPr="00271560" w:rsidRDefault="00AC2298" w:rsidP="000D3D5C">
            <w:pPr>
              <w:pStyle w:val="Tabletext"/>
              <w:keepNext/>
              <w:keepLines/>
              <w:jc w:val="both"/>
              <w:rPr>
                <w:rFonts w:cs="Arial"/>
                <w:szCs w:val="20"/>
              </w:rPr>
            </w:pPr>
          </w:p>
        </w:tc>
        <w:tc>
          <w:tcPr>
            <w:tcW w:w="3194" w:type="pct"/>
            <w:tcBorders>
              <w:top w:val="single" w:sz="4" w:space="0" w:color="000000"/>
              <w:left w:val="single" w:sz="4" w:space="0" w:color="000000"/>
              <w:bottom w:val="single" w:sz="4" w:space="0" w:color="000000"/>
              <w:right w:val="single" w:sz="4" w:space="0" w:color="000000"/>
            </w:tcBorders>
            <w:vAlign w:val="center"/>
            <w:hideMark/>
          </w:tcPr>
          <w:p w14:paraId="4CD825CF" w14:textId="77777777" w:rsidR="00AC2298" w:rsidRPr="00271560" w:rsidRDefault="00AC2298" w:rsidP="000D3D5C">
            <w:pPr>
              <w:pStyle w:val="Tabletext"/>
              <w:keepNext/>
              <w:keepLines/>
              <w:jc w:val="both"/>
              <w:rPr>
                <w:rFonts w:cs="Arial"/>
                <w:szCs w:val="20"/>
              </w:rPr>
            </w:pPr>
            <w:r w:rsidRPr="00271560">
              <w:rPr>
                <w:rFonts w:cs="Arial"/>
                <w:szCs w:val="20"/>
              </w:rPr>
              <w:t>Crawford (2022). Nusinersen Effect in Infants in the Presymptomatic Stage of SMA: 4.9-Year Interim of the NURTURE trial. MDA (2022) Muscular Dystrophy Association – 4th Clinical and Scientific Conference</w:t>
            </w:r>
          </w:p>
        </w:tc>
      </w:tr>
      <w:tr w:rsidR="00AC2298" w:rsidRPr="00271560" w14:paraId="0736B5AC" w14:textId="77777777" w:rsidTr="000D3D5C">
        <w:trPr>
          <w:trHeight w:val="20"/>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548B833E" w14:textId="77777777" w:rsidR="00AC2298" w:rsidRPr="00271560" w:rsidRDefault="00AC2298" w:rsidP="000D3D5C">
            <w:pPr>
              <w:pStyle w:val="Tabletext"/>
              <w:keepNext/>
              <w:keepLines/>
              <w:rPr>
                <w:rFonts w:eastAsia="Calibri" w:cs="Arial"/>
                <w:b/>
                <w:bCs/>
                <w:szCs w:val="20"/>
              </w:rPr>
            </w:pPr>
            <w:r w:rsidRPr="00271560">
              <w:rPr>
                <w:rFonts w:cs="Arial"/>
                <w:b/>
                <w:bCs/>
                <w:szCs w:val="20"/>
              </w:rPr>
              <w:t>Observational studies to support pre-symptomatic treatment</w:t>
            </w:r>
          </w:p>
        </w:tc>
      </w:tr>
      <w:tr w:rsidR="00AC2298" w:rsidRPr="00271560" w14:paraId="63C5C094" w14:textId="77777777" w:rsidTr="000D3D5C">
        <w:trPr>
          <w:trHeight w:val="20"/>
        </w:trPr>
        <w:tc>
          <w:tcPr>
            <w:tcW w:w="964" w:type="pct"/>
            <w:tcBorders>
              <w:top w:val="single" w:sz="4" w:space="0" w:color="auto"/>
              <w:left w:val="single" w:sz="4" w:space="0" w:color="auto"/>
              <w:bottom w:val="single" w:sz="4" w:space="0" w:color="auto"/>
              <w:right w:val="single" w:sz="4" w:space="0" w:color="auto"/>
            </w:tcBorders>
            <w:vAlign w:val="center"/>
          </w:tcPr>
          <w:p w14:paraId="58E43A49" w14:textId="77777777" w:rsidR="00AC2298" w:rsidRPr="00271560" w:rsidRDefault="00AC2298" w:rsidP="000D3D5C">
            <w:pPr>
              <w:pStyle w:val="Tabletext"/>
              <w:keepNext/>
              <w:keepLines/>
              <w:rPr>
                <w:rFonts w:cs="Arial"/>
                <w:szCs w:val="20"/>
              </w:rPr>
            </w:pPr>
            <w:r w:rsidRPr="00271560">
              <w:rPr>
                <w:rFonts w:cs="Arial"/>
                <w:szCs w:val="20"/>
              </w:rPr>
              <w:t>Alves 2021</w:t>
            </w:r>
          </w:p>
        </w:tc>
        <w:tc>
          <w:tcPr>
            <w:tcW w:w="842" w:type="pct"/>
            <w:tcBorders>
              <w:top w:val="single" w:sz="4" w:space="0" w:color="auto"/>
              <w:left w:val="single" w:sz="4" w:space="0" w:color="auto"/>
              <w:bottom w:val="single" w:sz="4" w:space="0" w:color="auto"/>
              <w:right w:val="single" w:sz="4" w:space="0" w:color="auto"/>
            </w:tcBorders>
            <w:vAlign w:val="center"/>
          </w:tcPr>
          <w:p w14:paraId="469CE234" w14:textId="77777777" w:rsidR="00AC2298" w:rsidRPr="00271560" w:rsidRDefault="00AC2298" w:rsidP="000D3D5C">
            <w:pPr>
              <w:pStyle w:val="Tabletext"/>
              <w:keepNext/>
              <w:keepLines/>
              <w:jc w:val="both"/>
              <w:rPr>
                <w:rFonts w:cs="Arial"/>
                <w:szCs w:val="20"/>
              </w:rPr>
            </w:pPr>
            <w:r w:rsidRPr="00271560">
              <w:rPr>
                <w:rFonts w:cs="Arial"/>
                <w:szCs w:val="20"/>
              </w:rPr>
              <w:t>Prospective case series</w:t>
            </w:r>
          </w:p>
        </w:tc>
        <w:tc>
          <w:tcPr>
            <w:tcW w:w="3194" w:type="pct"/>
            <w:tcBorders>
              <w:top w:val="single" w:sz="4" w:space="0" w:color="auto"/>
              <w:left w:val="single" w:sz="4" w:space="0" w:color="auto"/>
              <w:bottom w:val="single" w:sz="4" w:space="0" w:color="auto"/>
              <w:right w:val="single" w:sz="4" w:space="0" w:color="auto"/>
            </w:tcBorders>
            <w:vAlign w:val="center"/>
          </w:tcPr>
          <w:p w14:paraId="0B9EBD03" w14:textId="77777777" w:rsidR="00AC2298" w:rsidRPr="00271560" w:rsidRDefault="00AC2298" w:rsidP="000D3D5C">
            <w:pPr>
              <w:pStyle w:val="Tabletext"/>
              <w:keepNext/>
              <w:keepLines/>
              <w:jc w:val="both"/>
              <w:rPr>
                <w:rFonts w:eastAsia="Calibri" w:cs="Arial"/>
                <w:szCs w:val="20"/>
              </w:rPr>
            </w:pPr>
            <w:r w:rsidRPr="00271560">
              <w:rPr>
                <w:rFonts w:eastAsia="Calibri" w:cs="Arial"/>
                <w:szCs w:val="20"/>
              </w:rPr>
              <w:t>Alves, C. R. R., et al. (2021). "Implications of circulating neurofilaments for spinal muscular atrophy treatment early in life: A case series." Molecular Therapy - Methods and Clinical Development 23: 524-538.</w:t>
            </w:r>
          </w:p>
        </w:tc>
      </w:tr>
      <w:tr w:rsidR="00AC2298" w:rsidRPr="00271560" w14:paraId="504DD947" w14:textId="77777777" w:rsidTr="000D3D5C">
        <w:trPr>
          <w:trHeight w:val="20"/>
        </w:trPr>
        <w:tc>
          <w:tcPr>
            <w:tcW w:w="964" w:type="pct"/>
            <w:tcBorders>
              <w:top w:val="single" w:sz="4" w:space="0" w:color="auto"/>
              <w:left w:val="single" w:sz="4" w:space="0" w:color="auto"/>
              <w:bottom w:val="single" w:sz="4" w:space="0" w:color="auto"/>
              <w:right w:val="single" w:sz="4" w:space="0" w:color="auto"/>
            </w:tcBorders>
            <w:vAlign w:val="center"/>
          </w:tcPr>
          <w:p w14:paraId="3479D937" w14:textId="77777777" w:rsidR="00AC2298" w:rsidRPr="00271560" w:rsidRDefault="00AC2298" w:rsidP="000D3D5C">
            <w:pPr>
              <w:pStyle w:val="Tabletext"/>
              <w:keepNext/>
              <w:keepLines/>
              <w:rPr>
                <w:rFonts w:cs="Arial"/>
                <w:szCs w:val="20"/>
              </w:rPr>
            </w:pPr>
            <w:r w:rsidRPr="00271560">
              <w:rPr>
                <w:rFonts w:cs="Arial"/>
                <w:szCs w:val="20"/>
              </w:rPr>
              <w:t>Boemer 2022</w:t>
            </w:r>
          </w:p>
        </w:tc>
        <w:tc>
          <w:tcPr>
            <w:tcW w:w="842" w:type="pct"/>
            <w:tcBorders>
              <w:top w:val="single" w:sz="4" w:space="0" w:color="auto"/>
              <w:left w:val="single" w:sz="4" w:space="0" w:color="auto"/>
              <w:bottom w:val="single" w:sz="4" w:space="0" w:color="auto"/>
              <w:right w:val="single" w:sz="4" w:space="0" w:color="auto"/>
            </w:tcBorders>
            <w:vAlign w:val="center"/>
          </w:tcPr>
          <w:p w14:paraId="418ED897" w14:textId="77777777" w:rsidR="00AC2298" w:rsidRPr="00271560" w:rsidRDefault="00AC2298" w:rsidP="000D3D5C">
            <w:pPr>
              <w:pStyle w:val="Tabletext"/>
              <w:keepNext/>
              <w:keepLines/>
              <w:jc w:val="both"/>
              <w:rPr>
                <w:rFonts w:cs="Arial"/>
                <w:szCs w:val="20"/>
              </w:rPr>
            </w:pPr>
            <w:r w:rsidRPr="00271560">
              <w:rPr>
                <w:rFonts w:cs="Arial"/>
                <w:szCs w:val="20"/>
              </w:rPr>
              <w:t>Prospective cohort study</w:t>
            </w:r>
          </w:p>
        </w:tc>
        <w:tc>
          <w:tcPr>
            <w:tcW w:w="3194" w:type="pct"/>
            <w:tcBorders>
              <w:top w:val="single" w:sz="4" w:space="0" w:color="auto"/>
              <w:left w:val="single" w:sz="4" w:space="0" w:color="auto"/>
              <w:bottom w:val="single" w:sz="4" w:space="0" w:color="auto"/>
              <w:right w:val="single" w:sz="4" w:space="0" w:color="auto"/>
            </w:tcBorders>
            <w:vAlign w:val="center"/>
          </w:tcPr>
          <w:p w14:paraId="2017E8E2" w14:textId="77777777" w:rsidR="00AC2298" w:rsidRPr="00271560" w:rsidRDefault="00AC2298" w:rsidP="000D3D5C">
            <w:pPr>
              <w:pStyle w:val="Tabletext"/>
              <w:keepNext/>
              <w:keepLines/>
              <w:jc w:val="both"/>
              <w:rPr>
                <w:rFonts w:eastAsia="Calibri" w:cs="Arial"/>
                <w:szCs w:val="20"/>
              </w:rPr>
            </w:pPr>
            <w:r w:rsidRPr="00271560">
              <w:rPr>
                <w:rFonts w:eastAsia="Calibri" w:cs="Arial"/>
                <w:szCs w:val="20"/>
              </w:rPr>
              <w:t>Boemer, et al.  (2022). Three years pilot of spinal muscular atrophy newborn screening turned into official program in Southern Belgium. Sci Rep. 2021 Oct 7;11(1):19922.</w:t>
            </w:r>
          </w:p>
        </w:tc>
      </w:tr>
      <w:tr w:rsidR="00AC2298" w:rsidRPr="00271560" w14:paraId="446A1F0D" w14:textId="77777777" w:rsidTr="000D3D5C">
        <w:trPr>
          <w:trHeight w:val="20"/>
        </w:trPr>
        <w:tc>
          <w:tcPr>
            <w:tcW w:w="964" w:type="pct"/>
            <w:tcBorders>
              <w:top w:val="single" w:sz="4" w:space="0" w:color="auto"/>
              <w:left w:val="single" w:sz="4" w:space="0" w:color="auto"/>
              <w:bottom w:val="single" w:sz="4" w:space="0" w:color="auto"/>
              <w:right w:val="single" w:sz="4" w:space="0" w:color="auto"/>
            </w:tcBorders>
            <w:vAlign w:val="center"/>
          </w:tcPr>
          <w:p w14:paraId="559554F4" w14:textId="77777777" w:rsidR="00AC2298" w:rsidRPr="00271560" w:rsidRDefault="00AC2298" w:rsidP="000D3D5C">
            <w:pPr>
              <w:pStyle w:val="Tabletext"/>
              <w:keepNext/>
              <w:keepLines/>
              <w:rPr>
                <w:rFonts w:cs="Arial"/>
                <w:szCs w:val="20"/>
              </w:rPr>
            </w:pPr>
            <w:r w:rsidRPr="00271560">
              <w:rPr>
                <w:rFonts w:cs="Arial"/>
                <w:szCs w:val="20"/>
              </w:rPr>
              <w:t>Kariyawasam 2023</w:t>
            </w:r>
          </w:p>
        </w:tc>
        <w:tc>
          <w:tcPr>
            <w:tcW w:w="842" w:type="pct"/>
            <w:tcBorders>
              <w:top w:val="single" w:sz="4" w:space="0" w:color="auto"/>
              <w:left w:val="single" w:sz="4" w:space="0" w:color="auto"/>
              <w:bottom w:val="single" w:sz="4" w:space="0" w:color="auto"/>
              <w:right w:val="single" w:sz="4" w:space="0" w:color="auto"/>
            </w:tcBorders>
            <w:vAlign w:val="center"/>
          </w:tcPr>
          <w:p w14:paraId="5CE8FE83" w14:textId="77777777" w:rsidR="00AC2298" w:rsidRPr="00271560" w:rsidRDefault="00AC2298" w:rsidP="000D3D5C">
            <w:pPr>
              <w:pStyle w:val="Tabletext"/>
              <w:keepNext/>
              <w:keepLines/>
              <w:jc w:val="both"/>
              <w:rPr>
                <w:rFonts w:cs="Arial"/>
                <w:szCs w:val="20"/>
                <w:highlight w:val="yellow"/>
              </w:rPr>
            </w:pPr>
            <w:r w:rsidRPr="00271560">
              <w:rPr>
                <w:rFonts w:cs="Arial"/>
                <w:szCs w:val="20"/>
              </w:rPr>
              <w:t>Observational non-randomised cohort study</w:t>
            </w:r>
          </w:p>
        </w:tc>
        <w:tc>
          <w:tcPr>
            <w:tcW w:w="3194" w:type="pct"/>
            <w:tcBorders>
              <w:top w:val="single" w:sz="4" w:space="0" w:color="auto"/>
              <w:left w:val="single" w:sz="4" w:space="0" w:color="auto"/>
              <w:bottom w:val="single" w:sz="4" w:space="0" w:color="auto"/>
              <w:right w:val="single" w:sz="4" w:space="0" w:color="auto"/>
            </w:tcBorders>
            <w:vAlign w:val="center"/>
          </w:tcPr>
          <w:p w14:paraId="7178DAAD" w14:textId="77777777" w:rsidR="00AC2298" w:rsidRPr="00271560" w:rsidRDefault="00AC2298" w:rsidP="000D3D5C">
            <w:pPr>
              <w:pStyle w:val="Tabletext"/>
              <w:keepNext/>
              <w:keepLines/>
              <w:jc w:val="both"/>
              <w:rPr>
                <w:rFonts w:eastAsia="Calibri" w:cs="Arial"/>
                <w:szCs w:val="20"/>
                <w:highlight w:val="yellow"/>
              </w:rPr>
            </w:pPr>
            <w:r w:rsidRPr="00271560">
              <w:rPr>
                <w:rFonts w:eastAsia="Calibri" w:cs="Arial"/>
                <w:szCs w:val="20"/>
              </w:rPr>
              <w:t>Kariyawasam, S., et al (2023). Newborn screening for spinal muscular atrophy in Australia: a non-randomised cohort study. Lancet Child and Adolescent health. S2352-4642(22)00342-X</w:t>
            </w:r>
          </w:p>
        </w:tc>
      </w:tr>
      <w:tr w:rsidR="00AC2298" w:rsidRPr="00271560" w14:paraId="50E23383" w14:textId="77777777" w:rsidTr="000D3D5C">
        <w:trPr>
          <w:trHeight w:val="20"/>
        </w:trPr>
        <w:tc>
          <w:tcPr>
            <w:tcW w:w="964" w:type="pct"/>
            <w:tcBorders>
              <w:top w:val="single" w:sz="4" w:space="0" w:color="auto"/>
              <w:left w:val="single" w:sz="4" w:space="0" w:color="auto"/>
              <w:bottom w:val="nil"/>
              <w:right w:val="single" w:sz="4" w:space="0" w:color="auto"/>
            </w:tcBorders>
            <w:vAlign w:val="center"/>
          </w:tcPr>
          <w:p w14:paraId="36360778" w14:textId="77777777" w:rsidR="00AC2298" w:rsidRPr="00271560" w:rsidRDefault="00AC2298" w:rsidP="000D3D5C">
            <w:pPr>
              <w:pStyle w:val="Tabletext"/>
              <w:keepNext/>
              <w:keepLines/>
              <w:rPr>
                <w:rFonts w:cs="Arial"/>
                <w:szCs w:val="20"/>
              </w:rPr>
            </w:pPr>
            <w:r w:rsidRPr="00271560">
              <w:rPr>
                <w:rFonts w:cs="Arial"/>
                <w:szCs w:val="20"/>
              </w:rPr>
              <w:t>Vill 2021, 2022</w:t>
            </w:r>
          </w:p>
        </w:tc>
        <w:tc>
          <w:tcPr>
            <w:tcW w:w="842" w:type="pct"/>
            <w:tcBorders>
              <w:top w:val="single" w:sz="4" w:space="0" w:color="auto"/>
              <w:left w:val="single" w:sz="4" w:space="0" w:color="auto"/>
              <w:bottom w:val="nil"/>
              <w:right w:val="single" w:sz="4" w:space="0" w:color="auto"/>
            </w:tcBorders>
            <w:vAlign w:val="center"/>
          </w:tcPr>
          <w:p w14:paraId="51C966F3" w14:textId="77777777" w:rsidR="00AC2298" w:rsidRPr="00271560" w:rsidRDefault="00AC2298" w:rsidP="000D3D5C">
            <w:pPr>
              <w:pStyle w:val="Tabletext"/>
              <w:keepNext/>
              <w:keepLines/>
              <w:jc w:val="both"/>
              <w:rPr>
                <w:rFonts w:cs="Arial"/>
                <w:szCs w:val="20"/>
              </w:rPr>
            </w:pPr>
            <w:r w:rsidRPr="00271560">
              <w:rPr>
                <w:rFonts w:cs="Arial"/>
                <w:szCs w:val="20"/>
              </w:rPr>
              <w:t>Prospective cohort study</w:t>
            </w:r>
          </w:p>
        </w:tc>
        <w:tc>
          <w:tcPr>
            <w:tcW w:w="3194" w:type="pct"/>
            <w:tcBorders>
              <w:top w:val="single" w:sz="4" w:space="0" w:color="auto"/>
              <w:left w:val="single" w:sz="4" w:space="0" w:color="auto"/>
              <w:bottom w:val="single" w:sz="4" w:space="0" w:color="auto"/>
              <w:right w:val="single" w:sz="4" w:space="0" w:color="auto"/>
            </w:tcBorders>
            <w:vAlign w:val="center"/>
          </w:tcPr>
          <w:p w14:paraId="367F68BF" w14:textId="77777777" w:rsidR="00AC2298" w:rsidRPr="00271560" w:rsidRDefault="00AC2298" w:rsidP="000D3D5C">
            <w:pPr>
              <w:pStyle w:val="Tabletext"/>
              <w:keepNext/>
              <w:keepLines/>
              <w:jc w:val="both"/>
              <w:rPr>
                <w:rFonts w:eastAsia="Calibri" w:cs="Arial"/>
                <w:szCs w:val="20"/>
              </w:rPr>
            </w:pPr>
            <w:r w:rsidRPr="00271560">
              <w:rPr>
                <w:rFonts w:eastAsia="Calibri" w:cs="Arial"/>
                <w:szCs w:val="20"/>
              </w:rPr>
              <w:t>Vill, K., et al. (2019). "One year of newborn screening for SMA – Results of a German pilot project." Journal of Neuromuscular Diseases 6(4): 503-515.</w:t>
            </w:r>
          </w:p>
        </w:tc>
      </w:tr>
      <w:tr w:rsidR="00AC2298" w:rsidRPr="00271560" w14:paraId="288FF086" w14:textId="77777777" w:rsidTr="000D3D5C">
        <w:trPr>
          <w:trHeight w:val="20"/>
        </w:trPr>
        <w:tc>
          <w:tcPr>
            <w:tcW w:w="964" w:type="pct"/>
            <w:tcBorders>
              <w:top w:val="nil"/>
              <w:left w:val="single" w:sz="4" w:space="0" w:color="auto"/>
              <w:bottom w:val="nil"/>
              <w:right w:val="single" w:sz="4" w:space="0" w:color="auto"/>
            </w:tcBorders>
            <w:vAlign w:val="center"/>
          </w:tcPr>
          <w:p w14:paraId="10DF1769" w14:textId="77777777" w:rsidR="00AC2298" w:rsidRPr="00271560" w:rsidRDefault="00AC2298" w:rsidP="000D3D5C">
            <w:pPr>
              <w:pStyle w:val="Tabletext"/>
              <w:keepNext/>
              <w:keepLines/>
              <w:rPr>
                <w:rFonts w:cs="Arial"/>
                <w:szCs w:val="20"/>
              </w:rPr>
            </w:pPr>
          </w:p>
        </w:tc>
        <w:tc>
          <w:tcPr>
            <w:tcW w:w="842" w:type="pct"/>
            <w:tcBorders>
              <w:top w:val="nil"/>
              <w:left w:val="single" w:sz="4" w:space="0" w:color="auto"/>
              <w:bottom w:val="nil"/>
              <w:right w:val="single" w:sz="4" w:space="0" w:color="auto"/>
            </w:tcBorders>
            <w:vAlign w:val="center"/>
          </w:tcPr>
          <w:p w14:paraId="5991E36C" w14:textId="77777777" w:rsidR="00AC2298" w:rsidRPr="00271560" w:rsidRDefault="00AC2298" w:rsidP="000D3D5C">
            <w:pPr>
              <w:pStyle w:val="Tabletext"/>
              <w:keepNext/>
              <w:keepLines/>
              <w:jc w:val="both"/>
              <w:rPr>
                <w:rFonts w:cs="Arial"/>
                <w:szCs w:val="20"/>
              </w:rPr>
            </w:pPr>
          </w:p>
        </w:tc>
        <w:tc>
          <w:tcPr>
            <w:tcW w:w="3194" w:type="pct"/>
            <w:tcBorders>
              <w:top w:val="single" w:sz="4" w:space="0" w:color="auto"/>
              <w:left w:val="single" w:sz="4" w:space="0" w:color="auto"/>
              <w:bottom w:val="single" w:sz="4" w:space="0" w:color="auto"/>
              <w:right w:val="single" w:sz="4" w:space="0" w:color="auto"/>
            </w:tcBorders>
            <w:vAlign w:val="center"/>
          </w:tcPr>
          <w:p w14:paraId="4CCE7CA0" w14:textId="77777777" w:rsidR="00AC2298" w:rsidRPr="00271560" w:rsidRDefault="00AC2298" w:rsidP="000D3D5C">
            <w:pPr>
              <w:pStyle w:val="Tabletext"/>
              <w:keepNext/>
              <w:keepLines/>
              <w:jc w:val="both"/>
              <w:rPr>
                <w:rFonts w:eastAsia="Calibri" w:cs="Arial"/>
                <w:szCs w:val="20"/>
              </w:rPr>
            </w:pPr>
            <w:r w:rsidRPr="00271560">
              <w:rPr>
                <w:rFonts w:eastAsia="Calibri" w:cs="Arial"/>
                <w:szCs w:val="20"/>
              </w:rPr>
              <w:t>Vill, K., et al. (2021). "Newborn screening for spinal muscular atrophy in Germany: clinical results after 2 years." Orphanet Journal of Rare Diseases 16(1).</w:t>
            </w:r>
          </w:p>
        </w:tc>
      </w:tr>
      <w:tr w:rsidR="00AC2298" w:rsidRPr="00271560" w14:paraId="7C2074E5" w14:textId="77777777" w:rsidTr="000D3D5C">
        <w:trPr>
          <w:trHeight w:val="20"/>
        </w:trPr>
        <w:tc>
          <w:tcPr>
            <w:tcW w:w="964" w:type="pct"/>
            <w:tcBorders>
              <w:top w:val="nil"/>
              <w:left w:val="single" w:sz="4" w:space="0" w:color="auto"/>
              <w:bottom w:val="single" w:sz="4" w:space="0" w:color="auto"/>
              <w:right w:val="single" w:sz="4" w:space="0" w:color="auto"/>
            </w:tcBorders>
            <w:vAlign w:val="center"/>
          </w:tcPr>
          <w:p w14:paraId="350B1BD3" w14:textId="77777777" w:rsidR="00AC2298" w:rsidRPr="00271560" w:rsidRDefault="00AC2298" w:rsidP="000D3D5C">
            <w:pPr>
              <w:pStyle w:val="Tabletext"/>
              <w:keepNext/>
              <w:keepLines/>
              <w:rPr>
                <w:rFonts w:cs="Arial"/>
                <w:szCs w:val="20"/>
              </w:rPr>
            </w:pPr>
          </w:p>
        </w:tc>
        <w:tc>
          <w:tcPr>
            <w:tcW w:w="842" w:type="pct"/>
            <w:tcBorders>
              <w:top w:val="nil"/>
              <w:left w:val="single" w:sz="4" w:space="0" w:color="auto"/>
              <w:bottom w:val="single" w:sz="4" w:space="0" w:color="auto"/>
              <w:right w:val="single" w:sz="4" w:space="0" w:color="auto"/>
            </w:tcBorders>
            <w:vAlign w:val="center"/>
          </w:tcPr>
          <w:p w14:paraId="06372AA6" w14:textId="77777777" w:rsidR="00AC2298" w:rsidRPr="00271560" w:rsidRDefault="00AC2298" w:rsidP="000D3D5C">
            <w:pPr>
              <w:pStyle w:val="Tabletext"/>
              <w:keepNext/>
              <w:keepLines/>
              <w:jc w:val="both"/>
              <w:rPr>
                <w:rFonts w:cs="Arial"/>
                <w:szCs w:val="20"/>
              </w:rPr>
            </w:pPr>
          </w:p>
        </w:tc>
        <w:tc>
          <w:tcPr>
            <w:tcW w:w="3194" w:type="pct"/>
            <w:tcBorders>
              <w:top w:val="single" w:sz="4" w:space="0" w:color="auto"/>
              <w:left w:val="single" w:sz="4" w:space="0" w:color="auto"/>
              <w:bottom w:val="single" w:sz="4" w:space="0" w:color="auto"/>
              <w:right w:val="single" w:sz="4" w:space="0" w:color="auto"/>
            </w:tcBorders>
            <w:vAlign w:val="center"/>
          </w:tcPr>
          <w:p w14:paraId="0D6BD03D" w14:textId="77777777" w:rsidR="00AC2298" w:rsidRPr="00271560" w:rsidRDefault="00AC2298" w:rsidP="000D3D5C">
            <w:pPr>
              <w:pStyle w:val="Tabletext"/>
              <w:keepNext/>
              <w:keepLines/>
              <w:jc w:val="both"/>
              <w:rPr>
                <w:rFonts w:eastAsia="Calibri" w:cs="Arial"/>
                <w:szCs w:val="20"/>
              </w:rPr>
            </w:pPr>
            <w:r w:rsidRPr="00271560">
              <w:rPr>
                <w:rFonts w:eastAsia="Calibri" w:cs="Arial"/>
                <w:szCs w:val="20"/>
              </w:rPr>
              <w:t>Mueller-Felber, W., et al. (2019). "P.211Pilot study of genetic newborn screening for spinal muscular atrophy in Germany: clinical results after more than a year." Neuromuscular Disorders 29: S128.</w:t>
            </w:r>
          </w:p>
        </w:tc>
      </w:tr>
    </w:tbl>
    <w:p w14:paraId="04317300" w14:textId="77777777" w:rsidR="00AC2298" w:rsidRPr="00271560" w:rsidRDefault="00AC2298" w:rsidP="00C97CD6">
      <w:pPr>
        <w:pStyle w:val="FooterTableFigure"/>
        <w:keepNext/>
        <w:keepLines/>
      </w:pPr>
      <w:r w:rsidRPr="00271560">
        <w:t>Source: Table 2.4, p60 of the resubmission</w:t>
      </w:r>
    </w:p>
    <w:p w14:paraId="7581D0F5" w14:textId="11E7F6FE" w:rsidR="00770524" w:rsidRPr="00271560" w:rsidRDefault="00770524" w:rsidP="00C97CD6">
      <w:pPr>
        <w:pStyle w:val="FooterTableFigure"/>
        <w:keepNext/>
        <w:keepLines/>
      </w:pPr>
      <w:r w:rsidRPr="00271560">
        <w:t>Blue shaded cells indicate studies that PBAC has previously considered, though with an earlier data cut-off.</w:t>
      </w:r>
    </w:p>
    <w:p w14:paraId="6AE5ED8B" w14:textId="375F9C9D" w:rsidR="00AC2298" w:rsidRPr="00271560" w:rsidRDefault="00AC2298" w:rsidP="00C97CD6">
      <w:pPr>
        <w:pStyle w:val="FooterTableFigure"/>
        <w:keepNext/>
        <w:keepLines/>
        <w:rPr>
          <w:rStyle w:val="CommentReference"/>
          <w:b w:val="0"/>
          <w:sz w:val="18"/>
          <w:szCs w:val="22"/>
        </w:rPr>
      </w:pPr>
      <w:r w:rsidRPr="00271560">
        <w:rPr>
          <w:rStyle w:val="CommentReference"/>
          <w:b w:val="0"/>
          <w:sz w:val="18"/>
          <w:szCs w:val="22"/>
          <w:vertAlign w:val="superscript"/>
        </w:rPr>
        <w:t>a</w:t>
      </w:r>
      <w:r w:rsidRPr="00271560">
        <w:rPr>
          <w:rStyle w:val="CommentReference"/>
          <w:b w:val="0"/>
          <w:sz w:val="18"/>
          <w:szCs w:val="22"/>
        </w:rPr>
        <w:t xml:space="preserve"> In addition to earlier data cuts for NURTURE, the PBAC has previously considered some outcomes data from the February 2-20 interim analysis in the pre-PBAC response to the July 2020 resubmission (Figure 2, nusinersen PSD, July 2020).</w:t>
      </w:r>
    </w:p>
    <w:p w14:paraId="11D6D221" w14:textId="24358D8C" w:rsidR="00AC2298" w:rsidRPr="00271560" w:rsidRDefault="00AC2298" w:rsidP="00AC2298">
      <w:pPr>
        <w:pStyle w:val="3-BodyText"/>
      </w:pPr>
      <w:r w:rsidRPr="00271560">
        <w:t xml:space="preserve">The key features of the studies are summarised in </w:t>
      </w:r>
      <w:r w:rsidRPr="00271560">
        <w:fldChar w:fldCharType="begin" w:fldLock="1"/>
      </w:r>
      <w:r w:rsidRPr="00271560">
        <w:instrText xml:space="preserve"> REF _Ref104804098 \h  \* MERGEFORMAT </w:instrText>
      </w:r>
      <w:r w:rsidRPr="00271560">
        <w:fldChar w:fldCharType="separate"/>
      </w:r>
      <w:r w:rsidR="00016BA6" w:rsidRPr="00016BA6">
        <w:t>Table 5</w:t>
      </w:r>
      <w:r w:rsidRPr="00271560">
        <w:fldChar w:fldCharType="end"/>
      </w:r>
      <w:r w:rsidRPr="00271560">
        <w:t xml:space="preserve">. </w:t>
      </w:r>
    </w:p>
    <w:p w14:paraId="7947ED5D" w14:textId="6494BDD0" w:rsidR="00AC2298" w:rsidRPr="00271560" w:rsidRDefault="00AC2298" w:rsidP="002A06F5">
      <w:pPr>
        <w:pStyle w:val="Caption"/>
        <w:rPr>
          <w:rStyle w:val="CommentReference"/>
          <w:rFonts w:eastAsiaTheme="majorEastAsia" w:cstheme="majorBidi"/>
          <w:b/>
          <w:szCs w:val="24"/>
        </w:rPr>
      </w:pPr>
      <w:bookmarkStart w:id="34" w:name="_Ref104804098"/>
      <w:r w:rsidRPr="00271560">
        <w:rPr>
          <w:rStyle w:val="CommentReference"/>
          <w:rFonts w:eastAsiaTheme="majorEastAsia" w:cstheme="majorBidi"/>
          <w:b/>
          <w:szCs w:val="24"/>
        </w:rPr>
        <w:lastRenderedPageBreak/>
        <w:t xml:space="preserve">Table </w:t>
      </w:r>
      <w:r w:rsidRPr="00271560">
        <w:rPr>
          <w:rStyle w:val="CommentReference"/>
          <w:rFonts w:eastAsiaTheme="majorEastAsia" w:cstheme="majorBidi"/>
          <w:b/>
          <w:szCs w:val="24"/>
        </w:rPr>
        <w:fldChar w:fldCharType="begin" w:fldLock="1"/>
      </w:r>
      <w:r w:rsidRPr="00271560">
        <w:rPr>
          <w:rStyle w:val="CommentReference"/>
          <w:rFonts w:eastAsiaTheme="majorEastAsia" w:cstheme="majorBidi"/>
          <w:b/>
          <w:szCs w:val="24"/>
        </w:rPr>
        <w:instrText xml:space="preserve"> SEQ Table \* ARABIC </w:instrText>
      </w:r>
      <w:r w:rsidRPr="00271560">
        <w:rPr>
          <w:rStyle w:val="CommentReference"/>
          <w:rFonts w:eastAsiaTheme="majorEastAsia" w:cstheme="majorBidi"/>
          <w:b/>
          <w:szCs w:val="24"/>
        </w:rPr>
        <w:fldChar w:fldCharType="separate"/>
      </w:r>
      <w:r w:rsidR="00016BA6">
        <w:rPr>
          <w:rStyle w:val="CommentReference"/>
          <w:rFonts w:eastAsiaTheme="majorEastAsia" w:cstheme="majorBidi"/>
          <w:b/>
          <w:noProof/>
          <w:szCs w:val="24"/>
        </w:rPr>
        <w:t>5</w:t>
      </w:r>
      <w:r w:rsidRPr="00271560">
        <w:rPr>
          <w:rStyle w:val="CommentReference"/>
          <w:rFonts w:eastAsiaTheme="majorEastAsia" w:cstheme="majorBidi"/>
          <w:b/>
          <w:szCs w:val="24"/>
        </w:rPr>
        <w:fldChar w:fldCharType="end"/>
      </w:r>
      <w:bookmarkEnd w:id="34"/>
      <w:r w:rsidRPr="00271560">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129"/>
        <w:gridCol w:w="426"/>
        <w:gridCol w:w="2139"/>
        <w:gridCol w:w="696"/>
        <w:gridCol w:w="2268"/>
        <w:gridCol w:w="1417"/>
        <w:gridCol w:w="941"/>
      </w:tblGrid>
      <w:tr w:rsidR="00AC2298" w:rsidRPr="00271560" w14:paraId="5F00746F" w14:textId="77777777" w:rsidTr="0091583A">
        <w:tc>
          <w:tcPr>
            <w:tcW w:w="626" w:type="pct"/>
            <w:shd w:val="clear" w:color="auto" w:fill="auto"/>
            <w:vAlign w:val="center"/>
          </w:tcPr>
          <w:p w14:paraId="5769FD86" w14:textId="77777777" w:rsidR="00AC2298" w:rsidRPr="00271560" w:rsidRDefault="00AC2298" w:rsidP="002A06F5">
            <w:pPr>
              <w:pStyle w:val="Tabletext"/>
              <w:keepNext/>
              <w:keepLines/>
              <w:rPr>
                <w:b/>
              </w:rPr>
            </w:pPr>
            <w:r w:rsidRPr="00271560">
              <w:rPr>
                <w:b/>
              </w:rPr>
              <w:t>Study</w:t>
            </w:r>
          </w:p>
        </w:tc>
        <w:tc>
          <w:tcPr>
            <w:tcW w:w="236" w:type="pct"/>
            <w:shd w:val="clear" w:color="auto" w:fill="auto"/>
            <w:vAlign w:val="center"/>
          </w:tcPr>
          <w:p w14:paraId="182FD785" w14:textId="77777777" w:rsidR="00AC2298" w:rsidRPr="00271560" w:rsidRDefault="00AC2298" w:rsidP="002A06F5">
            <w:pPr>
              <w:pStyle w:val="Tabletext"/>
              <w:keepNext/>
              <w:keepLines/>
              <w:jc w:val="center"/>
              <w:rPr>
                <w:b/>
              </w:rPr>
            </w:pPr>
            <w:r w:rsidRPr="00271560">
              <w:rPr>
                <w:b/>
              </w:rPr>
              <w:t>N</w:t>
            </w:r>
          </w:p>
        </w:tc>
        <w:tc>
          <w:tcPr>
            <w:tcW w:w="1186" w:type="pct"/>
            <w:shd w:val="clear" w:color="auto" w:fill="auto"/>
            <w:vAlign w:val="center"/>
          </w:tcPr>
          <w:p w14:paraId="7E6BDAFC" w14:textId="77777777" w:rsidR="00AC2298" w:rsidRPr="00271560" w:rsidRDefault="00AC2298" w:rsidP="002A06F5">
            <w:pPr>
              <w:pStyle w:val="Tabletext"/>
              <w:keepNext/>
              <w:keepLines/>
              <w:jc w:val="center"/>
              <w:rPr>
                <w:b/>
              </w:rPr>
            </w:pPr>
            <w:r w:rsidRPr="00271560">
              <w:rPr>
                <w:b/>
              </w:rPr>
              <w:t>Design/ duration</w:t>
            </w:r>
          </w:p>
        </w:tc>
        <w:tc>
          <w:tcPr>
            <w:tcW w:w="386" w:type="pct"/>
            <w:shd w:val="clear" w:color="auto" w:fill="auto"/>
            <w:vAlign w:val="center"/>
          </w:tcPr>
          <w:p w14:paraId="0ABCF54E" w14:textId="77777777" w:rsidR="00AC2298" w:rsidRPr="00271560" w:rsidRDefault="00AC2298" w:rsidP="002A06F5">
            <w:pPr>
              <w:pStyle w:val="Tabletext"/>
              <w:keepNext/>
              <w:keepLines/>
              <w:jc w:val="center"/>
              <w:rPr>
                <w:b/>
              </w:rPr>
            </w:pPr>
            <w:r w:rsidRPr="00271560">
              <w:rPr>
                <w:b/>
              </w:rPr>
              <w:t>Risk of bias</w:t>
            </w:r>
          </w:p>
        </w:tc>
        <w:tc>
          <w:tcPr>
            <w:tcW w:w="1258" w:type="pct"/>
            <w:shd w:val="clear" w:color="auto" w:fill="auto"/>
            <w:vAlign w:val="center"/>
          </w:tcPr>
          <w:p w14:paraId="0E1B5947" w14:textId="77777777" w:rsidR="00AC2298" w:rsidRPr="00271560" w:rsidRDefault="00AC2298" w:rsidP="002A06F5">
            <w:pPr>
              <w:pStyle w:val="Tabletext"/>
              <w:keepNext/>
              <w:keepLines/>
              <w:jc w:val="center"/>
              <w:rPr>
                <w:b/>
              </w:rPr>
            </w:pPr>
            <w:r w:rsidRPr="00271560">
              <w:rPr>
                <w:b/>
              </w:rPr>
              <w:t>Patient population</w:t>
            </w:r>
          </w:p>
        </w:tc>
        <w:tc>
          <w:tcPr>
            <w:tcW w:w="786" w:type="pct"/>
            <w:shd w:val="clear" w:color="auto" w:fill="auto"/>
            <w:vAlign w:val="center"/>
          </w:tcPr>
          <w:p w14:paraId="4A3CA526" w14:textId="77777777" w:rsidR="00AC2298" w:rsidRPr="00271560" w:rsidRDefault="00AC2298" w:rsidP="002A06F5">
            <w:pPr>
              <w:pStyle w:val="Tabletext"/>
              <w:keepNext/>
              <w:keepLines/>
              <w:jc w:val="center"/>
              <w:rPr>
                <w:b/>
              </w:rPr>
            </w:pPr>
            <w:r w:rsidRPr="00271560">
              <w:rPr>
                <w:b/>
              </w:rPr>
              <w:t>Outcomes</w:t>
            </w:r>
          </w:p>
        </w:tc>
        <w:tc>
          <w:tcPr>
            <w:tcW w:w="522" w:type="pct"/>
            <w:shd w:val="clear" w:color="auto" w:fill="auto"/>
            <w:vAlign w:val="center"/>
          </w:tcPr>
          <w:p w14:paraId="13989107" w14:textId="77777777" w:rsidR="00AC2298" w:rsidRPr="00271560" w:rsidRDefault="00AC2298" w:rsidP="002A06F5">
            <w:pPr>
              <w:pStyle w:val="Tabletext"/>
              <w:keepNext/>
              <w:keepLines/>
              <w:jc w:val="center"/>
              <w:rPr>
                <w:b/>
              </w:rPr>
            </w:pPr>
            <w:r w:rsidRPr="00271560">
              <w:rPr>
                <w:b/>
              </w:rPr>
              <w:t>Use in modelled evaluation</w:t>
            </w:r>
          </w:p>
        </w:tc>
      </w:tr>
      <w:tr w:rsidR="0091583A" w:rsidRPr="00271560" w14:paraId="321F2C92" w14:textId="77777777" w:rsidTr="0091583A">
        <w:tc>
          <w:tcPr>
            <w:tcW w:w="626" w:type="pct"/>
            <w:shd w:val="clear" w:color="auto" w:fill="C6D9F1" w:themeFill="text2" w:themeFillTint="33"/>
            <w:vAlign w:val="center"/>
          </w:tcPr>
          <w:p w14:paraId="2F7FBDB0" w14:textId="77777777" w:rsidR="00AC2298" w:rsidRPr="00271560" w:rsidRDefault="00AC2298" w:rsidP="002A06F5">
            <w:pPr>
              <w:pStyle w:val="Tabletext"/>
              <w:keepNext/>
              <w:keepLines/>
            </w:pPr>
            <w:r w:rsidRPr="00271560">
              <w:t>NURTURE</w:t>
            </w:r>
          </w:p>
        </w:tc>
        <w:tc>
          <w:tcPr>
            <w:tcW w:w="236" w:type="pct"/>
            <w:shd w:val="clear" w:color="auto" w:fill="C6D9F1" w:themeFill="text2" w:themeFillTint="33"/>
            <w:vAlign w:val="center"/>
          </w:tcPr>
          <w:p w14:paraId="529CC9F9" w14:textId="77777777" w:rsidR="00AC2298" w:rsidRPr="00271560" w:rsidRDefault="00AC2298" w:rsidP="002A06F5">
            <w:pPr>
              <w:pStyle w:val="Tabletext"/>
              <w:keepNext/>
              <w:keepLines/>
              <w:jc w:val="center"/>
            </w:pPr>
            <w:r w:rsidRPr="00271560">
              <w:t>25</w:t>
            </w:r>
          </w:p>
        </w:tc>
        <w:tc>
          <w:tcPr>
            <w:tcW w:w="1186" w:type="pct"/>
            <w:shd w:val="clear" w:color="auto" w:fill="C6D9F1" w:themeFill="text2" w:themeFillTint="33"/>
            <w:vAlign w:val="center"/>
          </w:tcPr>
          <w:p w14:paraId="63FD48C5" w14:textId="77777777" w:rsidR="00AC2298" w:rsidRPr="00271560" w:rsidRDefault="00AC2298" w:rsidP="002A06F5">
            <w:pPr>
              <w:pStyle w:val="Tabletext"/>
              <w:keepNext/>
              <w:keepLines/>
              <w:jc w:val="center"/>
            </w:pPr>
            <w:r w:rsidRPr="00271560">
              <w:t>OL, NC, 5 years</w:t>
            </w:r>
          </w:p>
          <w:p w14:paraId="06DD9C50" w14:textId="77777777" w:rsidR="00AC2298" w:rsidRPr="00271560" w:rsidRDefault="00AC2298" w:rsidP="002A06F5">
            <w:pPr>
              <w:pStyle w:val="Tabletext"/>
              <w:keepNext/>
              <w:keepLines/>
              <w:jc w:val="center"/>
            </w:pPr>
            <w:r w:rsidRPr="00271560">
              <w:t>Interim analysis 5 follow-up 44.44 months</w:t>
            </w:r>
          </w:p>
        </w:tc>
        <w:tc>
          <w:tcPr>
            <w:tcW w:w="386" w:type="pct"/>
            <w:shd w:val="clear" w:color="auto" w:fill="C6D9F1" w:themeFill="text2" w:themeFillTint="33"/>
            <w:vAlign w:val="center"/>
          </w:tcPr>
          <w:p w14:paraId="7EC26E5E" w14:textId="77777777" w:rsidR="00AC2298" w:rsidRPr="00271560" w:rsidRDefault="00AC2298" w:rsidP="002A06F5">
            <w:pPr>
              <w:pStyle w:val="Tabletext"/>
              <w:keepNext/>
              <w:keepLines/>
              <w:jc w:val="center"/>
            </w:pPr>
            <w:r w:rsidRPr="00271560">
              <w:t xml:space="preserve">High </w:t>
            </w:r>
            <w:r w:rsidRPr="00271560">
              <w:rPr>
                <w:vertAlign w:val="superscript"/>
              </w:rPr>
              <w:t>a</w:t>
            </w:r>
          </w:p>
        </w:tc>
        <w:tc>
          <w:tcPr>
            <w:tcW w:w="1258" w:type="pct"/>
            <w:shd w:val="clear" w:color="auto" w:fill="C6D9F1" w:themeFill="text2" w:themeFillTint="33"/>
            <w:vAlign w:val="center"/>
          </w:tcPr>
          <w:p w14:paraId="04110D07" w14:textId="77777777" w:rsidR="00AC2298" w:rsidRPr="00271560" w:rsidRDefault="00AC2298" w:rsidP="002A06F5">
            <w:pPr>
              <w:pStyle w:val="Tabletext"/>
              <w:keepNext/>
              <w:keepLines/>
              <w:jc w:val="center"/>
            </w:pPr>
            <w:r w:rsidRPr="00271560">
              <w:t>Age &lt;6 weeks with SMA and no symptoms;</w:t>
            </w:r>
          </w:p>
          <w:p w14:paraId="1D2D8935" w14:textId="77777777" w:rsidR="00AC2298" w:rsidRPr="00271560" w:rsidRDefault="00AC2298" w:rsidP="002A06F5">
            <w:pPr>
              <w:pStyle w:val="Tabletext"/>
              <w:keepNext/>
              <w:keepLines/>
              <w:jc w:val="center"/>
            </w:pPr>
            <w:r w:rsidRPr="00271560">
              <w:t xml:space="preserve">2 or 3 </w:t>
            </w:r>
            <w:r w:rsidRPr="00271560">
              <w:rPr>
                <w:i/>
              </w:rPr>
              <w:t>SMN2</w:t>
            </w:r>
            <w:r w:rsidRPr="00271560">
              <w:t xml:space="preserve"> copies</w:t>
            </w:r>
          </w:p>
        </w:tc>
        <w:tc>
          <w:tcPr>
            <w:tcW w:w="786" w:type="pct"/>
            <w:shd w:val="clear" w:color="auto" w:fill="C6D9F1" w:themeFill="text2" w:themeFillTint="33"/>
            <w:vAlign w:val="center"/>
          </w:tcPr>
          <w:p w14:paraId="76F56A8D" w14:textId="77777777" w:rsidR="00AC2298" w:rsidRPr="00271560" w:rsidRDefault="00AC2298" w:rsidP="002A06F5">
            <w:pPr>
              <w:pStyle w:val="Tabletext"/>
              <w:keepNext/>
              <w:keepLines/>
              <w:jc w:val="center"/>
            </w:pPr>
            <w:r w:rsidRPr="00271560">
              <w:t>EFS, OS, WHO milestones, HINE-2, CHOP Intend, HFMSE, 6MWT</w:t>
            </w:r>
          </w:p>
        </w:tc>
        <w:tc>
          <w:tcPr>
            <w:tcW w:w="522" w:type="pct"/>
            <w:vMerge w:val="restart"/>
            <w:shd w:val="clear" w:color="auto" w:fill="auto"/>
            <w:vAlign w:val="center"/>
          </w:tcPr>
          <w:p w14:paraId="40059B2F" w14:textId="77777777" w:rsidR="00AC2298" w:rsidRPr="00271560" w:rsidRDefault="00AC2298" w:rsidP="002A06F5">
            <w:pPr>
              <w:pStyle w:val="Tabletext"/>
              <w:keepNext/>
              <w:keepLines/>
              <w:jc w:val="center"/>
            </w:pPr>
            <w:r w:rsidRPr="00271560">
              <w:t>Not used</w:t>
            </w:r>
          </w:p>
        </w:tc>
      </w:tr>
      <w:tr w:rsidR="00AC2298" w:rsidRPr="00271560" w14:paraId="0CEE8F34" w14:textId="77777777" w:rsidTr="0091583A">
        <w:tc>
          <w:tcPr>
            <w:tcW w:w="626" w:type="pct"/>
            <w:shd w:val="clear" w:color="auto" w:fill="auto"/>
            <w:vAlign w:val="center"/>
          </w:tcPr>
          <w:p w14:paraId="70FDB65A" w14:textId="77777777" w:rsidR="00AC2298" w:rsidRPr="00271560" w:rsidRDefault="00AC2298" w:rsidP="002A06F5">
            <w:pPr>
              <w:pStyle w:val="Tabletext"/>
              <w:keepNext/>
              <w:keepLines/>
            </w:pPr>
            <w:r w:rsidRPr="00271560">
              <w:rPr>
                <w:rFonts w:cs="Arial"/>
                <w:szCs w:val="20"/>
              </w:rPr>
              <w:t>Alves 2021</w:t>
            </w:r>
          </w:p>
        </w:tc>
        <w:tc>
          <w:tcPr>
            <w:tcW w:w="236" w:type="pct"/>
            <w:shd w:val="clear" w:color="auto" w:fill="auto"/>
            <w:vAlign w:val="center"/>
          </w:tcPr>
          <w:p w14:paraId="50498851" w14:textId="77777777" w:rsidR="00AC2298" w:rsidRPr="00271560" w:rsidRDefault="00AC2298" w:rsidP="002A06F5">
            <w:pPr>
              <w:pStyle w:val="Tabletext"/>
              <w:keepNext/>
              <w:keepLines/>
              <w:jc w:val="center"/>
            </w:pPr>
            <w:r w:rsidRPr="00271560">
              <w:t>22</w:t>
            </w:r>
          </w:p>
        </w:tc>
        <w:tc>
          <w:tcPr>
            <w:tcW w:w="1186" w:type="pct"/>
            <w:shd w:val="clear" w:color="auto" w:fill="auto"/>
            <w:vAlign w:val="center"/>
          </w:tcPr>
          <w:p w14:paraId="2FFF5B60" w14:textId="59303FC0" w:rsidR="00AC2298" w:rsidRPr="00271560" w:rsidRDefault="00AC2298" w:rsidP="002A06F5">
            <w:pPr>
              <w:pStyle w:val="Tabletext"/>
              <w:keepNext/>
              <w:keepLines/>
              <w:jc w:val="center"/>
            </w:pPr>
            <w:r w:rsidRPr="00271560">
              <w:t>Longitudinal cohort study</w:t>
            </w:r>
            <w:r w:rsidR="003612D3">
              <w:t xml:space="preserve"> </w:t>
            </w:r>
            <w:r w:rsidRPr="00271560">
              <w:rPr>
                <w:vertAlign w:val="superscript"/>
              </w:rPr>
              <w:t>b</w:t>
            </w:r>
            <w:r w:rsidRPr="00271560">
              <w:t>, NC; follow-up was up to 1,095 days</w:t>
            </w:r>
          </w:p>
        </w:tc>
        <w:tc>
          <w:tcPr>
            <w:tcW w:w="386" w:type="pct"/>
            <w:shd w:val="clear" w:color="auto" w:fill="auto"/>
            <w:vAlign w:val="center"/>
          </w:tcPr>
          <w:p w14:paraId="72614471" w14:textId="77777777" w:rsidR="00AC2298" w:rsidRPr="00271560" w:rsidRDefault="00AC2298" w:rsidP="002A06F5">
            <w:pPr>
              <w:pStyle w:val="Tabletext"/>
              <w:keepNext/>
              <w:keepLines/>
              <w:jc w:val="center"/>
            </w:pPr>
            <w:r w:rsidRPr="00271560">
              <w:t xml:space="preserve">High </w:t>
            </w:r>
            <w:r w:rsidRPr="00271560">
              <w:rPr>
                <w:vertAlign w:val="superscript"/>
              </w:rPr>
              <w:t>a</w:t>
            </w:r>
          </w:p>
        </w:tc>
        <w:tc>
          <w:tcPr>
            <w:tcW w:w="1258" w:type="pct"/>
            <w:shd w:val="clear" w:color="auto" w:fill="auto"/>
            <w:vAlign w:val="center"/>
          </w:tcPr>
          <w:p w14:paraId="188BA9B3" w14:textId="77777777" w:rsidR="00AC2298" w:rsidRPr="00271560" w:rsidRDefault="00AC2298" w:rsidP="002A06F5">
            <w:pPr>
              <w:pStyle w:val="Tabletext"/>
              <w:keepNext/>
              <w:keepLines/>
              <w:jc w:val="center"/>
            </w:pPr>
            <w:r w:rsidRPr="00271560">
              <w:t xml:space="preserve">Aged 0 to 3 years, with pre-symptomatic or symptomatic SMA; 2, 3 or 4 </w:t>
            </w:r>
            <w:r w:rsidRPr="00271560">
              <w:rPr>
                <w:i/>
                <w:iCs/>
              </w:rPr>
              <w:t>SMN2</w:t>
            </w:r>
            <w:r w:rsidRPr="00271560">
              <w:t xml:space="preserve"> copies</w:t>
            </w:r>
          </w:p>
        </w:tc>
        <w:tc>
          <w:tcPr>
            <w:tcW w:w="786" w:type="pct"/>
            <w:shd w:val="clear" w:color="auto" w:fill="auto"/>
            <w:vAlign w:val="center"/>
          </w:tcPr>
          <w:p w14:paraId="40F9FB3D" w14:textId="77777777" w:rsidR="00AC2298" w:rsidRPr="00271560" w:rsidRDefault="00AC2298" w:rsidP="002A06F5">
            <w:pPr>
              <w:pStyle w:val="Tabletext"/>
              <w:keepNext/>
              <w:keepLines/>
              <w:jc w:val="center"/>
            </w:pPr>
            <w:r w:rsidRPr="00271560">
              <w:t>WHO milestones, HINE-2, CHOP Intend, HFMSE</w:t>
            </w:r>
          </w:p>
        </w:tc>
        <w:tc>
          <w:tcPr>
            <w:tcW w:w="522" w:type="pct"/>
            <w:vMerge/>
            <w:shd w:val="clear" w:color="auto" w:fill="auto"/>
            <w:vAlign w:val="center"/>
          </w:tcPr>
          <w:p w14:paraId="51282A60" w14:textId="77777777" w:rsidR="00AC2298" w:rsidRPr="00271560" w:rsidRDefault="00AC2298" w:rsidP="002A06F5">
            <w:pPr>
              <w:pStyle w:val="Tabletext"/>
              <w:keepNext/>
              <w:keepLines/>
              <w:jc w:val="center"/>
            </w:pPr>
          </w:p>
        </w:tc>
      </w:tr>
      <w:tr w:rsidR="00AC2298" w:rsidRPr="00271560" w14:paraId="71675909" w14:textId="77777777" w:rsidTr="0091583A">
        <w:tc>
          <w:tcPr>
            <w:tcW w:w="626" w:type="pct"/>
            <w:shd w:val="clear" w:color="auto" w:fill="auto"/>
            <w:vAlign w:val="center"/>
          </w:tcPr>
          <w:p w14:paraId="36F867B4" w14:textId="77777777" w:rsidR="00AC2298" w:rsidRPr="00271560" w:rsidRDefault="00AC2298" w:rsidP="002A06F5">
            <w:pPr>
              <w:pStyle w:val="Tabletext"/>
              <w:keepNext/>
              <w:keepLines/>
            </w:pPr>
            <w:r w:rsidRPr="00271560">
              <w:rPr>
                <w:rFonts w:cs="Arial"/>
                <w:szCs w:val="20"/>
              </w:rPr>
              <w:t>Boemer 2022</w:t>
            </w:r>
          </w:p>
        </w:tc>
        <w:tc>
          <w:tcPr>
            <w:tcW w:w="236" w:type="pct"/>
            <w:shd w:val="clear" w:color="auto" w:fill="auto"/>
            <w:vAlign w:val="center"/>
          </w:tcPr>
          <w:p w14:paraId="72AF2580" w14:textId="77777777" w:rsidR="00AC2298" w:rsidRPr="00271560" w:rsidRDefault="00AC2298" w:rsidP="002A06F5">
            <w:pPr>
              <w:pStyle w:val="Tabletext"/>
              <w:keepNext/>
              <w:keepLines/>
              <w:jc w:val="center"/>
            </w:pPr>
            <w:r w:rsidRPr="00271560">
              <w:t>9</w:t>
            </w:r>
          </w:p>
        </w:tc>
        <w:tc>
          <w:tcPr>
            <w:tcW w:w="1186" w:type="pct"/>
            <w:shd w:val="clear" w:color="auto" w:fill="auto"/>
            <w:vAlign w:val="center"/>
          </w:tcPr>
          <w:p w14:paraId="443E99C8" w14:textId="77777777" w:rsidR="00AC2298" w:rsidRPr="00271560" w:rsidRDefault="00AC2298" w:rsidP="002A06F5">
            <w:pPr>
              <w:pStyle w:val="Tabletext"/>
              <w:keepNext/>
              <w:keepLines/>
              <w:jc w:val="center"/>
            </w:pPr>
            <w:r w:rsidRPr="00271560">
              <w:t>3-year pilot screening study of neonates for SMA</w:t>
            </w:r>
          </w:p>
        </w:tc>
        <w:tc>
          <w:tcPr>
            <w:tcW w:w="386" w:type="pct"/>
            <w:shd w:val="clear" w:color="auto" w:fill="auto"/>
            <w:vAlign w:val="center"/>
          </w:tcPr>
          <w:p w14:paraId="309E7848" w14:textId="77777777" w:rsidR="00AC2298" w:rsidRPr="00271560" w:rsidRDefault="00AC2298" w:rsidP="002A06F5">
            <w:pPr>
              <w:pStyle w:val="Tabletext"/>
              <w:keepNext/>
              <w:keepLines/>
              <w:jc w:val="center"/>
            </w:pPr>
            <w:r w:rsidRPr="00271560">
              <w:t xml:space="preserve">High </w:t>
            </w:r>
            <w:r w:rsidRPr="00271560">
              <w:rPr>
                <w:vertAlign w:val="superscript"/>
              </w:rPr>
              <w:t>a</w:t>
            </w:r>
          </w:p>
        </w:tc>
        <w:tc>
          <w:tcPr>
            <w:tcW w:w="1258" w:type="pct"/>
            <w:shd w:val="clear" w:color="auto" w:fill="auto"/>
            <w:vAlign w:val="center"/>
          </w:tcPr>
          <w:p w14:paraId="4A7927D7" w14:textId="77777777" w:rsidR="00AC2298" w:rsidRPr="00271560" w:rsidRDefault="00AC2298" w:rsidP="002A06F5">
            <w:pPr>
              <w:pStyle w:val="Tabletext"/>
              <w:keepNext/>
              <w:keepLines/>
              <w:jc w:val="center"/>
            </w:pPr>
            <w:r w:rsidRPr="00271560">
              <w:t xml:space="preserve">Newborns with pre-symptomatic SMA; 2, 3 or 4 </w:t>
            </w:r>
            <w:r w:rsidRPr="00271560">
              <w:rPr>
                <w:i/>
                <w:iCs/>
              </w:rPr>
              <w:t>SMN2</w:t>
            </w:r>
            <w:r w:rsidRPr="00271560">
              <w:t xml:space="preserve"> copies</w:t>
            </w:r>
          </w:p>
        </w:tc>
        <w:tc>
          <w:tcPr>
            <w:tcW w:w="786" w:type="pct"/>
            <w:shd w:val="clear" w:color="auto" w:fill="auto"/>
            <w:vAlign w:val="center"/>
          </w:tcPr>
          <w:p w14:paraId="24FA3A19" w14:textId="77777777" w:rsidR="00AC2298" w:rsidRPr="00271560" w:rsidRDefault="00AC2298" w:rsidP="002A06F5">
            <w:pPr>
              <w:pStyle w:val="Tabletext"/>
              <w:keepNext/>
              <w:keepLines/>
              <w:jc w:val="center"/>
            </w:pPr>
            <w:r w:rsidRPr="00271560">
              <w:t>HINE-2, CHOP Intend</w:t>
            </w:r>
          </w:p>
        </w:tc>
        <w:tc>
          <w:tcPr>
            <w:tcW w:w="522" w:type="pct"/>
            <w:vMerge/>
            <w:shd w:val="clear" w:color="auto" w:fill="auto"/>
            <w:vAlign w:val="center"/>
          </w:tcPr>
          <w:p w14:paraId="2E93A680" w14:textId="77777777" w:rsidR="00AC2298" w:rsidRPr="00271560" w:rsidRDefault="00AC2298" w:rsidP="002A06F5">
            <w:pPr>
              <w:pStyle w:val="Tabletext"/>
              <w:keepNext/>
              <w:keepLines/>
              <w:jc w:val="center"/>
            </w:pPr>
          </w:p>
        </w:tc>
      </w:tr>
      <w:tr w:rsidR="00AC2298" w:rsidRPr="00271560" w14:paraId="64A69A5F" w14:textId="77777777" w:rsidTr="0091583A">
        <w:tc>
          <w:tcPr>
            <w:tcW w:w="626" w:type="pct"/>
            <w:shd w:val="clear" w:color="auto" w:fill="auto"/>
            <w:vAlign w:val="center"/>
          </w:tcPr>
          <w:p w14:paraId="24CF94A0" w14:textId="77777777" w:rsidR="00AC2298" w:rsidRPr="00271560" w:rsidRDefault="00AC2298" w:rsidP="002A06F5">
            <w:pPr>
              <w:pStyle w:val="Tabletext"/>
              <w:keepNext/>
              <w:keepLines/>
            </w:pPr>
            <w:r w:rsidRPr="00271560">
              <w:rPr>
                <w:rFonts w:cs="Arial"/>
                <w:szCs w:val="20"/>
              </w:rPr>
              <w:t>Kariyawasam 2023</w:t>
            </w:r>
          </w:p>
        </w:tc>
        <w:tc>
          <w:tcPr>
            <w:tcW w:w="236" w:type="pct"/>
            <w:shd w:val="clear" w:color="auto" w:fill="auto"/>
            <w:vAlign w:val="center"/>
          </w:tcPr>
          <w:p w14:paraId="4A857665" w14:textId="77777777" w:rsidR="00AC2298" w:rsidRPr="00271560" w:rsidRDefault="00AC2298" w:rsidP="002A06F5">
            <w:pPr>
              <w:pStyle w:val="Tabletext"/>
              <w:keepNext/>
              <w:keepLines/>
              <w:jc w:val="center"/>
            </w:pPr>
            <w:r w:rsidRPr="00271560">
              <w:t>33</w:t>
            </w:r>
          </w:p>
        </w:tc>
        <w:tc>
          <w:tcPr>
            <w:tcW w:w="1186" w:type="pct"/>
            <w:shd w:val="clear" w:color="auto" w:fill="auto"/>
            <w:vAlign w:val="center"/>
          </w:tcPr>
          <w:p w14:paraId="7D1BEA56" w14:textId="77777777" w:rsidR="00AC2298" w:rsidRPr="00271560" w:rsidRDefault="00AC2298" w:rsidP="002A06F5">
            <w:pPr>
              <w:pStyle w:val="Tabletext"/>
              <w:keepNext/>
              <w:keepLines/>
              <w:jc w:val="center"/>
            </w:pPr>
            <w:r w:rsidRPr="00271560">
              <w:t>Prospective cohort study; follow-up 2 years</w:t>
            </w:r>
          </w:p>
        </w:tc>
        <w:tc>
          <w:tcPr>
            <w:tcW w:w="386" w:type="pct"/>
            <w:shd w:val="clear" w:color="auto" w:fill="auto"/>
            <w:vAlign w:val="center"/>
          </w:tcPr>
          <w:p w14:paraId="32F9E9CB" w14:textId="77777777" w:rsidR="00AC2298" w:rsidRPr="00271560" w:rsidRDefault="00AC2298" w:rsidP="002A06F5">
            <w:pPr>
              <w:pStyle w:val="Tabletext"/>
              <w:keepNext/>
              <w:keepLines/>
              <w:jc w:val="center"/>
            </w:pPr>
            <w:r w:rsidRPr="00271560">
              <w:t xml:space="preserve">High </w:t>
            </w:r>
            <w:r w:rsidRPr="00271560">
              <w:rPr>
                <w:vertAlign w:val="superscript"/>
              </w:rPr>
              <w:t>a</w:t>
            </w:r>
          </w:p>
        </w:tc>
        <w:tc>
          <w:tcPr>
            <w:tcW w:w="1258" w:type="pct"/>
            <w:shd w:val="clear" w:color="auto" w:fill="auto"/>
            <w:vAlign w:val="center"/>
          </w:tcPr>
          <w:p w14:paraId="388AD0A9" w14:textId="2B0A8C7B" w:rsidR="00AC2298" w:rsidRPr="00271560" w:rsidRDefault="00AC2298" w:rsidP="002A06F5">
            <w:pPr>
              <w:pStyle w:val="Tabletext"/>
              <w:keepNext/>
              <w:keepLines/>
              <w:jc w:val="center"/>
            </w:pPr>
            <w:r w:rsidRPr="00271560">
              <w:t>Patients aged &lt;16 years</w:t>
            </w:r>
            <w:r w:rsidR="003612D3">
              <w:t xml:space="preserve"> </w:t>
            </w:r>
            <w:r w:rsidRPr="00271560">
              <w:rPr>
                <w:vertAlign w:val="superscript"/>
              </w:rPr>
              <w:t>c</w:t>
            </w:r>
            <w:r w:rsidRPr="00271560">
              <w:t xml:space="preserve">; pre-symptomatic or symptomatic SMA with 2, 3 or 4 </w:t>
            </w:r>
            <w:r w:rsidRPr="00271560">
              <w:rPr>
                <w:i/>
                <w:iCs/>
              </w:rPr>
              <w:t>SMN2</w:t>
            </w:r>
            <w:r w:rsidRPr="00271560">
              <w:t xml:space="preserve"> copies</w:t>
            </w:r>
          </w:p>
        </w:tc>
        <w:tc>
          <w:tcPr>
            <w:tcW w:w="786" w:type="pct"/>
            <w:shd w:val="clear" w:color="auto" w:fill="auto"/>
            <w:vAlign w:val="center"/>
          </w:tcPr>
          <w:p w14:paraId="4073BAE9" w14:textId="77777777" w:rsidR="00AC2298" w:rsidRPr="00271560" w:rsidRDefault="00AC2298" w:rsidP="002A06F5">
            <w:pPr>
              <w:pStyle w:val="Tabletext"/>
              <w:keepNext/>
              <w:keepLines/>
              <w:jc w:val="center"/>
            </w:pPr>
            <w:r w:rsidRPr="00271560">
              <w:t>WHO milestones, HINE-2</w:t>
            </w:r>
          </w:p>
        </w:tc>
        <w:tc>
          <w:tcPr>
            <w:tcW w:w="522" w:type="pct"/>
            <w:vMerge/>
            <w:shd w:val="clear" w:color="auto" w:fill="auto"/>
            <w:vAlign w:val="center"/>
          </w:tcPr>
          <w:p w14:paraId="32D65C7B" w14:textId="77777777" w:rsidR="00AC2298" w:rsidRPr="00271560" w:rsidRDefault="00AC2298" w:rsidP="002A06F5">
            <w:pPr>
              <w:pStyle w:val="Tabletext"/>
              <w:keepNext/>
              <w:keepLines/>
              <w:jc w:val="center"/>
            </w:pPr>
          </w:p>
        </w:tc>
      </w:tr>
      <w:tr w:rsidR="00AC2298" w:rsidRPr="00271560" w14:paraId="29241542" w14:textId="77777777" w:rsidTr="0091583A">
        <w:tc>
          <w:tcPr>
            <w:tcW w:w="626" w:type="pct"/>
            <w:shd w:val="clear" w:color="auto" w:fill="auto"/>
            <w:vAlign w:val="center"/>
          </w:tcPr>
          <w:p w14:paraId="667D177C" w14:textId="77777777" w:rsidR="00AC2298" w:rsidRPr="00271560" w:rsidRDefault="00AC2298" w:rsidP="002A06F5">
            <w:pPr>
              <w:pStyle w:val="Tabletext"/>
              <w:keepNext/>
              <w:keepLines/>
            </w:pPr>
            <w:r w:rsidRPr="00271560">
              <w:rPr>
                <w:rFonts w:cs="Arial"/>
                <w:szCs w:val="20"/>
              </w:rPr>
              <w:t>Vill 2021, 2022</w:t>
            </w:r>
          </w:p>
        </w:tc>
        <w:tc>
          <w:tcPr>
            <w:tcW w:w="236" w:type="pct"/>
            <w:shd w:val="clear" w:color="auto" w:fill="auto"/>
            <w:vAlign w:val="center"/>
          </w:tcPr>
          <w:p w14:paraId="67FADC3E" w14:textId="77777777" w:rsidR="00AC2298" w:rsidRPr="00271560" w:rsidRDefault="00AC2298" w:rsidP="002A06F5">
            <w:pPr>
              <w:pStyle w:val="Tabletext"/>
              <w:keepNext/>
              <w:keepLines/>
              <w:jc w:val="center"/>
            </w:pPr>
            <w:r w:rsidRPr="00271560">
              <w:t>43</w:t>
            </w:r>
          </w:p>
        </w:tc>
        <w:tc>
          <w:tcPr>
            <w:tcW w:w="1186" w:type="pct"/>
            <w:shd w:val="clear" w:color="auto" w:fill="auto"/>
            <w:vAlign w:val="center"/>
          </w:tcPr>
          <w:p w14:paraId="1DE01B74" w14:textId="77777777" w:rsidR="00AC2298" w:rsidRPr="00271560" w:rsidRDefault="00AC2298" w:rsidP="002A06F5">
            <w:pPr>
              <w:pStyle w:val="Tabletext"/>
              <w:keepNext/>
              <w:keepLines/>
              <w:jc w:val="center"/>
            </w:pPr>
            <w:r w:rsidRPr="00271560">
              <w:t>2-year pilot screening study of neonates for SMA</w:t>
            </w:r>
          </w:p>
        </w:tc>
        <w:tc>
          <w:tcPr>
            <w:tcW w:w="386" w:type="pct"/>
            <w:shd w:val="clear" w:color="auto" w:fill="auto"/>
            <w:vAlign w:val="center"/>
          </w:tcPr>
          <w:p w14:paraId="3989FE51" w14:textId="77777777" w:rsidR="00AC2298" w:rsidRPr="00271560" w:rsidRDefault="00AC2298" w:rsidP="002A06F5">
            <w:pPr>
              <w:pStyle w:val="Tabletext"/>
              <w:keepNext/>
              <w:keepLines/>
              <w:jc w:val="center"/>
            </w:pPr>
            <w:r w:rsidRPr="00271560">
              <w:t xml:space="preserve">High </w:t>
            </w:r>
            <w:r w:rsidRPr="00271560">
              <w:rPr>
                <w:vertAlign w:val="superscript"/>
              </w:rPr>
              <w:t>a</w:t>
            </w:r>
          </w:p>
        </w:tc>
        <w:tc>
          <w:tcPr>
            <w:tcW w:w="1258" w:type="pct"/>
            <w:shd w:val="clear" w:color="auto" w:fill="auto"/>
            <w:vAlign w:val="center"/>
          </w:tcPr>
          <w:p w14:paraId="7DEE46B5" w14:textId="77777777" w:rsidR="00AC2298" w:rsidRPr="00271560" w:rsidRDefault="00AC2298" w:rsidP="002A06F5">
            <w:pPr>
              <w:pStyle w:val="Tabletext"/>
              <w:keepNext/>
              <w:keepLines/>
              <w:jc w:val="center"/>
            </w:pPr>
            <w:r w:rsidRPr="00271560">
              <w:t xml:space="preserve">Newborns with pre-symptomatic SMA with 2, 3 or 4 </w:t>
            </w:r>
            <w:r w:rsidRPr="00271560">
              <w:rPr>
                <w:i/>
                <w:iCs/>
              </w:rPr>
              <w:t>SMN2</w:t>
            </w:r>
            <w:r w:rsidRPr="00271560">
              <w:t xml:space="preserve"> copies</w:t>
            </w:r>
          </w:p>
        </w:tc>
        <w:tc>
          <w:tcPr>
            <w:tcW w:w="786" w:type="pct"/>
            <w:shd w:val="clear" w:color="auto" w:fill="auto"/>
            <w:vAlign w:val="center"/>
          </w:tcPr>
          <w:p w14:paraId="391B936D" w14:textId="77777777" w:rsidR="00AC2298" w:rsidRPr="00271560" w:rsidRDefault="00AC2298" w:rsidP="002A06F5">
            <w:pPr>
              <w:pStyle w:val="Tabletext"/>
              <w:keepNext/>
              <w:keepLines/>
              <w:jc w:val="center"/>
            </w:pPr>
            <w:r w:rsidRPr="00271560">
              <w:t>HINE-2, CHOP Intend</w:t>
            </w:r>
          </w:p>
        </w:tc>
        <w:tc>
          <w:tcPr>
            <w:tcW w:w="522" w:type="pct"/>
            <w:vMerge/>
            <w:shd w:val="clear" w:color="auto" w:fill="auto"/>
            <w:vAlign w:val="center"/>
          </w:tcPr>
          <w:p w14:paraId="71F3983B" w14:textId="77777777" w:rsidR="00AC2298" w:rsidRPr="00271560" w:rsidRDefault="00AC2298" w:rsidP="002A06F5">
            <w:pPr>
              <w:pStyle w:val="Tabletext"/>
              <w:keepNext/>
              <w:keepLines/>
              <w:jc w:val="center"/>
            </w:pPr>
          </w:p>
        </w:tc>
      </w:tr>
    </w:tbl>
    <w:p w14:paraId="68504856" w14:textId="77777777" w:rsidR="00AC2298" w:rsidRPr="00271560" w:rsidRDefault="00AC2298" w:rsidP="002A06F5">
      <w:pPr>
        <w:pStyle w:val="TableFooter"/>
        <w:keepNext/>
        <w:keepLines/>
      </w:pPr>
      <w:r w:rsidRPr="00271560">
        <w:t>Source: Table 9, p11 nusinersen PSD November 2020, Alves 2021, Boemer 2022, Kariyawasam 2023, Vill 2022</w:t>
      </w:r>
    </w:p>
    <w:p w14:paraId="6AF3F065" w14:textId="77777777" w:rsidR="00AC2298" w:rsidRPr="00271560" w:rsidRDefault="00AC2298" w:rsidP="002A06F5">
      <w:pPr>
        <w:pStyle w:val="TableFooter"/>
        <w:keepNext/>
        <w:keepLines/>
      </w:pPr>
      <w:r w:rsidRPr="00271560">
        <w:t>6MWT = six-minute walking test; OL = open label; OS =, overall survival; CHOP-INTEND = Children’s Hospital of Philadelphia Infant Test of Neuromuscular Disorders; EFS =, event-free survival; NC = non-comparative; SMA = spinal muscular atrophy; HINE = Hammersmith Infant Neurological Examination; HFMSE = Hammersmith Functional Motor Scale-Expanded; SMA = spinal muscular atrophy; SMN = survival of motor neuron</w:t>
      </w:r>
    </w:p>
    <w:p w14:paraId="2B5A34C6" w14:textId="77777777" w:rsidR="00AC2298" w:rsidRPr="00271560" w:rsidRDefault="00AC2298" w:rsidP="002A06F5">
      <w:pPr>
        <w:pStyle w:val="FooterTableFigure"/>
        <w:keepNext/>
        <w:keepLines/>
      </w:pPr>
      <w:r w:rsidRPr="00271560">
        <w:rPr>
          <w:vertAlign w:val="superscript"/>
        </w:rPr>
        <w:t>a</w:t>
      </w:r>
      <w:r w:rsidRPr="00271560">
        <w:t xml:space="preserve"> Considered during the evaluation to have a high risk of bias due to being an open-label or non-randomised study.</w:t>
      </w:r>
    </w:p>
    <w:p w14:paraId="3EA760ED" w14:textId="77777777" w:rsidR="00AC2298" w:rsidRPr="00271560" w:rsidRDefault="00AC2298" w:rsidP="002A06F5">
      <w:pPr>
        <w:pStyle w:val="FooterTableFigure"/>
        <w:keepNext/>
        <w:keepLines/>
      </w:pPr>
      <w:r w:rsidRPr="00271560">
        <w:rPr>
          <w:vertAlign w:val="superscript"/>
        </w:rPr>
        <w:t>b</w:t>
      </w:r>
      <w:r w:rsidRPr="00271560">
        <w:t xml:space="preserve"> Patients could receive either nusinersen or onasemnogene abeparvovec or both. </w:t>
      </w:r>
    </w:p>
    <w:p w14:paraId="363E4B80" w14:textId="77777777" w:rsidR="00AC2298" w:rsidRPr="00271560" w:rsidRDefault="00AC2298" w:rsidP="002A06F5">
      <w:pPr>
        <w:pStyle w:val="FooterTableFigure"/>
        <w:keepNext/>
        <w:keepLines/>
      </w:pPr>
      <w:r w:rsidRPr="00271560">
        <w:rPr>
          <w:vertAlign w:val="superscript"/>
        </w:rPr>
        <w:t>c</w:t>
      </w:r>
      <w:r w:rsidRPr="00271560">
        <w:t xml:space="preserve"> Median age at SMA diagnosis of screening group = 2.1 weeks. Median age at SMA diagnosis of comparator group = 47.8 weeks.</w:t>
      </w:r>
    </w:p>
    <w:p w14:paraId="509D4805" w14:textId="77777777" w:rsidR="00770524" w:rsidRPr="00271560" w:rsidRDefault="00770524" w:rsidP="00266B11">
      <w:pPr>
        <w:pStyle w:val="FooterTableFigure"/>
        <w:keepLines/>
        <w:contextualSpacing w:val="0"/>
      </w:pPr>
      <w:r w:rsidRPr="00271560">
        <w:t>Blue shaded cells indicate studies that PBAC has previously considered, though with an earlier data cut-off.</w:t>
      </w:r>
    </w:p>
    <w:p w14:paraId="0EE33A74" w14:textId="5D4970FB" w:rsidR="00AC2298" w:rsidRPr="00271560" w:rsidRDefault="00AC2298" w:rsidP="00AC2298">
      <w:pPr>
        <w:pStyle w:val="3-BodyText"/>
      </w:pPr>
      <w:r w:rsidRPr="00271560">
        <w:t xml:space="preserve">The resubmission included six studies to represent the use of </w:t>
      </w:r>
      <w:r w:rsidR="002A06F5" w:rsidRPr="00271560">
        <w:t>nusinersen</w:t>
      </w:r>
      <w:r w:rsidRPr="00271560">
        <w:t xml:space="preserve"> in patients with symptomatic SMA with 3 copies of </w:t>
      </w:r>
      <w:r w:rsidRPr="00271560">
        <w:rPr>
          <w:i/>
          <w:iCs/>
        </w:rPr>
        <w:t xml:space="preserve">SMN2 </w:t>
      </w:r>
      <w:r w:rsidRPr="00271560">
        <w:t>(</w:t>
      </w:r>
      <w:r w:rsidR="0001364A">
        <w:t>i.e.,</w:t>
      </w:r>
      <w:r w:rsidR="002A06F5" w:rsidRPr="00271560">
        <w:t xml:space="preserve"> SoC</w:t>
      </w:r>
      <w:r w:rsidRPr="00271560">
        <w:t xml:space="preserve">). Details of these studies are presented in </w:t>
      </w:r>
      <w:r w:rsidRPr="00271560">
        <w:fldChar w:fldCharType="begin" w:fldLock="1"/>
      </w:r>
      <w:r w:rsidRPr="00271560">
        <w:instrText xml:space="preserve"> REF _Ref132550045 \h </w:instrText>
      </w:r>
      <w:r w:rsidRPr="00271560">
        <w:fldChar w:fldCharType="separate"/>
      </w:r>
      <w:r w:rsidR="00016BA6" w:rsidRPr="00271560">
        <w:t xml:space="preserve">Table </w:t>
      </w:r>
      <w:r w:rsidR="00016BA6">
        <w:rPr>
          <w:noProof/>
        </w:rPr>
        <w:t>6</w:t>
      </w:r>
      <w:r w:rsidRPr="00271560">
        <w:fldChar w:fldCharType="end"/>
      </w:r>
      <w:r w:rsidRPr="00271560">
        <w:t>.</w:t>
      </w:r>
    </w:p>
    <w:p w14:paraId="3E463C86" w14:textId="1A59A766" w:rsidR="00AC2298" w:rsidRPr="00271560" w:rsidRDefault="00AC2298" w:rsidP="00A6692F">
      <w:pPr>
        <w:pStyle w:val="Caption"/>
      </w:pPr>
      <w:bookmarkStart w:id="35" w:name="_Ref132550045"/>
      <w:r w:rsidRPr="00271560">
        <w:lastRenderedPageBreak/>
        <w:t xml:space="preserve">Table </w:t>
      </w:r>
      <w:fldSimple w:instr=" SEQ Table \* ARABIC " w:fldLock="1">
        <w:r w:rsidR="00016BA6">
          <w:rPr>
            <w:noProof/>
          </w:rPr>
          <w:t>6</w:t>
        </w:r>
      </w:fldSimple>
      <w:bookmarkEnd w:id="35"/>
      <w:r w:rsidRPr="00271560">
        <w:t xml:space="preserve">: </w:t>
      </w:r>
      <w:r w:rsidRPr="00271560">
        <w:rPr>
          <w:rStyle w:val="CommentReference"/>
          <w:b/>
          <w:szCs w:val="18"/>
        </w:rPr>
        <w:t xml:space="preserve">Studies and associated reports presented in the resubmission describing nusinersen treatment of symptomatic patients with 3 </w:t>
      </w:r>
      <w:r w:rsidRPr="00FD3C53">
        <w:rPr>
          <w:rStyle w:val="CommentReference"/>
          <w:b/>
          <w:i/>
          <w:iCs/>
          <w:szCs w:val="18"/>
        </w:rPr>
        <w:t>SMN2</w:t>
      </w:r>
      <w:r w:rsidRPr="00271560">
        <w:rPr>
          <w:rStyle w:val="CommentReference"/>
          <w:b/>
          <w:szCs w:val="18"/>
        </w:rPr>
        <w:t xml:space="preserve"> copies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6: Studies and associated reports presented in the resubmission describing nusinersen treatment of symptomatic patients with 3 SMN2 copies"/>
      </w:tblPr>
      <w:tblGrid>
        <w:gridCol w:w="1245"/>
        <w:gridCol w:w="1255"/>
        <w:gridCol w:w="4778"/>
        <w:gridCol w:w="1738"/>
      </w:tblGrid>
      <w:tr w:rsidR="00AC2298" w:rsidRPr="00271560" w14:paraId="7C3D952C" w14:textId="77777777" w:rsidTr="00CB2C92">
        <w:trPr>
          <w:trHeight w:val="70"/>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78CA5FD" w14:textId="77777777" w:rsidR="00AC2298" w:rsidRPr="00271560" w:rsidRDefault="00AC2298" w:rsidP="00A6692F">
            <w:pPr>
              <w:pStyle w:val="TableText0"/>
              <w:keepLines/>
              <w:rPr>
                <w:b/>
                <w:bCs w:val="0"/>
              </w:rPr>
            </w:pPr>
            <w:r w:rsidRPr="00271560">
              <w:rPr>
                <w:b/>
              </w:rPr>
              <w:t>Author year/</w:t>
            </w:r>
            <w:r w:rsidRPr="00271560">
              <w:rPr>
                <w:b/>
              </w:rPr>
              <w:br/>
              <w:t>Study ID</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59C8B56C" w14:textId="77777777" w:rsidR="00AC2298" w:rsidRPr="00271560" w:rsidRDefault="00AC2298" w:rsidP="00A6692F">
            <w:pPr>
              <w:pStyle w:val="TableText0"/>
              <w:keepLines/>
              <w:jc w:val="center"/>
              <w:rPr>
                <w:b/>
                <w:bCs w:val="0"/>
              </w:rPr>
            </w:pPr>
            <w:r w:rsidRPr="00271560">
              <w:rPr>
                <w:b/>
              </w:rPr>
              <w:t>Study design</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03E4DA43" w14:textId="77777777" w:rsidR="00AC2298" w:rsidRPr="00271560" w:rsidRDefault="00AC2298" w:rsidP="00A6692F">
            <w:pPr>
              <w:pStyle w:val="TableText0"/>
              <w:keepLines/>
              <w:jc w:val="center"/>
              <w:rPr>
                <w:b/>
                <w:bCs w:val="0"/>
              </w:rPr>
            </w:pPr>
            <w:r w:rsidRPr="00271560">
              <w:rPr>
                <w:b/>
              </w:rPr>
              <w:t>Citation</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7D95F0A3" w14:textId="77777777" w:rsidR="00AC2298" w:rsidRPr="00271560" w:rsidRDefault="00AC2298" w:rsidP="00A6692F">
            <w:pPr>
              <w:pStyle w:val="TableText0"/>
              <w:keepLines/>
              <w:jc w:val="center"/>
              <w:rPr>
                <w:b/>
                <w:bCs w:val="0"/>
              </w:rPr>
            </w:pPr>
            <w:r w:rsidRPr="00271560">
              <w:rPr>
                <w:b/>
              </w:rPr>
              <w:t>Relevant data</w:t>
            </w:r>
          </w:p>
        </w:tc>
      </w:tr>
      <w:tr w:rsidR="00AC2298" w:rsidRPr="00271560" w14:paraId="69D0D1B3" w14:textId="77777777" w:rsidTr="00A24B8B">
        <w:trPr>
          <w:trHeight w:val="70"/>
        </w:trPr>
        <w:tc>
          <w:tcPr>
            <w:tcW w:w="6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0CBA26" w14:textId="77777777" w:rsidR="00AC2298" w:rsidRPr="00271560" w:rsidRDefault="00AC2298" w:rsidP="00A6692F">
            <w:pPr>
              <w:pStyle w:val="TableText0"/>
              <w:keepLines/>
            </w:pPr>
            <w:r w:rsidRPr="00271560">
              <w:t>Acsadi 2021/</w:t>
            </w:r>
            <w:r w:rsidRPr="00271560">
              <w:br/>
              <w:t>EMBRACE</w:t>
            </w:r>
          </w:p>
        </w:tc>
        <w:tc>
          <w:tcPr>
            <w:tcW w:w="69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E0F8E" w14:textId="77777777" w:rsidR="00AC2298" w:rsidRPr="00271560" w:rsidRDefault="00AC2298" w:rsidP="00A6692F">
            <w:pPr>
              <w:pStyle w:val="TableText0"/>
              <w:keepLines/>
              <w:jc w:val="center"/>
            </w:pPr>
            <w:r w:rsidRPr="00271560">
              <w:t>P2 trial</w:t>
            </w:r>
          </w:p>
        </w:tc>
        <w:tc>
          <w:tcPr>
            <w:tcW w:w="265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B7ACED" w14:textId="77777777" w:rsidR="00AC2298" w:rsidRPr="00271560" w:rsidRDefault="00AC2298" w:rsidP="00A6692F">
            <w:pPr>
              <w:pStyle w:val="TableText0"/>
              <w:keepLines/>
              <w:jc w:val="center"/>
            </w:pPr>
            <w:r w:rsidRPr="00271560">
              <w:t>Safety and efficacy of nusinersen in spinal muscular atrophy: The EMBRACE study. Muscle &amp; nerve, 63(5), 668–677.</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5671E0FB" w14:textId="77777777" w:rsidR="00AC2298" w:rsidRPr="00271560" w:rsidRDefault="00AC2298" w:rsidP="00A6692F">
            <w:pPr>
              <w:pStyle w:val="TableText0"/>
              <w:keepLines/>
              <w:jc w:val="center"/>
            </w:pPr>
            <w:r w:rsidRPr="00271560">
              <w:t xml:space="preserve">Subgroups with </w:t>
            </w:r>
            <w:r w:rsidRPr="00271560">
              <w:rPr>
                <w:i/>
                <w:iCs/>
              </w:rPr>
              <w:t>SMN2</w:t>
            </w:r>
            <w:r w:rsidRPr="00271560">
              <w:t xml:space="preserve"> copy number of 3 presented (N=10)</w:t>
            </w:r>
          </w:p>
        </w:tc>
      </w:tr>
      <w:tr w:rsidR="00AC2298" w:rsidRPr="00271560" w14:paraId="4952DF34" w14:textId="77777777" w:rsidTr="00CB2C92">
        <w:trPr>
          <w:trHeight w:val="70"/>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B09BC0A" w14:textId="77777777" w:rsidR="00AC2298" w:rsidRPr="00271560" w:rsidRDefault="00AC2298" w:rsidP="00A6692F">
            <w:pPr>
              <w:pStyle w:val="TableText0"/>
              <w:keepLines/>
            </w:pPr>
            <w:r w:rsidRPr="00271560">
              <w:t>Alves 2021</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F7F705A" w14:textId="77777777" w:rsidR="00AC2298" w:rsidRPr="00271560" w:rsidRDefault="00AC2298" w:rsidP="00A6692F">
            <w:pPr>
              <w:pStyle w:val="TableText0"/>
              <w:keepLines/>
              <w:jc w:val="center"/>
            </w:pPr>
            <w:r w:rsidRPr="00271560">
              <w:t>Prospective case series</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2705E053" w14:textId="77777777" w:rsidR="00AC2298" w:rsidRPr="00271560" w:rsidRDefault="00AC2298" w:rsidP="00A6692F">
            <w:pPr>
              <w:pStyle w:val="TableText0"/>
              <w:keepLines/>
              <w:jc w:val="center"/>
            </w:pPr>
            <w:r w:rsidRPr="00271560">
              <w:t>Alves, C. R. R., et al. (2021). "Implications of circulating neurofilaments for spinal muscular atrophy treatment early in life: A case series." Molecular Therapy - Methods and Clinical Development 23: 524-538.</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77B8966" w14:textId="77777777" w:rsidR="00AC2298" w:rsidRPr="00271560" w:rsidRDefault="00AC2298" w:rsidP="00A6692F">
            <w:pPr>
              <w:pStyle w:val="TableText0"/>
              <w:keepLines/>
              <w:jc w:val="center"/>
              <w:rPr>
                <w:b/>
                <w:bCs w:val="0"/>
              </w:rPr>
            </w:pPr>
            <w:r w:rsidRPr="00271560">
              <w:t xml:space="preserve">IPD available for those with 3 </w:t>
            </w:r>
            <w:r w:rsidRPr="00271560">
              <w:rPr>
                <w:i/>
                <w:iCs/>
              </w:rPr>
              <w:t>SMN2</w:t>
            </w:r>
            <w:r w:rsidRPr="00271560">
              <w:t xml:space="preserve"> copies</w:t>
            </w:r>
          </w:p>
        </w:tc>
      </w:tr>
      <w:tr w:rsidR="00AC2298" w:rsidRPr="00271560" w14:paraId="15B87EDD" w14:textId="77777777" w:rsidTr="00CB2C92">
        <w:trPr>
          <w:trHeight w:val="70"/>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B499CDE" w14:textId="77777777" w:rsidR="00AC2298" w:rsidRPr="00271560" w:rsidRDefault="00AC2298" w:rsidP="00A6692F">
            <w:pPr>
              <w:pStyle w:val="TableText0"/>
              <w:keepLines/>
            </w:pPr>
            <w:r w:rsidRPr="00271560">
              <w:t>Aragon-Gawinska 2018</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2213B55C" w14:textId="77777777" w:rsidR="00AC2298" w:rsidRPr="00271560" w:rsidRDefault="00AC2298" w:rsidP="00A6692F">
            <w:pPr>
              <w:pStyle w:val="TableText0"/>
              <w:keepLines/>
              <w:jc w:val="center"/>
            </w:pPr>
            <w:r w:rsidRPr="00271560">
              <w:t>Report of EAP results</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6921538D" w14:textId="4302E872" w:rsidR="00AC2298" w:rsidRPr="00271560" w:rsidRDefault="00AC2298" w:rsidP="00A6692F">
            <w:pPr>
              <w:pStyle w:val="TableText0"/>
              <w:keepLines/>
              <w:jc w:val="center"/>
            </w:pPr>
            <w:r w:rsidRPr="00271560">
              <w:t>Nusinersen in patients older than 7 months with spinal muscular atrophy type 1</w:t>
            </w:r>
            <w:r w:rsidR="000063EA">
              <w:t xml:space="preserve">. </w:t>
            </w:r>
            <w:r w:rsidRPr="00271560">
              <w:t>Neurology 91(14): E1312-E1318.</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3E8F2CDA" w14:textId="77777777" w:rsidR="00AC2298" w:rsidRPr="00271560" w:rsidRDefault="00AC2298" w:rsidP="00A6692F">
            <w:pPr>
              <w:pStyle w:val="TableText0"/>
              <w:keepLines/>
              <w:jc w:val="center"/>
            </w:pPr>
            <w:r w:rsidRPr="00271560">
              <w:t xml:space="preserve">Data for patients with 3 </w:t>
            </w:r>
            <w:r w:rsidRPr="00271560">
              <w:rPr>
                <w:i/>
                <w:iCs/>
              </w:rPr>
              <w:t>SMN2</w:t>
            </w:r>
            <w:r w:rsidRPr="00271560">
              <w:t xml:space="preserve"> copies available</w:t>
            </w:r>
          </w:p>
        </w:tc>
      </w:tr>
      <w:tr w:rsidR="00AC2298" w:rsidRPr="00271560" w14:paraId="4176720D" w14:textId="77777777" w:rsidTr="00CB2C92">
        <w:trPr>
          <w:trHeight w:val="70"/>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61E7ABB1" w14:textId="77777777" w:rsidR="00AC2298" w:rsidRPr="00271560" w:rsidRDefault="00AC2298" w:rsidP="00A6692F">
            <w:pPr>
              <w:pStyle w:val="TableText0"/>
              <w:keepLines/>
            </w:pPr>
            <w:r w:rsidRPr="00271560">
              <w:t>Chen 2021</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FB2831D" w14:textId="77777777" w:rsidR="00AC2298" w:rsidRPr="00271560" w:rsidRDefault="00AC2298" w:rsidP="00A6692F">
            <w:pPr>
              <w:pStyle w:val="TableText0"/>
              <w:keepLines/>
              <w:jc w:val="center"/>
            </w:pPr>
            <w:r w:rsidRPr="00271560">
              <w:t>Observational cohort study</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4E5CB2E5" w14:textId="77777777" w:rsidR="00AC2298" w:rsidRPr="00271560" w:rsidRDefault="00AC2298" w:rsidP="00A6692F">
            <w:pPr>
              <w:pStyle w:val="TableText0"/>
              <w:keepLines/>
              <w:jc w:val="center"/>
            </w:pPr>
            <w:r w:rsidRPr="00271560">
              <w:t>Real-world respiratory and bulbar comorbidities of SMA type 1 children treated with nusinersen: 2-Year single centre Australian experience. Paediatric respiratory reviews, 39, 54–60.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5547E058" w14:textId="77777777" w:rsidR="00AC2298" w:rsidRPr="00271560" w:rsidRDefault="00AC2298" w:rsidP="00A6692F">
            <w:pPr>
              <w:pStyle w:val="TableText0"/>
              <w:keepLines/>
              <w:jc w:val="center"/>
            </w:pPr>
            <w:r w:rsidRPr="00271560">
              <w:t xml:space="preserve"> 3 ‘newly diagnosed’ patients described with 3 </w:t>
            </w:r>
            <w:r w:rsidRPr="00271560">
              <w:rPr>
                <w:i/>
                <w:iCs/>
              </w:rPr>
              <w:t>SMN2</w:t>
            </w:r>
            <w:r w:rsidRPr="00271560">
              <w:t xml:space="preserve"> copies</w:t>
            </w:r>
          </w:p>
        </w:tc>
      </w:tr>
      <w:tr w:rsidR="00AC2298" w:rsidRPr="00271560" w14:paraId="19232E66" w14:textId="77777777" w:rsidTr="00A24B8B">
        <w:trPr>
          <w:trHeight w:val="70"/>
        </w:trPr>
        <w:tc>
          <w:tcPr>
            <w:tcW w:w="690" w:type="pct"/>
            <w:vMerge w:val="restart"/>
            <w:tcBorders>
              <w:top w:val="single" w:sz="4" w:space="0" w:color="auto"/>
              <w:left w:val="single" w:sz="4" w:space="0" w:color="auto"/>
              <w:right w:val="single" w:sz="4" w:space="0" w:color="auto"/>
            </w:tcBorders>
            <w:shd w:val="clear" w:color="auto" w:fill="C6D9F1" w:themeFill="text2" w:themeFillTint="33"/>
            <w:vAlign w:val="center"/>
          </w:tcPr>
          <w:p w14:paraId="78022DA4" w14:textId="77777777" w:rsidR="00AC2298" w:rsidRPr="00271560" w:rsidRDefault="00AC2298" w:rsidP="00A6692F">
            <w:pPr>
              <w:pStyle w:val="TableText0"/>
              <w:keepLines/>
            </w:pPr>
            <w:r w:rsidRPr="00271560">
              <w:t>Finkel 2016/2021</w:t>
            </w:r>
          </w:p>
          <w:p w14:paraId="069DF361" w14:textId="77777777" w:rsidR="00AC2298" w:rsidRPr="00271560" w:rsidRDefault="00AC2298" w:rsidP="00A6692F">
            <w:pPr>
              <w:pStyle w:val="TableText0"/>
              <w:keepLines/>
            </w:pPr>
            <w:r w:rsidRPr="00271560">
              <w:t>CS3A</w:t>
            </w:r>
          </w:p>
        </w:tc>
        <w:tc>
          <w:tcPr>
            <w:tcW w:w="696" w:type="pct"/>
            <w:vMerge w:val="restart"/>
            <w:tcBorders>
              <w:top w:val="single" w:sz="4" w:space="0" w:color="auto"/>
              <w:left w:val="single" w:sz="4" w:space="0" w:color="auto"/>
              <w:right w:val="single" w:sz="4" w:space="0" w:color="auto"/>
            </w:tcBorders>
            <w:shd w:val="clear" w:color="auto" w:fill="C6D9F1" w:themeFill="text2" w:themeFillTint="33"/>
            <w:vAlign w:val="center"/>
          </w:tcPr>
          <w:p w14:paraId="748E7B05" w14:textId="77777777" w:rsidR="00AC2298" w:rsidRPr="00271560" w:rsidRDefault="00AC2298" w:rsidP="00A6692F">
            <w:pPr>
              <w:pStyle w:val="TableText0"/>
              <w:keepLines/>
              <w:jc w:val="center"/>
            </w:pPr>
            <w:r w:rsidRPr="00271560">
              <w:t>P2 trial</w:t>
            </w:r>
          </w:p>
        </w:tc>
        <w:tc>
          <w:tcPr>
            <w:tcW w:w="265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126428" w14:textId="77777777" w:rsidR="00AC2298" w:rsidRPr="00271560" w:rsidRDefault="00AC2298" w:rsidP="00A6692F">
            <w:pPr>
              <w:pStyle w:val="TableText0"/>
              <w:keepLines/>
              <w:jc w:val="center"/>
            </w:pPr>
            <w:r w:rsidRPr="00271560">
              <w:t>Treatment of infantile-onset spinal muscular atrophy with nusinersen: a phase 2, open-label, dose-escalation study." The Lancet 388(10063): 3017-3026.</w:t>
            </w:r>
          </w:p>
        </w:tc>
        <w:tc>
          <w:tcPr>
            <w:tcW w:w="964" w:type="pct"/>
            <w:vMerge w:val="restart"/>
            <w:tcBorders>
              <w:top w:val="single" w:sz="4" w:space="0" w:color="auto"/>
              <w:left w:val="single" w:sz="4" w:space="0" w:color="auto"/>
              <w:right w:val="single" w:sz="4" w:space="0" w:color="auto"/>
            </w:tcBorders>
            <w:shd w:val="clear" w:color="auto" w:fill="auto"/>
            <w:vAlign w:val="center"/>
          </w:tcPr>
          <w:p w14:paraId="71991763" w14:textId="77777777" w:rsidR="00AC2298" w:rsidRPr="00271560" w:rsidRDefault="00AC2298" w:rsidP="00A6692F">
            <w:pPr>
              <w:pStyle w:val="TableText0"/>
              <w:keepLines/>
              <w:jc w:val="center"/>
            </w:pPr>
            <w:r w:rsidRPr="00271560">
              <w:t xml:space="preserve">2 patients with </w:t>
            </w:r>
            <w:r w:rsidRPr="00271560">
              <w:rPr>
                <w:i/>
                <w:iCs/>
              </w:rPr>
              <w:t>SMN2</w:t>
            </w:r>
            <w:r w:rsidRPr="00271560">
              <w:t xml:space="preserve"> copy number of 3</w:t>
            </w:r>
          </w:p>
        </w:tc>
      </w:tr>
      <w:tr w:rsidR="00AC2298" w:rsidRPr="00271560" w14:paraId="444CE4CB" w14:textId="77777777" w:rsidTr="00A24B8B">
        <w:trPr>
          <w:trHeight w:val="70"/>
        </w:trPr>
        <w:tc>
          <w:tcPr>
            <w:tcW w:w="690" w:type="pct"/>
            <w:vMerge/>
            <w:tcBorders>
              <w:left w:val="single" w:sz="4" w:space="0" w:color="auto"/>
              <w:bottom w:val="single" w:sz="4" w:space="0" w:color="auto"/>
              <w:right w:val="single" w:sz="4" w:space="0" w:color="auto"/>
            </w:tcBorders>
            <w:shd w:val="clear" w:color="auto" w:fill="C6D9F1" w:themeFill="text2" w:themeFillTint="33"/>
            <w:vAlign w:val="center"/>
          </w:tcPr>
          <w:p w14:paraId="75B7B53A" w14:textId="77777777" w:rsidR="00AC2298" w:rsidRPr="00271560" w:rsidRDefault="00AC2298" w:rsidP="00A6692F">
            <w:pPr>
              <w:pStyle w:val="TableText0"/>
              <w:keepLines/>
            </w:pPr>
          </w:p>
        </w:tc>
        <w:tc>
          <w:tcPr>
            <w:tcW w:w="696" w:type="pct"/>
            <w:vMerge/>
            <w:tcBorders>
              <w:left w:val="single" w:sz="4" w:space="0" w:color="auto"/>
              <w:bottom w:val="single" w:sz="4" w:space="0" w:color="auto"/>
              <w:right w:val="single" w:sz="4" w:space="0" w:color="auto"/>
            </w:tcBorders>
            <w:shd w:val="clear" w:color="auto" w:fill="C6D9F1" w:themeFill="text2" w:themeFillTint="33"/>
            <w:vAlign w:val="center"/>
          </w:tcPr>
          <w:p w14:paraId="23B0586D" w14:textId="77777777" w:rsidR="00AC2298" w:rsidRPr="00271560" w:rsidRDefault="00AC2298" w:rsidP="00A6692F">
            <w:pPr>
              <w:pStyle w:val="TableText0"/>
              <w:keepLines/>
              <w:jc w:val="center"/>
            </w:pPr>
          </w:p>
        </w:tc>
        <w:tc>
          <w:tcPr>
            <w:tcW w:w="265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3D05DF" w14:textId="77777777" w:rsidR="00AC2298" w:rsidRPr="00271560" w:rsidRDefault="00AC2298" w:rsidP="00A6692F">
            <w:pPr>
              <w:pStyle w:val="TableText0"/>
              <w:keepLines/>
              <w:jc w:val="center"/>
            </w:pPr>
            <w:r w:rsidRPr="00271560">
              <w:t>Finkel, R. S., et al. (2021). "Treatment of infantile-onset spinal muscular atrophy with nusinersen: final report of a phase 2, open-label, multicentre, dose-escalation study." The Lancet Child and Adolescent Health 5(7): 491-500.</w:t>
            </w:r>
          </w:p>
        </w:tc>
        <w:tc>
          <w:tcPr>
            <w:tcW w:w="964" w:type="pct"/>
            <w:vMerge/>
            <w:tcBorders>
              <w:left w:val="single" w:sz="4" w:space="0" w:color="auto"/>
              <w:bottom w:val="single" w:sz="4" w:space="0" w:color="auto"/>
              <w:right w:val="single" w:sz="4" w:space="0" w:color="auto"/>
            </w:tcBorders>
            <w:shd w:val="clear" w:color="auto" w:fill="auto"/>
            <w:vAlign w:val="center"/>
          </w:tcPr>
          <w:p w14:paraId="2316FF4D" w14:textId="77777777" w:rsidR="00AC2298" w:rsidRPr="00271560" w:rsidRDefault="00AC2298" w:rsidP="00A6692F">
            <w:pPr>
              <w:pStyle w:val="TableText0"/>
              <w:keepLines/>
              <w:jc w:val="center"/>
              <w:rPr>
                <w:b/>
                <w:bCs w:val="0"/>
              </w:rPr>
            </w:pPr>
          </w:p>
        </w:tc>
      </w:tr>
      <w:tr w:rsidR="00AC2298" w:rsidRPr="00271560" w14:paraId="35B15C0B" w14:textId="77777777" w:rsidTr="00CB2C92">
        <w:trPr>
          <w:trHeight w:val="70"/>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4F225F3" w14:textId="77777777" w:rsidR="00AC2298" w:rsidRPr="00271560" w:rsidRDefault="00AC2298" w:rsidP="00A6692F">
            <w:pPr>
              <w:pStyle w:val="TableText0"/>
              <w:keepLines/>
            </w:pPr>
            <w:r w:rsidRPr="00271560">
              <w:t>Kariyawasam 2023</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68A6ABD3" w14:textId="77777777" w:rsidR="00AC2298" w:rsidRPr="00271560" w:rsidRDefault="00AC2298" w:rsidP="00A6692F">
            <w:pPr>
              <w:pStyle w:val="TableText0"/>
              <w:keepLines/>
              <w:jc w:val="center"/>
            </w:pPr>
            <w:r w:rsidRPr="00271560">
              <w:t>Observational cohort study</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5D1AA19B" w14:textId="77777777" w:rsidR="00AC2298" w:rsidRPr="00271560" w:rsidRDefault="00AC2298" w:rsidP="00A6692F">
            <w:pPr>
              <w:pStyle w:val="TableText0"/>
              <w:keepLines/>
              <w:jc w:val="center"/>
            </w:pPr>
            <w:r w:rsidRPr="00271560">
              <w:rPr>
                <w:rFonts w:eastAsia="Calibri"/>
              </w:rPr>
              <w:t>Kariyawasam, S., et al (2023). Newborn screening for spinal muscular atrophy in Australia: a non-randomised cohort study. Lancet Child and Adolescent health. S2352-4642(22)00342-X</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61B69CFC" w14:textId="77777777" w:rsidR="00AC2298" w:rsidRPr="00271560" w:rsidRDefault="00AC2298" w:rsidP="00A6692F">
            <w:pPr>
              <w:pStyle w:val="TableText0"/>
              <w:keepLines/>
              <w:jc w:val="center"/>
            </w:pPr>
            <w:r w:rsidRPr="00271560">
              <w:t xml:space="preserve">IPD available for those with 3 </w:t>
            </w:r>
            <w:r w:rsidRPr="00271560">
              <w:rPr>
                <w:i/>
                <w:iCs/>
              </w:rPr>
              <w:t>SMN2</w:t>
            </w:r>
            <w:r w:rsidRPr="00271560">
              <w:t xml:space="preserve"> copies</w:t>
            </w:r>
          </w:p>
        </w:tc>
      </w:tr>
    </w:tbl>
    <w:p w14:paraId="7024EC6F" w14:textId="77777777" w:rsidR="00AC2298" w:rsidRPr="00271560" w:rsidRDefault="00AC2298" w:rsidP="00A6692F">
      <w:pPr>
        <w:pStyle w:val="TableFooter"/>
        <w:keepNext/>
        <w:keepLines/>
      </w:pPr>
      <w:r w:rsidRPr="00271560">
        <w:t>Source: Table 2.5, p67 of the resubmission.</w:t>
      </w:r>
    </w:p>
    <w:p w14:paraId="538F4161" w14:textId="77777777" w:rsidR="00AC2298" w:rsidRPr="00271560" w:rsidRDefault="00AC2298" w:rsidP="00A6692F">
      <w:pPr>
        <w:pStyle w:val="TableFooter"/>
        <w:keepNext/>
        <w:keepLines/>
      </w:pPr>
      <w:r w:rsidRPr="00271560">
        <w:t>IPD = individual patient data; SMA = spinal muscular atrophy; SMN = survival of motor neuron</w:t>
      </w:r>
    </w:p>
    <w:p w14:paraId="5D598F8A" w14:textId="3EE4DCE0" w:rsidR="00A24B8B" w:rsidRPr="00271560" w:rsidRDefault="00A24B8B" w:rsidP="00266B11">
      <w:pPr>
        <w:pStyle w:val="TableFooter"/>
        <w:keepLines/>
        <w:spacing w:after="120"/>
      </w:pPr>
      <w:r w:rsidRPr="00271560">
        <w:t xml:space="preserve">Blue shaded cells indicate studies that PBAC has previously considered, but not data specific for the 3 copies </w:t>
      </w:r>
      <w:r w:rsidRPr="00271560">
        <w:rPr>
          <w:i/>
          <w:iCs/>
        </w:rPr>
        <w:t>SMN2</w:t>
      </w:r>
      <w:r w:rsidRPr="00271560">
        <w:t xml:space="preserve"> </w:t>
      </w:r>
      <w:r w:rsidR="00A86453" w:rsidRPr="00271560">
        <w:t>population.</w:t>
      </w:r>
    </w:p>
    <w:p w14:paraId="39CC052C" w14:textId="77777777" w:rsidR="00AC2298" w:rsidRPr="00271560" w:rsidRDefault="00AC2298" w:rsidP="00AC2298">
      <w:pPr>
        <w:pStyle w:val="4-SubsectionHeading"/>
      </w:pPr>
      <w:bookmarkStart w:id="36" w:name="_Toc22897641"/>
      <w:bookmarkStart w:id="37" w:name="_Toc132629057"/>
      <w:bookmarkStart w:id="38" w:name="_Toc135214662"/>
      <w:r w:rsidRPr="00271560">
        <w:t>Comparative effectiveness</w:t>
      </w:r>
      <w:bookmarkEnd w:id="36"/>
      <w:bookmarkEnd w:id="37"/>
      <w:bookmarkEnd w:id="38"/>
    </w:p>
    <w:p w14:paraId="37FA29C8" w14:textId="658F487B" w:rsidR="00AC2298" w:rsidRPr="00271560" w:rsidRDefault="00AC2298" w:rsidP="00AC2298">
      <w:pPr>
        <w:pStyle w:val="3-BodyText"/>
      </w:pPr>
      <w:r w:rsidRPr="00271560">
        <w:t xml:space="preserve">The proportion of patients with 3 copies of </w:t>
      </w:r>
      <w:r w:rsidRPr="00271560">
        <w:rPr>
          <w:i/>
          <w:iCs/>
        </w:rPr>
        <w:t>SMN2</w:t>
      </w:r>
      <w:r w:rsidRPr="00271560">
        <w:t xml:space="preserve"> who experienced symptoms of SMA in NURTURE at 13 and 24 months is detailed in </w:t>
      </w:r>
      <w:r w:rsidRPr="00271560">
        <w:fldChar w:fldCharType="begin" w:fldLock="1"/>
      </w:r>
      <w:r w:rsidRPr="00271560">
        <w:instrText xml:space="preserve"> REF _Ref132545981 \h </w:instrText>
      </w:r>
      <w:r w:rsidRPr="00271560">
        <w:fldChar w:fldCharType="separate"/>
      </w:r>
      <w:r w:rsidR="00016BA6" w:rsidRPr="00271560">
        <w:t xml:space="preserve">Table </w:t>
      </w:r>
      <w:r w:rsidR="00016BA6">
        <w:rPr>
          <w:noProof/>
        </w:rPr>
        <w:t>7</w:t>
      </w:r>
      <w:r w:rsidRPr="00271560">
        <w:fldChar w:fldCharType="end"/>
      </w:r>
      <w:r w:rsidRPr="00271560">
        <w:t>.</w:t>
      </w:r>
    </w:p>
    <w:p w14:paraId="1321A01F" w14:textId="2CB292F8" w:rsidR="00AC2298" w:rsidRPr="00271560" w:rsidRDefault="00AC2298" w:rsidP="00266B11">
      <w:pPr>
        <w:pStyle w:val="Caption"/>
        <w:rPr>
          <w:rStyle w:val="CommentReference"/>
          <w:rFonts w:eastAsiaTheme="majorEastAsia" w:cstheme="majorBidi"/>
          <w:szCs w:val="24"/>
        </w:rPr>
      </w:pPr>
      <w:bookmarkStart w:id="39" w:name="_Ref132545981"/>
      <w:r w:rsidRPr="00271560">
        <w:lastRenderedPageBreak/>
        <w:t xml:space="preserve">Table </w:t>
      </w:r>
      <w:fldSimple w:instr=" SEQ Table \* ARABIC " w:fldLock="1">
        <w:r w:rsidR="00016BA6">
          <w:rPr>
            <w:noProof/>
          </w:rPr>
          <w:t>7</w:t>
        </w:r>
      </w:fldSimple>
      <w:bookmarkEnd w:id="39"/>
      <w:r w:rsidRPr="00271560">
        <w:rPr>
          <w:rStyle w:val="CommentReference"/>
          <w:rFonts w:eastAsiaTheme="majorEastAsia" w:cstheme="majorBidi"/>
          <w:b/>
          <w:szCs w:val="24"/>
        </w:rPr>
        <w:t xml:space="preserve">: NURTURE - SMA symptoms in patients with 3 copies of </w:t>
      </w:r>
      <w:r w:rsidRPr="00432A0F">
        <w:rPr>
          <w:rStyle w:val="CommentReference"/>
          <w:rFonts w:eastAsiaTheme="majorEastAsia" w:cstheme="majorBidi"/>
          <w:b/>
          <w:i/>
          <w:iCs/>
          <w:szCs w:val="24"/>
        </w:rPr>
        <w:t>SMN2</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NURTURE - SMA symptoms in patients with 3 copies of SMN2"/>
      </w:tblPr>
      <w:tblGrid>
        <w:gridCol w:w="4390"/>
        <w:gridCol w:w="1134"/>
        <w:gridCol w:w="1134"/>
        <w:gridCol w:w="1134"/>
        <w:gridCol w:w="1224"/>
      </w:tblGrid>
      <w:tr w:rsidR="00AC2298" w:rsidRPr="00271560" w14:paraId="76E5F374" w14:textId="77777777" w:rsidTr="00357C56">
        <w:trPr>
          <w:trHeight w:val="163"/>
        </w:trPr>
        <w:tc>
          <w:tcPr>
            <w:tcW w:w="4390" w:type="dxa"/>
            <w:vMerge w:val="restart"/>
          </w:tcPr>
          <w:p w14:paraId="0C087D29" w14:textId="77777777" w:rsidR="00AC2298" w:rsidRPr="00271560" w:rsidRDefault="00AC2298" w:rsidP="00266B11">
            <w:pPr>
              <w:pStyle w:val="Tabletext"/>
              <w:keepNext/>
              <w:keepLines/>
            </w:pPr>
          </w:p>
        </w:tc>
        <w:tc>
          <w:tcPr>
            <w:tcW w:w="1134" w:type="dxa"/>
            <w:shd w:val="clear" w:color="auto" w:fill="B4C6E7"/>
          </w:tcPr>
          <w:p w14:paraId="3CB654B4" w14:textId="77777777" w:rsidR="00AC2298" w:rsidRPr="00271560" w:rsidRDefault="00AC2298" w:rsidP="00266B11">
            <w:pPr>
              <w:pStyle w:val="Tabletext"/>
              <w:keepNext/>
              <w:keepLines/>
              <w:jc w:val="center"/>
              <w:rPr>
                <w:b/>
              </w:rPr>
            </w:pPr>
            <w:r w:rsidRPr="00271560">
              <w:rPr>
                <w:b/>
              </w:rPr>
              <w:t>Interim analysis 4</w:t>
            </w:r>
          </w:p>
        </w:tc>
        <w:tc>
          <w:tcPr>
            <w:tcW w:w="1134" w:type="dxa"/>
            <w:shd w:val="clear" w:color="auto" w:fill="B4C6E7"/>
          </w:tcPr>
          <w:p w14:paraId="39DC49D1" w14:textId="77777777" w:rsidR="00AC2298" w:rsidRPr="00271560" w:rsidRDefault="00AC2298" w:rsidP="00266B11">
            <w:pPr>
              <w:pStyle w:val="Tabletext"/>
              <w:keepNext/>
              <w:keepLines/>
              <w:jc w:val="center"/>
              <w:rPr>
                <w:b/>
              </w:rPr>
            </w:pPr>
            <w:r w:rsidRPr="00271560">
              <w:rPr>
                <w:b/>
              </w:rPr>
              <w:t>Interim analysis 4</w:t>
            </w:r>
          </w:p>
        </w:tc>
        <w:tc>
          <w:tcPr>
            <w:tcW w:w="1134" w:type="dxa"/>
          </w:tcPr>
          <w:p w14:paraId="5308BB41" w14:textId="77777777" w:rsidR="00AC2298" w:rsidRPr="00271560" w:rsidRDefault="00AC2298" w:rsidP="00266B11">
            <w:pPr>
              <w:pStyle w:val="Tabletext"/>
              <w:keepNext/>
              <w:keepLines/>
              <w:jc w:val="center"/>
              <w:rPr>
                <w:b/>
              </w:rPr>
            </w:pPr>
            <w:r w:rsidRPr="00271560">
              <w:rPr>
                <w:b/>
              </w:rPr>
              <w:t>Interim analysis 5</w:t>
            </w:r>
          </w:p>
        </w:tc>
        <w:tc>
          <w:tcPr>
            <w:tcW w:w="1224" w:type="dxa"/>
          </w:tcPr>
          <w:p w14:paraId="11048EC6" w14:textId="77777777" w:rsidR="00AC2298" w:rsidRPr="00271560" w:rsidRDefault="00AC2298" w:rsidP="00266B11">
            <w:pPr>
              <w:pStyle w:val="Tabletext"/>
              <w:keepNext/>
              <w:keepLines/>
              <w:jc w:val="center"/>
              <w:rPr>
                <w:b/>
              </w:rPr>
            </w:pPr>
            <w:r w:rsidRPr="00271560">
              <w:rPr>
                <w:b/>
              </w:rPr>
              <w:t>Interim analysis 5</w:t>
            </w:r>
          </w:p>
        </w:tc>
      </w:tr>
      <w:tr w:rsidR="00AC2298" w:rsidRPr="00271560" w14:paraId="01E54B98" w14:textId="77777777" w:rsidTr="00357C56">
        <w:trPr>
          <w:trHeight w:val="170"/>
        </w:trPr>
        <w:tc>
          <w:tcPr>
            <w:tcW w:w="4390" w:type="dxa"/>
            <w:vMerge/>
          </w:tcPr>
          <w:p w14:paraId="6EB9ABD0" w14:textId="77777777" w:rsidR="00AC2298" w:rsidRPr="00271560" w:rsidRDefault="00AC2298" w:rsidP="00266B11">
            <w:pPr>
              <w:pStyle w:val="Tabletext"/>
              <w:keepNext/>
              <w:keepLines/>
            </w:pPr>
          </w:p>
        </w:tc>
        <w:tc>
          <w:tcPr>
            <w:tcW w:w="1134" w:type="dxa"/>
            <w:shd w:val="clear" w:color="auto" w:fill="B4C6E7"/>
          </w:tcPr>
          <w:p w14:paraId="6401425F" w14:textId="77777777" w:rsidR="00AC2298" w:rsidRPr="00271560" w:rsidRDefault="00AC2298" w:rsidP="00266B11">
            <w:pPr>
              <w:pStyle w:val="Tabletext"/>
              <w:keepNext/>
              <w:keepLines/>
              <w:jc w:val="center"/>
              <w:rPr>
                <w:b/>
              </w:rPr>
            </w:pPr>
            <w:r w:rsidRPr="00271560">
              <w:rPr>
                <w:b/>
              </w:rPr>
              <w:t>At 13 months</w:t>
            </w:r>
          </w:p>
        </w:tc>
        <w:tc>
          <w:tcPr>
            <w:tcW w:w="1134" w:type="dxa"/>
            <w:shd w:val="clear" w:color="auto" w:fill="B4C6E7"/>
          </w:tcPr>
          <w:p w14:paraId="1F5C2170" w14:textId="77777777" w:rsidR="00AC2298" w:rsidRPr="00271560" w:rsidRDefault="00AC2298" w:rsidP="00266B11">
            <w:pPr>
              <w:pStyle w:val="Tabletext"/>
              <w:keepNext/>
              <w:keepLines/>
              <w:jc w:val="center"/>
              <w:rPr>
                <w:b/>
              </w:rPr>
            </w:pPr>
            <w:r w:rsidRPr="00271560">
              <w:rPr>
                <w:b/>
              </w:rPr>
              <w:t>At 24 months</w:t>
            </w:r>
          </w:p>
        </w:tc>
        <w:tc>
          <w:tcPr>
            <w:tcW w:w="1134" w:type="dxa"/>
          </w:tcPr>
          <w:p w14:paraId="2C7B80E2" w14:textId="77777777" w:rsidR="00AC2298" w:rsidRPr="00271560" w:rsidRDefault="00AC2298" w:rsidP="00266B11">
            <w:pPr>
              <w:pStyle w:val="Tabletext"/>
              <w:keepNext/>
              <w:keepLines/>
              <w:jc w:val="center"/>
              <w:rPr>
                <w:b/>
              </w:rPr>
            </w:pPr>
            <w:r w:rsidRPr="00271560">
              <w:rPr>
                <w:b/>
              </w:rPr>
              <w:t>At 13 months</w:t>
            </w:r>
          </w:p>
        </w:tc>
        <w:tc>
          <w:tcPr>
            <w:tcW w:w="1224" w:type="dxa"/>
          </w:tcPr>
          <w:p w14:paraId="190C249D" w14:textId="77777777" w:rsidR="00AC2298" w:rsidRPr="00271560" w:rsidRDefault="00AC2298" w:rsidP="00266B11">
            <w:pPr>
              <w:pStyle w:val="Tabletext"/>
              <w:keepNext/>
              <w:keepLines/>
              <w:jc w:val="center"/>
              <w:rPr>
                <w:b/>
              </w:rPr>
            </w:pPr>
            <w:r w:rsidRPr="00271560">
              <w:rPr>
                <w:b/>
              </w:rPr>
              <w:t>At 24 months</w:t>
            </w:r>
          </w:p>
        </w:tc>
      </w:tr>
      <w:tr w:rsidR="00AC2298" w:rsidRPr="00271560" w14:paraId="0D6C0B44" w14:textId="77777777" w:rsidTr="00357C56">
        <w:trPr>
          <w:trHeight w:val="170"/>
        </w:trPr>
        <w:tc>
          <w:tcPr>
            <w:tcW w:w="4390" w:type="dxa"/>
            <w:vAlign w:val="center"/>
            <w:hideMark/>
          </w:tcPr>
          <w:p w14:paraId="5491AE4E" w14:textId="77777777" w:rsidR="00AC2298" w:rsidRPr="00271560" w:rsidRDefault="00AC2298" w:rsidP="00266B11">
            <w:pPr>
              <w:pStyle w:val="Tabletext"/>
              <w:keepNext/>
              <w:keepLines/>
            </w:pPr>
            <w:r w:rsidRPr="00271560">
              <w:t>Number of patients (N)</w:t>
            </w:r>
          </w:p>
        </w:tc>
        <w:tc>
          <w:tcPr>
            <w:tcW w:w="1134" w:type="dxa"/>
            <w:shd w:val="clear" w:color="auto" w:fill="B4C6E7"/>
            <w:vAlign w:val="center"/>
          </w:tcPr>
          <w:p w14:paraId="73D8C6FE" w14:textId="77777777" w:rsidR="00AC2298" w:rsidRPr="00271560" w:rsidRDefault="00AC2298" w:rsidP="00266B11">
            <w:pPr>
              <w:pStyle w:val="Tabletext"/>
              <w:keepNext/>
              <w:keepLines/>
              <w:jc w:val="center"/>
            </w:pPr>
            <w:r w:rsidRPr="00271560">
              <w:t>10</w:t>
            </w:r>
          </w:p>
        </w:tc>
        <w:tc>
          <w:tcPr>
            <w:tcW w:w="1134" w:type="dxa"/>
            <w:shd w:val="clear" w:color="auto" w:fill="B4C6E7"/>
            <w:vAlign w:val="center"/>
          </w:tcPr>
          <w:p w14:paraId="5E56FB41" w14:textId="77777777" w:rsidR="00AC2298" w:rsidRPr="00271560" w:rsidRDefault="00AC2298" w:rsidP="00266B11">
            <w:pPr>
              <w:pStyle w:val="Tabletext"/>
              <w:keepNext/>
              <w:keepLines/>
              <w:jc w:val="center"/>
            </w:pPr>
            <w:r w:rsidRPr="00271560">
              <w:t>5</w:t>
            </w:r>
          </w:p>
        </w:tc>
        <w:tc>
          <w:tcPr>
            <w:tcW w:w="1134" w:type="dxa"/>
            <w:vAlign w:val="center"/>
          </w:tcPr>
          <w:p w14:paraId="49F1C58E" w14:textId="77777777" w:rsidR="00AC2298" w:rsidRPr="00271560" w:rsidRDefault="00AC2298" w:rsidP="00266B11">
            <w:pPr>
              <w:pStyle w:val="Tabletext"/>
              <w:keepNext/>
              <w:keepLines/>
              <w:jc w:val="center"/>
            </w:pPr>
            <w:r w:rsidRPr="00271560">
              <w:t>10</w:t>
            </w:r>
          </w:p>
        </w:tc>
        <w:tc>
          <w:tcPr>
            <w:tcW w:w="1224" w:type="dxa"/>
            <w:vAlign w:val="center"/>
          </w:tcPr>
          <w:p w14:paraId="5B34A35D" w14:textId="77777777" w:rsidR="00AC2298" w:rsidRPr="00271560" w:rsidRDefault="00AC2298" w:rsidP="00266B11">
            <w:pPr>
              <w:pStyle w:val="Tabletext"/>
              <w:keepNext/>
              <w:keepLines/>
              <w:jc w:val="center"/>
            </w:pPr>
            <w:r w:rsidRPr="00271560">
              <w:t>10</w:t>
            </w:r>
          </w:p>
        </w:tc>
      </w:tr>
      <w:tr w:rsidR="00AC2298" w:rsidRPr="00271560" w14:paraId="5483ADCD" w14:textId="77777777" w:rsidTr="00357C56">
        <w:trPr>
          <w:trHeight w:val="163"/>
        </w:trPr>
        <w:tc>
          <w:tcPr>
            <w:tcW w:w="4390" w:type="dxa"/>
            <w:vAlign w:val="center"/>
            <w:hideMark/>
          </w:tcPr>
          <w:p w14:paraId="04F8F970" w14:textId="77777777" w:rsidR="00AC2298" w:rsidRPr="00271560" w:rsidRDefault="00AC2298" w:rsidP="00266B11">
            <w:pPr>
              <w:pStyle w:val="Tabletext"/>
              <w:keepNext/>
              <w:keepLines/>
            </w:pPr>
            <w:r w:rsidRPr="00271560">
              <w:t>No. patients with percutaneous gastric tube inserted, n (%)</w:t>
            </w:r>
          </w:p>
        </w:tc>
        <w:tc>
          <w:tcPr>
            <w:tcW w:w="1134" w:type="dxa"/>
            <w:shd w:val="clear" w:color="auto" w:fill="B4C6E7"/>
            <w:vAlign w:val="center"/>
          </w:tcPr>
          <w:p w14:paraId="5E85E6F9" w14:textId="77777777" w:rsidR="00AC2298" w:rsidRPr="00271560" w:rsidRDefault="00AC2298" w:rsidP="00266B11">
            <w:pPr>
              <w:pStyle w:val="Tabletext"/>
              <w:keepNext/>
              <w:keepLines/>
              <w:jc w:val="center"/>
            </w:pPr>
            <w:r w:rsidRPr="00271560">
              <w:t>0</w:t>
            </w:r>
          </w:p>
        </w:tc>
        <w:tc>
          <w:tcPr>
            <w:tcW w:w="1134" w:type="dxa"/>
            <w:shd w:val="clear" w:color="auto" w:fill="B4C6E7"/>
            <w:vAlign w:val="center"/>
          </w:tcPr>
          <w:p w14:paraId="51FABB84" w14:textId="77777777" w:rsidR="00AC2298" w:rsidRPr="00271560" w:rsidRDefault="00AC2298" w:rsidP="00266B11">
            <w:pPr>
              <w:pStyle w:val="Tabletext"/>
              <w:keepNext/>
              <w:keepLines/>
              <w:jc w:val="center"/>
            </w:pPr>
            <w:r w:rsidRPr="00271560">
              <w:t>0</w:t>
            </w:r>
          </w:p>
        </w:tc>
        <w:tc>
          <w:tcPr>
            <w:tcW w:w="1134" w:type="dxa"/>
            <w:vAlign w:val="center"/>
          </w:tcPr>
          <w:p w14:paraId="1AF8A7B9" w14:textId="77777777" w:rsidR="00AC2298" w:rsidRPr="00271560" w:rsidRDefault="00AC2298" w:rsidP="00266B11">
            <w:pPr>
              <w:pStyle w:val="Tabletext"/>
              <w:keepNext/>
              <w:keepLines/>
              <w:jc w:val="center"/>
            </w:pPr>
            <w:r w:rsidRPr="00271560">
              <w:t>0</w:t>
            </w:r>
          </w:p>
        </w:tc>
        <w:tc>
          <w:tcPr>
            <w:tcW w:w="1224" w:type="dxa"/>
            <w:vAlign w:val="center"/>
          </w:tcPr>
          <w:p w14:paraId="504725D8" w14:textId="77777777" w:rsidR="00AC2298" w:rsidRPr="00271560" w:rsidRDefault="00AC2298" w:rsidP="00266B11">
            <w:pPr>
              <w:pStyle w:val="Tabletext"/>
              <w:keepNext/>
              <w:keepLines/>
              <w:jc w:val="center"/>
            </w:pPr>
            <w:r w:rsidRPr="00271560">
              <w:t>0</w:t>
            </w:r>
          </w:p>
        </w:tc>
      </w:tr>
      <w:tr w:rsidR="00AC2298" w:rsidRPr="00271560" w14:paraId="2926CA3B" w14:textId="77777777" w:rsidTr="00357C56">
        <w:trPr>
          <w:trHeight w:val="163"/>
        </w:trPr>
        <w:tc>
          <w:tcPr>
            <w:tcW w:w="4390" w:type="dxa"/>
            <w:vAlign w:val="center"/>
            <w:hideMark/>
          </w:tcPr>
          <w:p w14:paraId="5AAF859C" w14:textId="77777777" w:rsidR="00AC2298" w:rsidRPr="00271560" w:rsidRDefault="00AC2298" w:rsidP="00266B11">
            <w:pPr>
              <w:pStyle w:val="Tabletext"/>
              <w:keepNext/>
              <w:keepLines/>
            </w:pPr>
            <w:r w:rsidRPr="00271560">
              <w:t>No. patients with weight below the 5th percentile, n (%)</w:t>
            </w:r>
          </w:p>
        </w:tc>
        <w:tc>
          <w:tcPr>
            <w:tcW w:w="1134" w:type="dxa"/>
            <w:shd w:val="clear" w:color="auto" w:fill="B4C6E7"/>
            <w:vAlign w:val="center"/>
          </w:tcPr>
          <w:p w14:paraId="1AA5A058" w14:textId="77777777" w:rsidR="00AC2298" w:rsidRPr="00271560" w:rsidRDefault="00AC2298" w:rsidP="00266B11">
            <w:pPr>
              <w:pStyle w:val="Tabletext"/>
              <w:keepNext/>
              <w:keepLines/>
              <w:jc w:val="center"/>
            </w:pPr>
            <w:r w:rsidRPr="00271560">
              <w:t>0</w:t>
            </w:r>
          </w:p>
        </w:tc>
        <w:tc>
          <w:tcPr>
            <w:tcW w:w="1134" w:type="dxa"/>
            <w:shd w:val="clear" w:color="auto" w:fill="B4C6E7"/>
            <w:vAlign w:val="center"/>
          </w:tcPr>
          <w:p w14:paraId="5F050E4F" w14:textId="77777777" w:rsidR="00AC2298" w:rsidRPr="00271560" w:rsidRDefault="00AC2298" w:rsidP="00266B11">
            <w:pPr>
              <w:pStyle w:val="Tabletext"/>
              <w:keepNext/>
              <w:keepLines/>
              <w:jc w:val="center"/>
            </w:pPr>
            <w:r w:rsidRPr="00271560">
              <w:t>0</w:t>
            </w:r>
          </w:p>
        </w:tc>
        <w:tc>
          <w:tcPr>
            <w:tcW w:w="1134" w:type="dxa"/>
            <w:vAlign w:val="center"/>
          </w:tcPr>
          <w:p w14:paraId="6002CB55" w14:textId="77777777" w:rsidR="00AC2298" w:rsidRPr="00271560" w:rsidRDefault="00AC2298" w:rsidP="00266B11">
            <w:pPr>
              <w:pStyle w:val="Tabletext"/>
              <w:keepNext/>
              <w:keepLines/>
              <w:jc w:val="center"/>
            </w:pPr>
            <w:r w:rsidRPr="00271560">
              <w:t>0</w:t>
            </w:r>
          </w:p>
        </w:tc>
        <w:tc>
          <w:tcPr>
            <w:tcW w:w="1224" w:type="dxa"/>
            <w:vAlign w:val="center"/>
          </w:tcPr>
          <w:p w14:paraId="663F6587" w14:textId="77777777" w:rsidR="00AC2298" w:rsidRPr="00271560" w:rsidRDefault="00AC2298" w:rsidP="00266B11">
            <w:pPr>
              <w:pStyle w:val="Tabletext"/>
              <w:keepNext/>
              <w:keepLines/>
              <w:jc w:val="center"/>
            </w:pPr>
            <w:r w:rsidRPr="00271560">
              <w:t>0</w:t>
            </w:r>
          </w:p>
        </w:tc>
      </w:tr>
      <w:tr w:rsidR="00AC2298" w:rsidRPr="00271560" w14:paraId="7A818445" w14:textId="77777777" w:rsidTr="00357C56">
        <w:trPr>
          <w:trHeight w:val="306"/>
        </w:trPr>
        <w:tc>
          <w:tcPr>
            <w:tcW w:w="4390" w:type="dxa"/>
            <w:vAlign w:val="center"/>
            <w:hideMark/>
          </w:tcPr>
          <w:p w14:paraId="5028F946" w14:textId="77777777" w:rsidR="00AC2298" w:rsidRPr="00271560" w:rsidRDefault="00AC2298" w:rsidP="00266B11">
            <w:pPr>
              <w:pStyle w:val="Tabletext"/>
              <w:keepNext/>
              <w:keepLines/>
            </w:pPr>
            <w:r w:rsidRPr="00271560">
              <w:t>No. patients with weight dropping 2 or more major percentiles over 6 months, n (%)</w:t>
            </w:r>
          </w:p>
        </w:tc>
        <w:tc>
          <w:tcPr>
            <w:tcW w:w="1134" w:type="dxa"/>
            <w:shd w:val="clear" w:color="auto" w:fill="B4C6E7"/>
            <w:vAlign w:val="center"/>
          </w:tcPr>
          <w:p w14:paraId="4EEFC2FA" w14:textId="77777777" w:rsidR="00AC2298" w:rsidRPr="00271560" w:rsidRDefault="00AC2298" w:rsidP="00266B11">
            <w:pPr>
              <w:pStyle w:val="Tabletext"/>
              <w:keepNext/>
              <w:keepLines/>
              <w:jc w:val="center"/>
            </w:pPr>
            <w:r w:rsidRPr="00271560">
              <w:t>0</w:t>
            </w:r>
          </w:p>
        </w:tc>
        <w:tc>
          <w:tcPr>
            <w:tcW w:w="1134" w:type="dxa"/>
            <w:shd w:val="clear" w:color="auto" w:fill="B4C6E7"/>
            <w:vAlign w:val="center"/>
          </w:tcPr>
          <w:p w14:paraId="5F17D4C6" w14:textId="77777777" w:rsidR="00AC2298" w:rsidRPr="00271560" w:rsidRDefault="00AC2298" w:rsidP="00266B11">
            <w:pPr>
              <w:pStyle w:val="Tabletext"/>
              <w:keepNext/>
              <w:keepLines/>
              <w:jc w:val="center"/>
            </w:pPr>
            <w:r w:rsidRPr="00271560">
              <w:t>0</w:t>
            </w:r>
          </w:p>
        </w:tc>
        <w:tc>
          <w:tcPr>
            <w:tcW w:w="1134" w:type="dxa"/>
            <w:vAlign w:val="center"/>
          </w:tcPr>
          <w:p w14:paraId="304A959C" w14:textId="77777777" w:rsidR="00AC2298" w:rsidRPr="00271560" w:rsidRDefault="00AC2298" w:rsidP="00266B11">
            <w:pPr>
              <w:pStyle w:val="Tabletext"/>
              <w:keepNext/>
              <w:keepLines/>
              <w:jc w:val="center"/>
            </w:pPr>
            <w:r w:rsidRPr="00271560">
              <w:t>0</w:t>
            </w:r>
          </w:p>
        </w:tc>
        <w:tc>
          <w:tcPr>
            <w:tcW w:w="1224" w:type="dxa"/>
            <w:vAlign w:val="center"/>
          </w:tcPr>
          <w:p w14:paraId="385A47CE" w14:textId="77777777" w:rsidR="00AC2298" w:rsidRPr="00271560" w:rsidRDefault="00AC2298" w:rsidP="00266B11">
            <w:pPr>
              <w:pStyle w:val="Tabletext"/>
              <w:keepNext/>
              <w:keepLines/>
              <w:jc w:val="center"/>
            </w:pPr>
            <w:r w:rsidRPr="00271560">
              <w:t>0</w:t>
            </w:r>
          </w:p>
        </w:tc>
      </w:tr>
      <w:tr w:rsidR="00AC2298" w:rsidRPr="00271560" w14:paraId="083E241E" w14:textId="77777777" w:rsidTr="00357C56">
        <w:trPr>
          <w:trHeight w:val="306"/>
        </w:trPr>
        <w:tc>
          <w:tcPr>
            <w:tcW w:w="4390" w:type="dxa"/>
            <w:vAlign w:val="center"/>
            <w:hideMark/>
          </w:tcPr>
          <w:p w14:paraId="55BC547C" w14:textId="77777777" w:rsidR="00AC2298" w:rsidRPr="00271560" w:rsidRDefault="00AC2298" w:rsidP="00266B11">
            <w:pPr>
              <w:pStyle w:val="Tabletext"/>
              <w:keepNext/>
              <w:keepLines/>
            </w:pPr>
            <w:r w:rsidRPr="00271560">
              <w:t xml:space="preserve">No. patients who lose a WHO milestone or fail to demonstrate all expected WHO milestones, n (%) </w:t>
            </w:r>
          </w:p>
        </w:tc>
        <w:tc>
          <w:tcPr>
            <w:tcW w:w="1134" w:type="dxa"/>
            <w:shd w:val="clear" w:color="auto" w:fill="B4C6E7"/>
            <w:vAlign w:val="center"/>
          </w:tcPr>
          <w:p w14:paraId="3501F7FB" w14:textId="77777777" w:rsidR="00AC2298" w:rsidRPr="00271560" w:rsidRDefault="00AC2298" w:rsidP="00266B11">
            <w:pPr>
              <w:pStyle w:val="Tabletext"/>
              <w:keepNext/>
              <w:keepLines/>
              <w:jc w:val="center"/>
            </w:pPr>
            <w:r w:rsidRPr="00271560">
              <w:t>2 (20)</w:t>
            </w:r>
          </w:p>
        </w:tc>
        <w:tc>
          <w:tcPr>
            <w:tcW w:w="1134" w:type="dxa"/>
            <w:shd w:val="clear" w:color="auto" w:fill="B4C6E7"/>
            <w:vAlign w:val="center"/>
          </w:tcPr>
          <w:p w14:paraId="27933758" w14:textId="77777777" w:rsidR="00AC2298" w:rsidRPr="00271560" w:rsidRDefault="00AC2298" w:rsidP="00266B11">
            <w:pPr>
              <w:pStyle w:val="Tabletext"/>
              <w:keepNext/>
              <w:keepLines/>
              <w:jc w:val="center"/>
            </w:pPr>
            <w:r w:rsidRPr="00271560">
              <w:t>0</w:t>
            </w:r>
          </w:p>
        </w:tc>
        <w:tc>
          <w:tcPr>
            <w:tcW w:w="1134" w:type="dxa"/>
            <w:vAlign w:val="center"/>
          </w:tcPr>
          <w:p w14:paraId="55BEF8AB" w14:textId="77777777" w:rsidR="00AC2298" w:rsidRPr="00271560" w:rsidRDefault="00AC2298" w:rsidP="00266B11">
            <w:pPr>
              <w:pStyle w:val="Tabletext"/>
              <w:keepNext/>
              <w:keepLines/>
              <w:jc w:val="center"/>
            </w:pPr>
            <w:r w:rsidRPr="00271560">
              <w:t>2 (20)</w:t>
            </w:r>
          </w:p>
        </w:tc>
        <w:tc>
          <w:tcPr>
            <w:tcW w:w="1224" w:type="dxa"/>
            <w:vAlign w:val="center"/>
          </w:tcPr>
          <w:p w14:paraId="1A569FD3" w14:textId="77777777" w:rsidR="00AC2298" w:rsidRPr="00271560" w:rsidRDefault="00AC2298" w:rsidP="00266B11">
            <w:pPr>
              <w:pStyle w:val="Tabletext"/>
              <w:keepNext/>
              <w:keepLines/>
              <w:jc w:val="center"/>
            </w:pPr>
            <w:r w:rsidRPr="00271560">
              <w:t>0</w:t>
            </w:r>
          </w:p>
        </w:tc>
      </w:tr>
      <w:tr w:rsidR="00AC2298" w:rsidRPr="00271560" w14:paraId="5969075C" w14:textId="77777777" w:rsidTr="00844CDD">
        <w:trPr>
          <w:trHeight w:val="111"/>
        </w:trPr>
        <w:tc>
          <w:tcPr>
            <w:tcW w:w="4390" w:type="dxa"/>
            <w:vAlign w:val="center"/>
            <w:hideMark/>
          </w:tcPr>
          <w:p w14:paraId="52FC4ACB" w14:textId="77777777" w:rsidR="00AC2298" w:rsidRPr="00271560" w:rsidRDefault="00AC2298" w:rsidP="00266B11">
            <w:pPr>
              <w:pStyle w:val="Tabletext"/>
              <w:keepNext/>
              <w:keepLines/>
            </w:pPr>
            <w:r w:rsidRPr="00271560">
              <w:t>No. patients with manifestation of SMA symptoms, n (%)</w:t>
            </w:r>
          </w:p>
        </w:tc>
        <w:tc>
          <w:tcPr>
            <w:tcW w:w="1134" w:type="dxa"/>
            <w:shd w:val="clear" w:color="auto" w:fill="B4C6E7"/>
            <w:vAlign w:val="center"/>
          </w:tcPr>
          <w:p w14:paraId="33CE3AEB" w14:textId="77777777" w:rsidR="00AC2298" w:rsidRPr="00271560" w:rsidRDefault="00AC2298" w:rsidP="00266B11">
            <w:pPr>
              <w:pStyle w:val="Tabletext"/>
              <w:keepNext/>
              <w:keepLines/>
              <w:jc w:val="center"/>
            </w:pPr>
            <w:r w:rsidRPr="00271560">
              <w:t>2 (20)</w:t>
            </w:r>
          </w:p>
        </w:tc>
        <w:tc>
          <w:tcPr>
            <w:tcW w:w="1134" w:type="dxa"/>
            <w:shd w:val="clear" w:color="auto" w:fill="B4C6E7"/>
            <w:vAlign w:val="center"/>
          </w:tcPr>
          <w:p w14:paraId="09B715CD" w14:textId="77777777" w:rsidR="00AC2298" w:rsidRPr="00271560" w:rsidRDefault="00AC2298" w:rsidP="00266B11">
            <w:pPr>
              <w:pStyle w:val="Tabletext"/>
              <w:keepNext/>
              <w:keepLines/>
              <w:jc w:val="center"/>
            </w:pPr>
            <w:r w:rsidRPr="00271560">
              <w:t>0</w:t>
            </w:r>
          </w:p>
        </w:tc>
        <w:tc>
          <w:tcPr>
            <w:tcW w:w="1134" w:type="dxa"/>
            <w:vAlign w:val="center"/>
          </w:tcPr>
          <w:p w14:paraId="4FCC1770" w14:textId="216F5D7B" w:rsidR="00AC2298" w:rsidRPr="00271560" w:rsidRDefault="00AC2298" w:rsidP="00266B11">
            <w:pPr>
              <w:pStyle w:val="Tabletext"/>
              <w:keepNext/>
              <w:keepLines/>
              <w:jc w:val="center"/>
            </w:pPr>
            <w:r w:rsidRPr="00271560">
              <w:t>2</w:t>
            </w:r>
            <w:r w:rsidR="00432A0F">
              <w:t xml:space="preserve"> (20)</w:t>
            </w:r>
          </w:p>
        </w:tc>
        <w:tc>
          <w:tcPr>
            <w:tcW w:w="1224" w:type="dxa"/>
            <w:vAlign w:val="center"/>
          </w:tcPr>
          <w:p w14:paraId="63AC05D7" w14:textId="77777777" w:rsidR="00AC2298" w:rsidRPr="00271560" w:rsidRDefault="00AC2298" w:rsidP="00266B11">
            <w:pPr>
              <w:pStyle w:val="Tabletext"/>
              <w:keepNext/>
              <w:keepLines/>
              <w:jc w:val="center"/>
            </w:pPr>
            <w:r w:rsidRPr="00271560">
              <w:t>0</w:t>
            </w:r>
          </w:p>
        </w:tc>
      </w:tr>
      <w:tr w:rsidR="00AC2298" w:rsidRPr="00271560" w14:paraId="413F0F14" w14:textId="77777777" w:rsidTr="00357C56">
        <w:trPr>
          <w:trHeight w:val="306"/>
        </w:trPr>
        <w:tc>
          <w:tcPr>
            <w:tcW w:w="4390" w:type="dxa"/>
            <w:vAlign w:val="center"/>
            <w:hideMark/>
          </w:tcPr>
          <w:p w14:paraId="2D4C30BC" w14:textId="77777777" w:rsidR="00AC2298" w:rsidRPr="00271560" w:rsidRDefault="00AC2298" w:rsidP="00266B11">
            <w:pPr>
              <w:pStyle w:val="Tabletext"/>
              <w:keepNext/>
              <w:keepLines/>
            </w:pPr>
            <w:r w:rsidRPr="00271560">
              <w:t>Proportion, (95% CI)</w:t>
            </w:r>
          </w:p>
        </w:tc>
        <w:tc>
          <w:tcPr>
            <w:tcW w:w="1134" w:type="dxa"/>
            <w:shd w:val="clear" w:color="auto" w:fill="B4C6E7"/>
            <w:vAlign w:val="center"/>
          </w:tcPr>
          <w:p w14:paraId="5EF66DBE" w14:textId="77777777" w:rsidR="00AC2298" w:rsidRPr="00271560" w:rsidRDefault="00AC2298" w:rsidP="00266B11">
            <w:pPr>
              <w:pStyle w:val="Tabletext"/>
              <w:keepNext/>
              <w:keepLines/>
              <w:jc w:val="center"/>
            </w:pPr>
            <w:r w:rsidRPr="00271560">
              <w:t>0.20</w:t>
            </w:r>
          </w:p>
          <w:p w14:paraId="2EDCFCDF" w14:textId="77777777" w:rsidR="00AC2298" w:rsidRPr="00271560" w:rsidRDefault="00AC2298" w:rsidP="00266B11">
            <w:pPr>
              <w:pStyle w:val="Tabletext"/>
              <w:keepNext/>
              <w:keepLines/>
              <w:jc w:val="center"/>
            </w:pPr>
            <w:r w:rsidRPr="00271560">
              <w:t>(0.04-0.56)</w:t>
            </w:r>
          </w:p>
        </w:tc>
        <w:tc>
          <w:tcPr>
            <w:tcW w:w="1134" w:type="dxa"/>
            <w:shd w:val="clear" w:color="auto" w:fill="B4C6E7"/>
            <w:vAlign w:val="center"/>
          </w:tcPr>
          <w:p w14:paraId="6EDDD199" w14:textId="77777777" w:rsidR="00AC2298" w:rsidRPr="00271560" w:rsidRDefault="00AC2298" w:rsidP="00266B11">
            <w:pPr>
              <w:pStyle w:val="Tabletext"/>
              <w:keepNext/>
              <w:keepLines/>
              <w:jc w:val="center"/>
            </w:pPr>
            <w:r w:rsidRPr="00271560">
              <w:t>0</w:t>
            </w:r>
          </w:p>
          <w:p w14:paraId="4EBECB93" w14:textId="77777777" w:rsidR="00AC2298" w:rsidRPr="00271560" w:rsidRDefault="00AC2298" w:rsidP="00266B11">
            <w:pPr>
              <w:pStyle w:val="Tabletext"/>
              <w:keepNext/>
              <w:keepLines/>
              <w:jc w:val="center"/>
            </w:pPr>
            <w:r w:rsidRPr="00271560">
              <w:t>(0.00-0.54)</w:t>
            </w:r>
          </w:p>
        </w:tc>
        <w:tc>
          <w:tcPr>
            <w:tcW w:w="1134" w:type="dxa"/>
            <w:vAlign w:val="center"/>
          </w:tcPr>
          <w:p w14:paraId="08949CF3" w14:textId="77777777" w:rsidR="00AC2298" w:rsidRPr="00271560" w:rsidRDefault="00AC2298" w:rsidP="00266B11">
            <w:pPr>
              <w:pStyle w:val="Tabletext"/>
              <w:keepNext/>
              <w:keepLines/>
              <w:jc w:val="center"/>
            </w:pPr>
            <w:r w:rsidRPr="00271560">
              <w:t>0.20</w:t>
            </w:r>
          </w:p>
          <w:p w14:paraId="4855C1E3" w14:textId="77777777" w:rsidR="00AC2298" w:rsidRPr="00271560" w:rsidRDefault="00AC2298" w:rsidP="00266B11">
            <w:pPr>
              <w:pStyle w:val="Tabletext"/>
              <w:keepNext/>
              <w:keepLines/>
              <w:jc w:val="center"/>
            </w:pPr>
            <w:r w:rsidRPr="00271560">
              <w:t>(0.04-0.56)</w:t>
            </w:r>
          </w:p>
        </w:tc>
        <w:tc>
          <w:tcPr>
            <w:tcW w:w="1224" w:type="dxa"/>
            <w:vAlign w:val="center"/>
          </w:tcPr>
          <w:p w14:paraId="1CFBF05E" w14:textId="77777777" w:rsidR="00AC2298" w:rsidRPr="00271560" w:rsidRDefault="00AC2298" w:rsidP="00266B11">
            <w:pPr>
              <w:pStyle w:val="Tabletext"/>
              <w:keepNext/>
              <w:keepLines/>
              <w:jc w:val="center"/>
            </w:pPr>
            <w:r w:rsidRPr="00271560">
              <w:t>0</w:t>
            </w:r>
          </w:p>
          <w:p w14:paraId="084103E5" w14:textId="77777777" w:rsidR="00AC2298" w:rsidRPr="00271560" w:rsidRDefault="00AC2298" w:rsidP="00266B11">
            <w:pPr>
              <w:pStyle w:val="Tabletext"/>
              <w:keepNext/>
              <w:keepLines/>
              <w:jc w:val="center"/>
            </w:pPr>
            <w:r w:rsidRPr="00271560">
              <w:t>(0.00-0.34)</w:t>
            </w:r>
          </w:p>
        </w:tc>
      </w:tr>
    </w:tbl>
    <w:p w14:paraId="2B325685" w14:textId="77777777" w:rsidR="00AC2298" w:rsidRPr="00271560" w:rsidRDefault="00AC2298" w:rsidP="00266B11">
      <w:pPr>
        <w:pStyle w:val="FooterTableFigure"/>
        <w:keepNext/>
        <w:keepLines/>
      </w:pPr>
      <w:r w:rsidRPr="00271560">
        <w:t>Source: Nusinersen commentary July 2019 6.05.COM.51 Table 2.5.1, p43; Nusinersen CSR Interim 5 Tables 23, 24 and Table 2.23, p98 of the resubmission</w:t>
      </w:r>
    </w:p>
    <w:p w14:paraId="452E0781" w14:textId="77777777" w:rsidR="00AC2298" w:rsidRPr="00271560" w:rsidRDefault="00AC2298" w:rsidP="00266B11">
      <w:pPr>
        <w:pStyle w:val="FooterTableFigure"/>
        <w:keepNext/>
        <w:keepLines/>
      </w:pPr>
      <w:r w:rsidRPr="00271560">
        <w:t>SMA = spinal muscular atrophy; SMN = survival of motor neuron</w:t>
      </w:r>
    </w:p>
    <w:p w14:paraId="11E2BBE1" w14:textId="77777777" w:rsidR="00AC2298" w:rsidRPr="00271560" w:rsidRDefault="00AC2298" w:rsidP="00AC2298">
      <w:pPr>
        <w:pStyle w:val="FooterTableFigure"/>
      </w:pPr>
      <w:r w:rsidRPr="00271560">
        <w:t>Blue shaded data previously considered by the PBAC in the nusinersen submission, July 2019 PBAC meeting.</w:t>
      </w:r>
    </w:p>
    <w:p w14:paraId="424E5C50" w14:textId="47D1206B" w:rsidR="00AC2298" w:rsidRPr="0067202A" w:rsidRDefault="00AC2298" w:rsidP="00AC2298">
      <w:pPr>
        <w:pStyle w:val="3-BodyText"/>
        <w:rPr>
          <w:iCs/>
        </w:rPr>
      </w:pPr>
      <w:r w:rsidRPr="0067202A">
        <w:rPr>
          <w:iCs/>
        </w:rPr>
        <w:t xml:space="preserve">Despite a median follow-up time of 3.7 years for NURTURE Interim </w:t>
      </w:r>
      <w:r w:rsidR="0060569A" w:rsidRPr="0067202A">
        <w:rPr>
          <w:iCs/>
        </w:rPr>
        <w:t xml:space="preserve">analysis </w:t>
      </w:r>
      <w:r w:rsidRPr="0067202A">
        <w:rPr>
          <w:iCs/>
        </w:rPr>
        <w:t xml:space="preserve">5, results were not provided for SMA symptoms observed beyond 24 months. The increase in follow up time for interim </w:t>
      </w:r>
      <w:r w:rsidR="0060569A" w:rsidRPr="0067202A">
        <w:rPr>
          <w:iCs/>
        </w:rPr>
        <w:t xml:space="preserve">analysis </w:t>
      </w:r>
      <w:r w:rsidRPr="0067202A">
        <w:rPr>
          <w:iCs/>
        </w:rPr>
        <w:t xml:space="preserve">5 provided limited additional data regarding the onset of SMA symptoms in patients with 3 copies of </w:t>
      </w:r>
      <w:r w:rsidRPr="000063EA">
        <w:rPr>
          <w:i/>
        </w:rPr>
        <w:t>SMN2</w:t>
      </w:r>
      <w:r w:rsidR="00E232B6" w:rsidRPr="0067202A">
        <w:rPr>
          <w:iCs/>
        </w:rPr>
        <w:t>.</w:t>
      </w:r>
      <w:r w:rsidRPr="0067202A">
        <w:rPr>
          <w:iCs/>
        </w:rPr>
        <w:t xml:space="preserve"> </w:t>
      </w:r>
      <w:r w:rsidR="00E232B6" w:rsidRPr="0067202A">
        <w:rPr>
          <w:iCs/>
        </w:rPr>
        <w:t xml:space="preserve">Although </w:t>
      </w:r>
      <w:r w:rsidRPr="0067202A">
        <w:rPr>
          <w:iCs/>
        </w:rPr>
        <w:t>the number of patients was increased from five to 10 for the 24</w:t>
      </w:r>
      <w:r w:rsidR="005270D9" w:rsidRPr="0067202A">
        <w:rPr>
          <w:iCs/>
        </w:rPr>
        <w:t>-</w:t>
      </w:r>
      <w:r w:rsidRPr="0067202A">
        <w:rPr>
          <w:iCs/>
        </w:rPr>
        <w:t>month analysis</w:t>
      </w:r>
      <w:r w:rsidR="00E232B6" w:rsidRPr="0067202A">
        <w:rPr>
          <w:iCs/>
        </w:rPr>
        <w:t>,</w:t>
      </w:r>
      <w:r w:rsidRPr="0067202A">
        <w:rPr>
          <w:iCs/>
        </w:rPr>
        <w:t xml:space="preserve"> data for longer time durations was not provided. For both analyses, the number of patients with 3 copies of </w:t>
      </w:r>
      <w:r w:rsidRPr="000063EA">
        <w:rPr>
          <w:i/>
        </w:rPr>
        <w:t>SMN2</w:t>
      </w:r>
      <w:r w:rsidRPr="0067202A">
        <w:rPr>
          <w:iCs/>
        </w:rPr>
        <w:t xml:space="preserve"> who reported any </w:t>
      </w:r>
      <w:r w:rsidR="00432A0F" w:rsidRPr="0067202A">
        <w:rPr>
          <w:iCs/>
        </w:rPr>
        <w:t xml:space="preserve">of the pre-defined </w:t>
      </w:r>
      <w:r w:rsidRPr="0067202A">
        <w:rPr>
          <w:iCs/>
        </w:rPr>
        <w:t xml:space="preserve">SMA symptoms was </w:t>
      </w:r>
      <w:r w:rsidR="00B3439E" w:rsidRPr="0067202A">
        <w:rPr>
          <w:iCs/>
        </w:rPr>
        <w:t xml:space="preserve">small: </w:t>
      </w:r>
      <w:r w:rsidR="004B5993" w:rsidRPr="0067202A">
        <w:rPr>
          <w:iCs/>
        </w:rPr>
        <w:t xml:space="preserve">at each </w:t>
      </w:r>
      <w:r w:rsidR="00D3224F" w:rsidRPr="0067202A">
        <w:rPr>
          <w:iCs/>
        </w:rPr>
        <w:t>interim analysis</w:t>
      </w:r>
      <w:r w:rsidR="004B5993" w:rsidRPr="0067202A">
        <w:rPr>
          <w:iCs/>
        </w:rPr>
        <w:t xml:space="preserve"> </w:t>
      </w:r>
      <w:r w:rsidR="00B3439E" w:rsidRPr="0067202A">
        <w:rPr>
          <w:iCs/>
        </w:rPr>
        <w:t xml:space="preserve">only </w:t>
      </w:r>
      <w:r w:rsidR="00E232B6" w:rsidRPr="0067202A">
        <w:rPr>
          <w:iCs/>
        </w:rPr>
        <w:t xml:space="preserve">two </w:t>
      </w:r>
      <w:r w:rsidRPr="0067202A">
        <w:rPr>
          <w:iCs/>
        </w:rPr>
        <w:t xml:space="preserve">patients </w:t>
      </w:r>
      <w:r w:rsidR="004B5993" w:rsidRPr="0067202A">
        <w:rPr>
          <w:iCs/>
        </w:rPr>
        <w:t>were reported to have manifestation of SMA symptoms</w:t>
      </w:r>
      <w:r w:rsidR="00D3224F" w:rsidRPr="0067202A">
        <w:rPr>
          <w:iCs/>
        </w:rPr>
        <w:t xml:space="preserve"> </w:t>
      </w:r>
      <w:r w:rsidR="00895717" w:rsidRPr="0067202A">
        <w:rPr>
          <w:iCs/>
        </w:rPr>
        <w:t xml:space="preserve">(failed to </w:t>
      </w:r>
      <w:r w:rsidR="003331CD" w:rsidRPr="0067202A">
        <w:rPr>
          <w:iCs/>
        </w:rPr>
        <w:t xml:space="preserve">achieve WHO milestones at that age) </w:t>
      </w:r>
      <w:r w:rsidR="00FF6AB3" w:rsidRPr="0067202A">
        <w:rPr>
          <w:iCs/>
        </w:rPr>
        <w:t>following</w:t>
      </w:r>
      <w:r w:rsidRPr="0067202A">
        <w:rPr>
          <w:iCs/>
        </w:rPr>
        <w:t xml:space="preserve"> 13 months of treatment and no patients </w:t>
      </w:r>
      <w:r w:rsidR="00B3439E" w:rsidRPr="0067202A">
        <w:rPr>
          <w:iCs/>
        </w:rPr>
        <w:t>who had received</w:t>
      </w:r>
      <w:r w:rsidR="00D3224F" w:rsidRPr="0067202A">
        <w:rPr>
          <w:iCs/>
        </w:rPr>
        <w:t xml:space="preserve"> </w:t>
      </w:r>
      <w:r w:rsidRPr="0067202A">
        <w:rPr>
          <w:iCs/>
        </w:rPr>
        <w:t>24 months of treatment</w:t>
      </w:r>
      <w:r w:rsidR="00D3224F" w:rsidRPr="0067202A">
        <w:rPr>
          <w:iCs/>
        </w:rPr>
        <w:t xml:space="preserve"> had manifestation of SMA symptoms</w:t>
      </w:r>
      <w:r w:rsidR="003331CD" w:rsidRPr="0067202A">
        <w:rPr>
          <w:iCs/>
        </w:rPr>
        <w:t xml:space="preserve"> (</w:t>
      </w:r>
      <w:r w:rsidR="0001364A">
        <w:rPr>
          <w:iCs/>
        </w:rPr>
        <w:t>i.e.,</w:t>
      </w:r>
      <w:r w:rsidR="003331CD" w:rsidRPr="0067202A">
        <w:rPr>
          <w:iCs/>
        </w:rPr>
        <w:t xml:space="preserve"> patients who failed to meet milestones at </w:t>
      </w:r>
      <w:r w:rsidR="00266B11" w:rsidRPr="0067202A">
        <w:rPr>
          <w:iCs/>
        </w:rPr>
        <w:t>13</w:t>
      </w:r>
      <w:r w:rsidR="00266B11">
        <w:rPr>
          <w:iCs/>
        </w:rPr>
        <w:t> </w:t>
      </w:r>
      <w:r w:rsidR="003331CD" w:rsidRPr="0067202A">
        <w:rPr>
          <w:iCs/>
        </w:rPr>
        <w:t xml:space="preserve">months of treatment subsequently </w:t>
      </w:r>
      <w:r w:rsidR="00EB3573" w:rsidRPr="0067202A">
        <w:rPr>
          <w:iCs/>
        </w:rPr>
        <w:t>achieved all six WHO milestones and had no other predefined signs of symptoms of SMA)</w:t>
      </w:r>
      <w:r w:rsidRPr="0067202A">
        <w:rPr>
          <w:iCs/>
        </w:rPr>
        <w:t>.</w:t>
      </w:r>
    </w:p>
    <w:p w14:paraId="53383E08" w14:textId="0A664E9A" w:rsidR="00AC2298" w:rsidRPr="00271560" w:rsidRDefault="00AC2298" w:rsidP="00AC2298">
      <w:pPr>
        <w:pStyle w:val="3-BodyText"/>
      </w:pPr>
      <w:r w:rsidRPr="00271560">
        <w:t xml:space="preserve">An overview of symptom onset for patients in the supportive studies is provided in </w:t>
      </w:r>
      <w:r w:rsidRPr="00271560">
        <w:fldChar w:fldCharType="begin" w:fldLock="1"/>
      </w:r>
      <w:r w:rsidRPr="00271560">
        <w:instrText xml:space="preserve"> REF _Ref132546633 \h </w:instrText>
      </w:r>
      <w:r w:rsidRPr="00271560">
        <w:fldChar w:fldCharType="separate"/>
      </w:r>
      <w:r w:rsidR="00016BA6" w:rsidRPr="00271560">
        <w:t xml:space="preserve">Table </w:t>
      </w:r>
      <w:r w:rsidR="00016BA6">
        <w:rPr>
          <w:noProof/>
        </w:rPr>
        <w:t>8</w:t>
      </w:r>
      <w:r w:rsidRPr="00271560">
        <w:fldChar w:fldCharType="end"/>
      </w:r>
      <w:r w:rsidRPr="00271560">
        <w:t>.</w:t>
      </w:r>
    </w:p>
    <w:p w14:paraId="2FB091FF" w14:textId="3D3E12E6" w:rsidR="00AC2298" w:rsidRPr="00271560" w:rsidRDefault="00AC2298" w:rsidP="00266B11">
      <w:pPr>
        <w:pStyle w:val="Caption"/>
      </w:pPr>
      <w:bookmarkStart w:id="40" w:name="_Ref132546633"/>
      <w:r w:rsidRPr="00271560">
        <w:lastRenderedPageBreak/>
        <w:t xml:space="preserve">Table </w:t>
      </w:r>
      <w:fldSimple w:instr=" SEQ Table \* ARABIC " w:fldLock="1">
        <w:r w:rsidR="00016BA6">
          <w:rPr>
            <w:noProof/>
          </w:rPr>
          <w:t>8</w:t>
        </w:r>
      </w:fldSimple>
      <w:bookmarkEnd w:id="40"/>
      <w:r w:rsidRPr="00271560">
        <w:rPr>
          <w:szCs w:val="20"/>
        </w:rPr>
        <w:t xml:space="preserve">: Supportive studies – Summary of symptom onset in patients with SMA with 3 copies of </w:t>
      </w:r>
      <w:r w:rsidRPr="00271560">
        <w:rPr>
          <w:i/>
          <w:iCs/>
          <w:szCs w:val="20"/>
        </w:rPr>
        <w:t>SMN2</w:t>
      </w:r>
      <w:r w:rsidRPr="00271560">
        <w:rPr>
          <w:szCs w:val="20"/>
          <w:vertAlign w:val="superscript"/>
        </w:rPr>
        <w:t>a</w:t>
      </w:r>
    </w:p>
    <w:tbl>
      <w:tblPr>
        <w:tblStyle w:val="TableGrid"/>
        <w:tblW w:w="0" w:type="auto"/>
        <w:tblLook w:val="04A0" w:firstRow="1" w:lastRow="0" w:firstColumn="1" w:lastColumn="0" w:noHBand="0" w:noVBand="1"/>
        <w:tblCaption w:val="Table 8: Supportive studies – Summary of symptom onset in patients with SMA with 3 copies of SMN2a"/>
      </w:tblPr>
      <w:tblGrid>
        <w:gridCol w:w="1271"/>
        <w:gridCol w:w="7745"/>
      </w:tblGrid>
      <w:tr w:rsidR="00AC2298" w:rsidRPr="00271560" w14:paraId="7DB72F4D" w14:textId="77777777" w:rsidTr="00CB2C92">
        <w:tc>
          <w:tcPr>
            <w:tcW w:w="1271" w:type="dxa"/>
            <w:vAlign w:val="center"/>
          </w:tcPr>
          <w:p w14:paraId="23DDBC5B" w14:textId="77777777" w:rsidR="00AC2298" w:rsidRPr="00271560" w:rsidRDefault="00AC2298" w:rsidP="00266B11">
            <w:pPr>
              <w:pStyle w:val="In-tableHeading"/>
              <w:keepLines/>
              <w:rPr>
                <w:lang w:val="en-AU"/>
              </w:rPr>
            </w:pPr>
            <w:r w:rsidRPr="00271560">
              <w:rPr>
                <w:lang w:val="en-AU"/>
              </w:rPr>
              <w:t>Study</w:t>
            </w:r>
          </w:p>
        </w:tc>
        <w:tc>
          <w:tcPr>
            <w:tcW w:w="7745" w:type="dxa"/>
          </w:tcPr>
          <w:p w14:paraId="0C8FA4EF" w14:textId="77777777" w:rsidR="00AC2298" w:rsidRPr="00271560" w:rsidRDefault="00AC2298" w:rsidP="00266B11">
            <w:pPr>
              <w:pStyle w:val="In-tableHeading"/>
              <w:keepLines/>
              <w:jc w:val="center"/>
              <w:rPr>
                <w:lang w:val="en-AU"/>
              </w:rPr>
            </w:pPr>
            <w:r w:rsidRPr="00271560">
              <w:rPr>
                <w:lang w:val="en-AU"/>
              </w:rPr>
              <w:t>Details of symptom onset</w:t>
            </w:r>
          </w:p>
        </w:tc>
      </w:tr>
      <w:tr w:rsidR="00AC2298" w:rsidRPr="00271560" w14:paraId="6DBAEB4C" w14:textId="77777777" w:rsidTr="00CB2C92">
        <w:tc>
          <w:tcPr>
            <w:tcW w:w="1271" w:type="dxa"/>
            <w:vAlign w:val="center"/>
          </w:tcPr>
          <w:p w14:paraId="779E8BF0" w14:textId="77777777" w:rsidR="00AC2298" w:rsidRPr="00271560" w:rsidRDefault="00AC2298" w:rsidP="00266B11">
            <w:pPr>
              <w:pStyle w:val="Tabletext"/>
              <w:keepNext/>
              <w:keepLines/>
            </w:pPr>
            <w:r w:rsidRPr="00271560">
              <w:t>Vill 2021</w:t>
            </w:r>
          </w:p>
        </w:tc>
        <w:tc>
          <w:tcPr>
            <w:tcW w:w="7745" w:type="dxa"/>
          </w:tcPr>
          <w:p w14:paraId="186B76D8" w14:textId="77777777" w:rsidR="00AC2298" w:rsidRPr="00271560" w:rsidRDefault="00AC2298" w:rsidP="00266B11">
            <w:pPr>
              <w:pStyle w:val="Tabletext"/>
              <w:keepNext/>
              <w:keepLines/>
              <w:jc w:val="both"/>
            </w:pPr>
            <w:r w:rsidRPr="00271560">
              <w:t xml:space="preserve">The six patients treated with nusinersen with 3 </w:t>
            </w:r>
            <w:r w:rsidRPr="00271560">
              <w:rPr>
                <w:i/>
                <w:iCs/>
              </w:rPr>
              <w:t>SMN2</w:t>
            </w:r>
            <w:r w:rsidRPr="00271560">
              <w:t xml:space="preserve"> copies all remained without onset of symptoms over the observation period (median follow-up = 13 months). All treated patients with 3 </w:t>
            </w:r>
            <w:r w:rsidRPr="00271560">
              <w:rPr>
                <w:i/>
                <w:iCs/>
              </w:rPr>
              <w:t>SMN2</w:t>
            </w:r>
            <w:r w:rsidRPr="00271560">
              <w:t xml:space="preserve"> copies remained asymptomatic. All untreated patients with 3 </w:t>
            </w:r>
            <w:r w:rsidRPr="00271560">
              <w:rPr>
                <w:i/>
                <w:iCs/>
              </w:rPr>
              <w:t>SMN2</w:t>
            </w:r>
            <w:r w:rsidRPr="00271560">
              <w:t xml:space="preserve"> copies (n=4) developed proximal weakness during their first year.</w:t>
            </w:r>
          </w:p>
        </w:tc>
      </w:tr>
      <w:tr w:rsidR="00AC2298" w:rsidRPr="00271560" w14:paraId="56438EC1" w14:textId="77777777" w:rsidTr="00CB2C92">
        <w:tc>
          <w:tcPr>
            <w:tcW w:w="1271" w:type="dxa"/>
            <w:vAlign w:val="center"/>
          </w:tcPr>
          <w:p w14:paraId="36E1B09B" w14:textId="77777777" w:rsidR="00AC2298" w:rsidRPr="00271560" w:rsidRDefault="00AC2298" w:rsidP="00266B11">
            <w:pPr>
              <w:pStyle w:val="Tabletext"/>
              <w:keepNext/>
              <w:keepLines/>
            </w:pPr>
            <w:r w:rsidRPr="00271560">
              <w:t>Alves 2021</w:t>
            </w:r>
          </w:p>
        </w:tc>
        <w:tc>
          <w:tcPr>
            <w:tcW w:w="7745" w:type="dxa"/>
          </w:tcPr>
          <w:p w14:paraId="0B40F6AA" w14:textId="77777777" w:rsidR="00AC2298" w:rsidRPr="00271560" w:rsidRDefault="00AC2298" w:rsidP="00266B11">
            <w:pPr>
              <w:pStyle w:val="Tabletext"/>
              <w:keepNext/>
              <w:keepLines/>
              <w:jc w:val="both"/>
            </w:pPr>
            <w:r w:rsidRPr="00271560">
              <w:t xml:space="preserve">Of the five patients treated with nusinersen who had 3 </w:t>
            </w:r>
            <w:r w:rsidRPr="00271560">
              <w:rPr>
                <w:i/>
                <w:iCs/>
              </w:rPr>
              <w:t>SMN2</w:t>
            </w:r>
            <w:r w:rsidRPr="00271560">
              <w:t xml:space="preserve"> copies, two were pre</w:t>
            </w:r>
            <w:r w:rsidRPr="00271560">
              <w:noBreakHyphen/>
              <w:t>symptomatic at treatment initiation and three were symptomatic. The two pre-symptomatic participants remained symptom-free and achieved all motor milestones within a range of that expected in healthy children at 36 months of age. Only one of the three children symptomatic at treatment initiation achieved independent walking at 31.0 months, considerably later than expected</w:t>
            </w:r>
          </w:p>
        </w:tc>
      </w:tr>
      <w:tr w:rsidR="00AC2298" w:rsidRPr="00271560" w14:paraId="77BC8D4D" w14:textId="77777777" w:rsidTr="00CB2C92">
        <w:tc>
          <w:tcPr>
            <w:tcW w:w="1271" w:type="dxa"/>
            <w:vAlign w:val="center"/>
          </w:tcPr>
          <w:p w14:paraId="78C86863" w14:textId="77777777" w:rsidR="00AC2298" w:rsidRPr="00271560" w:rsidRDefault="00AC2298" w:rsidP="00266B11">
            <w:pPr>
              <w:pStyle w:val="Tabletext"/>
              <w:keepNext/>
              <w:keepLines/>
            </w:pPr>
            <w:r w:rsidRPr="00271560">
              <w:t>Boemer 2022</w:t>
            </w:r>
          </w:p>
        </w:tc>
        <w:tc>
          <w:tcPr>
            <w:tcW w:w="7745" w:type="dxa"/>
          </w:tcPr>
          <w:p w14:paraId="3B599BD8" w14:textId="77777777" w:rsidR="00AC2298" w:rsidRPr="00271560" w:rsidRDefault="00AC2298" w:rsidP="00266B11">
            <w:pPr>
              <w:pStyle w:val="Tabletext"/>
              <w:keepNext/>
              <w:keepLines/>
              <w:jc w:val="both"/>
            </w:pPr>
            <w:r w:rsidRPr="00271560">
              <w:t xml:space="preserve">The two patients identified as having 3 </w:t>
            </w:r>
            <w:r w:rsidRPr="00271560">
              <w:rPr>
                <w:i/>
                <w:iCs/>
              </w:rPr>
              <w:t>SMN2</w:t>
            </w:r>
            <w:r w:rsidRPr="00271560">
              <w:t xml:space="preserve"> copies and were treated prior to the onset of symptoms were reported to have developed normally with no symptoms of SMA (aged 33 and 12 months at last assessment).</w:t>
            </w:r>
          </w:p>
        </w:tc>
      </w:tr>
    </w:tbl>
    <w:p w14:paraId="1785A907" w14:textId="77777777" w:rsidR="00AC2298" w:rsidRPr="00271560" w:rsidRDefault="00AC2298" w:rsidP="00266B11">
      <w:pPr>
        <w:pStyle w:val="FooterTableFigure"/>
        <w:keepNext/>
        <w:keepLines/>
      </w:pPr>
      <w:r w:rsidRPr="00271560">
        <w:t>Source: Constructed during evaluation using p102-104 of the resubmission, Vill 2021</w:t>
      </w:r>
    </w:p>
    <w:p w14:paraId="7DB2344D" w14:textId="77777777" w:rsidR="00AC2298" w:rsidRPr="00271560" w:rsidRDefault="00AC2298" w:rsidP="00266B11">
      <w:pPr>
        <w:pStyle w:val="FooterTableFigure"/>
        <w:keepNext/>
        <w:keepLines/>
      </w:pPr>
      <w:r w:rsidRPr="00271560">
        <w:t>SMA = spinal muscular atrophy; SMN = survival of motor neuron</w:t>
      </w:r>
    </w:p>
    <w:p w14:paraId="388D681B" w14:textId="77777777" w:rsidR="00AC2298" w:rsidRPr="0067202A" w:rsidRDefault="00AC2298" w:rsidP="00AC2298">
      <w:pPr>
        <w:pStyle w:val="FooterTableFigure"/>
        <w:rPr>
          <w:iCs/>
        </w:rPr>
      </w:pPr>
      <w:r w:rsidRPr="00271560">
        <w:rPr>
          <w:vertAlign w:val="superscript"/>
        </w:rPr>
        <w:t>a</w:t>
      </w:r>
      <w:r w:rsidRPr="00271560">
        <w:t xml:space="preserve"> While Kariyawasam 2023 was listed as a supportive study, it was not clear which DMTs were received by the five participants enrolled with 3 </w:t>
      </w:r>
      <w:r w:rsidRPr="00271560">
        <w:rPr>
          <w:i/>
          <w:iCs/>
        </w:rPr>
        <w:t>SMN2</w:t>
      </w:r>
      <w:r w:rsidRPr="00271560">
        <w:t xml:space="preserve"> copies who received pre symptomatic treatment (either nusinersen or onasemnogene abeparvovec). </w:t>
      </w:r>
      <w:r w:rsidRPr="0067202A">
        <w:rPr>
          <w:iCs/>
        </w:rPr>
        <w:t>Consequently, the data for pre-symptomatically treated patients from Kariyawasam 2023 was of limited value and has not been reported in the commentary.</w:t>
      </w:r>
    </w:p>
    <w:p w14:paraId="2B81FDD6" w14:textId="64BCA088" w:rsidR="00AC2298" w:rsidRPr="00271560" w:rsidRDefault="00AC2298" w:rsidP="00AC2298">
      <w:pPr>
        <w:pStyle w:val="3-BodyText"/>
      </w:pPr>
      <w:r w:rsidRPr="00271560">
        <w:t xml:space="preserve">No participants enrolled in NURTURE had died at the latest data cut-off. None of the participants with 3 </w:t>
      </w:r>
      <w:r w:rsidRPr="00271560">
        <w:rPr>
          <w:i/>
          <w:iCs/>
        </w:rPr>
        <w:t>SMN2</w:t>
      </w:r>
      <w:r w:rsidRPr="00271560">
        <w:t xml:space="preserve"> copies had met the primary endpoint of death or respiratory intervention, defined as either invasive or non-invasive ventilation for ≥</w:t>
      </w:r>
      <w:r w:rsidR="00266B11">
        <w:t> </w:t>
      </w:r>
      <w:r w:rsidRPr="00271560">
        <w:t>6</w:t>
      </w:r>
      <w:r w:rsidR="00266B11">
        <w:t> </w:t>
      </w:r>
      <w:r w:rsidRPr="00271560">
        <w:t>hours/day continuously for ≥</w:t>
      </w:r>
      <w:r w:rsidR="00266B11">
        <w:t> </w:t>
      </w:r>
      <w:r w:rsidRPr="00271560">
        <w:t>7 consecutive days or tracheostomy with median follow-up of 4.</w:t>
      </w:r>
      <w:r w:rsidR="00266B11" w:rsidRPr="00271560">
        <w:t>9</w:t>
      </w:r>
      <w:r w:rsidR="00266B11">
        <w:t> </w:t>
      </w:r>
      <w:r w:rsidRPr="00271560">
        <w:t xml:space="preserve">years (range 3.9 to 5.7 years) as reported by Crawford 2022. In the supportive studies, no deaths were reported in patients with SMA and 3 copies of </w:t>
      </w:r>
      <w:r w:rsidRPr="00271560">
        <w:rPr>
          <w:i/>
          <w:iCs/>
        </w:rPr>
        <w:t>SMN2</w:t>
      </w:r>
      <w:r w:rsidRPr="00271560">
        <w:t>.</w:t>
      </w:r>
      <w:r w:rsidR="00FA06EF" w:rsidRPr="00271560">
        <w:t xml:space="preserve"> </w:t>
      </w:r>
    </w:p>
    <w:p w14:paraId="243DE3A3" w14:textId="714ADF64" w:rsidR="00AC2298" w:rsidRPr="00271560" w:rsidRDefault="00AC2298" w:rsidP="00AC2298">
      <w:pPr>
        <w:pStyle w:val="3-BodyText"/>
      </w:pPr>
      <w:r w:rsidRPr="00271560">
        <w:t xml:space="preserve">The milestones of sitting without support, standing with assistance, hands-and-knees crawling, walking with assistance, standing alone, and walking alone are the motor milestones that the WHO expects healthy children to attain by 24 months of age. For NURTURE, the mean WHO total motor milestones over time are shown in </w:t>
      </w:r>
      <w:r w:rsidRPr="00271560">
        <w:fldChar w:fldCharType="begin" w:fldLock="1"/>
      </w:r>
      <w:r w:rsidRPr="00271560">
        <w:instrText xml:space="preserve"> REF _Ref132547727 \h </w:instrText>
      </w:r>
      <w:r w:rsidRPr="00271560">
        <w:fldChar w:fldCharType="separate"/>
      </w:r>
      <w:r w:rsidR="00016BA6" w:rsidRPr="00271560">
        <w:t xml:space="preserve">Table </w:t>
      </w:r>
      <w:r w:rsidR="00016BA6">
        <w:rPr>
          <w:noProof/>
        </w:rPr>
        <w:t>9</w:t>
      </w:r>
      <w:r w:rsidRPr="00271560">
        <w:fldChar w:fldCharType="end"/>
      </w:r>
      <w:r w:rsidRPr="00271560">
        <w:t>.</w:t>
      </w:r>
    </w:p>
    <w:p w14:paraId="7552AAF2" w14:textId="22ABA69A" w:rsidR="00AC2298" w:rsidRPr="00271560" w:rsidRDefault="00AC2298" w:rsidP="000A6314">
      <w:pPr>
        <w:pStyle w:val="Caption"/>
        <w:rPr>
          <w:szCs w:val="20"/>
        </w:rPr>
      </w:pPr>
      <w:bookmarkStart w:id="41" w:name="_Ref132547727"/>
      <w:r w:rsidRPr="00271560">
        <w:t xml:space="preserve">Table </w:t>
      </w:r>
      <w:fldSimple w:instr=" SEQ Table \* ARABIC " w:fldLock="1">
        <w:r w:rsidR="00016BA6">
          <w:rPr>
            <w:noProof/>
          </w:rPr>
          <w:t>9</w:t>
        </w:r>
      </w:fldSimple>
      <w:bookmarkEnd w:id="41"/>
      <w:r w:rsidRPr="00271560">
        <w:rPr>
          <w:szCs w:val="20"/>
        </w:rPr>
        <w:t xml:space="preserve">: NUTURE - Shifts in milestones in patients with SMA with 3 copies of </w:t>
      </w:r>
      <w:r w:rsidRPr="00271560">
        <w:rPr>
          <w:i/>
          <w:iCs/>
          <w:szCs w:val="20"/>
        </w:rPr>
        <w:t>SMN2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Caption w:val="Table 9: NUTURE - Shifts in milestones in patients with SMA with 3 copies of SMN2"/>
      </w:tblPr>
      <w:tblGrid>
        <w:gridCol w:w="1128"/>
        <w:gridCol w:w="557"/>
        <w:gridCol w:w="558"/>
        <w:gridCol w:w="558"/>
        <w:gridCol w:w="557"/>
        <w:gridCol w:w="558"/>
        <w:gridCol w:w="558"/>
        <w:gridCol w:w="557"/>
        <w:gridCol w:w="558"/>
        <w:gridCol w:w="558"/>
        <w:gridCol w:w="557"/>
        <w:gridCol w:w="558"/>
        <w:gridCol w:w="558"/>
        <w:gridCol w:w="557"/>
        <w:gridCol w:w="558"/>
        <w:gridCol w:w="558"/>
      </w:tblGrid>
      <w:tr w:rsidR="00AC2298" w:rsidRPr="00271560" w14:paraId="49CEDE1D" w14:textId="77777777" w:rsidTr="00CB2C92">
        <w:trPr>
          <w:trHeight w:val="298"/>
        </w:trPr>
        <w:tc>
          <w:tcPr>
            <w:tcW w:w="112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F74F1BB" w14:textId="77777777" w:rsidR="00AC2298" w:rsidRPr="00271560" w:rsidRDefault="00AC2298" w:rsidP="000A6314">
            <w:pPr>
              <w:keepNext/>
              <w:keepLines/>
              <w:jc w:val="left"/>
              <w:rPr>
                <w:rFonts w:ascii="Arial Narrow" w:hAnsi="Arial Narrow"/>
                <w:b/>
                <w:sz w:val="20"/>
                <w:szCs w:val="20"/>
              </w:rPr>
            </w:pPr>
            <w:r w:rsidRPr="00271560">
              <w:rPr>
                <w:rFonts w:ascii="Arial Narrow" w:hAnsi="Arial Narrow"/>
                <w:b/>
                <w:sz w:val="20"/>
                <w:szCs w:val="20"/>
              </w:rPr>
              <w:t>Motor milestones or Assessments</w:t>
            </w:r>
          </w:p>
        </w:tc>
        <w:tc>
          <w:tcPr>
            <w:tcW w:w="8365" w:type="dxa"/>
            <w:gridSpan w:val="15"/>
            <w:tcBorders>
              <w:top w:val="single" w:sz="4" w:space="0" w:color="auto"/>
              <w:left w:val="single" w:sz="4" w:space="0" w:color="auto"/>
              <w:right w:val="single" w:sz="4" w:space="0" w:color="auto"/>
            </w:tcBorders>
            <w:shd w:val="clear" w:color="auto" w:fill="FFFFFF" w:themeFill="background1"/>
            <w:vAlign w:val="center"/>
          </w:tcPr>
          <w:p w14:paraId="446AA1D2"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n (%)</w:t>
            </w:r>
          </w:p>
        </w:tc>
      </w:tr>
      <w:tr w:rsidR="00AC2298" w:rsidRPr="00271560" w14:paraId="4F406885" w14:textId="77777777" w:rsidTr="00CB2C92">
        <w:trPr>
          <w:trHeight w:val="269"/>
        </w:trPr>
        <w:tc>
          <w:tcPr>
            <w:tcW w:w="1128" w:type="dxa"/>
            <w:vMerge/>
            <w:tcBorders>
              <w:left w:val="single" w:sz="4" w:space="0" w:color="auto"/>
              <w:bottom w:val="nil"/>
              <w:right w:val="single" w:sz="4" w:space="0" w:color="auto"/>
            </w:tcBorders>
            <w:shd w:val="clear" w:color="auto" w:fill="FFFFFF" w:themeFill="background1"/>
            <w:noWrap/>
            <w:vAlign w:val="center"/>
            <w:hideMark/>
          </w:tcPr>
          <w:p w14:paraId="202BDCCC" w14:textId="77777777" w:rsidR="00AC2298" w:rsidRPr="00271560" w:rsidRDefault="00AC2298" w:rsidP="000A6314">
            <w:pPr>
              <w:keepNext/>
              <w:keepLines/>
              <w:jc w:val="left"/>
              <w:rPr>
                <w:rFonts w:ascii="Arial Narrow" w:hAnsi="Arial Narrow"/>
                <w:b/>
                <w:sz w:val="20"/>
                <w:szCs w:val="20"/>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244EB" w14:textId="77777777" w:rsidR="00AC2298" w:rsidRPr="00271560" w:rsidRDefault="00AC2298" w:rsidP="000A6314">
            <w:pPr>
              <w:keepNext/>
              <w:keepLines/>
              <w:jc w:val="center"/>
              <w:rPr>
                <w:rFonts w:ascii="Arial Narrow" w:hAnsi="Arial Narrow"/>
                <w:b/>
                <w:sz w:val="19"/>
                <w:szCs w:val="19"/>
              </w:rPr>
            </w:pPr>
            <w:r w:rsidRPr="00271560">
              <w:rPr>
                <w:rFonts w:ascii="Arial Narrow" w:hAnsi="Arial Narrow"/>
                <w:b/>
                <w:sz w:val="19"/>
                <w:szCs w:val="19"/>
              </w:rPr>
              <w:t>Base-line</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DAB7CD"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 xml:space="preserve">Day </w:t>
            </w:r>
            <w:r w:rsidRPr="00271560">
              <w:rPr>
                <w:rFonts w:ascii="Arial Narrow" w:hAnsi="Arial Narrow"/>
                <w:b/>
                <w:sz w:val="20"/>
                <w:szCs w:val="20"/>
              </w:rPr>
              <w:br/>
              <w:t>64</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9F170"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183</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4037D8"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302</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AB315B"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365</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9172BC"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421</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B67BE"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540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7CEE0"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659</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81B9A"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700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7AD93"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778</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2AB6F2"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897</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933E2"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1135</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85A5D"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1374</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F85E3"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Day 1611</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04914" w14:textId="77777777" w:rsidR="00AC2298" w:rsidRPr="00271560" w:rsidRDefault="00AC2298" w:rsidP="000A6314">
            <w:pPr>
              <w:keepNext/>
              <w:keepLines/>
              <w:jc w:val="center"/>
              <w:rPr>
                <w:rFonts w:ascii="Arial Narrow" w:hAnsi="Arial Narrow"/>
                <w:b/>
                <w:sz w:val="20"/>
                <w:szCs w:val="20"/>
              </w:rPr>
            </w:pPr>
            <w:r w:rsidRPr="00271560">
              <w:rPr>
                <w:rFonts w:ascii="Arial Narrow" w:hAnsi="Arial Narrow"/>
                <w:b/>
                <w:sz w:val="20"/>
                <w:szCs w:val="20"/>
              </w:rPr>
              <w:t>Last visit</w:t>
            </w:r>
          </w:p>
        </w:tc>
      </w:tr>
      <w:tr w:rsidR="00AC2298" w:rsidRPr="00271560" w14:paraId="7EB0F6B2" w14:textId="77777777" w:rsidTr="00CB2C92">
        <w:trPr>
          <w:trHeight w:val="70"/>
        </w:trPr>
        <w:tc>
          <w:tcPr>
            <w:tcW w:w="1128"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F69180" w14:textId="77777777" w:rsidR="00AC2298" w:rsidRPr="00271560" w:rsidRDefault="00AC2298" w:rsidP="000A6314">
            <w:pPr>
              <w:keepNext/>
              <w:keepLines/>
              <w:jc w:val="left"/>
              <w:rPr>
                <w:rFonts w:ascii="Arial Narrow" w:hAnsi="Arial Narrow"/>
                <w:sz w:val="20"/>
                <w:szCs w:val="20"/>
              </w:rPr>
            </w:pPr>
            <w:r w:rsidRPr="00271560">
              <w:rPr>
                <w:rFonts w:ascii="Arial Narrow" w:hAnsi="Arial Narrow"/>
                <w:sz w:val="20"/>
                <w:szCs w:val="20"/>
              </w:rPr>
              <w:t>N</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8DDE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7</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A4B65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F2F008"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F3C0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DD7E5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451EE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08161"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3035D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D42A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2F58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3303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D697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4295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B50A"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8109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r>
      <w:tr w:rsidR="00AC2298" w:rsidRPr="00271560" w14:paraId="503D326E" w14:textId="77777777" w:rsidTr="00CB2C92">
        <w:trPr>
          <w:trHeight w:val="298"/>
        </w:trPr>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F51150" w14:textId="77777777" w:rsidR="00AC2298" w:rsidRPr="00271560" w:rsidRDefault="00AC2298" w:rsidP="000A6314">
            <w:pPr>
              <w:keepNext/>
              <w:keepLines/>
              <w:jc w:val="left"/>
              <w:rPr>
                <w:rFonts w:ascii="Arial Narrow" w:hAnsi="Arial Narrow"/>
                <w:sz w:val="20"/>
                <w:szCs w:val="20"/>
              </w:rPr>
            </w:pPr>
            <w:r w:rsidRPr="00271560">
              <w:rPr>
                <w:rFonts w:ascii="Arial Narrow" w:hAnsi="Arial Narrow"/>
                <w:sz w:val="20"/>
                <w:szCs w:val="20"/>
              </w:rPr>
              <w:t>Sitting without support</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A60435"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FC0612"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81CFC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6</w:t>
            </w:r>
          </w:p>
          <w:p w14:paraId="3E0E07E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(60)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2CCC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6417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8B1A6D"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17C2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8397C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w:t>
            </w:r>
          </w:p>
          <w:p w14:paraId="0762004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(89)</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B0DDC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A355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3D1E824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8FF4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97E2"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0C48B"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0E3B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B8C9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r>
      <w:tr w:rsidR="00AC2298" w:rsidRPr="00271560" w14:paraId="66068D1F" w14:textId="77777777" w:rsidTr="00CB2C92">
        <w:trPr>
          <w:trHeight w:val="298"/>
        </w:trPr>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C47AEE" w14:textId="77777777" w:rsidR="00AC2298" w:rsidRPr="00271560" w:rsidRDefault="00AC2298" w:rsidP="000A6314">
            <w:pPr>
              <w:keepNext/>
              <w:keepLines/>
              <w:jc w:val="left"/>
              <w:rPr>
                <w:rFonts w:ascii="Arial Narrow" w:hAnsi="Arial Narrow"/>
                <w:sz w:val="20"/>
                <w:szCs w:val="20"/>
              </w:rPr>
            </w:pPr>
            <w:r w:rsidRPr="00271560">
              <w:rPr>
                <w:rFonts w:ascii="Arial Narrow" w:hAnsi="Arial Narrow"/>
                <w:sz w:val="20"/>
                <w:szCs w:val="20"/>
              </w:rPr>
              <w:t>Hands-and-knees crawling</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CE10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41272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7CEB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w:t>
            </w:r>
          </w:p>
          <w:p w14:paraId="6811601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08C5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w:t>
            </w:r>
          </w:p>
          <w:p w14:paraId="133445EA"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ADBED"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w:t>
            </w:r>
          </w:p>
          <w:p w14:paraId="3983FC9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7E49D5"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62E33875"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9D6AB"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(80)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D22C2"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1B2EA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90BF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77ACDA05"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4E31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(80)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9753A"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2F38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6855A"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67D6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r>
      <w:tr w:rsidR="00AC2298" w:rsidRPr="00271560" w14:paraId="2B972AFD" w14:textId="77777777" w:rsidTr="00CB2C92">
        <w:trPr>
          <w:trHeight w:val="298"/>
        </w:trPr>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60C5E4" w14:textId="77777777" w:rsidR="00AC2298" w:rsidRPr="00271560" w:rsidRDefault="00AC2298" w:rsidP="000A6314">
            <w:pPr>
              <w:keepNext/>
              <w:keepLines/>
              <w:jc w:val="left"/>
              <w:rPr>
                <w:rFonts w:ascii="Arial Narrow" w:hAnsi="Arial Narrow"/>
                <w:sz w:val="20"/>
                <w:szCs w:val="20"/>
              </w:rPr>
            </w:pPr>
            <w:r w:rsidRPr="00271560">
              <w:rPr>
                <w:rFonts w:ascii="Arial Narrow" w:hAnsi="Arial Narrow"/>
                <w:sz w:val="20"/>
                <w:szCs w:val="20"/>
              </w:rPr>
              <w:t>Standing with assistance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4775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B2672B"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w:t>
            </w:r>
          </w:p>
          <w:p w14:paraId="702CC96A"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37DDD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2</w:t>
            </w:r>
          </w:p>
          <w:p w14:paraId="574593E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(20)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91F1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A0CB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7C3F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59F6C17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9A68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7A718"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23A2D"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ED74B"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p w14:paraId="6556375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957E9D"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127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D543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4F0A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0869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r>
      <w:tr w:rsidR="00AC2298" w:rsidRPr="00271560" w14:paraId="07DE5999" w14:textId="77777777" w:rsidTr="00CB2C92">
        <w:trPr>
          <w:trHeight w:val="298"/>
        </w:trPr>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58FC3B" w14:textId="77777777" w:rsidR="00AC2298" w:rsidRPr="00271560" w:rsidRDefault="00AC2298" w:rsidP="000A6314">
            <w:pPr>
              <w:keepNext/>
              <w:keepLines/>
              <w:jc w:val="left"/>
              <w:rPr>
                <w:rFonts w:ascii="Arial Narrow" w:hAnsi="Arial Narrow"/>
                <w:sz w:val="20"/>
                <w:szCs w:val="20"/>
              </w:rPr>
            </w:pPr>
            <w:r w:rsidRPr="00271560">
              <w:rPr>
                <w:rFonts w:ascii="Arial Narrow" w:hAnsi="Arial Narrow"/>
                <w:sz w:val="20"/>
                <w:szCs w:val="20"/>
              </w:rPr>
              <w:t>Walking with assistance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D158D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4A4882"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C8E9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87689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6</w:t>
            </w:r>
          </w:p>
          <w:p w14:paraId="1AC416A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(60)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5446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323D1CE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B61E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173892E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928B2"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B210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3E3CB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D17E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477A81F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979A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C3AE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D98B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581"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B6A4D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r>
      <w:tr w:rsidR="00AC2298" w:rsidRPr="00271560" w14:paraId="2D21DF94" w14:textId="77777777" w:rsidTr="00CB2C92">
        <w:trPr>
          <w:trHeight w:val="70"/>
        </w:trPr>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1FEA5E" w14:textId="77777777" w:rsidR="00AC2298" w:rsidRPr="00271560" w:rsidRDefault="00AC2298" w:rsidP="000A6314">
            <w:pPr>
              <w:keepNext/>
              <w:keepLines/>
              <w:jc w:val="left"/>
              <w:rPr>
                <w:rFonts w:ascii="Arial Narrow" w:hAnsi="Arial Narrow"/>
                <w:sz w:val="20"/>
                <w:szCs w:val="20"/>
              </w:rPr>
            </w:pPr>
            <w:r w:rsidRPr="00271560">
              <w:rPr>
                <w:rFonts w:ascii="Arial Narrow" w:hAnsi="Arial Narrow"/>
                <w:sz w:val="20"/>
                <w:szCs w:val="20"/>
              </w:rPr>
              <w:t>Standing alone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6F034B"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DE4ADB"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EAA21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58B01C"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w:t>
            </w:r>
          </w:p>
          <w:p w14:paraId="6F68E9A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D8907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6</w:t>
            </w:r>
          </w:p>
          <w:p w14:paraId="5D2A4B1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(60)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F9DDA"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7</w:t>
            </w:r>
          </w:p>
          <w:p w14:paraId="32A78EA3"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(70)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7BFE8"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A061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78B6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B9E0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19269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A385D"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10288"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ADE77"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56AE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r>
      <w:tr w:rsidR="00AC2298" w:rsidRPr="00271560" w14:paraId="1A5CE5E3" w14:textId="77777777" w:rsidTr="00CB2C92">
        <w:trPr>
          <w:trHeight w:val="70"/>
        </w:trPr>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8B0032" w14:textId="77777777" w:rsidR="00AC2298" w:rsidRPr="00271560" w:rsidRDefault="00AC2298" w:rsidP="000A6314">
            <w:pPr>
              <w:keepNext/>
              <w:keepLines/>
              <w:jc w:val="left"/>
              <w:rPr>
                <w:rFonts w:ascii="Arial Narrow" w:hAnsi="Arial Narrow"/>
                <w:sz w:val="20"/>
                <w:szCs w:val="20"/>
              </w:rPr>
            </w:pPr>
            <w:r w:rsidRPr="00271560">
              <w:rPr>
                <w:rFonts w:ascii="Arial Narrow" w:hAnsi="Arial Narrow"/>
                <w:sz w:val="20"/>
                <w:szCs w:val="20"/>
              </w:rPr>
              <w:t>Walking alone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931FF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3DD0C5"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EFC98"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AD23C4"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1FA2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w:t>
            </w:r>
          </w:p>
          <w:p w14:paraId="0826B63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8FBC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7</w:t>
            </w:r>
          </w:p>
          <w:p w14:paraId="4F4ECF30"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(70)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F477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168B8F"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4BE2B"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073E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w:t>
            </w:r>
          </w:p>
          <w:p w14:paraId="2DDC320D"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(90)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8E639"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5202E"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8 (100)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047C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5 (100)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403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0</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23236" w14:textId="77777777" w:rsidR="00AC2298" w:rsidRPr="00271560" w:rsidRDefault="00AC2298" w:rsidP="000A6314">
            <w:pPr>
              <w:keepNext/>
              <w:keepLines/>
              <w:jc w:val="center"/>
              <w:rPr>
                <w:rFonts w:ascii="Arial Narrow" w:hAnsi="Arial Narrow"/>
                <w:sz w:val="20"/>
                <w:szCs w:val="20"/>
              </w:rPr>
            </w:pPr>
            <w:r w:rsidRPr="00271560">
              <w:rPr>
                <w:rFonts w:ascii="Arial Narrow" w:hAnsi="Arial Narrow"/>
                <w:sz w:val="20"/>
                <w:szCs w:val="20"/>
              </w:rPr>
              <w:t>10 (100)</w:t>
            </w:r>
          </w:p>
        </w:tc>
      </w:tr>
    </w:tbl>
    <w:p w14:paraId="78EBE5A4" w14:textId="77777777" w:rsidR="00AC2298" w:rsidRPr="00271560" w:rsidRDefault="00AC2298" w:rsidP="000A6314">
      <w:pPr>
        <w:pStyle w:val="TableFooter"/>
        <w:keepNext/>
        <w:keepLines/>
      </w:pPr>
      <w:r w:rsidRPr="00271560">
        <w:t>Source: Constructed during evaluation using NURTURE CSR Interim 5 Table 47</w:t>
      </w:r>
    </w:p>
    <w:p w14:paraId="0CD5BCEB" w14:textId="77777777" w:rsidR="00AC2298" w:rsidRPr="00271560" w:rsidRDefault="00AC2298" w:rsidP="00266B11">
      <w:pPr>
        <w:pStyle w:val="TableFooter"/>
        <w:spacing w:after="120"/>
      </w:pPr>
      <w:r w:rsidRPr="00271560">
        <w:t>SMA = spinal muscular atrophy; SMN = survival of motor neuron</w:t>
      </w:r>
    </w:p>
    <w:p w14:paraId="3A500721" w14:textId="4CF8C75E" w:rsidR="00AC2298" w:rsidRPr="00BA60DC" w:rsidRDefault="00AC2298" w:rsidP="00AC2298">
      <w:pPr>
        <w:pStyle w:val="3-BodyText"/>
        <w:rPr>
          <w:i/>
          <w:iCs/>
        </w:rPr>
      </w:pPr>
      <w:r w:rsidRPr="00271560">
        <w:lastRenderedPageBreak/>
        <w:t xml:space="preserve">Individual patient results for WHO milestones are presented in </w:t>
      </w:r>
      <w:r w:rsidRPr="00271560">
        <w:fldChar w:fldCharType="begin" w:fldLock="1"/>
      </w:r>
      <w:r w:rsidRPr="00271560">
        <w:instrText xml:space="preserve"> REF _Ref132547376 \h </w:instrText>
      </w:r>
      <w:r w:rsidRPr="00271560">
        <w:fldChar w:fldCharType="separate"/>
      </w:r>
      <w:r w:rsidR="00016BA6" w:rsidRPr="00271560">
        <w:rPr>
          <w:szCs w:val="20"/>
        </w:rPr>
        <w:t xml:space="preserve">Figure </w:t>
      </w:r>
      <w:r w:rsidR="00016BA6">
        <w:rPr>
          <w:noProof/>
          <w:szCs w:val="20"/>
        </w:rPr>
        <w:t>1</w:t>
      </w:r>
      <w:r w:rsidRPr="00271560">
        <w:fldChar w:fldCharType="end"/>
      </w:r>
      <w:r w:rsidRPr="00271560">
        <w:t xml:space="preserve">, with patients with 3 copies of </w:t>
      </w:r>
      <w:r w:rsidRPr="00271560">
        <w:rPr>
          <w:i/>
          <w:iCs/>
        </w:rPr>
        <w:t>SMN2</w:t>
      </w:r>
      <w:r w:rsidRPr="00271560">
        <w:t xml:space="preserve"> shown in green.</w:t>
      </w:r>
      <w:r w:rsidR="00BA60DC">
        <w:t xml:space="preserve"> </w:t>
      </w:r>
      <w:r w:rsidR="00BA60DC" w:rsidRPr="00A143F7">
        <w:t xml:space="preserve">The ESC noted that this analysis showed that patients with 3 copies </w:t>
      </w:r>
      <w:r w:rsidR="00A143F7">
        <w:t xml:space="preserve">of </w:t>
      </w:r>
      <w:r w:rsidR="00BA60DC" w:rsidRPr="00A143F7">
        <w:rPr>
          <w:i/>
          <w:iCs/>
        </w:rPr>
        <w:t>SMN</w:t>
      </w:r>
      <w:r w:rsidR="00A143F7" w:rsidRPr="00A143F7">
        <w:rPr>
          <w:i/>
          <w:iCs/>
        </w:rPr>
        <w:t>2</w:t>
      </w:r>
      <w:r w:rsidR="00A143F7">
        <w:t xml:space="preserve"> </w:t>
      </w:r>
      <w:r w:rsidR="00BA60DC" w:rsidRPr="00A143F7">
        <w:t>treated pre-symptomatically with nusinersen generally achieved motor milestones at earlier timepoints than those with 1-2 copies</w:t>
      </w:r>
      <w:r w:rsidR="00A143F7">
        <w:t xml:space="preserve"> of</w:t>
      </w:r>
      <w:r w:rsidR="00BA60DC" w:rsidRPr="00BA60DC">
        <w:rPr>
          <w:i/>
          <w:iCs/>
        </w:rPr>
        <w:t xml:space="preserve"> SMN2.</w:t>
      </w:r>
    </w:p>
    <w:p w14:paraId="2B2E4226" w14:textId="503AA3FC" w:rsidR="00AC2298" w:rsidRPr="00271560" w:rsidRDefault="00AC2298" w:rsidP="000A6314">
      <w:pPr>
        <w:pStyle w:val="Caption"/>
        <w:rPr>
          <w:szCs w:val="20"/>
        </w:rPr>
      </w:pPr>
      <w:bookmarkStart w:id="42" w:name="_Ref132547376"/>
      <w:bookmarkStart w:id="43" w:name="_Ref132547359"/>
      <w:r w:rsidRPr="00271560">
        <w:rPr>
          <w:szCs w:val="20"/>
        </w:rPr>
        <w:t xml:space="preserve">Figure </w:t>
      </w:r>
      <w:r w:rsidRPr="00271560">
        <w:rPr>
          <w:szCs w:val="20"/>
        </w:rPr>
        <w:fldChar w:fldCharType="begin" w:fldLock="1"/>
      </w:r>
      <w:r w:rsidRPr="00271560">
        <w:rPr>
          <w:szCs w:val="20"/>
        </w:rPr>
        <w:instrText xml:space="preserve"> SEQ Figure \* ARABIC </w:instrText>
      </w:r>
      <w:r w:rsidRPr="00271560">
        <w:rPr>
          <w:szCs w:val="20"/>
        </w:rPr>
        <w:fldChar w:fldCharType="separate"/>
      </w:r>
      <w:r w:rsidR="00016BA6">
        <w:rPr>
          <w:noProof/>
          <w:szCs w:val="20"/>
        </w:rPr>
        <w:t>1</w:t>
      </w:r>
      <w:r w:rsidRPr="00271560">
        <w:rPr>
          <w:szCs w:val="20"/>
        </w:rPr>
        <w:fldChar w:fldCharType="end"/>
      </w:r>
      <w:bookmarkEnd w:id="42"/>
      <w:r w:rsidRPr="00271560">
        <w:rPr>
          <w:szCs w:val="20"/>
        </w:rPr>
        <w:t>: NUTURE - WHO motor milestones achieved by age on study</w:t>
      </w:r>
      <w:bookmarkEnd w:id="43"/>
    </w:p>
    <w:p w14:paraId="28AC7862" w14:textId="77777777" w:rsidR="00AC2298" w:rsidRPr="00271560" w:rsidRDefault="00AC2298" w:rsidP="000A6314">
      <w:pPr>
        <w:keepNext/>
        <w:keepLines/>
        <w:rPr>
          <w:snapToGrid w:val="0"/>
        </w:rPr>
      </w:pPr>
      <w:r w:rsidRPr="00271560">
        <w:rPr>
          <w:noProof/>
        </w:rPr>
        <w:drawing>
          <wp:inline distT="0" distB="0" distL="0" distR="0" wp14:anchorId="5A56238C" wp14:editId="7C3A8255">
            <wp:extent cx="5088577" cy="3184730"/>
            <wp:effectExtent l="0" t="0" r="0" b="0"/>
            <wp:docPr id="7" name="Picture 7" descr="Figure 1: NUTURE - WHO motor milestones achieved by age 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 NUTURE - WHO motor milestones achieved by age on study"/>
                    <pic:cNvPicPr/>
                  </pic:nvPicPr>
                  <pic:blipFill>
                    <a:blip r:embed="rId8"/>
                    <a:stretch>
                      <a:fillRect/>
                    </a:stretch>
                  </pic:blipFill>
                  <pic:spPr>
                    <a:xfrm>
                      <a:off x="0" y="0"/>
                      <a:ext cx="5094913" cy="3188695"/>
                    </a:xfrm>
                    <a:prstGeom prst="rect">
                      <a:avLst/>
                    </a:prstGeom>
                  </pic:spPr>
                </pic:pic>
              </a:graphicData>
            </a:graphic>
          </wp:inline>
        </w:drawing>
      </w:r>
    </w:p>
    <w:p w14:paraId="7B931380" w14:textId="77777777" w:rsidR="00AC2298" w:rsidRPr="00271560" w:rsidRDefault="00AC2298" w:rsidP="00266B11">
      <w:pPr>
        <w:pStyle w:val="TableFooter"/>
        <w:spacing w:after="120"/>
        <w:rPr>
          <w:snapToGrid w:val="0"/>
        </w:rPr>
      </w:pPr>
      <w:r w:rsidRPr="00271560">
        <w:t>ITT = intention to treat; SMN = survival of motor neuron; WHO = World Health Organisation</w:t>
      </w:r>
    </w:p>
    <w:p w14:paraId="05304BF0" w14:textId="77777777" w:rsidR="00AC2298" w:rsidRPr="00271560" w:rsidRDefault="00AC2298" w:rsidP="00AC2298">
      <w:pPr>
        <w:pStyle w:val="3-BodyText"/>
      </w:pPr>
      <w:r w:rsidRPr="00271560">
        <w:t xml:space="preserve">Results for WHO milestones were not reported for patients with SMA with 3 copies of </w:t>
      </w:r>
      <w:r w:rsidRPr="00271560">
        <w:rPr>
          <w:i/>
          <w:iCs/>
        </w:rPr>
        <w:t>SMN2</w:t>
      </w:r>
      <w:r w:rsidRPr="00271560">
        <w:t xml:space="preserve"> in the supportive studies.</w:t>
      </w:r>
    </w:p>
    <w:p w14:paraId="22A24A06" w14:textId="64274676" w:rsidR="00AC2298" w:rsidRPr="00271560" w:rsidRDefault="00AC2298" w:rsidP="00AC2298">
      <w:pPr>
        <w:pStyle w:val="3-BodyText"/>
      </w:pPr>
      <w:r w:rsidRPr="00271560">
        <w:t xml:space="preserve">The proportion of patients who achieved various motor milestones defined by the HINE motor milestones (Section 2) in NURTURE is detailed in </w:t>
      </w:r>
      <w:r w:rsidRPr="00271560">
        <w:fldChar w:fldCharType="begin" w:fldLock="1"/>
      </w:r>
      <w:r w:rsidRPr="00271560">
        <w:instrText xml:space="preserve"> REF _Ref132548138 \h </w:instrText>
      </w:r>
      <w:r w:rsidRPr="00271560">
        <w:fldChar w:fldCharType="separate"/>
      </w:r>
      <w:r w:rsidR="00016BA6" w:rsidRPr="00271560">
        <w:rPr>
          <w:szCs w:val="20"/>
        </w:rPr>
        <w:t xml:space="preserve">Table </w:t>
      </w:r>
      <w:r w:rsidR="00016BA6">
        <w:rPr>
          <w:noProof/>
          <w:szCs w:val="20"/>
        </w:rPr>
        <w:t>10</w:t>
      </w:r>
      <w:r w:rsidRPr="00271560">
        <w:fldChar w:fldCharType="end"/>
      </w:r>
      <w:r w:rsidRPr="00271560">
        <w:t xml:space="preserve">. The median age for achieving standing independently was 13.0 months and for achieving walking independently was 13.7 months for participants with 3 </w:t>
      </w:r>
      <w:r w:rsidRPr="00271560">
        <w:rPr>
          <w:i/>
          <w:iCs/>
        </w:rPr>
        <w:t>SMN2</w:t>
      </w:r>
      <w:r w:rsidRPr="00271560">
        <w:t xml:space="preserve"> copies. The resubmission claimed that patients treated prior to the onset of symptoms achieved milestones at ages similar to those expected in healthy infants without SMA.</w:t>
      </w:r>
    </w:p>
    <w:p w14:paraId="46FE7F8D" w14:textId="784A9EC7" w:rsidR="00AC2298" w:rsidRPr="00271560" w:rsidRDefault="00AC2298" w:rsidP="000A6314">
      <w:pPr>
        <w:pStyle w:val="Caption"/>
        <w:rPr>
          <w:szCs w:val="20"/>
        </w:rPr>
      </w:pPr>
      <w:bookmarkStart w:id="44" w:name="_Ref132548138"/>
      <w:r w:rsidRPr="00271560">
        <w:rPr>
          <w:szCs w:val="20"/>
        </w:rPr>
        <w:lastRenderedPageBreak/>
        <w:t xml:space="preserve">Table </w:t>
      </w:r>
      <w:r w:rsidRPr="00271560">
        <w:rPr>
          <w:szCs w:val="20"/>
        </w:rPr>
        <w:fldChar w:fldCharType="begin" w:fldLock="1"/>
      </w:r>
      <w:r w:rsidRPr="00271560">
        <w:rPr>
          <w:szCs w:val="20"/>
        </w:rPr>
        <w:instrText xml:space="preserve"> SEQ Table \* ARABIC </w:instrText>
      </w:r>
      <w:r w:rsidRPr="00271560">
        <w:rPr>
          <w:szCs w:val="20"/>
        </w:rPr>
        <w:fldChar w:fldCharType="separate"/>
      </w:r>
      <w:r w:rsidR="00016BA6">
        <w:rPr>
          <w:noProof/>
          <w:szCs w:val="20"/>
        </w:rPr>
        <w:t>10</w:t>
      </w:r>
      <w:r w:rsidRPr="00271560">
        <w:rPr>
          <w:szCs w:val="20"/>
        </w:rPr>
        <w:fldChar w:fldCharType="end"/>
      </w:r>
      <w:bookmarkEnd w:id="44"/>
      <w:r w:rsidRPr="00271560">
        <w:rPr>
          <w:szCs w:val="20"/>
        </w:rPr>
        <w:t xml:space="preserve">: NUTURE - Improvement in HINE motor milestones (Section 2) in patients with SMA with 3 copies of </w:t>
      </w:r>
      <w:r w:rsidRPr="000063EA">
        <w:rPr>
          <w:i/>
          <w:iCs/>
          <w:szCs w:val="20"/>
        </w:rPr>
        <w:t>SMN2</w:t>
      </w:r>
    </w:p>
    <w:tbl>
      <w:tblPr>
        <w:tblStyle w:val="ASDTable1"/>
        <w:tblW w:w="9209" w:type="dxa"/>
        <w:tblInd w:w="0" w:type="dxa"/>
        <w:tblLayout w:type="fixed"/>
        <w:tblLook w:val="04A0" w:firstRow="1" w:lastRow="0" w:firstColumn="1" w:lastColumn="0" w:noHBand="0" w:noVBand="1"/>
        <w:tblCaption w:val="Table 10: NUTURE - Improvement in HINE motor milestones (Section 2) in patients with SMA with 3 copies of SMN2"/>
      </w:tblPr>
      <w:tblGrid>
        <w:gridCol w:w="2122"/>
        <w:gridCol w:w="992"/>
        <w:gridCol w:w="677"/>
        <w:gridCol w:w="677"/>
        <w:gridCol w:w="677"/>
        <w:gridCol w:w="677"/>
        <w:gridCol w:w="678"/>
        <w:gridCol w:w="677"/>
        <w:gridCol w:w="677"/>
        <w:gridCol w:w="677"/>
        <w:gridCol w:w="678"/>
      </w:tblGrid>
      <w:tr w:rsidR="00AC2298" w:rsidRPr="00271560" w14:paraId="442F976B" w14:textId="77777777" w:rsidTr="00CB2C92">
        <w:trPr>
          <w:trHeight w:val="225"/>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2C7026FB" w14:textId="77777777" w:rsidR="00AC2298" w:rsidRPr="00271560" w:rsidRDefault="00AC2298" w:rsidP="000A6314">
            <w:pPr>
              <w:pStyle w:val="In-tableHeading"/>
              <w:keepLines/>
              <w:rPr>
                <w:lang w:val="en-AU" w:eastAsia="en-AU"/>
              </w:rPr>
            </w:pPr>
            <w:r w:rsidRPr="00271560">
              <w:rPr>
                <w:lang w:val="en-AU" w:eastAsia="en-AU"/>
              </w:rPr>
              <w:t>Improvement in HINE Section 2, N (%)</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942E18" w14:textId="77777777" w:rsidR="00AC2298" w:rsidRPr="00271560" w:rsidRDefault="00AC2298" w:rsidP="000A6314">
            <w:pPr>
              <w:pStyle w:val="In-tableHeading"/>
              <w:keepLines/>
              <w:jc w:val="center"/>
              <w:rPr>
                <w:lang w:val="en-AU" w:eastAsia="en-AU"/>
              </w:rPr>
            </w:pPr>
            <w:r w:rsidRPr="00271560">
              <w:rPr>
                <w:lang w:val="en-AU" w:eastAsia="en-AU"/>
              </w:rPr>
              <w:t>Baseline</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0B9306E" w14:textId="77777777" w:rsidR="00AC2298" w:rsidRPr="00271560" w:rsidRDefault="00AC2298" w:rsidP="000A6314">
            <w:pPr>
              <w:pStyle w:val="In-tableHeading"/>
              <w:keepLines/>
              <w:jc w:val="center"/>
              <w:rPr>
                <w:lang w:val="en-AU" w:eastAsia="en-AU"/>
              </w:rPr>
            </w:pPr>
            <w:r w:rsidRPr="00271560">
              <w:rPr>
                <w:lang w:val="en-AU" w:eastAsia="en-AU"/>
              </w:rPr>
              <w:t>Day 64</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839A0A" w14:textId="77777777" w:rsidR="00AC2298" w:rsidRPr="00271560" w:rsidRDefault="00AC2298" w:rsidP="000A6314">
            <w:pPr>
              <w:pStyle w:val="In-tableHeading"/>
              <w:keepLines/>
              <w:jc w:val="center"/>
              <w:rPr>
                <w:lang w:val="en-AU" w:eastAsia="en-AU"/>
              </w:rPr>
            </w:pPr>
            <w:r w:rsidRPr="00271560">
              <w:rPr>
                <w:lang w:val="en-AU" w:eastAsia="en-AU"/>
              </w:rPr>
              <w:t>Day 183</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2B966AC" w14:textId="77777777" w:rsidR="00AC2298" w:rsidRPr="00271560" w:rsidRDefault="00AC2298" w:rsidP="000A6314">
            <w:pPr>
              <w:pStyle w:val="In-tableHeading"/>
              <w:keepLines/>
              <w:jc w:val="center"/>
              <w:rPr>
                <w:lang w:val="en-AU" w:eastAsia="en-AU"/>
              </w:rPr>
            </w:pPr>
            <w:r w:rsidRPr="00271560">
              <w:rPr>
                <w:lang w:val="en-AU" w:eastAsia="en-AU"/>
              </w:rPr>
              <w:t>Day 302</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A4AF25" w14:textId="77777777" w:rsidR="00AC2298" w:rsidRPr="00271560" w:rsidRDefault="00AC2298" w:rsidP="000A6314">
            <w:pPr>
              <w:pStyle w:val="In-tableHeading"/>
              <w:keepLines/>
              <w:jc w:val="center"/>
              <w:rPr>
                <w:lang w:val="en-AU" w:eastAsia="en-AU"/>
              </w:rPr>
            </w:pPr>
            <w:r w:rsidRPr="00271560">
              <w:rPr>
                <w:lang w:val="en-AU" w:eastAsia="en-AU"/>
              </w:rPr>
              <w:t>Day 365</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01667" w14:textId="77777777" w:rsidR="00AC2298" w:rsidRPr="00271560" w:rsidRDefault="00AC2298" w:rsidP="000A6314">
            <w:pPr>
              <w:pStyle w:val="In-tableHeading"/>
              <w:keepLines/>
              <w:jc w:val="center"/>
              <w:rPr>
                <w:lang w:val="en-AU" w:eastAsia="en-AU"/>
              </w:rPr>
            </w:pPr>
            <w:r w:rsidRPr="00271560">
              <w:rPr>
                <w:lang w:val="en-AU" w:eastAsia="en-AU"/>
              </w:rPr>
              <w:t>Day 421</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C83FE9" w14:textId="77777777" w:rsidR="00AC2298" w:rsidRPr="00271560" w:rsidRDefault="00AC2298" w:rsidP="000A6314">
            <w:pPr>
              <w:pStyle w:val="In-tableHeading"/>
              <w:keepLines/>
              <w:jc w:val="center"/>
              <w:rPr>
                <w:lang w:val="en-AU" w:eastAsia="en-AU"/>
              </w:rPr>
            </w:pPr>
            <w:r w:rsidRPr="00271560">
              <w:rPr>
                <w:lang w:val="en-AU" w:eastAsia="en-AU"/>
              </w:rPr>
              <w:t>Day 540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48CD53" w14:textId="77777777" w:rsidR="00AC2298" w:rsidRPr="00271560" w:rsidRDefault="00AC2298" w:rsidP="000A6314">
            <w:pPr>
              <w:pStyle w:val="In-tableHeading"/>
              <w:keepLines/>
              <w:jc w:val="center"/>
              <w:rPr>
                <w:lang w:val="en-AU" w:eastAsia="en-AU"/>
              </w:rPr>
            </w:pPr>
            <w:r w:rsidRPr="00271560">
              <w:rPr>
                <w:lang w:val="en-AU" w:eastAsia="en-AU"/>
              </w:rPr>
              <w:t>Day 700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8F9B068" w14:textId="77777777" w:rsidR="00AC2298" w:rsidRPr="00271560" w:rsidRDefault="00AC2298" w:rsidP="000A6314">
            <w:pPr>
              <w:pStyle w:val="In-tableHeading"/>
              <w:keepLines/>
              <w:jc w:val="center"/>
              <w:rPr>
                <w:lang w:val="en-AU" w:eastAsia="en-AU"/>
              </w:rPr>
            </w:pPr>
            <w:r w:rsidRPr="00271560">
              <w:rPr>
                <w:lang w:val="en-AU" w:eastAsia="en-AU"/>
              </w:rPr>
              <w:t>Day 778</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17C04" w14:textId="77777777" w:rsidR="00AC2298" w:rsidRPr="00271560" w:rsidRDefault="00AC2298" w:rsidP="000A6314">
            <w:pPr>
              <w:pStyle w:val="In-tableHeading"/>
              <w:keepLines/>
              <w:jc w:val="center"/>
              <w:rPr>
                <w:lang w:val="en-AU" w:eastAsia="en-AU"/>
              </w:rPr>
            </w:pPr>
            <w:r w:rsidRPr="00271560">
              <w:rPr>
                <w:lang w:val="en-AU" w:eastAsia="en-AU"/>
              </w:rPr>
              <w:t>Last visit</w:t>
            </w:r>
          </w:p>
        </w:tc>
      </w:tr>
      <w:tr w:rsidR="00AC2298" w:rsidRPr="00271560" w14:paraId="765036DD" w14:textId="77777777" w:rsidTr="00CB2C92">
        <w:trPr>
          <w:trHeight w:val="115"/>
        </w:trPr>
        <w:tc>
          <w:tcPr>
            <w:tcW w:w="2122" w:type="dxa"/>
            <w:tcBorders>
              <w:top w:val="single" w:sz="4" w:space="0" w:color="auto"/>
              <w:left w:val="single" w:sz="4" w:space="0" w:color="auto"/>
              <w:bottom w:val="single" w:sz="4" w:space="0" w:color="auto"/>
              <w:right w:val="single" w:sz="4" w:space="0" w:color="auto"/>
            </w:tcBorders>
            <w:vAlign w:val="center"/>
            <w:hideMark/>
          </w:tcPr>
          <w:p w14:paraId="70D0C846" w14:textId="77777777" w:rsidR="00AC2298" w:rsidRPr="00271560" w:rsidRDefault="00AC2298" w:rsidP="000A6314">
            <w:pPr>
              <w:pStyle w:val="Tabletext"/>
              <w:keepNext/>
              <w:keepLines/>
              <w:rPr>
                <w:lang w:eastAsia="en-AU"/>
              </w:rPr>
            </w:pPr>
            <w:r w:rsidRPr="00271560">
              <w:rPr>
                <w:lang w:eastAsia="en-AU"/>
              </w:rPr>
              <w:t>N</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A00E8F"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B5B316E"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842C9D"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DB07333"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406882" w14:textId="77777777" w:rsidR="00AC2298" w:rsidRPr="00271560" w:rsidRDefault="00AC2298" w:rsidP="000A6314">
            <w:pPr>
              <w:pStyle w:val="Tabletext"/>
              <w:keepNext/>
              <w:keepLines/>
              <w:jc w:val="center"/>
              <w:rPr>
                <w:lang w:eastAsia="en-AU"/>
              </w:rPr>
            </w:pPr>
            <w:r w:rsidRPr="00271560">
              <w:rPr>
                <w:lang w:eastAsia="en-AU"/>
              </w:rPr>
              <w:t>10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61C2B"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A36867"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E8F588"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05280" w14:textId="77777777" w:rsidR="00AC2298" w:rsidRPr="00271560" w:rsidRDefault="00AC2298" w:rsidP="000A6314">
            <w:pPr>
              <w:pStyle w:val="Tabletext"/>
              <w:keepNext/>
              <w:keepLines/>
              <w:jc w:val="center"/>
              <w:rPr>
                <w:lang w:eastAsia="en-AU"/>
              </w:rPr>
            </w:pPr>
            <w:r w:rsidRPr="00271560">
              <w:rPr>
                <w:lang w:eastAsia="en-AU"/>
              </w:rPr>
              <w:t>6</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9C826" w14:textId="77777777" w:rsidR="00AC2298" w:rsidRPr="00271560" w:rsidRDefault="00AC2298" w:rsidP="000A6314">
            <w:pPr>
              <w:pStyle w:val="Tabletext"/>
              <w:keepNext/>
              <w:keepLines/>
              <w:jc w:val="center"/>
              <w:rPr>
                <w:lang w:eastAsia="en-AU"/>
              </w:rPr>
            </w:pPr>
            <w:r w:rsidRPr="00271560">
              <w:rPr>
                <w:lang w:eastAsia="en-AU"/>
              </w:rPr>
              <w:t>10</w:t>
            </w:r>
          </w:p>
        </w:tc>
      </w:tr>
      <w:tr w:rsidR="00AC2298" w:rsidRPr="00271560" w14:paraId="44F5B455" w14:textId="77777777" w:rsidTr="00CB2C92">
        <w:trPr>
          <w:trHeight w:val="225"/>
        </w:trPr>
        <w:tc>
          <w:tcPr>
            <w:tcW w:w="2122" w:type="dxa"/>
            <w:tcBorders>
              <w:top w:val="single" w:sz="4" w:space="0" w:color="auto"/>
              <w:left w:val="single" w:sz="4" w:space="0" w:color="auto"/>
              <w:bottom w:val="single" w:sz="4" w:space="0" w:color="auto"/>
              <w:right w:val="single" w:sz="4" w:space="0" w:color="auto"/>
            </w:tcBorders>
            <w:vAlign w:val="center"/>
            <w:hideMark/>
          </w:tcPr>
          <w:p w14:paraId="7E55AD0C" w14:textId="77777777" w:rsidR="00AC2298" w:rsidRPr="00271560" w:rsidRDefault="00AC2298" w:rsidP="000A6314">
            <w:pPr>
              <w:pStyle w:val="Tabletext"/>
              <w:keepNext/>
              <w:keepLines/>
              <w:rPr>
                <w:lang w:eastAsia="en-AU"/>
              </w:rPr>
            </w:pPr>
            <w:r w:rsidRPr="00271560">
              <w:rPr>
                <w:lang w:eastAsia="en-AU"/>
              </w:rPr>
              <w:t xml:space="preserve">Head control: all time upright </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DCB3CD" w14:textId="77777777" w:rsidR="00AC2298" w:rsidRPr="00271560" w:rsidRDefault="00AC2298" w:rsidP="000A6314">
            <w:pPr>
              <w:pStyle w:val="Tabletext"/>
              <w:keepNext/>
              <w:keepLines/>
              <w:jc w:val="center"/>
              <w:rPr>
                <w:lang w:eastAsia="en-AU"/>
              </w:rPr>
            </w:pPr>
            <w:r w:rsidRPr="00271560">
              <w:rPr>
                <w:lang w:eastAsia="en-AU"/>
              </w:rPr>
              <w:t>2 (20)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8EA7E7D" w14:textId="77777777" w:rsidR="00AC2298" w:rsidRPr="00271560" w:rsidRDefault="00AC2298" w:rsidP="000A6314">
            <w:pPr>
              <w:pStyle w:val="Tabletext"/>
              <w:keepNext/>
              <w:keepLines/>
              <w:jc w:val="center"/>
              <w:rPr>
                <w:lang w:eastAsia="en-AU"/>
              </w:rPr>
            </w:pPr>
            <w:r w:rsidRPr="00271560">
              <w:rPr>
                <w:lang w:eastAsia="en-AU"/>
              </w:rPr>
              <w:t>5</w:t>
            </w:r>
          </w:p>
          <w:p w14:paraId="47035208" w14:textId="77777777" w:rsidR="00AC2298" w:rsidRPr="00271560" w:rsidRDefault="00AC2298" w:rsidP="000A6314">
            <w:pPr>
              <w:pStyle w:val="Tabletext"/>
              <w:keepNext/>
              <w:keepLines/>
              <w:jc w:val="center"/>
              <w:rPr>
                <w:lang w:eastAsia="en-AU"/>
              </w:rPr>
            </w:pPr>
            <w:r w:rsidRPr="00271560">
              <w:rPr>
                <w:lang w:eastAsia="en-AU"/>
              </w:rPr>
              <w:t>(50)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6EE7D4" w14:textId="77777777" w:rsidR="00AC2298" w:rsidRPr="00271560" w:rsidRDefault="00AC2298" w:rsidP="000A6314">
            <w:pPr>
              <w:pStyle w:val="Tabletext"/>
              <w:keepNext/>
              <w:keepLines/>
              <w:jc w:val="center"/>
              <w:rPr>
                <w:lang w:eastAsia="en-AU"/>
              </w:rPr>
            </w:pPr>
            <w:r w:rsidRPr="00271560">
              <w:rPr>
                <w:lang w:eastAsia="en-AU"/>
              </w:rPr>
              <w:t>10</w:t>
            </w:r>
          </w:p>
          <w:p w14:paraId="6AC09192" w14:textId="77777777" w:rsidR="00AC2298" w:rsidRPr="00271560" w:rsidRDefault="00AC2298" w:rsidP="000A6314">
            <w:pPr>
              <w:pStyle w:val="Tabletext"/>
              <w:keepNext/>
              <w:keepLines/>
              <w:jc w:val="center"/>
              <w:rPr>
                <w:lang w:eastAsia="en-AU"/>
              </w:rPr>
            </w:pPr>
            <w:r w:rsidRPr="00271560">
              <w:rPr>
                <w:lang w:eastAsia="en-AU"/>
              </w:rPr>
              <w:t>(100)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789D7AE8"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811390" w14:textId="77777777" w:rsidR="00AC2298" w:rsidRPr="00271560" w:rsidRDefault="00AC2298" w:rsidP="000A6314">
            <w:pPr>
              <w:pStyle w:val="Tabletext"/>
              <w:keepNext/>
              <w:keepLines/>
              <w:jc w:val="center"/>
              <w:rPr>
                <w:lang w:eastAsia="en-AU"/>
              </w:rPr>
            </w:pPr>
            <w:r w:rsidRPr="00271560">
              <w:rPr>
                <w:lang w:eastAsia="en-AU"/>
              </w:rPr>
              <w:t>10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849C4"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929E80"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D7541E"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2BE8B" w14:textId="77777777" w:rsidR="00AC2298" w:rsidRPr="00271560" w:rsidRDefault="00AC2298" w:rsidP="000A6314">
            <w:pPr>
              <w:pStyle w:val="Tabletext"/>
              <w:keepNext/>
              <w:keepLines/>
              <w:jc w:val="center"/>
              <w:rPr>
                <w:lang w:eastAsia="en-AU"/>
              </w:rPr>
            </w:pPr>
            <w:r w:rsidRPr="00271560">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4A473" w14:textId="77777777" w:rsidR="00AC2298" w:rsidRPr="00271560" w:rsidRDefault="00AC2298" w:rsidP="000A6314">
            <w:pPr>
              <w:pStyle w:val="Tabletext"/>
              <w:keepNext/>
              <w:keepLines/>
              <w:jc w:val="center"/>
              <w:rPr>
                <w:lang w:eastAsia="en-AU"/>
              </w:rPr>
            </w:pPr>
            <w:r w:rsidRPr="00271560">
              <w:rPr>
                <w:lang w:eastAsia="en-AU"/>
              </w:rPr>
              <w:t>10 (100)</w:t>
            </w:r>
          </w:p>
        </w:tc>
      </w:tr>
      <w:tr w:rsidR="00AC2298" w:rsidRPr="00271560" w14:paraId="6C6FB8EA" w14:textId="77777777" w:rsidTr="00CB2C92">
        <w:trPr>
          <w:trHeight w:val="225"/>
        </w:trPr>
        <w:tc>
          <w:tcPr>
            <w:tcW w:w="2122" w:type="dxa"/>
            <w:tcBorders>
              <w:top w:val="single" w:sz="4" w:space="0" w:color="auto"/>
              <w:left w:val="single" w:sz="4" w:space="0" w:color="auto"/>
              <w:bottom w:val="single" w:sz="4" w:space="0" w:color="auto"/>
              <w:right w:val="single" w:sz="4" w:space="0" w:color="auto"/>
            </w:tcBorders>
            <w:vAlign w:val="center"/>
          </w:tcPr>
          <w:p w14:paraId="2113F194" w14:textId="77777777" w:rsidR="00AC2298" w:rsidRPr="00271560" w:rsidRDefault="00AC2298" w:rsidP="000A6314">
            <w:pPr>
              <w:pStyle w:val="Tabletext"/>
              <w:keepNext/>
              <w:keepLines/>
              <w:rPr>
                <w:lang w:eastAsia="en-AU"/>
              </w:rPr>
            </w:pPr>
            <w:r w:rsidRPr="00271560">
              <w:rPr>
                <w:lang w:eastAsia="en-AU"/>
              </w:rPr>
              <w:t xml:space="preserve">Ability to kick, touch toes </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27864C"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857C8AF"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BAA875" w14:textId="77777777" w:rsidR="00AC2298" w:rsidRPr="00271560" w:rsidRDefault="00AC2298" w:rsidP="000A6314">
            <w:pPr>
              <w:pStyle w:val="Tabletext"/>
              <w:keepNext/>
              <w:keepLines/>
              <w:jc w:val="center"/>
              <w:rPr>
                <w:lang w:eastAsia="en-AU"/>
              </w:rPr>
            </w:pPr>
            <w:r w:rsidRPr="00271560">
              <w:rPr>
                <w:lang w:eastAsia="en-AU"/>
              </w:rPr>
              <w:t>7</w:t>
            </w:r>
          </w:p>
          <w:p w14:paraId="75DD63E5" w14:textId="77777777" w:rsidR="00AC2298" w:rsidRPr="00271560" w:rsidRDefault="00AC2298" w:rsidP="000A6314">
            <w:pPr>
              <w:pStyle w:val="Tabletext"/>
              <w:keepNext/>
              <w:keepLines/>
              <w:jc w:val="center"/>
              <w:rPr>
                <w:lang w:eastAsia="en-AU"/>
              </w:rPr>
            </w:pPr>
            <w:r w:rsidRPr="00271560">
              <w:rPr>
                <w:lang w:eastAsia="en-AU"/>
              </w:rPr>
              <w:t>(70)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94E4EC3" w14:textId="77777777" w:rsidR="00AC2298" w:rsidRPr="00271560" w:rsidRDefault="00AC2298" w:rsidP="000A6314">
            <w:pPr>
              <w:pStyle w:val="Tabletext"/>
              <w:keepNext/>
              <w:keepLines/>
              <w:jc w:val="center"/>
              <w:rPr>
                <w:lang w:eastAsia="en-AU"/>
              </w:rPr>
            </w:pPr>
            <w:r w:rsidRPr="00271560">
              <w:rPr>
                <w:lang w:eastAsia="en-AU"/>
              </w:rPr>
              <w:t>9</w:t>
            </w:r>
          </w:p>
          <w:p w14:paraId="5C30715F" w14:textId="77777777" w:rsidR="00AC2298" w:rsidRPr="00271560" w:rsidRDefault="00AC2298" w:rsidP="000A6314">
            <w:pPr>
              <w:pStyle w:val="Tabletext"/>
              <w:keepNext/>
              <w:keepLines/>
              <w:jc w:val="center"/>
              <w:rPr>
                <w:lang w:eastAsia="en-AU"/>
              </w:rPr>
            </w:pPr>
            <w:r w:rsidRPr="00271560">
              <w:rPr>
                <w:lang w:eastAsia="en-AU"/>
              </w:rPr>
              <w:t>(90)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7A1DE1" w14:textId="77777777" w:rsidR="00AC2298" w:rsidRPr="00271560" w:rsidRDefault="00AC2298" w:rsidP="000A6314">
            <w:pPr>
              <w:pStyle w:val="Tabletext"/>
              <w:keepNext/>
              <w:keepLines/>
              <w:jc w:val="center"/>
              <w:rPr>
                <w:lang w:eastAsia="en-AU"/>
              </w:rPr>
            </w:pPr>
            <w:r w:rsidRPr="00271560">
              <w:rPr>
                <w:lang w:eastAsia="en-AU"/>
              </w:rPr>
              <w:t>9</w:t>
            </w:r>
          </w:p>
          <w:p w14:paraId="6CD92ECE" w14:textId="77777777" w:rsidR="00AC2298" w:rsidRPr="00271560" w:rsidRDefault="00AC2298" w:rsidP="000A6314">
            <w:pPr>
              <w:pStyle w:val="Tabletext"/>
              <w:keepNext/>
              <w:keepLines/>
              <w:jc w:val="center"/>
              <w:rPr>
                <w:lang w:eastAsia="en-AU"/>
              </w:rPr>
            </w:pPr>
            <w:r w:rsidRPr="00271560">
              <w:rPr>
                <w:lang w:eastAsia="en-AU"/>
              </w:rPr>
              <w:t>(90)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2E58E85" w14:textId="77777777" w:rsidR="00AC2298" w:rsidRPr="00271560" w:rsidRDefault="00AC2298" w:rsidP="000A6314">
            <w:pPr>
              <w:pStyle w:val="Tabletext"/>
              <w:keepNext/>
              <w:keepLines/>
              <w:jc w:val="center"/>
              <w:rPr>
                <w:lang w:eastAsia="en-AU"/>
              </w:rPr>
            </w:pPr>
            <w:r w:rsidRPr="00271560">
              <w:rPr>
                <w:lang w:eastAsia="en-AU"/>
              </w:rPr>
              <w:t>7</w:t>
            </w:r>
          </w:p>
          <w:p w14:paraId="1B995D8F" w14:textId="77777777" w:rsidR="00AC2298" w:rsidRPr="00271560" w:rsidRDefault="00AC2298" w:rsidP="000A6314">
            <w:pPr>
              <w:pStyle w:val="Tabletext"/>
              <w:keepNext/>
              <w:keepLines/>
              <w:jc w:val="center"/>
              <w:rPr>
                <w:lang w:eastAsia="en-AU"/>
              </w:rPr>
            </w:pPr>
            <w:r w:rsidRPr="00271560">
              <w:rPr>
                <w:lang w:eastAsia="en-AU"/>
              </w:rPr>
              <w:t>(70)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A6F73C" w14:textId="77777777" w:rsidR="00AC2298" w:rsidRPr="00271560" w:rsidRDefault="00AC2298" w:rsidP="000A6314">
            <w:pPr>
              <w:pStyle w:val="Tabletext"/>
              <w:keepNext/>
              <w:keepLines/>
              <w:jc w:val="center"/>
              <w:rPr>
                <w:lang w:eastAsia="en-AU"/>
              </w:rPr>
            </w:pPr>
            <w:r w:rsidRPr="00271560">
              <w:rPr>
                <w:lang w:eastAsia="en-AU"/>
              </w:rPr>
              <w:t>9</w:t>
            </w:r>
          </w:p>
          <w:p w14:paraId="5167B327" w14:textId="77777777" w:rsidR="00AC2298" w:rsidRPr="00271560" w:rsidRDefault="00AC2298" w:rsidP="000A6314">
            <w:pPr>
              <w:pStyle w:val="Tabletext"/>
              <w:keepNext/>
              <w:keepLines/>
              <w:jc w:val="center"/>
              <w:rPr>
                <w:lang w:eastAsia="en-AU"/>
              </w:rPr>
            </w:pPr>
            <w:r w:rsidRPr="00271560">
              <w:rPr>
                <w:lang w:eastAsia="en-AU"/>
              </w:rPr>
              <w:t>(90)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50D0C3"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1658A67" w14:textId="77777777" w:rsidR="00AC2298" w:rsidRPr="00271560" w:rsidRDefault="00AC2298" w:rsidP="000A6314">
            <w:pPr>
              <w:pStyle w:val="Tabletext"/>
              <w:keepNext/>
              <w:keepLines/>
              <w:jc w:val="center"/>
              <w:rPr>
                <w:lang w:eastAsia="en-AU"/>
              </w:rPr>
            </w:pPr>
            <w:r w:rsidRPr="00271560">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7B68C8" w14:textId="77777777" w:rsidR="00AC2298" w:rsidRPr="00271560" w:rsidRDefault="00AC2298" w:rsidP="000A6314">
            <w:pPr>
              <w:pStyle w:val="Tabletext"/>
              <w:keepNext/>
              <w:keepLines/>
              <w:jc w:val="center"/>
              <w:rPr>
                <w:lang w:eastAsia="en-AU"/>
              </w:rPr>
            </w:pPr>
            <w:r w:rsidRPr="00271560">
              <w:rPr>
                <w:lang w:eastAsia="en-AU"/>
              </w:rPr>
              <w:t>10 (100)</w:t>
            </w:r>
          </w:p>
        </w:tc>
      </w:tr>
      <w:tr w:rsidR="00AC2298" w:rsidRPr="00271560" w14:paraId="5419B1E4" w14:textId="77777777" w:rsidTr="00CB2C92">
        <w:trPr>
          <w:trHeight w:val="225"/>
        </w:trPr>
        <w:tc>
          <w:tcPr>
            <w:tcW w:w="2122" w:type="dxa"/>
            <w:tcBorders>
              <w:top w:val="single" w:sz="4" w:space="0" w:color="auto"/>
              <w:left w:val="single" w:sz="4" w:space="0" w:color="auto"/>
              <w:bottom w:val="single" w:sz="4" w:space="0" w:color="auto"/>
              <w:right w:val="single" w:sz="4" w:space="0" w:color="auto"/>
            </w:tcBorders>
            <w:vAlign w:val="center"/>
            <w:hideMark/>
          </w:tcPr>
          <w:p w14:paraId="1515D761" w14:textId="77777777" w:rsidR="00AC2298" w:rsidRPr="00271560" w:rsidRDefault="00AC2298" w:rsidP="000A6314">
            <w:pPr>
              <w:pStyle w:val="Tabletext"/>
              <w:keepNext/>
              <w:keepLines/>
              <w:rPr>
                <w:lang w:eastAsia="en-AU"/>
              </w:rPr>
            </w:pPr>
            <w:r w:rsidRPr="00271560">
              <w:rPr>
                <w:lang w:eastAsia="en-AU"/>
              </w:rPr>
              <w:t xml:space="preserve">Rolling, Prone to supine or supine to prone </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F46D26"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190BF42B" w14:textId="77777777" w:rsidR="00AC2298" w:rsidRPr="00271560" w:rsidRDefault="00AC2298" w:rsidP="000A6314">
            <w:pPr>
              <w:pStyle w:val="Tabletext"/>
              <w:keepNext/>
              <w:keepLines/>
              <w:jc w:val="center"/>
              <w:rPr>
                <w:lang w:eastAsia="en-AU"/>
              </w:rPr>
            </w:pPr>
            <w:r w:rsidRPr="00271560">
              <w:rPr>
                <w:lang w:eastAsia="en-AU"/>
              </w:rPr>
              <w:t>1</w:t>
            </w:r>
          </w:p>
          <w:p w14:paraId="7AA2D349"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909B2B" w14:textId="77777777" w:rsidR="00AC2298" w:rsidRPr="00271560" w:rsidRDefault="00AC2298" w:rsidP="000A6314">
            <w:pPr>
              <w:pStyle w:val="Tabletext"/>
              <w:keepNext/>
              <w:keepLines/>
              <w:jc w:val="center"/>
              <w:rPr>
                <w:lang w:eastAsia="en-AU"/>
              </w:rPr>
            </w:pPr>
            <w:r w:rsidRPr="00271560">
              <w:rPr>
                <w:lang w:eastAsia="en-AU"/>
              </w:rPr>
              <w:t>9</w:t>
            </w:r>
          </w:p>
          <w:p w14:paraId="6D9DA001" w14:textId="77777777" w:rsidR="00AC2298" w:rsidRPr="00271560" w:rsidRDefault="00AC2298" w:rsidP="000A6314">
            <w:pPr>
              <w:pStyle w:val="Tabletext"/>
              <w:keepNext/>
              <w:keepLines/>
              <w:jc w:val="center"/>
              <w:rPr>
                <w:lang w:eastAsia="en-AU"/>
              </w:rPr>
            </w:pPr>
            <w:r w:rsidRPr="00271560">
              <w:rPr>
                <w:lang w:eastAsia="en-AU"/>
              </w:rPr>
              <w:t>(90)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31028F8" w14:textId="77777777" w:rsidR="00AC2298" w:rsidRPr="00271560" w:rsidRDefault="00AC2298" w:rsidP="000A6314">
            <w:pPr>
              <w:pStyle w:val="Tabletext"/>
              <w:keepNext/>
              <w:keepLines/>
              <w:jc w:val="center"/>
              <w:rPr>
                <w:lang w:eastAsia="en-AU"/>
              </w:rPr>
            </w:pPr>
            <w:r w:rsidRPr="00271560">
              <w:rPr>
                <w:lang w:eastAsia="en-AU"/>
              </w:rPr>
              <w:t>10</w:t>
            </w:r>
          </w:p>
          <w:p w14:paraId="2E008D6F" w14:textId="77777777" w:rsidR="00AC2298" w:rsidRPr="00271560" w:rsidRDefault="00AC2298" w:rsidP="000A6314">
            <w:pPr>
              <w:pStyle w:val="Tabletext"/>
              <w:keepNext/>
              <w:keepLines/>
              <w:jc w:val="center"/>
              <w:rPr>
                <w:lang w:eastAsia="en-AU"/>
              </w:rPr>
            </w:pPr>
            <w:r w:rsidRPr="00271560">
              <w:rPr>
                <w:lang w:eastAsia="en-AU"/>
              </w:rPr>
              <w:t>(100)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3E9EE8" w14:textId="77777777" w:rsidR="00AC2298" w:rsidRPr="00271560" w:rsidRDefault="00AC2298" w:rsidP="000A6314">
            <w:pPr>
              <w:pStyle w:val="Tabletext"/>
              <w:keepNext/>
              <w:keepLines/>
              <w:jc w:val="center"/>
              <w:rPr>
                <w:lang w:eastAsia="en-AU"/>
              </w:rPr>
            </w:pPr>
            <w:r w:rsidRPr="00271560">
              <w:rPr>
                <w:lang w:eastAsia="en-AU"/>
              </w:rPr>
              <w:t>9</w:t>
            </w:r>
          </w:p>
          <w:p w14:paraId="0B632458" w14:textId="77777777" w:rsidR="00AC2298" w:rsidRPr="00271560" w:rsidRDefault="00AC2298" w:rsidP="000A6314">
            <w:pPr>
              <w:pStyle w:val="Tabletext"/>
              <w:keepNext/>
              <w:keepLines/>
              <w:jc w:val="center"/>
              <w:rPr>
                <w:lang w:eastAsia="en-AU"/>
              </w:rPr>
            </w:pPr>
            <w:r w:rsidRPr="00271560">
              <w:rPr>
                <w:lang w:eastAsia="en-AU"/>
              </w:rPr>
              <w:t>(90)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5F352"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048933"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103F78"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FC58B" w14:textId="77777777" w:rsidR="00AC2298" w:rsidRPr="00271560" w:rsidRDefault="00AC2298" w:rsidP="000A6314">
            <w:pPr>
              <w:pStyle w:val="Tabletext"/>
              <w:keepNext/>
              <w:keepLines/>
              <w:jc w:val="center"/>
              <w:rPr>
                <w:lang w:eastAsia="en-AU"/>
              </w:rPr>
            </w:pPr>
            <w:r w:rsidRPr="00271560">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A555D" w14:textId="77777777" w:rsidR="00AC2298" w:rsidRPr="00271560" w:rsidRDefault="00AC2298" w:rsidP="000A6314">
            <w:pPr>
              <w:pStyle w:val="Tabletext"/>
              <w:keepNext/>
              <w:keepLines/>
              <w:jc w:val="center"/>
              <w:rPr>
                <w:lang w:eastAsia="en-AU"/>
              </w:rPr>
            </w:pPr>
            <w:r w:rsidRPr="00271560">
              <w:rPr>
                <w:lang w:eastAsia="en-AU"/>
              </w:rPr>
              <w:t>10 (100)</w:t>
            </w:r>
          </w:p>
        </w:tc>
      </w:tr>
      <w:tr w:rsidR="00AC2298" w:rsidRPr="00271560" w14:paraId="0D96DD1C" w14:textId="77777777" w:rsidTr="00CB2C92">
        <w:trPr>
          <w:trHeight w:val="12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A6140" w14:textId="77777777" w:rsidR="00AC2298" w:rsidRPr="00271560" w:rsidRDefault="00AC2298" w:rsidP="000A6314">
            <w:pPr>
              <w:pStyle w:val="Tabletext"/>
              <w:keepNext/>
              <w:keepLines/>
              <w:rPr>
                <w:lang w:eastAsia="en-AU"/>
              </w:rPr>
            </w:pPr>
            <w:r w:rsidRPr="00271560">
              <w:rPr>
                <w:lang w:eastAsia="en-AU"/>
              </w:rPr>
              <w:t>Sitting, stable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1C3E6"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9C4F48B"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3E655DB" w14:textId="77777777" w:rsidR="00AC2298" w:rsidRPr="00271560" w:rsidRDefault="00AC2298" w:rsidP="000A6314">
            <w:pPr>
              <w:pStyle w:val="Tabletext"/>
              <w:keepNext/>
              <w:keepLines/>
              <w:jc w:val="center"/>
              <w:rPr>
                <w:lang w:eastAsia="en-AU"/>
              </w:rPr>
            </w:pPr>
            <w:r w:rsidRPr="00271560">
              <w:rPr>
                <w:lang w:eastAsia="en-AU"/>
              </w:rPr>
              <w:t>5</w:t>
            </w:r>
          </w:p>
          <w:p w14:paraId="767898D5" w14:textId="77777777" w:rsidR="00AC2298" w:rsidRPr="00271560" w:rsidRDefault="00AC2298" w:rsidP="000A6314">
            <w:pPr>
              <w:pStyle w:val="Tabletext"/>
              <w:keepNext/>
              <w:keepLines/>
              <w:jc w:val="center"/>
              <w:rPr>
                <w:lang w:eastAsia="en-AU"/>
              </w:rPr>
            </w:pPr>
            <w:r w:rsidRPr="00271560">
              <w:rPr>
                <w:lang w:eastAsia="en-AU"/>
              </w:rPr>
              <w:t>(50)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B8C2143"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19E4C0D0" w14:textId="77777777" w:rsidR="00AC2298" w:rsidRPr="00271560" w:rsidRDefault="00AC2298" w:rsidP="000A6314">
            <w:pPr>
              <w:pStyle w:val="Tabletext"/>
              <w:keepNext/>
              <w:keepLines/>
              <w:jc w:val="center"/>
              <w:rPr>
                <w:lang w:eastAsia="en-AU"/>
              </w:rPr>
            </w:pPr>
            <w:r w:rsidRPr="00271560">
              <w:rPr>
                <w:lang w:eastAsia="en-AU"/>
              </w:rPr>
              <w:t>10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5AB40"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79F39"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439FA"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117CB" w14:textId="77777777" w:rsidR="00AC2298" w:rsidRPr="00271560" w:rsidRDefault="00AC2298" w:rsidP="000A6314">
            <w:pPr>
              <w:pStyle w:val="Tabletext"/>
              <w:keepNext/>
              <w:keepLines/>
              <w:jc w:val="center"/>
              <w:rPr>
                <w:lang w:eastAsia="en-AU"/>
              </w:rPr>
            </w:pPr>
            <w:r w:rsidRPr="00271560">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A96C4" w14:textId="77777777" w:rsidR="00AC2298" w:rsidRPr="00271560" w:rsidRDefault="00AC2298" w:rsidP="000A6314">
            <w:pPr>
              <w:pStyle w:val="Tabletext"/>
              <w:keepNext/>
              <w:keepLines/>
              <w:jc w:val="center"/>
              <w:rPr>
                <w:lang w:eastAsia="en-AU"/>
              </w:rPr>
            </w:pPr>
            <w:r w:rsidRPr="00271560">
              <w:rPr>
                <w:lang w:eastAsia="en-AU"/>
              </w:rPr>
              <w:t>10 (100)</w:t>
            </w:r>
          </w:p>
        </w:tc>
      </w:tr>
      <w:tr w:rsidR="00AC2298" w:rsidRPr="00271560" w14:paraId="6CBADD49" w14:textId="77777777" w:rsidTr="00CB2C92">
        <w:trPr>
          <w:trHeight w:val="225"/>
        </w:trPr>
        <w:tc>
          <w:tcPr>
            <w:tcW w:w="2122" w:type="dxa"/>
            <w:tcBorders>
              <w:top w:val="single" w:sz="4" w:space="0" w:color="auto"/>
              <w:left w:val="single" w:sz="4" w:space="0" w:color="auto"/>
              <w:bottom w:val="single" w:sz="4" w:space="0" w:color="auto"/>
              <w:right w:val="single" w:sz="4" w:space="0" w:color="auto"/>
            </w:tcBorders>
            <w:vAlign w:val="center"/>
            <w:hideMark/>
          </w:tcPr>
          <w:p w14:paraId="6FAD30F8" w14:textId="77777777" w:rsidR="00AC2298" w:rsidRPr="00271560" w:rsidRDefault="00AC2298" w:rsidP="000A6314">
            <w:pPr>
              <w:pStyle w:val="Tabletext"/>
              <w:keepNext/>
              <w:keepLines/>
              <w:rPr>
                <w:lang w:eastAsia="en-AU"/>
              </w:rPr>
            </w:pPr>
            <w:r w:rsidRPr="00271560">
              <w:rPr>
                <w:lang w:eastAsia="en-AU"/>
              </w:rPr>
              <w:t xml:space="preserve">Crawling, on hands and knees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C83F7"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69F8DE5"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72136AFF" w14:textId="77777777" w:rsidR="00AC2298" w:rsidRPr="00271560" w:rsidRDefault="00AC2298" w:rsidP="000A6314">
            <w:pPr>
              <w:pStyle w:val="Tabletext"/>
              <w:keepNext/>
              <w:keepLines/>
              <w:jc w:val="center"/>
              <w:rPr>
                <w:lang w:eastAsia="en-AU"/>
              </w:rPr>
            </w:pPr>
            <w:r w:rsidRPr="00271560">
              <w:rPr>
                <w:lang w:eastAsia="en-AU"/>
              </w:rPr>
              <w:t>1</w:t>
            </w:r>
          </w:p>
          <w:p w14:paraId="6DFCAC8C"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11747711" w14:textId="77777777" w:rsidR="00AC2298" w:rsidRPr="00271560" w:rsidRDefault="00AC2298" w:rsidP="000A6314">
            <w:pPr>
              <w:pStyle w:val="Tabletext"/>
              <w:keepNext/>
              <w:keepLines/>
              <w:jc w:val="center"/>
              <w:rPr>
                <w:lang w:eastAsia="en-AU"/>
              </w:rPr>
            </w:pPr>
            <w:r w:rsidRPr="00271560">
              <w:rPr>
                <w:lang w:eastAsia="en-AU"/>
              </w:rPr>
              <w:t>8</w:t>
            </w:r>
          </w:p>
          <w:p w14:paraId="3C08728F" w14:textId="77777777" w:rsidR="00AC2298" w:rsidRPr="00271560" w:rsidRDefault="00AC2298" w:rsidP="000A6314">
            <w:pPr>
              <w:pStyle w:val="Tabletext"/>
              <w:keepNext/>
              <w:keepLines/>
              <w:jc w:val="center"/>
              <w:rPr>
                <w:lang w:eastAsia="en-AU"/>
              </w:rPr>
            </w:pPr>
            <w:r w:rsidRPr="00271560">
              <w:rPr>
                <w:lang w:eastAsia="en-AU"/>
              </w:rPr>
              <w:t>(80)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B1FB84F" w14:textId="77777777" w:rsidR="00AC2298" w:rsidRPr="00271560" w:rsidRDefault="00AC2298" w:rsidP="000A6314">
            <w:pPr>
              <w:pStyle w:val="Tabletext"/>
              <w:keepNext/>
              <w:keepLines/>
              <w:jc w:val="center"/>
              <w:rPr>
                <w:lang w:eastAsia="en-AU"/>
              </w:rPr>
            </w:pPr>
            <w:r w:rsidRPr="00271560">
              <w:rPr>
                <w:lang w:eastAsia="en-AU"/>
              </w:rPr>
              <w:t>9</w:t>
            </w:r>
          </w:p>
          <w:p w14:paraId="7AEE78CD" w14:textId="77777777" w:rsidR="00AC2298" w:rsidRPr="00271560" w:rsidRDefault="00AC2298" w:rsidP="000A6314">
            <w:pPr>
              <w:pStyle w:val="Tabletext"/>
              <w:keepNext/>
              <w:keepLines/>
              <w:jc w:val="center"/>
              <w:rPr>
                <w:lang w:eastAsia="en-AU"/>
              </w:rPr>
            </w:pPr>
            <w:r w:rsidRPr="00271560">
              <w:rPr>
                <w:lang w:eastAsia="en-AU"/>
              </w:rPr>
              <w:t>(90)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D42F7"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EC630"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5EBB6"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0A1DF" w14:textId="77777777" w:rsidR="00AC2298" w:rsidRPr="00271560" w:rsidRDefault="00AC2298" w:rsidP="000A6314">
            <w:pPr>
              <w:pStyle w:val="Tabletext"/>
              <w:keepNext/>
              <w:keepLines/>
              <w:jc w:val="center"/>
              <w:rPr>
                <w:lang w:eastAsia="en-AU"/>
              </w:rPr>
            </w:pPr>
            <w:r w:rsidRPr="00271560">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ED269" w14:textId="77777777" w:rsidR="00AC2298" w:rsidRPr="00271560" w:rsidRDefault="00AC2298" w:rsidP="000A6314">
            <w:pPr>
              <w:pStyle w:val="Tabletext"/>
              <w:keepNext/>
              <w:keepLines/>
              <w:jc w:val="center"/>
              <w:rPr>
                <w:lang w:eastAsia="en-AU"/>
              </w:rPr>
            </w:pPr>
            <w:r w:rsidRPr="00271560">
              <w:rPr>
                <w:lang w:eastAsia="en-AU"/>
              </w:rPr>
              <w:t>10 (100)</w:t>
            </w:r>
          </w:p>
        </w:tc>
      </w:tr>
      <w:tr w:rsidR="00AC2298" w:rsidRPr="00271560" w14:paraId="0C9ED351" w14:textId="77777777" w:rsidTr="00CB2C92">
        <w:trPr>
          <w:trHeight w:val="225"/>
        </w:trPr>
        <w:tc>
          <w:tcPr>
            <w:tcW w:w="2122" w:type="dxa"/>
            <w:tcBorders>
              <w:top w:val="single" w:sz="4" w:space="0" w:color="auto"/>
              <w:left w:val="single" w:sz="4" w:space="0" w:color="auto"/>
              <w:bottom w:val="single" w:sz="4" w:space="0" w:color="auto"/>
              <w:right w:val="single" w:sz="4" w:space="0" w:color="auto"/>
            </w:tcBorders>
            <w:vAlign w:val="center"/>
          </w:tcPr>
          <w:p w14:paraId="57C81CE0" w14:textId="77777777" w:rsidR="00AC2298" w:rsidRPr="00271560" w:rsidRDefault="00AC2298" w:rsidP="000A6314">
            <w:pPr>
              <w:pStyle w:val="Tabletext"/>
              <w:keepNext/>
              <w:keepLines/>
              <w:rPr>
                <w:lang w:eastAsia="en-AU"/>
              </w:rPr>
            </w:pPr>
            <w:r w:rsidRPr="00271560">
              <w:rPr>
                <w:lang w:eastAsia="en-AU"/>
              </w:rPr>
              <w:t>Stands unaided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891D2"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ACEF3F6"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07219EF"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4599926" w14:textId="77777777" w:rsidR="00AC2298" w:rsidRPr="00271560" w:rsidRDefault="00AC2298" w:rsidP="000A6314">
            <w:pPr>
              <w:pStyle w:val="Tabletext"/>
              <w:keepNext/>
              <w:keepLines/>
              <w:jc w:val="center"/>
              <w:rPr>
                <w:lang w:eastAsia="en-AU"/>
              </w:rPr>
            </w:pPr>
            <w:r w:rsidRPr="00271560">
              <w:rPr>
                <w:lang w:eastAsia="en-AU"/>
              </w:rPr>
              <w:t>1</w:t>
            </w:r>
          </w:p>
          <w:p w14:paraId="0C5530E8" w14:textId="77777777" w:rsidR="00AC2298" w:rsidRPr="00271560" w:rsidRDefault="00AC2298" w:rsidP="000A6314">
            <w:pPr>
              <w:pStyle w:val="Tabletext"/>
              <w:keepNext/>
              <w:keepLines/>
              <w:jc w:val="center"/>
              <w:rPr>
                <w:lang w:eastAsia="en-AU"/>
              </w:rPr>
            </w:pPr>
            <w:r w:rsidRPr="00271560">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3B41EF8D" w14:textId="77777777" w:rsidR="00AC2298" w:rsidRPr="00271560" w:rsidRDefault="00AC2298" w:rsidP="000A6314">
            <w:pPr>
              <w:pStyle w:val="Tabletext"/>
              <w:keepNext/>
              <w:keepLines/>
              <w:jc w:val="center"/>
              <w:rPr>
                <w:lang w:eastAsia="en-AU"/>
              </w:rPr>
            </w:pPr>
            <w:r w:rsidRPr="00271560">
              <w:rPr>
                <w:lang w:eastAsia="en-AU"/>
              </w:rPr>
              <w:t>7</w:t>
            </w:r>
          </w:p>
          <w:p w14:paraId="6B8FC1B2" w14:textId="77777777" w:rsidR="00AC2298" w:rsidRPr="00271560" w:rsidRDefault="00AC2298" w:rsidP="000A6314">
            <w:pPr>
              <w:pStyle w:val="Tabletext"/>
              <w:keepNext/>
              <w:keepLines/>
              <w:jc w:val="center"/>
              <w:rPr>
                <w:lang w:eastAsia="en-AU"/>
              </w:rPr>
            </w:pPr>
            <w:r w:rsidRPr="00271560">
              <w:rPr>
                <w:lang w:eastAsia="en-AU"/>
              </w:rPr>
              <w:t>(70)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506C2D4" w14:textId="77777777" w:rsidR="00AC2298" w:rsidRPr="00271560" w:rsidRDefault="00AC2298" w:rsidP="000A6314">
            <w:pPr>
              <w:pStyle w:val="Tabletext"/>
              <w:keepNext/>
              <w:keepLines/>
              <w:jc w:val="center"/>
              <w:rPr>
                <w:lang w:eastAsia="en-AU"/>
              </w:rPr>
            </w:pPr>
            <w:r w:rsidRPr="00271560">
              <w:rPr>
                <w:lang w:eastAsia="en-AU"/>
              </w:rPr>
              <w:t>8</w:t>
            </w:r>
          </w:p>
          <w:p w14:paraId="6F6CE78D" w14:textId="77777777" w:rsidR="00AC2298" w:rsidRPr="00271560" w:rsidRDefault="00AC2298" w:rsidP="000A6314">
            <w:pPr>
              <w:pStyle w:val="Tabletext"/>
              <w:keepNext/>
              <w:keepLines/>
              <w:jc w:val="center"/>
              <w:rPr>
                <w:lang w:eastAsia="en-AU"/>
              </w:rPr>
            </w:pPr>
            <w:r w:rsidRPr="00271560">
              <w:rPr>
                <w:lang w:eastAsia="en-AU"/>
              </w:rPr>
              <w:t>(80)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3FFBF054"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3F3F93C4"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514AA76" w14:textId="77777777" w:rsidR="00AC2298" w:rsidRPr="00271560" w:rsidRDefault="00AC2298" w:rsidP="000A6314">
            <w:pPr>
              <w:pStyle w:val="Tabletext"/>
              <w:keepNext/>
              <w:keepLines/>
              <w:jc w:val="center"/>
              <w:rPr>
                <w:lang w:eastAsia="en-AU"/>
              </w:rPr>
            </w:pPr>
            <w:r w:rsidRPr="00271560">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4DC25B2" w14:textId="77777777" w:rsidR="00AC2298" w:rsidRPr="00271560" w:rsidRDefault="00AC2298" w:rsidP="000A6314">
            <w:pPr>
              <w:pStyle w:val="Tabletext"/>
              <w:keepNext/>
              <w:keepLines/>
              <w:jc w:val="center"/>
              <w:rPr>
                <w:lang w:eastAsia="en-AU"/>
              </w:rPr>
            </w:pPr>
            <w:r w:rsidRPr="00271560">
              <w:rPr>
                <w:lang w:eastAsia="en-AU"/>
              </w:rPr>
              <w:t>10 (100)</w:t>
            </w:r>
          </w:p>
        </w:tc>
      </w:tr>
      <w:tr w:rsidR="00AC2298" w:rsidRPr="0067202A" w14:paraId="2F1898CC" w14:textId="77777777" w:rsidTr="00CB2C92">
        <w:trPr>
          <w:trHeight w:val="218"/>
        </w:trPr>
        <w:tc>
          <w:tcPr>
            <w:tcW w:w="2122" w:type="dxa"/>
            <w:tcBorders>
              <w:top w:val="single" w:sz="4" w:space="0" w:color="auto"/>
              <w:left w:val="single" w:sz="4" w:space="0" w:color="auto"/>
              <w:bottom w:val="single" w:sz="4" w:space="0" w:color="auto"/>
              <w:right w:val="single" w:sz="4" w:space="0" w:color="auto"/>
            </w:tcBorders>
            <w:vAlign w:val="center"/>
            <w:hideMark/>
          </w:tcPr>
          <w:p w14:paraId="441D8000" w14:textId="77777777" w:rsidR="00AC2298" w:rsidRPr="0067202A" w:rsidRDefault="00AC2298" w:rsidP="000A6314">
            <w:pPr>
              <w:pStyle w:val="Tabletext"/>
              <w:keepNext/>
              <w:keepLines/>
              <w:rPr>
                <w:lang w:eastAsia="en-AU"/>
              </w:rPr>
            </w:pPr>
            <w:r w:rsidRPr="0067202A">
              <w:rPr>
                <w:lang w:eastAsia="en-AU"/>
              </w:rPr>
              <w:t>Cruising (walk holding on)</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C454F8" w14:textId="77777777" w:rsidR="00AC2298" w:rsidRPr="0067202A" w:rsidRDefault="00AC2298" w:rsidP="000A6314">
            <w:pPr>
              <w:pStyle w:val="Tabletext"/>
              <w:keepNext/>
              <w:keepLines/>
              <w:jc w:val="center"/>
              <w:rPr>
                <w:iCs/>
                <w:lang w:eastAsia="en-AU"/>
              </w:rPr>
            </w:pPr>
            <w:r w:rsidRPr="0067202A">
              <w:rPr>
                <w:iCs/>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18FC8730" w14:textId="77777777" w:rsidR="00AC2298" w:rsidRPr="0067202A" w:rsidRDefault="00AC2298" w:rsidP="000A6314">
            <w:pPr>
              <w:pStyle w:val="Tabletext"/>
              <w:keepNext/>
              <w:keepLines/>
              <w:jc w:val="center"/>
              <w:rPr>
                <w:lang w:eastAsia="en-AU"/>
              </w:rPr>
            </w:pPr>
            <w:r w:rsidRPr="0067202A">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DAEECA" w14:textId="77777777" w:rsidR="00AC2298" w:rsidRPr="0067202A" w:rsidRDefault="00AC2298" w:rsidP="000A6314">
            <w:pPr>
              <w:pStyle w:val="Tabletext"/>
              <w:keepNext/>
              <w:keepLines/>
              <w:jc w:val="center"/>
              <w:rPr>
                <w:lang w:eastAsia="en-AU"/>
              </w:rPr>
            </w:pPr>
            <w:r w:rsidRPr="0067202A">
              <w:rPr>
                <w:lang w:eastAsia="en-AU"/>
              </w:rPr>
              <w:t>1</w:t>
            </w:r>
          </w:p>
          <w:p w14:paraId="2C07979F" w14:textId="77777777" w:rsidR="00AC2298" w:rsidRPr="0067202A" w:rsidRDefault="00AC2298" w:rsidP="000A6314">
            <w:pPr>
              <w:pStyle w:val="Tabletext"/>
              <w:keepNext/>
              <w:keepLines/>
              <w:jc w:val="center"/>
              <w:rPr>
                <w:lang w:eastAsia="en-AU"/>
              </w:rPr>
            </w:pPr>
            <w:r w:rsidRPr="0067202A">
              <w:rPr>
                <w:lang w:eastAsia="en-AU"/>
              </w:rPr>
              <w:t>(10)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3A50793E" w14:textId="77777777" w:rsidR="00AC2298" w:rsidRPr="0067202A" w:rsidRDefault="00AC2298" w:rsidP="000A6314">
            <w:pPr>
              <w:pStyle w:val="Tabletext"/>
              <w:keepNext/>
              <w:keepLines/>
              <w:jc w:val="center"/>
              <w:rPr>
                <w:lang w:eastAsia="en-AU"/>
              </w:rPr>
            </w:pPr>
            <w:r w:rsidRPr="0067202A">
              <w:rPr>
                <w:lang w:eastAsia="en-AU"/>
              </w:rPr>
              <w:t>7</w:t>
            </w:r>
          </w:p>
          <w:p w14:paraId="3C480821" w14:textId="77777777" w:rsidR="00AC2298" w:rsidRPr="0067202A" w:rsidRDefault="00AC2298" w:rsidP="000A6314">
            <w:pPr>
              <w:pStyle w:val="Tabletext"/>
              <w:keepNext/>
              <w:keepLines/>
              <w:jc w:val="center"/>
              <w:rPr>
                <w:lang w:eastAsia="en-AU"/>
              </w:rPr>
            </w:pPr>
            <w:r w:rsidRPr="0067202A">
              <w:rPr>
                <w:lang w:eastAsia="en-AU"/>
              </w:rPr>
              <w:t>(70)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6CB434" w14:textId="77777777" w:rsidR="00AC2298" w:rsidRPr="0067202A" w:rsidRDefault="00AC2298" w:rsidP="000A6314">
            <w:pPr>
              <w:pStyle w:val="Tabletext"/>
              <w:keepNext/>
              <w:keepLines/>
              <w:jc w:val="center"/>
              <w:rPr>
                <w:lang w:eastAsia="en-AU"/>
              </w:rPr>
            </w:pPr>
            <w:r w:rsidRPr="0067202A">
              <w:rPr>
                <w:lang w:eastAsia="en-AU"/>
              </w:rPr>
              <w:t>10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9FD0B" w14:textId="77777777" w:rsidR="00AC2298" w:rsidRPr="0067202A" w:rsidRDefault="00AC2298" w:rsidP="000A6314">
            <w:pPr>
              <w:pStyle w:val="Tabletext"/>
              <w:keepNext/>
              <w:keepLines/>
              <w:jc w:val="center"/>
              <w:rPr>
                <w:lang w:eastAsia="en-AU"/>
              </w:rPr>
            </w:pPr>
            <w:r w:rsidRPr="0067202A">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7D53C8" w14:textId="77777777" w:rsidR="00AC2298" w:rsidRPr="0067202A" w:rsidRDefault="00AC2298" w:rsidP="000A6314">
            <w:pPr>
              <w:pStyle w:val="Tabletext"/>
              <w:keepNext/>
              <w:keepLines/>
              <w:jc w:val="center"/>
              <w:rPr>
                <w:lang w:eastAsia="en-AU"/>
              </w:rPr>
            </w:pPr>
            <w:r w:rsidRPr="0067202A">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03EFC0" w14:textId="77777777" w:rsidR="00AC2298" w:rsidRPr="0067202A" w:rsidRDefault="00AC2298" w:rsidP="000A6314">
            <w:pPr>
              <w:pStyle w:val="Tabletext"/>
              <w:keepNext/>
              <w:keepLines/>
              <w:jc w:val="center"/>
              <w:rPr>
                <w:lang w:eastAsia="en-AU"/>
              </w:rPr>
            </w:pPr>
            <w:r w:rsidRPr="0067202A">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19F9E" w14:textId="77777777" w:rsidR="00AC2298" w:rsidRPr="0067202A" w:rsidRDefault="00AC2298" w:rsidP="000A6314">
            <w:pPr>
              <w:pStyle w:val="Tabletext"/>
              <w:keepNext/>
              <w:keepLines/>
              <w:jc w:val="center"/>
              <w:rPr>
                <w:lang w:eastAsia="en-AU"/>
              </w:rPr>
            </w:pPr>
            <w:r w:rsidRPr="0067202A">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56ECD" w14:textId="77777777" w:rsidR="00AC2298" w:rsidRPr="0067202A" w:rsidRDefault="00AC2298" w:rsidP="000A6314">
            <w:pPr>
              <w:pStyle w:val="Tabletext"/>
              <w:keepNext/>
              <w:keepLines/>
              <w:jc w:val="center"/>
              <w:rPr>
                <w:lang w:eastAsia="en-AU"/>
              </w:rPr>
            </w:pPr>
            <w:r w:rsidRPr="0067202A">
              <w:rPr>
                <w:lang w:eastAsia="en-AU"/>
              </w:rPr>
              <w:t>10 (100)</w:t>
            </w:r>
          </w:p>
        </w:tc>
      </w:tr>
      <w:tr w:rsidR="00AC2298" w:rsidRPr="00271560" w14:paraId="1B440B13" w14:textId="77777777" w:rsidTr="00CB2C92">
        <w:trPr>
          <w:trHeight w:val="225"/>
        </w:trPr>
        <w:tc>
          <w:tcPr>
            <w:tcW w:w="2122" w:type="dxa"/>
            <w:tcBorders>
              <w:top w:val="single" w:sz="4" w:space="0" w:color="auto"/>
              <w:left w:val="single" w:sz="4" w:space="0" w:color="auto"/>
              <w:bottom w:val="single" w:sz="4" w:space="0" w:color="auto"/>
              <w:right w:val="single" w:sz="4" w:space="0" w:color="auto"/>
            </w:tcBorders>
            <w:vAlign w:val="center"/>
            <w:hideMark/>
          </w:tcPr>
          <w:p w14:paraId="5DAA9A48" w14:textId="77777777" w:rsidR="00AC2298" w:rsidRPr="00271560" w:rsidRDefault="00AC2298" w:rsidP="000A6314">
            <w:pPr>
              <w:pStyle w:val="Tabletext"/>
              <w:keepNext/>
              <w:keepLines/>
              <w:rPr>
                <w:lang w:eastAsia="en-AU"/>
              </w:rPr>
            </w:pPr>
            <w:r w:rsidRPr="00271560">
              <w:rPr>
                <w:lang w:eastAsia="en-AU"/>
              </w:rPr>
              <w:t>Walking independently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DA3A1"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BAB51C5"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66CDD30"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96E667C"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B5E7A0B" w14:textId="77777777" w:rsidR="00AC2298" w:rsidRPr="00271560" w:rsidRDefault="00AC2298" w:rsidP="000A6314">
            <w:pPr>
              <w:pStyle w:val="Tabletext"/>
              <w:keepNext/>
              <w:keepLines/>
              <w:jc w:val="center"/>
              <w:rPr>
                <w:lang w:eastAsia="en-AU"/>
              </w:rPr>
            </w:pPr>
            <w:r w:rsidRPr="00271560">
              <w:rPr>
                <w:lang w:eastAsia="en-AU"/>
              </w:rPr>
              <w:t>5</w:t>
            </w:r>
          </w:p>
          <w:p w14:paraId="427CA70D" w14:textId="77777777" w:rsidR="00AC2298" w:rsidRPr="00271560" w:rsidRDefault="00AC2298" w:rsidP="000A6314">
            <w:pPr>
              <w:pStyle w:val="Tabletext"/>
              <w:keepNext/>
              <w:keepLines/>
              <w:jc w:val="center"/>
              <w:rPr>
                <w:lang w:eastAsia="en-AU"/>
              </w:rPr>
            </w:pPr>
            <w:r w:rsidRPr="00271560">
              <w:rPr>
                <w:lang w:eastAsia="en-AU"/>
              </w:rPr>
              <w:t>(50)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7A42" w14:textId="77777777" w:rsidR="00AC2298" w:rsidRPr="00271560" w:rsidRDefault="00AC2298" w:rsidP="000A6314">
            <w:pPr>
              <w:pStyle w:val="Tabletext"/>
              <w:keepNext/>
              <w:keepLines/>
              <w:jc w:val="center"/>
              <w:rPr>
                <w:lang w:eastAsia="en-AU"/>
              </w:rPr>
            </w:pPr>
            <w:r w:rsidRPr="00271560">
              <w:rPr>
                <w:lang w:eastAsia="en-AU"/>
              </w:rPr>
              <w:t>7</w:t>
            </w:r>
          </w:p>
          <w:p w14:paraId="765C1C53" w14:textId="77777777" w:rsidR="00AC2298" w:rsidRPr="00271560" w:rsidRDefault="00AC2298" w:rsidP="000A6314">
            <w:pPr>
              <w:pStyle w:val="Tabletext"/>
              <w:keepNext/>
              <w:keepLines/>
              <w:jc w:val="center"/>
              <w:rPr>
                <w:lang w:eastAsia="en-AU"/>
              </w:rPr>
            </w:pPr>
            <w:r w:rsidRPr="00271560">
              <w:rPr>
                <w:lang w:eastAsia="en-AU"/>
              </w:rPr>
              <w:t>(70)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7A100"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58CA"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3046B" w14:textId="77777777" w:rsidR="00AC2298" w:rsidRPr="00271560" w:rsidRDefault="00AC2298" w:rsidP="000A6314">
            <w:pPr>
              <w:pStyle w:val="Tabletext"/>
              <w:keepNext/>
              <w:keepLines/>
              <w:jc w:val="center"/>
              <w:rPr>
                <w:lang w:eastAsia="en-AU"/>
              </w:rPr>
            </w:pPr>
            <w:r w:rsidRPr="00271560">
              <w:rPr>
                <w:lang w:eastAsia="en-AU"/>
              </w:rPr>
              <w:t>6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D37D8" w14:textId="77777777" w:rsidR="00AC2298" w:rsidRPr="00271560" w:rsidRDefault="00AC2298" w:rsidP="000A6314">
            <w:pPr>
              <w:pStyle w:val="Tabletext"/>
              <w:keepNext/>
              <w:keepLines/>
              <w:jc w:val="center"/>
              <w:rPr>
                <w:lang w:eastAsia="en-AU"/>
              </w:rPr>
            </w:pPr>
            <w:r w:rsidRPr="00271560">
              <w:rPr>
                <w:lang w:eastAsia="en-AU"/>
              </w:rPr>
              <w:t>10 (100)</w:t>
            </w:r>
          </w:p>
        </w:tc>
      </w:tr>
      <w:tr w:rsidR="00AC2298" w:rsidRPr="00271560" w14:paraId="682D2F2A" w14:textId="77777777" w:rsidTr="00CB2C92">
        <w:trPr>
          <w:trHeight w:val="123"/>
        </w:trPr>
        <w:tc>
          <w:tcPr>
            <w:tcW w:w="2122" w:type="dxa"/>
            <w:tcBorders>
              <w:top w:val="single" w:sz="4" w:space="0" w:color="auto"/>
              <w:left w:val="single" w:sz="4" w:space="0" w:color="auto"/>
              <w:bottom w:val="single" w:sz="4" w:space="0" w:color="auto"/>
              <w:right w:val="single" w:sz="4" w:space="0" w:color="auto"/>
            </w:tcBorders>
            <w:vAlign w:val="center"/>
            <w:hideMark/>
          </w:tcPr>
          <w:p w14:paraId="1C6994D2" w14:textId="77777777" w:rsidR="00AC2298" w:rsidRPr="00271560" w:rsidRDefault="00AC2298" w:rsidP="000A6314">
            <w:pPr>
              <w:pStyle w:val="Tabletext"/>
              <w:keepNext/>
              <w:keepLines/>
              <w:rPr>
                <w:lang w:eastAsia="en-AU"/>
              </w:rPr>
            </w:pPr>
            <w:r w:rsidRPr="00271560">
              <w:rPr>
                <w:lang w:eastAsia="en-AU"/>
              </w:rPr>
              <w:t>Achievement of all of the above</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7F099E"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39A0B742"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A3360B"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15D2062" w14:textId="77777777" w:rsidR="00AC2298" w:rsidRPr="00271560" w:rsidRDefault="00AC2298" w:rsidP="000A6314">
            <w:pPr>
              <w:pStyle w:val="Tabletext"/>
              <w:keepNext/>
              <w:keepLines/>
              <w:jc w:val="center"/>
              <w:rPr>
                <w:lang w:eastAsia="en-AU"/>
              </w:rPr>
            </w:pPr>
            <w:r w:rsidRPr="00271560">
              <w:rPr>
                <w:lang w:eastAsia="en-AU"/>
              </w:rPr>
              <w:t>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B02805" w14:textId="77777777" w:rsidR="00AC2298" w:rsidRPr="00271560" w:rsidRDefault="00AC2298" w:rsidP="000A6314">
            <w:pPr>
              <w:pStyle w:val="Tabletext"/>
              <w:keepNext/>
              <w:keepLines/>
              <w:jc w:val="center"/>
              <w:rPr>
                <w:lang w:eastAsia="en-AU"/>
              </w:rPr>
            </w:pPr>
            <w:r w:rsidRPr="00271560">
              <w:rPr>
                <w:lang w:eastAsia="en-AU"/>
              </w:rPr>
              <w:t>5</w:t>
            </w:r>
          </w:p>
          <w:p w14:paraId="7CFC082D" w14:textId="77777777" w:rsidR="00AC2298" w:rsidRPr="00271560" w:rsidRDefault="00AC2298" w:rsidP="000A6314">
            <w:pPr>
              <w:pStyle w:val="Tabletext"/>
              <w:keepNext/>
              <w:keepLines/>
              <w:jc w:val="center"/>
              <w:rPr>
                <w:lang w:eastAsia="en-AU"/>
              </w:rPr>
            </w:pPr>
            <w:r w:rsidRPr="00271560">
              <w:rPr>
                <w:lang w:eastAsia="en-AU"/>
              </w:rPr>
              <w:t>(50)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2A7AC" w14:textId="77777777" w:rsidR="00AC2298" w:rsidRPr="00271560" w:rsidRDefault="00AC2298" w:rsidP="000A6314">
            <w:pPr>
              <w:pStyle w:val="Tabletext"/>
              <w:keepNext/>
              <w:keepLines/>
              <w:jc w:val="center"/>
              <w:rPr>
                <w:lang w:eastAsia="en-AU"/>
              </w:rPr>
            </w:pPr>
            <w:r w:rsidRPr="00271560">
              <w:rPr>
                <w:lang w:eastAsia="en-AU"/>
              </w:rPr>
              <w:t>7</w:t>
            </w:r>
          </w:p>
          <w:p w14:paraId="0B775F1C" w14:textId="77777777" w:rsidR="00AC2298" w:rsidRPr="00271560" w:rsidRDefault="00AC2298" w:rsidP="000A6314">
            <w:pPr>
              <w:pStyle w:val="Tabletext"/>
              <w:keepNext/>
              <w:keepLines/>
              <w:jc w:val="center"/>
              <w:rPr>
                <w:lang w:eastAsia="en-AU"/>
              </w:rPr>
            </w:pPr>
            <w:r w:rsidRPr="00271560">
              <w:rPr>
                <w:lang w:eastAsia="en-AU"/>
              </w:rPr>
              <w:t>(70)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885EC1"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A80B0B" w14:textId="77777777" w:rsidR="00AC2298" w:rsidRPr="00271560" w:rsidRDefault="00AC2298" w:rsidP="000A6314">
            <w:pPr>
              <w:pStyle w:val="Tabletext"/>
              <w:keepNext/>
              <w:keepLines/>
              <w:jc w:val="center"/>
              <w:rPr>
                <w:lang w:eastAsia="en-AU"/>
              </w:rPr>
            </w:pPr>
            <w:r w:rsidRPr="00271560">
              <w:rPr>
                <w:lang w:eastAsia="en-AU"/>
              </w:rPr>
              <w:t>10 (100)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CABCC" w14:textId="77777777" w:rsidR="00AC2298" w:rsidRPr="00271560" w:rsidRDefault="00AC2298" w:rsidP="000A6314">
            <w:pPr>
              <w:pStyle w:val="Tabletext"/>
              <w:keepNext/>
              <w:keepLines/>
              <w:jc w:val="center"/>
              <w:rPr>
                <w:lang w:eastAsia="en-AU"/>
              </w:rPr>
            </w:pPr>
            <w:r w:rsidRPr="00271560">
              <w:rPr>
                <w:lang w:eastAsia="en-AU"/>
              </w:rPr>
              <w:t>10 (100)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75BE5" w14:textId="77777777" w:rsidR="00AC2298" w:rsidRPr="00271560" w:rsidRDefault="00AC2298" w:rsidP="000A6314">
            <w:pPr>
              <w:pStyle w:val="Tabletext"/>
              <w:keepNext/>
              <w:keepLines/>
              <w:jc w:val="center"/>
              <w:rPr>
                <w:lang w:eastAsia="en-AU"/>
              </w:rPr>
            </w:pPr>
            <w:r w:rsidRPr="00271560">
              <w:rPr>
                <w:lang w:eastAsia="en-AU"/>
              </w:rPr>
              <w:t>10 (100)</w:t>
            </w:r>
          </w:p>
        </w:tc>
      </w:tr>
    </w:tbl>
    <w:p w14:paraId="28774955" w14:textId="77777777" w:rsidR="00AC2298" w:rsidRPr="00271560" w:rsidRDefault="00AC2298" w:rsidP="000A6314">
      <w:pPr>
        <w:pStyle w:val="TableFooter"/>
        <w:keepNext/>
        <w:keepLines/>
      </w:pPr>
      <w:r w:rsidRPr="00271560">
        <w:t>Source: Table 2.22, p94 of the resubmission</w:t>
      </w:r>
    </w:p>
    <w:p w14:paraId="03450B03" w14:textId="77777777" w:rsidR="00AC2298" w:rsidRPr="00271560" w:rsidRDefault="00AC2298" w:rsidP="000A6314">
      <w:pPr>
        <w:pStyle w:val="TableFooter"/>
        <w:keepNext/>
        <w:keepLines/>
      </w:pPr>
      <w:r w:rsidRPr="00271560">
        <w:t>SMA = spinal muscular atrophy; SMN = survival of motor neuron</w:t>
      </w:r>
    </w:p>
    <w:p w14:paraId="0AC4305C" w14:textId="77777777" w:rsidR="00AC2298" w:rsidRPr="00271560" w:rsidRDefault="00AC2298" w:rsidP="000A6314">
      <w:pPr>
        <w:pStyle w:val="TableFooter"/>
        <w:keepNext/>
        <w:keepLines/>
      </w:pPr>
      <w:r w:rsidRPr="00271560">
        <w:t xml:space="preserve">Blue shading indicates data previously considered by the PBAC. </w:t>
      </w:r>
    </w:p>
    <w:p w14:paraId="237FEABB" w14:textId="16EA0885" w:rsidR="00AC2298" w:rsidRPr="00271560" w:rsidRDefault="00AC2298" w:rsidP="000A6314">
      <w:pPr>
        <w:pStyle w:val="TableFooter"/>
        <w:keepNext/>
        <w:keepLines/>
        <w:spacing w:after="120"/>
      </w:pPr>
      <w:r w:rsidRPr="00271560">
        <w:t>For some motor milestones, different sub-characteristics of the HINE motor milestones were previously presented (</w:t>
      </w:r>
      <w:r w:rsidR="0001364A">
        <w:t>e.g.,</w:t>
      </w:r>
      <w:r w:rsidRPr="00271560">
        <w:t xml:space="preserve"> walking – bouncing was presented in July 2019 for patients aged up to 6 months but not in the resubmission) and hence not all earlier data has previously been reviewed. Also, not all data points shown above were in the previous submission.</w:t>
      </w:r>
    </w:p>
    <w:p w14:paraId="6A3D78F3" w14:textId="77777777" w:rsidR="00AC2298" w:rsidRPr="00271560" w:rsidRDefault="00AC2298" w:rsidP="00AC2298">
      <w:pPr>
        <w:rPr>
          <w:snapToGrid w:val="0"/>
          <w:szCs w:val="22"/>
          <w:u w:val="single"/>
          <w:lang w:eastAsia="en-US"/>
        </w:rPr>
      </w:pPr>
      <w:r w:rsidRPr="00271560">
        <w:rPr>
          <w:snapToGrid w:val="0"/>
          <w:szCs w:val="22"/>
          <w:u w:val="single"/>
          <w:lang w:eastAsia="en-US"/>
        </w:rPr>
        <w:t>Naïve indirect comparison</w:t>
      </w:r>
    </w:p>
    <w:p w14:paraId="5356016E" w14:textId="77777777" w:rsidR="00AC2298" w:rsidRPr="00271560" w:rsidRDefault="00AC2298" w:rsidP="00AC2298"/>
    <w:p w14:paraId="2581BC2B" w14:textId="4B66E128" w:rsidR="00AC2298" w:rsidRPr="00271560" w:rsidRDefault="00AC2298" w:rsidP="00AC2298">
      <w:pPr>
        <w:pStyle w:val="3-BodyText"/>
      </w:pPr>
      <w:r w:rsidRPr="00271560">
        <w:t>The resubmission presented a naïve numerical comparison of the results reported in the studies investigating pre</w:t>
      </w:r>
      <w:r w:rsidR="00FC6E29">
        <w:t>-</w:t>
      </w:r>
      <w:r w:rsidRPr="00271560">
        <w:t xml:space="preserve">symptomatic treatment compared to the results of the symptomatic studies in patients with SMA with 3 </w:t>
      </w:r>
      <w:r w:rsidRPr="00271560">
        <w:rPr>
          <w:i/>
          <w:iCs/>
        </w:rPr>
        <w:t>SMN2</w:t>
      </w:r>
      <w:r w:rsidRPr="00271560">
        <w:t xml:space="preserve"> copies</w:t>
      </w:r>
      <w:r w:rsidR="00BA60DC">
        <w:t>.</w:t>
      </w:r>
      <w:r w:rsidRPr="00271560">
        <w:t xml:space="preserve"> No formal statistical comparisons were provided. The resubmission stated that the </w:t>
      </w:r>
      <w:r w:rsidR="003F0F9D">
        <w:t>s</w:t>
      </w:r>
      <w:r w:rsidRPr="00271560">
        <w:t>ponsor acknowledged the limitations of these naïve comparisons; however, these were presented in the resubmission to be informative to the PBAC.</w:t>
      </w:r>
    </w:p>
    <w:p w14:paraId="7D1C83FA" w14:textId="6A07FA97" w:rsidR="00AC2298" w:rsidRPr="00271560" w:rsidRDefault="00AC2298" w:rsidP="00AC2298">
      <w:pPr>
        <w:pStyle w:val="3-BodyText"/>
      </w:pPr>
      <w:r w:rsidRPr="00271560">
        <w:t>For the previous submission in July 2019, the PBAC noted that the comparison of pre-symptomatic treatment to symptomatic treatment was informed by a naive indirect comparison with multiple transitivity issues and was considered unlikely to be meaningful or reliable (paragraph 6.26, nusinersen PSD, July 2019</w:t>
      </w:r>
      <w:r w:rsidR="009B236F">
        <w:t xml:space="preserve"> PBAC meeting</w:t>
      </w:r>
      <w:r w:rsidRPr="00271560">
        <w:t xml:space="preserve">). </w:t>
      </w:r>
      <w:r w:rsidRPr="0067202A">
        <w:rPr>
          <w:iCs/>
        </w:rPr>
        <w:t>Even though a new set of comparator studies were used in the naïve comparison in the resubmission (instead of CHERISH and ENDEAR, which were excluded in the resubmission), substantial transitivity and applicability issues remain</w:t>
      </w:r>
      <w:r w:rsidR="00B3439E" w:rsidRPr="0067202A">
        <w:rPr>
          <w:iCs/>
        </w:rPr>
        <w:t>,</w:t>
      </w:r>
      <w:r w:rsidRPr="0067202A">
        <w:rPr>
          <w:iCs/>
        </w:rPr>
        <w:t xml:space="preserve"> and the results were likely biased in favour of pre</w:t>
      </w:r>
      <w:r w:rsidR="00B3439E" w:rsidRPr="0067202A">
        <w:rPr>
          <w:iCs/>
        </w:rPr>
        <w:t>-</w:t>
      </w:r>
      <w:r w:rsidRPr="0067202A">
        <w:rPr>
          <w:iCs/>
        </w:rPr>
        <w:t xml:space="preserve">symptomatic treatment. As such, the </w:t>
      </w:r>
      <w:r w:rsidR="0001364A">
        <w:rPr>
          <w:iCs/>
        </w:rPr>
        <w:t xml:space="preserve">evaluation considered the </w:t>
      </w:r>
      <w:r w:rsidRPr="0067202A">
        <w:rPr>
          <w:iCs/>
        </w:rPr>
        <w:t xml:space="preserve">indirect analysis should be interpreted with caution and overall, was unlikely to provide meaningful or accurate information on the magnitude of the incremental benefit of early treatment with nusinersen versus the treatment following symptom onset in the proposed population. The resubmission did not </w:t>
      </w:r>
      <w:r w:rsidRPr="0067202A">
        <w:rPr>
          <w:iCs/>
        </w:rPr>
        <w:lastRenderedPageBreak/>
        <w:t>provide any quantitative estimates of the incremental benefit (potentially) associated with pre-symptomatic treatment compared to symptomatic treatment.</w:t>
      </w:r>
      <w:r w:rsidRPr="00271560">
        <w:t xml:space="preserve"> </w:t>
      </w:r>
    </w:p>
    <w:p w14:paraId="3359E306" w14:textId="4F255E9A" w:rsidR="00815687" w:rsidRPr="00BA60DC" w:rsidRDefault="00815687" w:rsidP="00AC2298">
      <w:pPr>
        <w:pStyle w:val="3-BodyText"/>
        <w:rPr>
          <w:iCs/>
        </w:rPr>
      </w:pPr>
      <w:r w:rsidRPr="0067202A">
        <w:rPr>
          <w:iCs/>
        </w:rPr>
        <w:t xml:space="preserve">The </w:t>
      </w:r>
      <w:r w:rsidR="0001364A">
        <w:rPr>
          <w:iCs/>
        </w:rPr>
        <w:t xml:space="preserve">evaluation considered that the </w:t>
      </w:r>
      <w:r w:rsidRPr="0067202A">
        <w:rPr>
          <w:iCs/>
        </w:rPr>
        <w:t xml:space="preserve">use of studies </w:t>
      </w:r>
      <w:r w:rsidR="0001364A">
        <w:rPr>
          <w:iCs/>
        </w:rPr>
        <w:t>that</w:t>
      </w:r>
      <w:r w:rsidRPr="0067202A">
        <w:rPr>
          <w:iCs/>
        </w:rPr>
        <w:t xml:space="preserve"> included symptomatic treatment of SMA with nusinersen to inform SoC was likely unreasonable. Given the introduction of NBS, patients who have SMA and 3 copies of </w:t>
      </w:r>
      <w:r w:rsidRPr="0067202A">
        <w:rPr>
          <w:i/>
        </w:rPr>
        <w:t>SMN2</w:t>
      </w:r>
      <w:r w:rsidRPr="0067202A">
        <w:rPr>
          <w:iCs/>
        </w:rPr>
        <w:t xml:space="preserve"> but have not developed symptoms will likely be much more closely monitored for symptoms (as this would allow patients to begin active treatment) than in the symptomatic treatment studies. This means that in the proposed PBS population, the delay in treatment will likely be shorter (and therefore associated with better outcomes) than in the included symptomatic studies. Therefore, using results from the symptomatic treatment studies to represent current SoC would likely bias the results against the current SoC in the proposed PBS population and favour pre-symptomatic treatment. The PBAC has previously noted this issue in the consideration of onasemnogene </w:t>
      </w:r>
      <w:r w:rsidRPr="00BA60DC">
        <w:rPr>
          <w:iCs/>
        </w:rPr>
        <w:t>abeparvovec for pre-symptomatic treatment of SMA (paragraph 7.5, onasemnogene abeparvovec PSD, November 2022).</w:t>
      </w:r>
      <w:r w:rsidR="0001364A" w:rsidRPr="00BA60DC">
        <w:rPr>
          <w:iCs/>
        </w:rPr>
        <w:t xml:space="preserve"> </w:t>
      </w:r>
      <w:r w:rsidR="00F2018D" w:rsidRPr="00FC6A86">
        <w:rPr>
          <w:iCs/>
        </w:rPr>
        <w:t>The ESC noted this potential source of bias and agreed with the evaluation that this likely biased the results against the current SoC.</w:t>
      </w:r>
    </w:p>
    <w:p w14:paraId="3BB61D36" w14:textId="236CB18B" w:rsidR="00E03723" w:rsidRPr="00BA60DC" w:rsidRDefault="00860640" w:rsidP="00E03723">
      <w:pPr>
        <w:pStyle w:val="3-BodyText"/>
        <w:rPr>
          <w:i/>
        </w:rPr>
      </w:pPr>
      <w:bookmarkStart w:id="45" w:name="_Ref132656897"/>
      <w:r w:rsidRPr="00BA60DC">
        <w:t xml:space="preserve">Additionally, there may be </w:t>
      </w:r>
      <w:r w:rsidR="00DA473E" w:rsidRPr="00BA60DC">
        <w:t>difference in the likely phenotype of patients enrolled in the pre-symptomatic studies with the symptomatic studies</w:t>
      </w:r>
      <w:r w:rsidR="00E03723" w:rsidRPr="00BA60DC">
        <w:t xml:space="preserve">. The clinical course of patients with 3 copies of </w:t>
      </w:r>
      <w:r w:rsidR="00E03723" w:rsidRPr="00A143F7">
        <w:rPr>
          <w:i/>
          <w:iCs/>
        </w:rPr>
        <w:t>SMN2</w:t>
      </w:r>
      <w:r w:rsidR="00E03723" w:rsidRPr="00BA60DC">
        <w:t xml:space="preserve"> enrolled</w:t>
      </w:r>
      <w:r w:rsidR="00E03723" w:rsidRPr="00BA60DC">
        <w:rPr>
          <w:iCs/>
        </w:rPr>
        <w:t xml:space="preserve"> in pre-symptomatic studies was unknown and could include a wide spectrum of phenotypes, owing to the 3 copies of </w:t>
      </w:r>
      <w:r w:rsidR="00E03723" w:rsidRPr="00BA60DC">
        <w:rPr>
          <w:i/>
        </w:rPr>
        <w:t>SMN2</w:t>
      </w:r>
      <w:r w:rsidR="00E03723" w:rsidRPr="00BA60DC">
        <w:rPr>
          <w:iCs/>
        </w:rPr>
        <w:t xml:space="preserve"> being an imperfect prognostic factor as discussed by the MSAC (</w:t>
      </w:r>
      <w:r w:rsidR="0001364A" w:rsidRPr="00BA60DC">
        <w:rPr>
          <w:iCs/>
        </w:rPr>
        <w:t>i.e.,</w:t>
      </w:r>
      <w:r w:rsidR="00E03723" w:rsidRPr="00BA60DC">
        <w:rPr>
          <w:iCs/>
        </w:rPr>
        <w:t xml:space="preserve"> it was unclear whether the patients would have otherwise developed any of the SMA types I-IV without pre-symptomatic treatment). Comparatively, patients enrolled in the symptomatic studies have a known SMA phenotype</w:t>
      </w:r>
      <w:r w:rsidR="00192F84">
        <w:rPr>
          <w:iCs/>
        </w:rPr>
        <w:t>,</w:t>
      </w:r>
      <w:r w:rsidR="00E03723" w:rsidRPr="00BA60DC">
        <w:rPr>
          <w:iCs/>
        </w:rPr>
        <w:t xml:space="preserve"> which was likely more severe (</w:t>
      </w:r>
      <w:r w:rsidR="0001364A" w:rsidRPr="00BA60DC">
        <w:rPr>
          <w:iCs/>
        </w:rPr>
        <w:t>i.e.,</w:t>
      </w:r>
      <w:r w:rsidR="00E03723" w:rsidRPr="00BA60DC">
        <w:rPr>
          <w:iCs/>
        </w:rPr>
        <w:t xml:space="preserve"> primarily SMA </w:t>
      </w:r>
      <w:r w:rsidR="009C795A" w:rsidRPr="00BA60DC">
        <w:rPr>
          <w:iCs/>
        </w:rPr>
        <w:t>t</w:t>
      </w:r>
      <w:r w:rsidR="00E03723" w:rsidRPr="00BA60DC">
        <w:rPr>
          <w:iCs/>
        </w:rPr>
        <w:t>ypes I-IIIa) than patients enrolled the pre-symptomatic studies, leading to a bias in favour of the pre-symptomatic studies.</w:t>
      </w:r>
      <w:bookmarkEnd w:id="45"/>
      <w:r w:rsidR="0001364A" w:rsidRPr="00BA60DC">
        <w:rPr>
          <w:iCs/>
        </w:rPr>
        <w:t xml:space="preserve"> </w:t>
      </w:r>
    </w:p>
    <w:p w14:paraId="7CA00B19" w14:textId="5C1109A1" w:rsidR="00AC2298" w:rsidRPr="00271560" w:rsidRDefault="00AC2298" w:rsidP="00AC2298">
      <w:pPr>
        <w:pStyle w:val="3-BodyText"/>
      </w:pPr>
      <w:r w:rsidRPr="00BA60DC">
        <w:t xml:space="preserve">None of the patients with an </w:t>
      </w:r>
      <w:r w:rsidRPr="00BA60DC">
        <w:rPr>
          <w:i/>
          <w:iCs/>
        </w:rPr>
        <w:t>SMN2</w:t>
      </w:r>
      <w:r w:rsidRPr="00BA60DC">
        <w:t xml:space="preserve"> copy number of 3 died in any of the included studies reporting pre</w:t>
      </w:r>
      <w:r w:rsidRPr="00271560">
        <w:t xml:space="preserve">-symptomatic treatment. Similarly, none of the symptomatic treatment studies reported any death or permanent ventilation among patients with 3 </w:t>
      </w:r>
      <w:r w:rsidRPr="00192F84">
        <w:rPr>
          <w:i/>
          <w:iCs/>
        </w:rPr>
        <w:t>SMN2</w:t>
      </w:r>
      <w:r w:rsidRPr="00271560">
        <w:t xml:space="preserve"> copies who were treated after symptom onset.</w:t>
      </w:r>
    </w:p>
    <w:p w14:paraId="22D6ABEE" w14:textId="1E65506D" w:rsidR="00AC2298" w:rsidRPr="00A143F7" w:rsidRDefault="00AC2298" w:rsidP="003128A5">
      <w:pPr>
        <w:pStyle w:val="3-BodyText"/>
        <w:rPr>
          <w:iCs/>
        </w:rPr>
      </w:pPr>
      <w:r w:rsidRPr="00271560">
        <w:t xml:space="preserve">The resubmission presented a comparison of the HINE-2 data in NURTURE with the corresponding HINE-2 scores derived from EMBRACE, CS3A and Aragon-Gawinska 2018. The resubmission claimed that whilst limited to a numerical comparison, the graph demonstrates that early treatment with nusinersen prior to the onset of symptoms yields </w:t>
      </w:r>
      <w:r w:rsidRPr="00FC6E29">
        <w:t>favourable outcomes</w:t>
      </w:r>
      <w:r w:rsidRPr="00397DF9">
        <w:rPr>
          <w:iCs/>
        </w:rPr>
        <w:t>. Overall, irrespective of whether patients were treated pre</w:t>
      </w:r>
      <w:r w:rsidR="009C795A" w:rsidRPr="00397DF9">
        <w:rPr>
          <w:iCs/>
        </w:rPr>
        <w:t>-</w:t>
      </w:r>
      <w:r w:rsidRPr="00397DF9">
        <w:rPr>
          <w:iCs/>
        </w:rPr>
        <w:t>symptomatic</w:t>
      </w:r>
      <w:r w:rsidR="009C795A" w:rsidRPr="00397DF9">
        <w:rPr>
          <w:iCs/>
        </w:rPr>
        <w:t>ally</w:t>
      </w:r>
      <w:r w:rsidRPr="00397DF9">
        <w:rPr>
          <w:iCs/>
        </w:rPr>
        <w:t xml:space="preserve"> or after symptom development, it appears that treatment with nusinersen will improve HINE</w:t>
      </w:r>
      <w:r w:rsidR="00426141" w:rsidRPr="00397DF9">
        <w:rPr>
          <w:iCs/>
        </w:rPr>
        <w:t>-</w:t>
      </w:r>
      <w:r w:rsidRPr="00397DF9">
        <w:rPr>
          <w:iCs/>
        </w:rPr>
        <w:t>2</w:t>
      </w:r>
      <w:r w:rsidR="009C23D8" w:rsidRPr="00397DF9">
        <w:rPr>
          <w:iCs/>
        </w:rPr>
        <w:t xml:space="preserve"> (</w:t>
      </w:r>
      <w:r w:rsidR="009C23D8" w:rsidRPr="00397DF9">
        <w:rPr>
          <w:iCs/>
        </w:rPr>
        <w:fldChar w:fldCharType="begin" w:fldLock="1"/>
      </w:r>
      <w:r w:rsidR="009C23D8" w:rsidRPr="00397DF9">
        <w:rPr>
          <w:iCs/>
        </w:rPr>
        <w:instrText xml:space="preserve"> REF _Ref132650074 \h  \* MERGEFORMAT </w:instrText>
      </w:r>
      <w:r w:rsidR="009C23D8" w:rsidRPr="00397DF9">
        <w:rPr>
          <w:iCs/>
        </w:rPr>
      </w:r>
      <w:r w:rsidR="009C23D8" w:rsidRPr="00397DF9">
        <w:rPr>
          <w:iCs/>
        </w:rPr>
        <w:fldChar w:fldCharType="separate"/>
      </w:r>
      <w:r w:rsidR="00016BA6" w:rsidRPr="00397DF9">
        <w:rPr>
          <w:iCs/>
        </w:rPr>
        <w:t>Figure 2</w:t>
      </w:r>
      <w:r w:rsidR="009C23D8" w:rsidRPr="00397DF9">
        <w:rPr>
          <w:iCs/>
        </w:rPr>
        <w:fldChar w:fldCharType="end"/>
      </w:r>
      <w:r w:rsidR="009C23D8" w:rsidRPr="00397DF9">
        <w:rPr>
          <w:iCs/>
        </w:rPr>
        <w:t>)</w:t>
      </w:r>
      <w:r w:rsidRPr="00397DF9">
        <w:rPr>
          <w:iCs/>
        </w:rPr>
        <w:t>.</w:t>
      </w:r>
      <w:r w:rsidR="00596203" w:rsidRPr="00397DF9">
        <w:rPr>
          <w:iCs/>
        </w:rPr>
        <w:t xml:space="preserve"> </w:t>
      </w:r>
      <w:r w:rsidR="00397DF9" w:rsidRPr="00A143F7">
        <w:rPr>
          <w:iCs/>
        </w:rPr>
        <w:t>The ESC noted that these results indicated that studies where treatment initiation was close to symptom onset (e.g.</w:t>
      </w:r>
      <w:r w:rsidR="00B27BB6">
        <w:rPr>
          <w:iCs/>
        </w:rPr>
        <w:t>,</w:t>
      </w:r>
      <w:r w:rsidR="00397DF9" w:rsidRPr="00A143F7">
        <w:rPr>
          <w:iCs/>
        </w:rPr>
        <w:t xml:space="preserve"> CS3A) had a trajectory of disease progression closer to that seen with pre-symptomatic treatment compared to where there was a longer delay (e.g.</w:t>
      </w:r>
      <w:r w:rsidR="00A143F7">
        <w:rPr>
          <w:iCs/>
        </w:rPr>
        <w:t>,</w:t>
      </w:r>
      <w:r w:rsidR="00397DF9" w:rsidRPr="00A143F7">
        <w:rPr>
          <w:iCs/>
        </w:rPr>
        <w:t xml:space="preserve"> EMBRACE). This supports the hypothesis that with NBS, which is likely to result in very early </w:t>
      </w:r>
      <w:r w:rsidR="00397DF9" w:rsidRPr="00A143F7">
        <w:rPr>
          <w:iCs/>
        </w:rPr>
        <w:lastRenderedPageBreak/>
        <w:t xml:space="preserve">initiation of treatment once symptoms </w:t>
      </w:r>
      <w:r w:rsidR="0016461C" w:rsidRPr="00A143F7">
        <w:rPr>
          <w:iCs/>
        </w:rPr>
        <w:t>are</w:t>
      </w:r>
      <w:r w:rsidR="00397DF9" w:rsidRPr="00A143F7">
        <w:rPr>
          <w:iCs/>
        </w:rPr>
        <w:t xml:space="preserve"> identified, a small difference compared with pre-symptomatic treatment is likely.</w:t>
      </w:r>
    </w:p>
    <w:p w14:paraId="6BA4E5DC" w14:textId="495E8C22" w:rsidR="009C23D8" w:rsidRPr="00271560" w:rsidRDefault="009C23D8" w:rsidP="009C23D8">
      <w:pPr>
        <w:pStyle w:val="Caption"/>
      </w:pPr>
      <w:bookmarkStart w:id="46" w:name="_Ref132650074"/>
      <w:r w:rsidRPr="00271560">
        <w:t xml:space="preserve">Figure </w:t>
      </w:r>
      <w:fldSimple w:instr=" SEQ Figure \* ARABIC " w:fldLock="1">
        <w:r w:rsidR="00016BA6">
          <w:rPr>
            <w:noProof/>
          </w:rPr>
          <w:t>2</w:t>
        </w:r>
      </w:fldSimple>
      <w:bookmarkEnd w:id="46"/>
      <w:r w:rsidRPr="00271560">
        <w:t xml:space="preserve">: Indirect comparison - Change in HINE-2 scores over time, patients with SMA with 3 copies of </w:t>
      </w:r>
      <w:r w:rsidRPr="00271560">
        <w:rPr>
          <w:i/>
          <w:iCs/>
        </w:rPr>
        <w:t>SMN2</w:t>
      </w:r>
    </w:p>
    <w:p w14:paraId="3013290D" w14:textId="77777777" w:rsidR="009C23D8" w:rsidRPr="00271560" w:rsidRDefault="009C23D8" w:rsidP="009C23D8">
      <w:pPr>
        <w:keepNext/>
        <w:keepLines/>
      </w:pPr>
      <w:r w:rsidRPr="00271560">
        <w:rPr>
          <w:noProof/>
        </w:rPr>
        <w:drawing>
          <wp:inline distT="0" distB="0" distL="0" distR="0" wp14:anchorId="497C8ADC" wp14:editId="290D42B9">
            <wp:extent cx="5166360" cy="2647905"/>
            <wp:effectExtent l="0" t="0" r="0" b="635"/>
            <wp:docPr id="12" name="Picture 12" descr="Figure 2: Indirect comparison - Change in HINE-2 scores over time, patients with SMA with 3 copies of SM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2: Indirect comparison - Change in HINE-2 scores over time, patients with SMA with 3 copies of SMN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0925" cy="2680996"/>
                    </a:xfrm>
                    <a:prstGeom prst="rect">
                      <a:avLst/>
                    </a:prstGeom>
                    <a:noFill/>
                  </pic:spPr>
                </pic:pic>
              </a:graphicData>
            </a:graphic>
          </wp:inline>
        </w:drawing>
      </w:r>
    </w:p>
    <w:p w14:paraId="6A1AA293" w14:textId="77777777" w:rsidR="009C23D8" w:rsidRPr="00271560" w:rsidRDefault="009C23D8" w:rsidP="009C23D8">
      <w:pPr>
        <w:pStyle w:val="TableFooter"/>
        <w:keepNext/>
        <w:keepLines/>
        <w:rPr>
          <w:rFonts w:eastAsia="Arial"/>
          <w:szCs w:val="18"/>
        </w:rPr>
      </w:pPr>
      <w:r w:rsidRPr="00271560">
        <w:rPr>
          <w:rFonts w:eastAsia="Arial"/>
          <w:szCs w:val="18"/>
        </w:rPr>
        <w:t>Source: Figure 2.14, p112 of the resubmission</w:t>
      </w:r>
    </w:p>
    <w:p w14:paraId="1ADBCCDA" w14:textId="77777777" w:rsidR="009C23D8" w:rsidRPr="00271560" w:rsidRDefault="009C23D8" w:rsidP="009C23D8">
      <w:pPr>
        <w:pStyle w:val="TableFooter"/>
        <w:keepNext/>
        <w:keepLines/>
        <w:rPr>
          <w:rFonts w:eastAsia="Arial"/>
          <w:szCs w:val="18"/>
        </w:rPr>
      </w:pPr>
      <w:r w:rsidRPr="00271560">
        <w:rPr>
          <w:rFonts w:eastAsia="Arial"/>
          <w:szCs w:val="18"/>
        </w:rPr>
        <w:t>Notes: (1) NURTURE data represents pre-symptomatic treatment; general population represent unaffected children; all other studies represent symptomatic treatment; (2) Data for general population from Haataja 1999.</w:t>
      </w:r>
    </w:p>
    <w:p w14:paraId="7D4E8CCD" w14:textId="77777777" w:rsidR="009C23D8" w:rsidRPr="00271560" w:rsidRDefault="009C23D8" w:rsidP="00266B11">
      <w:pPr>
        <w:pStyle w:val="TableFooter"/>
        <w:keepNext/>
        <w:keepLines/>
        <w:spacing w:after="120"/>
        <w:rPr>
          <w:rFonts w:eastAsia="Arial" w:cs="Times New Roman"/>
          <w:szCs w:val="18"/>
        </w:rPr>
      </w:pPr>
      <w:r w:rsidRPr="00271560">
        <w:rPr>
          <w:szCs w:val="18"/>
        </w:rPr>
        <w:t>HINE = Hammersmith Infant Neurological Examination;</w:t>
      </w:r>
      <w:r w:rsidRPr="00271560">
        <w:rPr>
          <w:rFonts w:eastAsia="Arial" w:cs="Times New Roman"/>
          <w:szCs w:val="18"/>
        </w:rPr>
        <w:t xml:space="preserve"> SMA = spinal muscular atrophy; SMN = survival of motor neuron</w:t>
      </w:r>
    </w:p>
    <w:p w14:paraId="208E8807" w14:textId="292F49F6" w:rsidR="00AC2298" w:rsidRPr="0067202A" w:rsidRDefault="00AC2298" w:rsidP="00AC2298">
      <w:pPr>
        <w:pStyle w:val="3-BodyText"/>
        <w:rPr>
          <w:iCs/>
        </w:rPr>
      </w:pPr>
      <w:r w:rsidRPr="00271560">
        <w:t>A summary of the motor milestones achieved across all studies included in the indirect treatment comparison was provided</w:t>
      </w:r>
      <w:r w:rsidR="00426141" w:rsidRPr="00271560">
        <w:t xml:space="preserve"> in the </w:t>
      </w:r>
      <w:r w:rsidR="00E27B0B" w:rsidRPr="00271560">
        <w:t>re</w:t>
      </w:r>
      <w:r w:rsidR="00426141" w:rsidRPr="00271560">
        <w:t>submission</w:t>
      </w:r>
      <w:r w:rsidRPr="00271560">
        <w:t xml:space="preserve">. The resubmission acknowledged that the instruments and definitions of motor milestone attainment varied between studies and therefore may not be comparable and that variation exists between the studies with regard to the duration of disease prior to initiation of treatment. </w:t>
      </w:r>
      <w:r w:rsidRPr="0067202A">
        <w:rPr>
          <w:iCs/>
        </w:rPr>
        <w:t>Due to the differences in motor milestone attainment methods and the variation in patient age and duration of disease prior to treatment, it was difficult to draw conclusions from the data.</w:t>
      </w:r>
    </w:p>
    <w:p w14:paraId="170541B9" w14:textId="77777777" w:rsidR="00AC2298" w:rsidRPr="00271560" w:rsidRDefault="00AC2298" w:rsidP="00AC2298">
      <w:pPr>
        <w:pStyle w:val="4-SubsectionHeading"/>
      </w:pPr>
      <w:bookmarkStart w:id="47" w:name="_Toc22897642"/>
      <w:bookmarkStart w:id="48" w:name="_Toc132629058"/>
      <w:bookmarkStart w:id="49" w:name="_Toc135214663"/>
      <w:r w:rsidRPr="00271560">
        <w:t>Comparative harms</w:t>
      </w:r>
      <w:bookmarkEnd w:id="47"/>
      <w:bookmarkEnd w:id="48"/>
      <w:bookmarkEnd w:id="49"/>
    </w:p>
    <w:p w14:paraId="3FB70D21" w14:textId="57D81E8B" w:rsidR="00AC2298" w:rsidRPr="00271560" w:rsidRDefault="00AC2298" w:rsidP="00AC2298">
      <w:pPr>
        <w:pStyle w:val="3-BodyText"/>
      </w:pPr>
      <w:r w:rsidRPr="00271560">
        <w:t xml:space="preserve">Of the included studies for pre-symptomatic treatment with nusinersen, NURTURE was the only study that reported safety of pre-symptomatic treatment with nusinersen. Safety data for NURTURE is presented in </w:t>
      </w:r>
      <w:r w:rsidRPr="00271560">
        <w:fldChar w:fldCharType="begin" w:fldLock="1"/>
      </w:r>
      <w:r w:rsidRPr="00271560">
        <w:instrText xml:space="preserve"> REF _Ref132548836 \h </w:instrText>
      </w:r>
      <w:r w:rsidRPr="00271560">
        <w:fldChar w:fldCharType="separate"/>
      </w:r>
      <w:r w:rsidR="00016BA6" w:rsidRPr="00271560">
        <w:t xml:space="preserve">Table </w:t>
      </w:r>
      <w:r w:rsidR="00016BA6">
        <w:rPr>
          <w:noProof/>
        </w:rPr>
        <w:t>11</w:t>
      </w:r>
      <w:r w:rsidRPr="00271560">
        <w:fldChar w:fldCharType="end"/>
      </w:r>
      <w:r w:rsidRPr="00271560">
        <w:t>.</w:t>
      </w:r>
    </w:p>
    <w:p w14:paraId="6C7F8A4B" w14:textId="16BFA420" w:rsidR="00AC2298" w:rsidRPr="00271560" w:rsidRDefault="00AC2298" w:rsidP="004E6B05">
      <w:pPr>
        <w:pStyle w:val="Caption"/>
        <w:rPr>
          <w:szCs w:val="20"/>
        </w:rPr>
      </w:pPr>
      <w:bookmarkStart w:id="50" w:name="_Ref132548836"/>
      <w:r w:rsidRPr="00271560">
        <w:lastRenderedPageBreak/>
        <w:t xml:space="preserve">Table </w:t>
      </w:r>
      <w:fldSimple w:instr=" SEQ Table \* ARABIC " w:fldLock="1">
        <w:r w:rsidR="00016BA6">
          <w:rPr>
            <w:noProof/>
          </w:rPr>
          <w:t>11</w:t>
        </w:r>
      </w:fldSimple>
      <w:bookmarkEnd w:id="50"/>
      <w:r w:rsidRPr="00271560">
        <w:t>:</w:t>
      </w:r>
      <w:r w:rsidRPr="00271560">
        <w:rPr>
          <w:szCs w:val="20"/>
        </w:rPr>
        <w:tab/>
        <w:t>Summary of adverse events in NURTURE – ITT Set</w:t>
      </w:r>
      <w:r w:rsidRPr="00271560">
        <w:rPr>
          <w:szCs w:val="20"/>
          <w:vertAlign w:val="superscript"/>
        </w:rPr>
        <w:t>a</w:t>
      </w:r>
    </w:p>
    <w:tbl>
      <w:tblPr>
        <w:tblStyle w:val="ASDTable1"/>
        <w:tblW w:w="5000" w:type="pct"/>
        <w:tblInd w:w="0" w:type="dxa"/>
        <w:tblLook w:val="04A0" w:firstRow="1" w:lastRow="0" w:firstColumn="1" w:lastColumn="0" w:noHBand="0" w:noVBand="1"/>
        <w:tblCaption w:val="Table 11: Summary of adverse events in NURTURE – ITT Seta"/>
      </w:tblPr>
      <w:tblGrid>
        <w:gridCol w:w="5851"/>
        <w:gridCol w:w="1201"/>
        <w:gridCol w:w="1051"/>
        <w:gridCol w:w="913"/>
      </w:tblGrid>
      <w:tr w:rsidR="00AC2298" w:rsidRPr="00271560" w14:paraId="27C96BAF"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tcPr>
          <w:p w14:paraId="73E9613E" w14:textId="77777777" w:rsidR="00AC2298" w:rsidRPr="00271560" w:rsidRDefault="00AC2298" w:rsidP="004E6B05">
            <w:pPr>
              <w:pStyle w:val="In-tableHeading"/>
              <w:keepLines/>
              <w:rPr>
                <w:lang w:val="en-AU"/>
              </w:rPr>
            </w:pPr>
          </w:p>
        </w:tc>
        <w:tc>
          <w:tcPr>
            <w:tcW w:w="1134" w:type="dxa"/>
            <w:tcBorders>
              <w:top w:val="single" w:sz="4" w:space="0" w:color="auto"/>
              <w:left w:val="single" w:sz="4" w:space="0" w:color="auto"/>
              <w:bottom w:val="single" w:sz="4" w:space="0" w:color="auto"/>
              <w:right w:val="single" w:sz="4" w:space="0" w:color="auto"/>
            </w:tcBorders>
            <w:vAlign w:val="center"/>
          </w:tcPr>
          <w:p w14:paraId="5B448D6B" w14:textId="77777777" w:rsidR="00AC2298" w:rsidRPr="00271560" w:rsidRDefault="00AC2298" w:rsidP="004E6B05">
            <w:pPr>
              <w:pStyle w:val="In-tableHeading"/>
              <w:keepLines/>
              <w:jc w:val="center"/>
              <w:rPr>
                <w:lang w:val="en-AU"/>
              </w:rPr>
            </w:pPr>
            <w:r w:rsidRPr="00271560">
              <w:rPr>
                <w:lang w:val="en-AU"/>
              </w:rPr>
              <w:t xml:space="preserve">2 </w:t>
            </w:r>
            <w:r w:rsidRPr="00271560">
              <w:rPr>
                <w:i/>
                <w:iCs/>
                <w:lang w:val="en-AU"/>
              </w:rPr>
              <w:t>SMN2</w:t>
            </w:r>
            <w:r w:rsidRPr="00271560">
              <w:rPr>
                <w:lang w:val="en-AU"/>
              </w:rPr>
              <w:t xml:space="preserve"> copies</w:t>
            </w:r>
          </w:p>
        </w:tc>
        <w:tc>
          <w:tcPr>
            <w:tcW w:w="992" w:type="dxa"/>
            <w:tcBorders>
              <w:top w:val="single" w:sz="4" w:space="0" w:color="auto"/>
              <w:left w:val="single" w:sz="4" w:space="0" w:color="auto"/>
              <w:bottom w:val="single" w:sz="4" w:space="0" w:color="auto"/>
              <w:right w:val="single" w:sz="4" w:space="0" w:color="auto"/>
            </w:tcBorders>
            <w:vAlign w:val="center"/>
          </w:tcPr>
          <w:p w14:paraId="6FF2327C" w14:textId="77777777" w:rsidR="00AC2298" w:rsidRPr="00271560" w:rsidRDefault="00AC2298" w:rsidP="004E6B05">
            <w:pPr>
              <w:pStyle w:val="In-tableHeading"/>
              <w:keepLines/>
              <w:jc w:val="center"/>
              <w:rPr>
                <w:lang w:val="en-AU"/>
              </w:rPr>
            </w:pPr>
            <w:r w:rsidRPr="00271560">
              <w:rPr>
                <w:lang w:val="en-AU"/>
              </w:rPr>
              <w:t xml:space="preserve">3 </w:t>
            </w:r>
            <w:r w:rsidRPr="00271560">
              <w:rPr>
                <w:i/>
                <w:iCs/>
                <w:lang w:val="en-AU"/>
              </w:rPr>
              <w:t>SMN2</w:t>
            </w:r>
            <w:r w:rsidRPr="00271560">
              <w:rPr>
                <w:lang w:val="en-AU"/>
              </w:rPr>
              <w:t xml:space="preserve"> copies</w:t>
            </w:r>
          </w:p>
        </w:tc>
        <w:tc>
          <w:tcPr>
            <w:tcW w:w="862" w:type="dxa"/>
            <w:tcBorders>
              <w:top w:val="single" w:sz="4" w:space="0" w:color="auto"/>
              <w:left w:val="single" w:sz="4" w:space="0" w:color="auto"/>
              <w:bottom w:val="single" w:sz="4" w:space="0" w:color="auto"/>
              <w:right w:val="single" w:sz="4" w:space="0" w:color="auto"/>
            </w:tcBorders>
            <w:vAlign w:val="center"/>
            <w:hideMark/>
          </w:tcPr>
          <w:p w14:paraId="3987BF7A" w14:textId="77777777" w:rsidR="00AC2298" w:rsidRPr="00271560" w:rsidRDefault="00AC2298" w:rsidP="004E6B05">
            <w:pPr>
              <w:pStyle w:val="In-tableHeading"/>
              <w:keepLines/>
              <w:jc w:val="center"/>
              <w:rPr>
                <w:lang w:val="en-AU"/>
              </w:rPr>
            </w:pPr>
            <w:r w:rsidRPr="00271560">
              <w:rPr>
                <w:lang w:val="en-AU"/>
              </w:rPr>
              <w:t>N (%)</w:t>
            </w:r>
          </w:p>
        </w:tc>
      </w:tr>
      <w:tr w:rsidR="00AC2298" w:rsidRPr="00271560" w14:paraId="6209E5A9"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7534F389" w14:textId="77777777" w:rsidR="00AC2298" w:rsidRPr="00271560" w:rsidRDefault="00AC2298" w:rsidP="004E6B05">
            <w:pPr>
              <w:pStyle w:val="Tabletext"/>
              <w:keepNext/>
              <w:keepLines/>
            </w:pPr>
            <w:r w:rsidRPr="00271560">
              <w:t>Number of patients dosed</w:t>
            </w:r>
          </w:p>
        </w:tc>
        <w:tc>
          <w:tcPr>
            <w:tcW w:w="1134" w:type="dxa"/>
            <w:tcBorders>
              <w:top w:val="single" w:sz="4" w:space="0" w:color="auto"/>
              <w:left w:val="single" w:sz="4" w:space="0" w:color="auto"/>
              <w:bottom w:val="single" w:sz="4" w:space="0" w:color="auto"/>
              <w:right w:val="single" w:sz="4" w:space="0" w:color="auto"/>
            </w:tcBorders>
            <w:vAlign w:val="center"/>
          </w:tcPr>
          <w:p w14:paraId="0B6FBC3E" w14:textId="77777777" w:rsidR="00AC2298" w:rsidRPr="00271560" w:rsidRDefault="00AC2298" w:rsidP="004E6B05">
            <w:pPr>
              <w:pStyle w:val="Tabletext"/>
              <w:keepNext/>
              <w:keepLines/>
              <w:jc w:val="center"/>
            </w:pPr>
            <w:r w:rsidRPr="00271560">
              <w:t>15 (100)</w:t>
            </w:r>
          </w:p>
        </w:tc>
        <w:tc>
          <w:tcPr>
            <w:tcW w:w="992" w:type="dxa"/>
            <w:tcBorders>
              <w:top w:val="single" w:sz="4" w:space="0" w:color="auto"/>
              <w:left w:val="single" w:sz="4" w:space="0" w:color="auto"/>
              <w:bottom w:val="single" w:sz="4" w:space="0" w:color="auto"/>
              <w:right w:val="single" w:sz="4" w:space="0" w:color="auto"/>
            </w:tcBorders>
            <w:vAlign w:val="center"/>
          </w:tcPr>
          <w:p w14:paraId="58955889" w14:textId="77777777" w:rsidR="00AC2298" w:rsidRPr="00271560" w:rsidRDefault="00AC2298" w:rsidP="004E6B05">
            <w:pPr>
              <w:pStyle w:val="Tabletext"/>
              <w:keepNext/>
              <w:keepLines/>
              <w:jc w:val="center"/>
            </w:pPr>
            <w:r w:rsidRPr="00271560">
              <w:t>10 (100)</w:t>
            </w:r>
          </w:p>
        </w:tc>
        <w:tc>
          <w:tcPr>
            <w:tcW w:w="862" w:type="dxa"/>
            <w:tcBorders>
              <w:top w:val="single" w:sz="4" w:space="0" w:color="auto"/>
              <w:left w:val="single" w:sz="4" w:space="0" w:color="auto"/>
              <w:bottom w:val="single" w:sz="4" w:space="0" w:color="auto"/>
              <w:right w:val="single" w:sz="4" w:space="0" w:color="auto"/>
            </w:tcBorders>
            <w:vAlign w:val="center"/>
            <w:hideMark/>
          </w:tcPr>
          <w:p w14:paraId="74725A94" w14:textId="77777777" w:rsidR="00AC2298" w:rsidRPr="00271560" w:rsidRDefault="00AC2298" w:rsidP="004E6B05">
            <w:pPr>
              <w:pStyle w:val="Tabletext"/>
              <w:keepNext/>
              <w:keepLines/>
              <w:jc w:val="center"/>
            </w:pPr>
            <w:r w:rsidRPr="00271560">
              <w:t>25 (100)</w:t>
            </w:r>
          </w:p>
        </w:tc>
      </w:tr>
      <w:tr w:rsidR="00AC2298" w:rsidRPr="00271560" w14:paraId="188721DC"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30BC7503" w14:textId="77777777" w:rsidR="00AC2298" w:rsidRPr="00271560" w:rsidRDefault="00AC2298" w:rsidP="004E6B05">
            <w:pPr>
              <w:pStyle w:val="Tabletext"/>
              <w:keepNext/>
              <w:keepLines/>
            </w:pPr>
            <w:r w:rsidRPr="00271560">
              <w:t>Number of patients with AE</w:t>
            </w:r>
          </w:p>
        </w:tc>
        <w:tc>
          <w:tcPr>
            <w:tcW w:w="1134" w:type="dxa"/>
            <w:tcBorders>
              <w:top w:val="single" w:sz="4" w:space="0" w:color="auto"/>
              <w:left w:val="single" w:sz="4" w:space="0" w:color="auto"/>
              <w:bottom w:val="single" w:sz="4" w:space="0" w:color="auto"/>
              <w:right w:val="single" w:sz="4" w:space="0" w:color="auto"/>
            </w:tcBorders>
            <w:vAlign w:val="center"/>
          </w:tcPr>
          <w:p w14:paraId="48E1CE27" w14:textId="77777777" w:rsidR="00AC2298" w:rsidRPr="00271560" w:rsidRDefault="00AC2298" w:rsidP="004E6B05">
            <w:pPr>
              <w:pStyle w:val="Tabletext"/>
              <w:keepNext/>
              <w:keepLines/>
              <w:jc w:val="center"/>
            </w:pPr>
            <w:r w:rsidRPr="00271560">
              <w:t>15 (100)</w:t>
            </w:r>
          </w:p>
        </w:tc>
        <w:tc>
          <w:tcPr>
            <w:tcW w:w="992" w:type="dxa"/>
            <w:tcBorders>
              <w:top w:val="single" w:sz="4" w:space="0" w:color="auto"/>
              <w:left w:val="single" w:sz="4" w:space="0" w:color="auto"/>
              <w:bottom w:val="single" w:sz="4" w:space="0" w:color="auto"/>
              <w:right w:val="single" w:sz="4" w:space="0" w:color="auto"/>
            </w:tcBorders>
            <w:vAlign w:val="center"/>
          </w:tcPr>
          <w:p w14:paraId="19AE94BF" w14:textId="77777777" w:rsidR="00AC2298" w:rsidRPr="00271560" w:rsidRDefault="00AC2298" w:rsidP="004E6B05">
            <w:pPr>
              <w:pStyle w:val="Tabletext"/>
              <w:keepNext/>
              <w:keepLines/>
              <w:jc w:val="center"/>
            </w:pPr>
            <w:r w:rsidRPr="00271560">
              <w:t>10 (100)</w:t>
            </w:r>
          </w:p>
        </w:tc>
        <w:tc>
          <w:tcPr>
            <w:tcW w:w="862" w:type="dxa"/>
            <w:tcBorders>
              <w:top w:val="single" w:sz="4" w:space="0" w:color="auto"/>
              <w:left w:val="single" w:sz="4" w:space="0" w:color="auto"/>
              <w:bottom w:val="single" w:sz="4" w:space="0" w:color="auto"/>
              <w:right w:val="single" w:sz="4" w:space="0" w:color="auto"/>
            </w:tcBorders>
            <w:vAlign w:val="center"/>
            <w:hideMark/>
          </w:tcPr>
          <w:p w14:paraId="598D3069" w14:textId="77777777" w:rsidR="00AC2298" w:rsidRPr="00271560" w:rsidRDefault="00AC2298" w:rsidP="004E6B05">
            <w:pPr>
              <w:pStyle w:val="Tabletext"/>
              <w:keepNext/>
              <w:keepLines/>
              <w:jc w:val="center"/>
            </w:pPr>
            <w:r w:rsidRPr="00271560">
              <w:t>25 (100)</w:t>
            </w:r>
          </w:p>
        </w:tc>
      </w:tr>
      <w:tr w:rsidR="00AC2298" w:rsidRPr="00271560" w14:paraId="7CA2C87E"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132AB61D" w14:textId="77777777" w:rsidR="00AC2298" w:rsidRPr="00271560" w:rsidRDefault="00AC2298" w:rsidP="004E6B05">
            <w:pPr>
              <w:pStyle w:val="Tabletext"/>
              <w:keepNext/>
              <w:keepLines/>
            </w:pPr>
            <w:r w:rsidRPr="00271560">
              <w:t>Number of patients with a moderate or severe event</w:t>
            </w:r>
          </w:p>
        </w:tc>
        <w:tc>
          <w:tcPr>
            <w:tcW w:w="1134" w:type="dxa"/>
            <w:tcBorders>
              <w:top w:val="single" w:sz="4" w:space="0" w:color="auto"/>
              <w:left w:val="single" w:sz="4" w:space="0" w:color="auto"/>
              <w:bottom w:val="single" w:sz="4" w:space="0" w:color="auto"/>
              <w:right w:val="single" w:sz="4" w:space="0" w:color="auto"/>
            </w:tcBorders>
            <w:vAlign w:val="center"/>
          </w:tcPr>
          <w:p w14:paraId="68992B0F" w14:textId="77777777" w:rsidR="00AC2298" w:rsidRPr="00271560" w:rsidRDefault="00AC2298" w:rsidP="004E6B05">
            <w:pPr>
              <w:pStyle w:val="Tabletext"/>
              <w:keepNext/>
              <w:keepLines/>
              <w:jc w:val="center"/>
            </w:pPr>
            <w:r w:rsidRPr="00271560">
              <w:t>13 (87)</w:t>
            </w:r>
          </w:p>
        </w:tc>
        <w:tc>
          <w:tcPr>
            <w:tcW w:w="992" w:type="dxa"/>
            <w:tcBorders>
              <w:top w:val="single" w:sz="4" w:space="0" w:color="auto"/>
              <w:left w:val="single" w:sz="4" w:space="0" w:color="auto"/>
              <w:bottom w:val="single" w:sz="4" w:space="0" w:color="auto"/>
              <w:right w:val="single" w:sz="4" w:space="0" w:color="auto"/>
            </w:tcBorders>
            <w:vAlign w:val="center"/>
          </w:tcPr>
          <w:p w14:paraId="5715C4F3" w14:textId="77777777" w:rsidR="00AC2298" w:rsidRPr="00271560" w:rsidRDefault="00AC2298" w:rsidP="004E6B05">
            <w:pPr>
              <w:pStyle w:val="Tabletext"/>
              <w:keepNext/>
              <w:keepLines/>
              <w:jc w:val="center"/>
            </w:pPr>
            <w:r w:rsidRPr="00271560">
              <w:t>6 (60)</w:t>
            </w:r>
          </w:p>
        </w:tc>
        <w:tc>
          <w:tcPr>
            <w:tcW w:w="862" w:type="dxa"/>
            <w:tcBorders>
              <w:top w:val="single" w:sz="4" w:space="0" w:color="auto"/>
              <w:left w:val="single" w:sz="4" w:space="0" w:color="auto"/>
              <w:bottom w:val="single" w:sz="4" w:space="0" w:color="auto"/>
              <w:right w:val="single" w:sz="4" w:space="0" w:color="auto"/>
            </w:tcBorders>
            <w:vAlign w:val="center"/>
            <w:hideMark/>
          </w:tcPr>
          <w:p w14:paraId="79318AB2" w14:textId="77777777" w:rsidR="00AC2298" w:rsidRPr="00271560" w:rsidRDefault="00AC2298" w:rsidP="004E6B05">
            <w:pPr>
              <w:pStyle w:val="Tabletext"/>
              <w:keepNext/>
              <w:keepLines/>
              <w:jc w:val="center"/>
            </w:pPr>
            <w:r w:rsidRPr="00271560">
              <w:t>19 (76)</w:t>
            </w:r>
          </w:p>
        </w:tc>
      </w:tr>
      <w:tr w:rsidR="00AC2298" w:rsidRPr="00271560" w14:paraId="4F840829"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0BF29777" w14:textId="77777777" w:rsidR="00AC2298" w:rsidRPr="00271560" w:rsidRDefault="00AC2298" w:rsidP="004E6B05">
            <w:pPr>
              <w:pStyle w:val="Tabletext"/>
              <w:keepNext/>
              <w:keepLines/>
            </w:pPr>
            <w:r w:rsidRPr="00271560">
              <w:t>Number of participants with a severe event</w:t>
            </w:r>
          </w:p>
        </w:tc>
        <w:tc>
          <w:tcPr>
            <w:tcW w:w="1134" w:type="dxa"/>
            <w:tcBorders>
              <w:top w:val="single" w:sz="4" w:space="0" w:color="auto"/>
              <w:left w:val="single" w:sz="4" w:space="0" w:color="auto"/>
              <w:bottom w:val="single" w:sz="4" w:space="0" w:color="auto"/>
              <w:right w:val="single" w:sz="4" w:space="0" w:color="auto"/>
            </w:tcBorders>
            <w:vAlign w:val="center"/>
          </w:tcPr>
          <w:p w14:paraId="74A97649" w14:textId="77777777" w:rsidR="00AC2298" w:rsidRPr="00271560" w:rsidRDefault="00AC2298" w:rsidP="004E6B05">
            <w:pPr>
              <w:pStyle w:val="Tabletext"/>
              <w:keepNext/>
              <w:keepLines/>
              <w:jc w:val="center"/>
            </w:pPr>
            <w:r w:rsidRPr="00271560">
              <w:t>6 (40)</w:t>
            </w:r>
          </w:p>
        </w:tc>
        <w:tc>
          <w:tcPr>
            <w:tcW w:w="992" w:type="dxa"/>
            <w:tcBorders>
              <w:top w:val="single" w:sz="4" w:space="0" w:color="auto"/>
              <w:left w:val="single" w:sz="4" w:space="0" w:color="auto"/>
              <w:bottom w:val="single" w:sz="4" w:space="0" w:color="auto"/>
              <w:right w:val="single" w:sz="4" w:space="0" w:color="auto"/>
            </w:tcBorders>
            <w:vAlign w:val="center"/>
          </w:tcPr>
          <w:p w14:paraId="242BC85B" w14:textId="77777777" w:rsidR="00AC2298" w:rsidRPr="00271560" w:rsidRDefault="00AC2298" w:rsidP="004E6B05">
            <w:pPr>
              <w:pStyle w:val="Tabletext"/>
              <w:keepNext/>
              <w:keepLines/>
              <w:jc w:val="center"/>
            </w:pPr>
            <w:r w:rsidRPr="00271560">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3EB20C06" w14:textId="77777777" w:rsidR="00AC2298" w:rsidRPr="00271560" w:rsidRDefault="00AC2298" w:rsidP="004E6B05">
            <w:pPr>
              <w:pStyle w:val="Tabletext"/>
              <w:keepNext/>
              <w:keepLines/>
              <w:jc w:val="center"/>
            </w:pPr>
            <w:r w:rsidRPr="00271560">
              <w:t>5 (20)</w:t>
            </w:r>
          </w:p>
        </w:tc>
      </w:tr>
      <w:tr w:rsidR="00AC2298" w:rsidRPr="00271560" w14:paraId="5841D6FC"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1739FFC3" w14:textId="77777777" w:rsidR="00AC2298" w:rsidRPr="00271560" w:rsidRDefault="00AC2298" w:rsidP="004E6B05">
            <w:pPr>
              <w:pStyle w:val="Tabletext"/>
              <w:keepNext/>
              <w:keepLines/>
            </w:pPr>
            <w:r w:rsidRPr="00271560">
              <w:t>Number of participants with an event, possibly related or related to:</w:t>
            </w:r>
          </w:p>
          <w:p w14:paraId="2715A0C7" w14:textId="77777777" w:rsidR="00AC2298" w:rsidRPr="00271560" w:rsidRDefault="00AC2298" w:rsidP="004E6B05">
            <w:pPr>
              <w:pStyle w:val="Tabletext"/>
              <w:keepNext/>
              <w:keepLines/>
            </w:pPr>
            <w:r w:rsidRPr="00271560">
              <w:t xml:space="preserve">    Study treatment</w:t>
            </w:r>
          </w:p>
          <w:p w14:paraId="03C5A9F8" w14:textId="77777777" w:rsidR="00AC2298" w:rsidRPr="00271560" w:rsidRDefault="00AC2298" w:rsidP="004E6B05">
            <w:pPr>
              <w:pStyle w:val="Tabletext"/>
              <w:keepNext/>
              <w:keepLines/>
            </w:pPr>
            <w:r w:rsidRPr="00271560">
              <w:t xml:space="preserve">    Lumbar puncture</w:t>
            </w:r>
          </w:p>
        </w:tc>
        <w:tc>
          <w:tcPr>
            <w:tcW w:w="1134" w:type="dxa"/>
            <w:tcBorders>
              <w:top w:val="single" w:sz="4" w:space="0" w:color="auto"/>
              <w:left w:val="single" w:sz="4" w:space="0" w:color="auto"/>
              <w:bottom w:val="single" w:sz="4" w:space="0" w:color="auto"/>
              <w:right w:val="single" w:sz="4" w:space="0" w:color="auto"/>
            </w:tcBorders>
            <w:vAlign w:val="center"/>
          </w:tcPr>
          <w:p w14:paraId="511640FF" w14:textId="77777777" w:rsidR="00AC2298" w:rsidRPr="00271560" w:rsidRDefault="00AC2298" w:rsidP="004E6B05">
            <w:pPr>
              <w:pStyle w:val="Tabletext"/>
              <w:keepNext/>
              <w:keepLines/>
              <w:jc w:val="center"/>
            </w:pPr>
          </w:p>
          <w:p w14:paraId="5DC84F6D" w14:textId="77777777" w:rsidR="00AC2298" w:rsidRPr="00271560" w:rsidRDefault="00AC2298" w:rsidP="004E6B05">
            <w:pPr>
              <w:pStyle w:val="Tabletext"/>
              <w:keepNext/>
              <w:keepLines/>
              <w:jc w:val="center"/>
            </w:pPr>
            <w:r w:rsidRPr="00271560">
              <w:t>5 (33)</w:t>
            </w:r>
          </w:p>
          <w:p w14:paraId="689BEBCD" w14:textId="77777777" w:rsidR="00AC2298" w:rsidRPr="00271560" w:rsidRDefault="00AC2298" w:rsidP="004E6B05">
            <w:pPr>
              <w:pStyle w:val="Tabletext"/>
              <w:keepNext/>
              <w:keepLines/>
              <w:jc w:val="center"/>
            </w:pPr>
            <w:r w:rsidRPr="00271560">
              <w:t>7 (47)</w:t>
            </w:r>
          </w:p>
        </w:tc>
        <w:tc>
          <w:tcPr>
            <w:tcW w:w="992" w:type="dxa"/>
            <w:tcBorders>
              <w:top w:val="single" w:sz="4" w:space="0" w:color="auto"/>
              <w:left w:val="single" w:sz="4" w:space="0" w:color="auto"/>
              <w:bottom w:val="single" w:sz="4" w:space="0" w:color="auto"/>
              <w:right w:val="single" w:sz="4" w:space="0" w:color="auto"/>
            </w:tcBorders>
            <w:vAlign w:val="center"/>
          </w:tcPr>
          <w:p w14:paraId="40B20432" w14:textId="77777777" w:rsidR="00AC2298" w:rsidRPr="00271560" w:rsidRDefault="00AC2298" w:rsidP="004E6B05">
            <w:pPr>
              <w:pStyle w:val="Tabletext"/>
              <w:keepNext/>
              <w:keepLines/>
              <w:jc w:val="center"/>
            </w:pPr>
          </w:p>
          <w:p w14:paraId="0857BB26" w14:textId="77777777" w:rsidR="00AC2298" w:rsidRPr="00271560" w:rsidRDefault="00AC2298" w:rsidP="004E6B05">
            <w:pPr>
              <w:pStyle w:val="Tabletext"/>
              <w:keepNext/>
              <w:keepLines/>
              <w:jc w:val="center"/>
            </w:pPr>
            <w:r w:rsidRPr="00271560">
              <w:t>6 (60)</w:t>
            </w:r>
          </w:p>
          <w:p w14:paraId="28B35123" w14:textId="77777777" w:rsidR="00AC2298" w:rsidRPr="00271560" w:rsidRDefault="00AC2298" w:rsidP="004E6B05">
            <w:pPr>
              <w:pStyle w:val="Tabletext"/>
              <w:keepNext/>
              <w:keepLines/>
              <w:jc w:val="center"/>
            </w:pPr>
            <w:r w:rsidRPr="00271560">
              <w:t>3 (30)</w:t>
            </w:r>
          </w:p>
        </w:tc>
        <w:tc>
          <w:tcPr>
            <w:tcW w:w="862" w:type="dxa"/>
            <w:tcBorders>
              <w:top w:val="single" w:sz="4" w:space="0" w:color="auto"/>
              <w:left w:val="single" w:sz="4" w:space="0" w:color="auto"/>
              <w:bottom w:val="single" w:sz="4" w:space="0" w:color="auto"/>
              <w:right w:val="single" w:sz="4" w:space="0" w:color="auto"/>
            </w:tcBorders>
            <w:vAlign w:val="center"/>
          </w:tcPr>
          <w:p w14:paraId="023C6544" w14:textId="77777777" w:rsidR="00AC2298" w:rsidRPr="00271560" w:rsidRDefault="00AC2298" w:rsidP="004E6B05">
            <w:pPr>
              <w:pStyle w:val="Tabletext"/>
              <w:keepNext/>
              <w:keepLines/>
              <w:jc w:val="center"/>
            </w:pPr>
          </w:p>
          <w:p w14:paraId="620581FF" w14:textId="77777777" w:rsidR="00AC2298" w:rsidRPr="00271560" w:rsidRDefault="00AC2298" w:rsidP="004E6B05">
            <w:pPr>
              <w:pStyle w:val="Tabletext"/>
              <w:keepNext/>
              <w:keepLines/>
              <w:jc w:val="center"/>
            </w:pPr>
            <w:r w:rsidRPr="00271560">
              <w:t>11 (44)</w:t>
            </w:r>
          </w:p>
          <w:p w14:paraId="0858F87F" w14:textId="77777777" w:rsidR="00AC2298" w:rsidRPr="00271560" w:rsidRDefault="00AC2298" w:rsidP="004E6B05">
            <w:pPr>
              <w:pStyle w:val="Tabletext"/>
              <w:keepNext/>
              <w:keepLines/>
              <w:jc w:val="center"/>
            </w:pPr>
            <w:r w:rsidRPr="00271560">
              <w:t>10 (40)</w:t>
            </w:r>
          </w:p>
        </w:tc>
      </w:tr>
      <w:tr w:rsidR="00AC2298" w:rsidRPr="00271560" w14:paraId="1F0EF49C"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70E159E2" w14:textId="77777777" w:rsidR="00AC2298" w:rsidRPr="00271560" w:rsidRDefault="00AC2298" w:rsidP="004E6B05">
            <w:pPr>
              <w:pStyle w:val="Tabletext"/>
              <w:keepNext/>
              <w:keepLines/>
            </w:pPr>
            <w:r w:rsidRPr="00271560">
              <w:t>Number of participants with an event related to:</w:t>
            </w:r>
          </w:p>
          <w:p w14:paraId="1042393A" w14:textId="77777777" w:rsidR="00AC2298" w:rsidRPr="00271560" w:rsidRDefault="00AC2298" w:rsidP="004E6B05">
            <w:pPr>
              <w:pStyle w:val="Tabletext"/>
              <w:keepNext/>
              <w:keepLines/>
            </w:pPr>
            <w:r w:rsidRPr="00271560">
              <w:t xml:space="preserve">    Study treatment</w:t>
            </w:r>
          </w:p>
          <w:p w14:paraId="579A1EF1" w14:textId="77777777" w:rsidR="00AC2298" w:rsidRPr="00271560" w:rsidRDefault="00AC2298" w:rsidP="004E6B05">
            <w:pPr>
              <w:pStyle w:val="Tabletext"/>
              <w:keepNext/>
              <w:keepLines/>
            </w:pPr>
            <w:r w:rsidRPr="00271560">
              <w:t xml:space="preserve">    Lumbar puncture</w:t>
            </w:r>
          </w:p>
        </w:tc>
        <w:tc>
          <w:tcPr>
            <w:tcW w:w="1134" w:type="dxa"/>
            <w:tcBorders>
              <w:top w:val="single" w:sz="4" w:space="0" w:color="auto"/>
              <w:left w:val="single" w:sz="4" w:space="0" w:color="auto"/>
              <w:bottom w:val="single" w:sz="4" w:space="0" w:color="auto"/>
              <w:right w:val="single" w:sz="4" w:space="0" w:color="auto"/>
            </w:tcBorders>
            <w:vAlign w:val="center"/>
          </w:tcPr>
          <w:p w14:paraId="4EA1D838" w14:textId="77777777" w:rsidR="00AC2298" w:rsidRPr="00271560" w:rsidRDefault="00AC2298" w:rsidP="004E6B05">
            <w:pPr>
              <w:pStyle w:val="Tabletext"/>
              <w:keepNext/>
              <w:keepLines/>
              <w:jc w:val="center"/>
            </w:pPr>
          </w:p>
          <w:p w14:paraId="31F0BFED" w14:textId="77777777" w:rsidR="00AC2298" w:rsidRPr="00271560" w:rsidRDefault="00AC2298" w:rsidP="004E6B05">
            <w:pPr>
              <w:pStyle w:val="Tabletext"/>
              <w:keepNext/>
              <w:keepLines/>
              <w:jc w:val="center"/>
            </w:pPr>
            <w:r w:rsidRPr="00271560">
              <w:t>0</w:t>
            </w:r>
          </w:p>
          <w:p w14:paraId="7BFFA9EE" w14:textId="77777777" w:rsidR="00AC2298" w:rsidRPr="00271560" w:rsidRDefault="00AC2298" w:rsidP="004E6B05">
            <w:pPr>
              <w:pStyle w:val="Tabletext"/>
              <w:keepNext/>
              <w:keepLines/>
              <w:jc w:val="center"/>
            </w:pPr>
            <w:r w:rsidRPr="00271560">
              <w:t>5 (33)</w:t>
            </w:r>
          </w:p>
        </w:tc>
        <w:tc>
          <w:tcPr>
            <w:tcW w:w="992" w:type="dxa"/>
            <w:tcBorders>
              <w:top w:val="single" w:sz="4" w:space="0" w:color="auto"/>
              <w:left w:val="single" w:sz="4" w:space="0" w:color="auto"/>
              <w:bottom w:val="single" w:sz="4" w:space="0" w:color="auto"/>
              <w:right w:val="single" w:sz="4" w:space="0" w:color="auto"/>
            </w:tcBorders>
            <w:vAlign w:val="center"/>
          </w:tcPr>
          <w:p w14:paraId="1A271091" w14:textId="77777777" w:rsidR="00AC2298" w:rsidRPr="00271560" w:rsidRDefault="00AC2298" w:rsidP="004E6B05">
            <w:pPr>
              <w:pStyle w:val="Tabletext"/>
              <w:keepNext/>
              <w:keepLines/>
              <w:jc w:val="center"/>
            </w:pPr>
          </w:p>
          <w:p w14:paraId="67B33CF3" w14:textId="77777777" w:rsidR="00AC2298" w:rsidRPr="00271560" w:rsidRDefault="00AC2298" w:rsidP="004E6B05">
            <w:pPr>
              <w:pStyle w:val="Tabletext"/>
              <w:keepNext/>
              <w:keepLines/>
              <w:jc w:val="center"/>
            </w:pPr>
            <w:r w:rsidRPr="00271560">
              <w:t>0</w:t>
            </w:r>
          </w:p>
          <w:p w14:paraId="623631E8" w14:textId="77777777" w:rsidR="00AC2298" w:rsidRPr="00271560" w:rsidRDefault="00AC2298" w:rsidP="004E6B05">
            <w:pPr>
              <w:pStyle w:val="Tabletext"/>
              <w:keepNext/>
              <w:keepLines/>
              <w:jc w:val="center"/>
            </w:pPr>
            <w:r w:rsidRPr="00271560">
              <w:t>1 (10)</w:t>
            </w:r>
          </w:p>
        </w:tc>
        <w:tc>
          <w:tcPr>
            <w:tcW w:w="862" w:type="dxa"/>
            <w:tcBorders>
              <w:top w:val="single" w:sz="4" w:space="0" w:color="auto"/>
              <w:left w:val="single" w:sz="4" w:space="0" w:color="auto"/>
              <w:bottom w:val="single" w:sz="4" w:space="0" w:color="auto"/>
              <w:right w:val="single" w:sz="4" w:space="0" w:color="auto"/>
            </w:tcBorders>
            <w:vAlign w:val="center"/>
          </w:tcPr>
          <w:p w14:paraId="5425863E" w14:textId="77777777" w:rsidR="00AC2298" w:rsidRPr="00271560" w:rsidRDefault="00AC2298" w:rsidP="004E6B05">
            <w:pPr>
              <w:pStyle w:val="Tabletext"/>
              <w:keepNext/>
              <w:keepLines/>
              <w:jc w:val="center"/>
            </w:pPr>
          </w:p>
          <w:p w14:paraId="3E9BE71E" w14:textId="77777777" w:rsidR="00AC2298" w:rsidRPr="00271560" w:rsidRDefault="00AC2298" w:rsidP="004E6B05">
            <w:pPr>
              <w:pStyle w:val="Tabletext"/>
              <w:keepNext/>
              <w:keepLines/>
              <w:jc w:val="center"/>
            </w:pPr>
            <w:r w:rsidRPr="00271560">
              <w:t>0</w:t>
            </w:r>
          </w:p>
          <w:p w14:paraId="7DFE47A1" w14:textId="77777777" w:rsidR="00AC2298" w:rsidRPr="00271560" w:rsidRDefault="00AC2298" w:rsidP="004E6B05">
            <w:pPr>
              <w:pStyle w:val="Tabletext"/>
              <w:keepNext/>
              <w:keepLines/>
              <w:jc w:val="center"/>
            </w:pPr>
            <w:r w:rsidRPr="00271560">
              <w:t>6 (24)</w:t>
            </w:r>
          </w:p>
        </w:tc>
      </w:tr>
      <w:tr w:rsidR="00AC2298" w:rsidRPr="00271560" w14:paraId="6B5AEC78"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1BCAC7BC" w14:textId="77777777" w:rsidR="00AC2298" w:rsidRPr="00271560" w:rsidRDefault="00AC2298" w:rsidP="004E6B05">
            <w:pPr>
              <w:pStyle w:val="Tabletext"/>
              <w:keepNext/>
              <w:keepLines/>
            </w:pPr>
            <w:r w:rsidRPr="00271560">
              <w:t>Number of participants with a serious event</w:t>
            </w:r>
          </w:p>
        </w:tc>
        <w:tc>
          <w:tcPr>
            <w:tcW w:w="1134" w:type="dxa"/>
            <w:tcBorders>
              <w:top w:val="single" w:sz="4" w:space="0" w:color="auto"/>
              <w:left w:val="single" w:sz="4" w:space="0" w:color="auto"/>
              <w:bottom w:val="single" w:sz="4" w:space="0" w:color="auto"/>
              <w:right w:val="single" w:sz="4" w:space="0" w:color="auto"/>
            </w:tcBorders>
            <w:vAlign w:val="center"/>
          </w:tcPr>
          <w:p w14:paraId="4D5D4094" w14:textId="77777777" w:rsidR="00AC2298" w:rsidRPr="00271560" w:rsidRDefault="00AC2298" w:rsidP="004E6B05">
            <w:pPr>
              <w:pStyle w:val="Tabletext"/>
              <w:keepNext/>
              <w:keepLines/>
              <w:jc w:val="center"/>
            </w:pPr>
            <w:r w:rsidRPr="00271560">
              <w:t>9 (60)</w:t>
            </w:r>
          </w:p>
        </w:tc>
        <w:tc>
          <w:tcPr>
            <w:tcW w:w="992" w:type="dxa"/>
            <w:tcBorders>
              <w:top w:val="single" w:sz="4" w:space="0" w:color="auto"/>
              <w:left w:val="single" w:sz="4" w:space="0" w:color="auto"/>
              <w:bottom w:val="single" w:sz="4" w:space="0" w:color="auto"/>
              <w:right w:val="single" w:sz="4" w:space="0" w:color="auto"/>
            </w:tcBorders>
            <w:vAlign w:val="center"/>
          </w:tcPr>
          <w:p w14:paraId="0D8339F9" w14:textId="77777777" w:rsidR="00AC2298" w:rsidRPr="00271560" w:rsidRDefault="00AC2298" w:rsidP="004E6B05">
            <w:pPr>
              <w:pStyle w:val="Tabletext"/>
              <w:keepNext/>
              <w:keepLines/>
              <w:jc w:val="center"/>
            </w:pPr>
            <w:r w:rsidRPr="00271560">
              <w:t>3 (30)</w:t>
            </w:r>
          </w:p>
        </w:tc>
        <w:tc>
          <w:tcPr>
            <w:tcW w:w="862" w:type="dxa"/>
            <w:tcBorders>
              <w:top w:val="single" w:sz="4" w:space="0" w:color="auto"/>
              <w:left w:val="single" w:sz="4" w:space="0" w:color="auto"/>
              <w:bottom w:val="single" w:sz="4" w:space="0" w:color="auto"/>
              <w:right w:val="single" w:sz="4" w:space="0" w:color="auto"/>
            </w:tcBorders>
            <w:vAlign w:val="center"/>
            <w:hideMark/>
          </w:tcPr>
          <w:p w14:paraId="7E53AE84" w14:textId="77777777" w:rsidR="00AC2298" w:rsidRPr="00271560" w:rsidRDefault="00AC2298" w:rsidP="004E6B05">
            <w:pPr>
              <w:pStyle w:val="Tabletext"/>
              <w:keepNext/>
              <w:keepLines/>
              <w:jc w:val="center"/>
            </w:pPr>
            <w:r w:rsidRPr="00271560">
              <w:t>12 (48)</w:t>
            </w:r>
          </w:p>
        </w:tc>
      </w:tr>
      <w:tr w:rsidR="00AC2298" w:rsidRPr="00271560" w14:paraId="461619B0"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1A2EB4CD" w14:textId="77777777" w:rsidR="00AC2298" w:rsidRPr="00271560" w:rsidRDefault="00AC2298" w:rsidP="004E6B05">
            <w:pPr>
              <w:pStyle w:val="Tabletext"/>
              <w:keepNext/>
              <w:keepLines/>
            </w:pPr>
            <w:r w:rsidRPr="00271560">
              <w:t>Number of participants with a serious event related to study treatment</w:t>
            </w:r>
          </w:p>
        </w:tc>
        <w:tc>
          <w:tcPr>
            <w:tcW w:w="1134" w:type="dxa"/>
            <w:tcBorders>
              <w:top w:val="single" w:sz="4" w:space="0" w:color="auto"/>
              <w:left w:val="single" w:sz="4" w:space="0" w:color="auto"/>
              <w:bottom w:val="single" w:sz="4" w:space="0" w:color="auto"/>
              <w:right w:val="single" w:sz="4" w:space="0" w:color="auto"/>
            </w:tcBorders>
            <w:vAlign w:val="center"/>
          </w:tcPr>
          <w:p w14:paraId="0CDAE408" w14:textId="77777777" w:rsidR="00AC2298" w:rsidRPr="00271560" w:rsidRDefault="00AC2298" w:rsidP="004E6B05">
            <w:pPr>
              <w:pStyle w:val="Tabletext"/>
              <w:keepNext/>
              <w:keepLines/>
              <w:jc w:val="center"/>
            </w:pPr>
            <w:r w:rsidRPr="00271560">
              <w:t>0</w:t>
            </w:r>
          </w:p>
        </w:tc>
        <w:tc>
          <w:tcPr>
            <w:tcW w:w="992" w:type="dxa"/>
            <w:tcBorders>
              <w:top w:val="single" w:sz="4" w:space="0" w:color="auto"/>
              <w:left w:val="single" w:sz="4" w:space="0" w:color="auto"/>
              <w:bottom w:val="single" w:sz="4" w:space="0" w:color="auto"/>
              <w:right w:val="single" w:sz="4" w:space="0" w:color="auto"/>
            </w:tcBorders>
            <w:vAlign w:val="center"/>
          </w:tcPr>
          <w:p w14:paraId="446ACC4A" w14:textId="77777777" w:rsidR="00AC2298" w:rsidRPr="00271560" w:rsidRDefault="00AC2298" w:rsidP="004E6B05">
            <w:pPr>
              <w:pStyle w:val="Tabletext"/>
              <w:keepNext/>
              <w:keepLines/>
              <w:jc w:val="center"/>
            </w:pPr>
            <w:r w:rsidRPr="00271560">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502C145D" w14:textId="77777777" w:rsidR="00AC2298" w:rsidRPr="00271560" w:rsidRDefault="00AC2298" w:rsidP="004E6B05">
            <w:pPr>
              <w:pStyle w:val="Tabletext"/>
              <w:keepNext/>
              <w:keepLines/>
              <w:jc w:val="center"/>
            </w:pPr>
            <w:r w:rsidRPr="00271560">
              <w:t>0</w:t>
            </w:r>
          </w:p>
        </w:tc>
      </w:tr>
      <w:tr w:rsidR="00AC2298" w:rsidRPr="00271560" w14:paraId="5CD82611"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58E44FF9" w14:textId="77777777" w:rsidR="00AC2298" w:rsidRPr="00271560" w:rsidRDefault="00AC2298" w:rsidP="004E6B05">
            <w:pPr>
              <w:pStyle w:val="Tabletext"/>
              <w:keepNext/>
              <w:keepLines/>
            </w:pPr>
            <w:r w:rsidRPr="00271560">
              <w:t>Number of participants discontinuing treatment due to an event</w:t>
            </w:r>
          </w:p>
        </w:tc>
        <w:tc>
          <w:tcPr>
            <w:tcW w:w="1134" w:type="dxa"/>
            <w:tcBorders>
              <w:top w:val="single" w:sz="4" w:space="0" w:color="auto"/>
              <w:left w:val="single" w:sz="4" w:space="0" w:color="auto"/>
              <w:bottom w:val="single" w:sz="4" w:space="0" w:color="auto"/>
              <w:right w:val="single" w:sz="4" w:space="0" w:color="auto"/>
            </w:tcBorders>
            <w:vAlign w:val="center"/>
          </w:tcPr>
          <w:p w14:paraId="49DCF7E5" w14:textId="77777777" w:rsidR="00AC2298" w:rsidRPr="00271560" w:rsidRDefault="00AC2298" w:rsidP="004E6B05">
            <w:pPr>
              <w:pStyle w:val="Tabletext"/>
              <w:keepNext/>
              <w:keepLines/>
              <w:jc w:val="center"/>
            </w:pPr>
            <w:r w:rsidRPr="00271560">
              <w:t>0</w:t>
            </w:r>
          </w:p>
        </w:tc>
        <w:tc>
          <w:tcPr>
            <w:tcW w:w="992" w:type="dxa"/>
            <w:tcBorders>
              <w:top w:val="single" w:sz="4" w:space="0" w:color="auto"/>
              <w:left w:val="single" w:sz="4" w:space="0" w:color="auto"/>
              <w:bottom w:val="single" w:sz="4" w:space="0" w:color="auto"/>
              <w:right w:val="single" w:sz="4" w:space="0" w:color="auto"/>
            </w:tcBorders>
            <w:vAlign w:val="center"/>
          </w:tcPr>
          <w:p w14:paraId="3D1EF05F" w14:textId="77777777" w:rsidR="00AC2298" w:rsidRPr="00271560" w:rsidRDefault="00AC2298" w:rsidP="004E6B05">
            <w:pPr>
              <w:pStyle w:val="Tabletext"/>
              <w:keepNext/>
              <w:keepLines/>
              <w:jc w:val="center"/>
            </w:pPr>
            <w:r w:rsidRPr="00271560">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66F840BB" w14:textId="77777777" w:rsidR="00AC2298" w:rsidRPr="00271560" w:rsidRDefault="00AC2298" w:rsidP="004E6B05">
            <w:pPr>
              <w:pStyle w:val="Tabletext"/>
              <w:keepNext/>
              <w:keepLines/>
              <w:jc w:val="center"/>
            </w:pPr>
            <w:r w:rsidRPr="00271560">
              <w:t>0</w:t>
            </w:r>
          </w:p>
        </w:tc>
      </w:tr>
      <w:tr w:rsidR="00AC2298" w:rsidRPr="00271560" w14:paraId="172F2558" w14:textId="77777777" w:rsidTr="00FC6E29">
        <w:trPr>
          <w:trHeight w:val="20"/>
        </w:trPr>
        <w:tc>
          <w:tcPr>
            <w:tcW w:w="5524" w:type="dxa"/>
            <w:tcBorders>
              <w:top w:val="single" w:sz="4" w:space="0" w:color="auto"/>
              <w:left w:val="single" w:sz="4" w:space="0" w:color="auto"/>
              <w:bottom w:val="single" w:sz="4" w:space="0" w:color="auto"/>
              <w:right w:val="single" w:sz="4" w:space="0" w:color="auto"/>
            </w:tcBorders>
            <w:hideMark/>
          </w:tcPr>
          <w:p w14:paraId="6B3935BC" w14:textId="77777777" w:rsidR="00AC2298" w:rsidRPr="00271560" w:rsidRDefault="00AC2298" w:rsidP="004E6B05">
            <w:pPr>
              <w:pStyle w:val="Tabletext"/>
              <w:keepNext/>
              <w:keepLines/>
            </w:pPr>
            <w:r w:rsidRPr="00271560">
              <w:t>Number of participants withdrawing from study due to an event</w:t>
            </w:r>
          </w:p>
        </w:tc>
        <w:tc>
          <w:tcPr>
            <w:tcW w:w="1134" w:type="dxa"/>
            <w:tcBorders>
              <w:top w:val="single" w:sz="4" w:space="0" w:color="auto"/>
              <w:left w:val="single" w:sz="4" w:space="0" w:color="auto"/>
              <w:bottom w:val="single" w:sz="4" w:space="0" w:color="auto"/>
              <w:right w:val="single" w:sz="4" w:space="0" w:color="auto"/>
            </w:tcBorders>
            <w:vAlign w:val="center"/>
          </w:tcPr>
          <w:p w14:paraId="0CCF6C27" w14:textId="77777777" w:rsidR="00AC2298" w:rsidRPr="00271560" w:rsidRDefault="00AC2298" w:rsidP="004E6B05">
            <w:pPr>
              <w:pStyle w:val="Tabletext"/>
              <w:keepNext/>
              <w:keepLines/>
              <w:jc w:val="center"/>
            </w:pPr>
            <w:r w:rsidRPr="00271560">
              <w:t>0</w:t>
            </w:r>
          </w:p>
        </w:tc>
        <w:tc>
          <w:tcPr>
            <w:tcW w:w="992" w:type="dxa"/>
            <w:tcBorders>
              <w:top w:val="single" w:sz="4" w:space="0" w:color="auto"/>
              <w:left w:val="single" w:sz="4" w:space="0" w:color="auto"/>
              <w:bottom w:val="single" w:sz="4" w:space="0" w:color="auto"/>
              <w:right w:val="single" w:sz="4" w:space="0" w:color="auto"/>
            </w:tcBorders>
            <w:vAlign w:val="center"/>
          </w:tcPr>
          <w:p w14:paraId="0C74DB94" w14:textId="77777777" w:rsidR="00AC2298" w:rsidRPr="00271560" w:rsidRDefault="00AC2298" w:rsidP="004E6B05">
            <w:pPr>
              <w:pStyle w:val="Tabletext"/>
              <w:keepNext/>
              <w:keepLines/>
              <w:jc w:val="center"/>
            </w:pPr>
            <w:r w:rsidRPr="00271560">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7A187436" w14:textId="77777777" w:rsidR="00AC2298" w:rsidRPr="00271560" w:rsidRDefault="00AC2298" w:rsidP="004E6B05">
            <w:pPr>
              <w:pStyle w:val="Tabletext"/>
              <w:keepNext/>
              <w:keepLines/>
              <w:jc w:val="center"/>
            </w:pPr>
            <w:r w:rsidRPr="00271560">
              <w:t>0</w:t>
            </w:r>
          </w:p>
        </w:tc>
      </w:tr>
    </w:tbl>
    <w:p w14:paraId="06B85FD6" w14:textId="77777777" w:rsidR="00AC2298" w:rsidRPr="00271560" w:rsidRDefault="00AC2298" w:rsidP="004E6B05">
      <w:pPr>
        <w:pStyle w:val="TableNotes"/>
        <w:keepNext/>
        <w:keepLines/>
        <w:spacing w:before="0" w:after="0" w:line="240" w:lineRule="auto"/>
        <w:rPr>
          <w:rFonts w:ascii="Arial Narrow" w:hAnsi="Arial Narrow"/>
          <w:sz w:val="18"/>
          <w:szCs w:val="18"/>
          <w:lang w:val="en-AU"/>
        </w:rPr>
      </w:pPr>
      <w:r w:rsidRPr="00271560">
        <w:rPr>
          <w:rFonts w:ascii="Arial Narrow" w:hAnsi="Arial Narrow"/>
          <w:sz w:val="18"/>
          <w:szCs w:val="18"/>
          <w:lang w:val="en-AU"/>
        </w:rPr>
        <w:t>Source: Table 2.28, p106 of the resubmission</w:t>
      </w:r>
    </w:p>
    <w:p w14:paraId="6A41576D" w14:textId="77777777" w:rsidR="00AC2298" w:rsidRPr="00271560" w:rsidRDefault="00AC2298" w:rsidP="004E6B05">
      <w:pPr>
        <w:pStyle w:val="TableNotes"/>
        <w:keepNext/>
        <w:keepLines/>
        <w:spacing w:before="0" w:after="0" w:line="240" w:lineRule="auto"/>
        <w:rPr>
          <w:rFonts w:ascii="Arial Narrow" w:hAnsi="Arial Narrow"/>
          <w:sz w:val="18"/>
          <w:szCs w:val="18"/>
          <w:lang w:val="en-AU"/>
        </w:rPr>
      </w:pPr>
      <w:r w:rsidRPr="00271560">
        <w:rPr>
          <w:rFonts w:ascii="Arial Narrow" w:hAnsi="Arial Narrow"/>
          <w:sz w:val="18"/>
          <w:szCs w:val="18"/>
          <w:vertAlign w:val="superscript"/>
          <w:lang w:val="en-AU"/>
        </w:rPr>
        <w:t>a</w:t>
      </w:r>
      <w:r w:rsidRPr="00271560">
        <w:rPr>
          <w:rFonts w:ascii="Arial Narrow" w:hAnsi="Arial Narrow"/>
          <w:sz w:val="18"/>
          <w:szCs w:val="18"/>
          <w:lang w:val="en-AU"/>
        </w:rPr>
        <w:t xml:space="preserve"> As NURTURE safety data is available only for a small number of patients with 3 copies of </w:t>
      </w:r>
      <w:r w:rsidRPr="00271560">
        <w:rPr>
          <w:rFonts w:ascii="Arial Narrow" w:hAnsi="Arial Narrow"/>
          <w:i/>
          <w:iCs/>
          <w:sz w:val="18"/>
          <w:szCs w:val="18"/>
          <w:lang w:val="en-AU"/>
        </w:rPr>
        <w:t>SMN2</w:t>
      </w:r>
      <w:r w:rsidRPr="00271560">
        <w:rPr>
          <w:rFonts w:ascii="Arial Narrow" w:hAnsi="Arial Narrow"/>
          <w:sz w:val="18"/>
          <w:szCs w:val="18"/>
          <w:lang w:val="en-AU"/>
        </w:rPr>
        <w:t xml:space="preserve">, data is also presented for patients with 2 copies of </w:t>
      </w:r>
      <w:r w:rsidRPr="00271560">
        <w:rPr>
          <w:rFonts w:ascii="Arial Narrow" w:hAnsi="Arial Narrow"/>
          <w:i/>
          <w:iCs/>
          <w:sz w:val="18"/>
          <w:szCs w:val="18"/>
          <w:lang w:val="en-AU"/>
        </w:rPr>
        <w:t>SMN2</w:t>
      </w:r>
      <w:r w:rsidRPr="00271560">
        <w:rPr>
          <w:rFonts w:ascii="Arial Narrow" w:hAnsi="Arial Narrow"/>
          <w:sz w:val="18"/>
          <w:szCs w:val="18"/>
          <w:lang w:val="en-AU"/>
        </w:rPr>
        <w:t>.</w:t>
      </w:r>
    </w:p>
    <w:p w14:paraId="67C3E3C3" w14:textId="77777777" w:rsidR="00AC2298" w:rsidRPr="00271560" w:rsidRDefault="00AC2298" w:rsidP="00266B11">
      <w:pPr>
        <w:pStyle w:val="TableNotes"/>
        <w:keepLines/>
        <w:spacing w:before="0" w:after="120" w:line="240" w:lineRule="auto"/>
        <w:contextualSpacing w:val="0"/>
        <w:rPr>
          <w:rFonts w:ascii="Arial Narrow" w:hAnsi="Arial Narrow"/>
          <w:sz w:val="18"/>
          <w:szCs w:val="18"/>
          <w:lang w:val="en-AU"/>
        </w:rPr>
      </w:pPr>
      <w:r w:rsidRPr="00271560">
        <w:rPr>
          <w:rFonts w:ascii="Arial Narrow" w:hAnsi="Arial Narrow"/>
          <w:sz w:val="18"/>
          <w:szCs w:val="18"/>
          <w:lang w:val="en-AU"/>
        </w:rPr>
        <w:t>AE = adverse event; ITT = intention to treat</w:t>
      </w:r>
    </w:p>
    <w:p w14:paraId="2D8AFDDB" w14:textId="0BD4542A" w:rsidR="00AC2298" w:rsidRPr="00271560" w:rsidRDefault="00AC2298" w:rsidP="00C93698">
      <w:pPr>
        <w:pStyle w:val="3-BodyText"/>
      </w:pPr>
      <w:r w:rsidRPr="00271560">
        <w:t>The PBAC previously noted that the majority of adverse events in NURTURE were respiratory in nature and appeared to be related to the SMA disease process. However, the PBAC noted that the long-term safety of repeated lumbar puncture in the context of a lifelong disease was unknown (paragraph 7.5, nusinersen PSD, July 2019 PBAC meeting</w:t>
      </w:r>
      <w:r w:rsidR="00753D8E" w:rsidRPr="00271560">
        <w:t xml:space="preserve"> and paragraph 6.28, nusinersen PSD, July 2020 PBAC meeting</w:t>
      </w:r>
      <w:r w:rsidRPr="00271560">
        <w:t>).</w:t>
      </w:r>
      <w:r w:rsidR="00616ADE" w:rsidRPr="00616ADE">
        <w:rPr>
          <w:i/>
          <w:iCs/>
        </w:rPr>
        <w:t xml:space="preserve"> </w:t>
      </w:r>
      <w:r w:rsidR="00616ADE" w:rsidRPr="00B27BB6">
        <w:t>The ESC considered that since patients treated pre-symptomatically would receive a greater number of lumbar punctures compared to SoC, the resubmission’s claim that safety would be no worse than SoC was not supported.</w:t>
      </w:r>
    </w:p>
    <w:p w14:paraId="48399453" w14:textId="77777777" w:rsidR="00AC2298" w:rsidRPr="00271560" w:rsidRDefault="00AC2298" w:rsidP="00AC2298">
      <w:pPr>
        <w:pStyle w:val="4-SubsectionHeading"/>
      </w:pPr>
      <w:bookmarkStart w:id="51" w:name="_Toc22897643"/>
      <w:bookmarkStart w:id="52" w:name="_Toc132629059"/>
      <w:bookmarkStart w:id="53" w:name="_Toc135214664"/>
      <w:r w:rsidRPr="00271560">
        <w:t>Benefits/harms</w:t>
      </w:r>
      <w:bookmarkEnd w:id="51"/>
      <w:bookmarkEnd w:id="52"/>
      <w:bookmarkEnd w:id="53"/>
    </w:p>
    <w:p w14:paraId="63FBFEDB" w14:textId="77777777" w:rsidR="00AC2298" w:rsidRPr="0067202A" w:rsidRDefault="00AC2298" w:rsidP="00AC2298">
      <w:pPr>
        <w:pStyle w:val="3-BodyText"/>
        <w:rPr>
          <w:iCs/>
        </w:rPr>
      </w:pPr>
      <w:r w:rsidRPr="0067202A">
        <w:rPr>
          <w:iCs/>
        </w:rPr>
        <w:t xml:space="preserve">The naïve indirect comparison presented in the resubmission did not allow for a quantitative comparison of the benefits and harms for the use of nusinersen for the treatment of SMA with 3 copies of </w:t>
      </w:r>
      <w:r w:rsidRPr="0067202A">
        <w:rPr>
          <w:i/>
        </w:rPr>
        <w:t>SMN2</w:t>
      </w:r>
      <w:r w:rsidRPr="0067202A">
        <w:rPr>
          <w:iCs/>
        </w:rPr>
        <w:t xml:space="preserve"> in the pre-symptomatic versus symptomatic settings. Accordingly, a benefits/harms table has not been presented.</w:t>
      </w:r>
    </w:p>
    <w:p w14:paraId="556CF511" w14:textId="77777777" w:rsidR="00AC2298" w:rsidRPr="00271560" w:rsidRDefault="00AC2298" w:rsidP="00AC2298">
      <w:pPr>
        <w:pStyle w:val="4-SubsectionHeading"/>
      </w:pPr>
      <w:bookmarkStart w:id="54" w:name="_Toc22897644"/>
      <w:bookmarkStart w:id="55" w:name="_Toc132629060"/>
      <w:bookmarkStart w:id="56" w:name="_Toc135214665"/>
      <w:r w:rsidRPr="00271560">
        <w:t>Clinical claim</w:t>
      </w:r>
      <w:bookmarkEnd w:id="54"/>
      <w:bookmarkEnd w:id="55"/>
      <w:bookmarkEnd w:id="56"/>
    </w:p>
    <w:p w14:paraId="50028164" w14:textId="3367643D" w:rsidR="00AC2298" w:rsidRPr="00271560" w:rsidRDefault="00AC2298" w:rsidP="00AC2298">
      <w:pPr>
        <w:pStyle w:val="3-BodyText"/>
      </w:pPr>
      <w:r w:rsidRPr="00271560">
        <w:t xml:space="preserve">The resubmission concluded that in individuals with pre-symptomatic SMA with </w:t>
      </w:r>
      <w:r w:rsidR="00266B11" w:rsidRPr="00271560">
        <w:t>3</w:t>
      </w:r>
      <w:r w:rsidR="00266B11">
        <w:t> </w:t>
      </w:r>
      <w:r w:rsidRPr="00271560">
        <w:rPr>
          <w:i/>
          <w:iCs/>
        </w:rPr>
        <w:t>SMN2</w:t>
      </w:r>
      <w:r w:rsidRPr="00271560">
        <w:t xml:space="preserve"> copies, nusinersen is clinically superior in terms of comparative effectiveness and no worse in terms of comparative safety, compared to treatment with nusinersen upon symptom onset in the same population.</w:t>
      </w:r>
    </w:p>
    <w:p w14:paraId="0B2AA89B" w14:textId="7424E517" w:rsidR="00AC2298" w:rsidRPr="0067202A" w:rsidRDefault="00374CF6" w:rsidP="00AC2298">
      <w:pPr>
        <w:pStyle w:val="3-BodyText"/>
      </w:pPr>
      <w:r w:rsidRPr="0067202A">
        <w:t xml:space="preserve">The therapeutic conclusion was plausible but was not clearly supported </w:t>
      </w:r>
      <w:r w:rsidR="00AC2298" w:rsidRPr="0067202A">
        <w:t>by the evidence presented in the resubmission because:</w:t>
      </w:r>
    </w:p>
    <w:p w14:paraId="7E92FC86" w14:textId="207D420B" w:rsidR="00AC2298" w:rsidRPr="0067202A" w:rsidRDefault="00AC2298" w:rsidP="00106AA4">
      <w:pPr>
        <w:pStyle w:val="3-BodyText"/>
        <w:numPr>
          <w:ilvl w:val="1"/>
          <w:numId w:val="11"/>
        </w:numPr>
        <w:ind w:left="993" w:hanging="219"/>
      </w:pPr>
      <w:r w:rsidRPr="0067202A">
        <w:t xml:space="preserve">As in the previous submission, </w:t>
      </w:r>
      <w:r w:rsidR="00616ADE">
        <w:t>the clinical data available</w:t>
      </w:r>
      <w:r w:rsidRPr="0067202A">
        <w:t xml:space="preserve"> did not allow for an estimation of the incremental benefit of early nusinersen treatment compared to nusinersen treatment under the current PBS restriction. The PBAC previously noted </w:t>
      </w:r>
      <w:r w:rsidRPr="0067202A">
        <w:lastRenderedPageBreak/>
        <w:t>that without a control group, the relative effect of pre</w:t>
      </w:r>
      <w:r w:rsidRPr="0067202A">
        <w:noBreakHyphen/>
        <w:t xml:space="preserve">symptomatic initiation of treatment with nusinersen cannot be accurately determined for those with 2 or </w:t>
      </w:r>
      <w:r w:rsidR="00266B11" w:rsidRPr="0067202A">
        <w:t>3</w:t>
      </w:r>
      <w:r w:rsidR="00266B11">
        <w:t> </w:t>
      </w:r>
      <w:r w:rsidRPr="0067202A">
        <w:rPr>
          <w:i/>
          <w:iCs/>
        </w:rPr>
        <w:t>SMN2</w:t>
      </w:r>
      <w:r w:rsidRPr="0067202A">
        <w:t xml:space="preserve"> copies (paragraph 6.11, nusinersen PSD, July 2019 PBAC meeting). </w:t>
      </w:r>
    </w:p>
    <w:p w14:paraId="496526DA" w14:textId="7C43206D" w:rsidR="00AC2298" w:rsidRPr="0067202A" w:rsidRDefault="00616ADE" w:rsidP="00106AA4">
      <w:pPr>
        <w:pStyle w:val="3-BodyText"/>
        <w:numPr>
          <w:ilvl w:val="1"/>
          <w:numId w:val="11"/>
        </w:numPr>
        <w:ind w:left="993" w:hanging="219"/>
        <w:rPr>
          <w:iCs/>
        </w:rPr>
      </w:pPr>
      <w:r>
        <w:rPr>
          <w:iCs/>
        </w:rPr>
        <w:t>T</w:t>
      </w:r>
      <w:r w:rsidR="00AC2298" w:rsidRPr="0067202A">
        <w:rPr>
          <w:iCs/>
        </w:rPr>
        <w:t xml:space="preserve">here </w:t>
      </w:r>
      <w:r>
        <w:rPr>
          <w:iCs/>
        </w:rPr>
        <w:t>remained</w:t>
      </w:r>
      <w:r w:rsidRPr="0067202A">
        <w:rPr>
          <w:iCs/>
        </w:rPr>
        <w:t xml:space="preserve"> </w:t>
      </w:r>
      <w:r w:rsidR="00AC2298" w:rsidRPr="0067202A">
        <w:rPr>
          <w:iCs/>
        </w:rPr>
        <w:t>substantial transitivity and applicability issues</w:t>
      </w:r>
      <w:r>
        <w:rPr>
          <w:iCs/>
        </w:rPr>
        <w:t xml:space="preserve"> with the available data</w:t>
      </w:r>
      <w:r w:rsidR="00702352" w:rsidRPr="0067202A">
        <w:rPr>
          <w:iCs/>
        </w:rPr>
        <w:t xml:space="preserve">. The </w:t>
      </w:r>
      <w:r w:rsidR="00857488">
        <w:rPr>
          <w:iCs/>
        </w:rPr>
        <w:t>additional</w:t>
      </w:r>
      <w:r w:rsidR="00721F9D" w:rsidRPr="0067202A">
        <w:rPr>
          <w:iCs/>
        </w:rPr>
        <w:t xml:space="preserve"> </w:t>
      </w:r>
      <w:r w:rsidR="00702352" w:rsidRPr="0067202A">
        <w:rPr>
          <w:iCs/>
        </w:rPr>
        <w:t>studies</w:t>
      </w:r>
      <w:r w:rsidR="00AC2298" w:rsidRPr="0067202A">
        <w:rPr>
          <w:iCs/>
        </w:rPr>
        <w:t xml:space="preserve"> </w:t>
      </w:r>
      <w:r w:rsidR="00857488">
        <w:rPr>
          <w:iCs/>
        </w:rPr>
        <w:t xml:space="preserve">included </w:t>
      </w:r>
      <w:r w:rsidR="00AC2298" w:rsidRPr="0067202A">
        <w:rPr>
          <w:iCs/>
        </w:rPr>
        <w:t>did not allow the magnitude of incremental benefit (if any) of pre-symptomatic treatment compared to symptomatic treatment initiation</w:t>
      </w:r>
      <w:r w:rsidR="00B92F9B" w:rsidRPr="0067202A">
        <w:rPr>
          <w:iCs/>
        </w:rPr>
        <w:t xml:space="preserve"> to be estimated robustly</w:t>
      </w:r>
      <w:r w:rsidR="00AC2298" w:rsidRPr="0067202A">
        <w:rPr>
          <w:iCs/>
        </w:rPr>
        <w:t xml:space="preserve"> </w:t>
      </w:r>
      <w:r w:rsidR="00702352" w:rsidRPr="0067202A">
        <w:rPr>
          <w:iCs/>
        </w:rPr>
        <w:t>since</w:t>
      </w:r>
      <w:r w:rsidR="00AC2298" w:rsidRPr="0067202A">
        <w:rPr>
          <w:iCs/>
        </w:rPr>
        <w:t>:</w:t>
      </w:r>
    </w:p>
    <w:p w14:paraId="489042C6" w14:textId="77777777" w:rsidR="00AC2298" w:rsidRPr="0067202A" w:rsidRDefault="00AC2298" w:rsidP="00324EE8">
      <w:pPr>
        <w:pStyle w:val="ListParagraph"/>
        <w:numPr>
          <w:ilvl w:val="1"/>
          <w:numId w:val="3"/>
        </w:numPr>
        <w:ind w:left="1276" w:hanging="284"/>
        <w:rPr>
          <w:iCs/>
        </w:rPr>
      </w:pPr>
      <w:r w:rsidRPr="0067202A">
        <w:rPr>
          <w:iCs/>
        </w:rPr>
        <w:t>The underlying phenotype of patients enrolled in the pre-symptomatic studies was likely to be more favourable than those enrolled in the symptomatic studies;</w:t>
      </w:r>
    </w:p>
    <w:p w14:paraId="615E8E01" w14:textId="77777777" w:rsidR="00AC2298" w:rsidRPr="0067202A" w:rsidRDefault="00AC2298" w:rsidP="00324EE8">
      <w:pPr>
        <w:pStyle w:val="ListParagraph"/>
        <w:numPr>
          <w:ilvl w:val="1"/>
          <w:numId w:val="3"/>
        </w:numPr>
        <w:ind w:left="1276" w:hanging="284"/>
        <w:rPr>
          <w:iCs/>
        </w:rPr>
      </w:pPr>
      <w:r w:rsidRPr="0067202A">
        <w:rPr>
          <w:iCs/>
        </w:rPr>
        <w:t>There were differences in patient age between the two sets of studies which affects the interpretation of achievement of motor milestones (which are correlated with patient age);</w:t>
      </w:r>
    </w:p>
    <w:p w14:paraId="61CB4E90" w14:textId="186ADEB5" w:rsidR="007C49D7" w:rsidRPr="00271560" w:rsidRDefault="00AC2298" w:rsidP="00324EE8">
      <w:pPr>
        <w:pStyle w:val="ListParagraph"/>
        <w:numPr>
          <w:ilvl w:val="1"/>
          <w:numId w:val="3"/>
        </w:numPr>
        <w:ind w:left="1276" w:hanging="284"/>
        <w:rPr>
          <w:i/>
          <w:iCs/>
        </w:rPr>
      </w:pPr>
      <w:r w:rsidRPr="0067202A">
        <w:rPr>
          <w:iCs/>
        </w:rPr>
        <w:t>Patients enrolled in the symptomatic studies likely experienced a longer time between symptom onset and treatment initiation than the proposed PBS population, who would be identified as having genetic SMA due to NBS</w:t>
      </w:r>
      <w:r w:rsidR="00077E3B">
        <w:rPr>
          <w:iCs/>
        </w:rPr>
        <w:t>.</w:t>
      </w:r>
    </w:p>
    <w:p w14:paraId="34BB0A52" w14:textId="1E87D453" w:rsidR="00B31BA7" w:rsidRPr="00CA0208" w:rsidRDefault="00B31BA7" w:rsidP="00AC2298">
      <w:pPr>
        <w:pStyle w:val="3-BodyText"/>
        <w:rPr>
          <w:iCs/>
        </w:rPr>
      </w:pPr>
      <w:r w:rsidRPr="0067202A">
        <w:rPr>
          <w:iCs/>
        </w:rPr>
        <w:t xml:space="preserve">Previously, the PBAC considered there was likely an incremental benefit from pre-symptomatic treatment with nusinersen compared with symptomatic treatment. However, the magnitude of incremental benefit could not be ascertained without appropriate comparative data (paragraph 11.3, nusinersen PSD, November 2019 PBAC meeting). </w:t>
      </w:r>
      <w:r w:rsidR="006B1F4D" w:rsidRPr="00CA0208">
        <w:rPr>
          <w:iCs/>
        </w:rPr>
        <w:t>The ESC considered that</w:t>
      </w:r>
      <w:r w:rsidRPr="00CA0208">
        <w:rPr>
          <w:iCs/>
        </w:rPr>
        <w:t xml:space="preserve"> this conclusion </w:t>
      </w:r>
      <w:r w:rsidR="006B1F4D" w:rsidRPr="00CA0208">
        <w:rPr>
          <w:iCs/>
        </w:rPr>
        <w:t>still applied f</w:t>
      </w:r>
      <w:r w:rsidRPr="00CA0208">
        <w:rPr>
          <w:iCs/>
        </w:rPr>
        <w:t>or the current resubmission</w:t>
      </w:r>
      <w:r w:rsidR="00857488" w:rsidRPr="00CA0208">
        <w:rPr>
          <w:iCs/>
        </w:rPr>
        <w:t>, noting that the comparison of change in HINE-2 scores (</w:t>
      </w:r>
      <w:r w:rsidR="00857488" w:rsidRPr="00CA0208">
        <w:rPr>
          <w:iCs/>
        </w:rPr>
        <w:fldChar w:fldCharType="begin" w:fldLock="1"/>
      </w:r>
      <w:r w:rsidR="00857488" w:rsidRPr="00CA0208">
        <w:rPr>
          <w:iCs/>
        </w:rPr>
        <w:instrText xml:space="preserve"> REF _Ref132650074 \h  \* MERGEFORMAT </w:instrText>
      </w:r>
      <w:r w:rsidR="00857488" w:rsidRPr="00CA0208">
        <w:rPr>
          <w:iCs/>
        </w:rPr>
      </w:r>
      <w:r w:rsidR="00857488" w:rsidRPr="00CA0208">
        <w:rPr>
          <w:iCs/>
        </w:rPr>
        <w:fldChar w:fldCharType="separate"/>
      </w:r>
      <w:r w:rsidR="00857488" w:rsidRPr="00CA0208">
        <w:rPr>
          <w:iCs/>
        </w:rPr>
        <w:t xml:space="preserve">Figure </w:t>
      </w:r>
      <w:r w:rsidR="00857488" w:rsidRPr="00CA0208">
        <w:rPr>
          <w:iCs/>
          <w:noProof/>
        </w:rPr>
        <w:t>2</w:t>
      </w:r>
      <w:r w:rsidR="00857488" w:rsidRPr="00CA0208">
        <w:rPr>
          <w:iCs/>
        </w:rPr>
        <w:fldChar w:fldCharType="end"/>
      </w:r>
      <w:r w:rsidR="00857488" w:rsidRPr="00CA0208">
        <w:rPr>
          <w:iCs/>
        </w:rPr>
        <w:t>) indicated that the incremental benefit of pre-symptomatic treatment with nusinersen compared with symptomatic initiation decreased with earlier symptomatic initiation of nusinersen treatment.</w:t>
      </w:r>
    </w:p>
    <w:p w14:paraId="0EDA28FA" w14:textId="6133420F" w:rsidR="00AC2298" w:rsidRPr="00CA0208" w:rsidRDefault="00FA37E1" w:rsidP="00AC2298">
      <w:pPr>
        <w:pStyle w:val="3-BodyText"/>
        <w:rPr>
          <w:iCs/>
        </w:rPr>
      </w:pPr>
      <w:r w:rsidRPr="00CA0208">
        <w:rPr>
          <w:iCs/>
        </w:rPr>
        <w:t>The ESC noted that no</w:t>
      </w:r>
      <w:r w:rsidR="00AC2298" w:rsidRPr="00CA0208">
        <w:rPr>
          <w:iCs/>
        </w:rPr>
        <w:t xml:space="preserve"> clinical data was provided to inform the efficacy of pre</w:t>
      </w:r>
      <w:r w:rsidR="009B236F" w:rsidRPr="00CA0208">
        <w:rPr>
          <w:iCs/>
        </w:rPr>
        <w:noBreakHyphen/>
      </w:r>
      <w:r w:rsidR="00AC2298" w:rsidRPr="00CA0208">
        <w:rPr>
          <w:iCs/>
        </w:rPr>
        <w:t xml:space="preserve">symptomatic initiation of nusinersen in patients with 1-3 </w:t>
      </w:r>
      <w:r w:rsidR="00AC2298" w:rsidRPr="00CA0208">
        <w:rPr>
          <w:i/>
        </w:rPr>
        <w:t>SMN2</w:t>
      </w:r>
      <w:r w:rsidR="00AC2298" w:rsidRPr="00CA0208">
        <w:rPr>
          <w:iCs/>
        </w:rPr>
        <w:t xml:space="preserve"> copies aged </w:t>
      </w:r>
      <w:r w:rsidR="00844ECE" w:rsidRPr="00CA0208">
        <w:rPr>
          <w:iCs/>
        </w:rPr>
        <w:t xml:space="preserve">under </w:t>
      </w:r>
      <w:r w:rsidR="00AC2298" w:rsidRPr="00CA0208">
        <w:rPr>
          <w:iCs/>
        </w:rPr>
        <w:t xml:space="preserve">3 to </w:t>
      </w:r>
      <w:r w:rsidR="00844ECE" w:rsidRPr="00CA0208">
        <w:rPr>
          <w:iCs/>
        </w:rPr>
        <w:t xml:space="preserve">under </w:t>
      </w:r>
      <w:r w:rsidR="00AC2298" w:rsidRPr="00CA0208">
        <w:rPr>
          <w:iCs/>
        </w:rPr>
        <w:t>18 years</w:t>
      </w:r>
      <w:r w:rsidRPr="00CA0208">
        <w:rPr>
          <w:iCs/>
        </w:rPr>
        <w:t>, and as such, the ESC did not make any comments in relation to this patient population</w:t>
      </w:r>
      <w:r w:rsidR="00AC2298" w:rsidRPr="00CA0208">
        <w:rPr>
          <w:iCs/>
        </w:rPr>
        <w:t>.</w:t>
      </w:r>
    </w:p>
    <w:p w14:paraId="0ECA35DA" w14:textId="6281BE68" w:rsidR="00E5442C" w:rsidRDefault="009F428A" w:rsidP="00E5442C">
      <w:pPr>
        <w:pStyle w:val="3-BodyText"/>
      </w:pPr>
      <w:r w:rsidRPr="00CA0208">
        <w:t xml:space="preserve">The </w:t>
      </w:r>
      <w:r w:rsidR="005857EC" w:rsidRPr="00CA0208">
        <w:t xml:space="preserve">ESC noted that it had previously considered the </w:t>
      </w:r>
      <w:r w:rsidRPr="00CA0208">
        <w:t xml:space="preserve">claim of </w:t>
      </w:r>
      <w:r w:rsidR="00857488" w:rsidRPr="00CA0208">
        <w:t>non-inferior</w:t>
      </w:r>
      <w:r w:rsidRPr="00CA0208">
        <w:t xml:space="preserve"> comparative safety was not adequately</w:t>
      </w:r>
      <w:r w:rsidR="00857488" w:rsidRPr="00CA0208">
        <w:t xml:space="preserve"> supported</w:t>
      </w:r>
      <w:r w:rsidRPr="00CA0208">
        <w:t xml:space="preserve">, and </w:t>
      </w:r>
      <w:r w:rsidR="005857EC" w:rsidRPr="00CA0208">
        <w:t xml:space="preserve">that </w:t>
      </w:r>
      <w:r w:rsidRPr="00CA0208">
        <w:t>t</w:t>
      </w:r>
      <w:r w:rsidR="00E5442C" w:rsidRPr="00CA0208">
        <w:t xml:space="preserve">he PBAC </w:t>
      </w:r>
      <w:r w:rsidR="005857EC" w:rsidRPr="00CA0208">
        <w:t xml:space="preserve">had previously </w:t>
      </w:r>
      <w:r w:rsidR="00E5442C" w:rsidRPr="00CA0208">
        <w:t>noted that the long-term safety of repeated lumbar puncture associated with nusinersen in the context of a lifelong disease was unknown (paragraph</w:t>
      </w:r>
      <w:r w:rsidRPr="00CA0208">
        <w:t>s</w:t>
      </w:r>
      <w:r w:rsidR="00E5442C" w:rsidRPr="00CA0208">
        <w:t xml:space="preserve"> </w:t>
      </w:r>
      <w:r w:rsidRPr="00CA0208">
        <w:t>6.27 and 6.28</w:t>
      </w:r>
      <w:r w:rsidR="00E5442C" w:rsidRPr="00CA0208">
        <w:t xml:space="preserve">, nusinersen PSD, July </w:t>
      </w:r>
      <w:r w:rsidRPr="00CA0208">
        <w:t xml:space="preserve">2020 </w:t>
      </w:r>
      <w:r w:rsidR="00E5442C" w:rsidRPr="00CA0208">
        <w:t>PBAC meeting).</w:t>
      </w:r>
      <w:r w:rsidR="005857EC" w:rsidRPr="00CA0208">
        <w:t xml:space="preserve"> The ESC considered that the same comments were applicable for this resubmission.</w:t>
      </w:r>
    </w:p>
    <w:p w14:paraId="5EEACE57" w14:textId="5710574F" w:rsidR="009C2522" w:rsidRPr="00CE42B4" w:rsidRDefault="009C2522" w:rsidP="009C2522">
      <w:pPr>
        <w:widowControl w:val="0"/>
        <w:numPr>
          <w:ilvl w:val="1"/>
          <w:numId w:val="1"/>
        </w:numPr>
        <w:spacing w:after="120"/>
        <w:rPr>
          <w:rFonts w:asciiTheme="minorHAnsi" w:hAnsiTheme="minorHAnsi"/>
          <w:snapToGrid w:val="0"/>
          <w:szCs w:val="20"/>
        </w:rPr>
      </w:pPr>
      <w:bookmarkStart w:id="57"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w:t>
      </w:r>
      <w:r w:rsidR="00FC6A86">
        <w:rPr>
          <w:rFonts w:asciiTheme="minorHAnsi" w:hAnsiTheme="minorHAnsi"/>
          <w:snapToGrid w:val="0"/>
          <w:szCs w:val="20"/>
        </w:rPr>
        <w:t xml:space="preserve">plausible, with the magnitude of the benefit being difficult to estimate. </w:t>
      </w:r>
    </w:p>
    <w:p w14:paraId="1817E5AF" w14:textId="005B5739" w:rsidR="00E971F7" w:rsidRPr="00266B11" w:rsidRDefault="009C2522" w:rsidP="00266B11">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The PBAC considered that the claim of non-inferior</w:t>
      </w:r>
      <w:r w:rsidR="00FC6A86">
        <w:rPr>
          <w:rFonts w:asciiTheme="minorHAnsi" w:hAnsiTheme="minorHAnsi"/>
          <w:snapToGrid w:val="0"/>
          <w:szCs w:val="20"/>
        </w:rPr>
        <w:t xml:space="preserve"> </w:t>
      </w:r>
      <w:r w:rsidRPr="00CE42B4">
        <w:rPr>
          <w:rFonts w:asciiTheme="minorHAnsi" w:hAnsiTheme="minorHAnsi"/>
          <w:snapToGrid w:val="0"/>
          <w:szCs w:val="20"/>
        </w:rPr>
        <w:t>comparative safety was not adequately supported by the data.</w:t>
      </w:r>
    </w:p>
    <w:p w14:paraId="31D7502D" w14:textId="77777777" w:rsidR="00AC2298" w:rsidRPr="00271560" w:rsidRDefault="00AC2298" w:rsidP="00AC2298">
      <w:pPr>
        <w:pStyle w:val="4-SubsectionHeading"/>
      </w:pPr>
      <w:bookmarkStart w:id="58" w:name="_Toc22897645"/>
      <w:bookmarkStart w:id="59" w:name="_Toc132629062"/>
      <w:bookmarkStart w:id="60" w:name="_Toc135214667"/>
      <w:bookmarkEnd w:id="57"/>
      <w:r w:rsidRPr="00271560">
        <w:lastRenderedPageBreak/>
        <w:t>Economic analysis</w:t>
      </w:r>
      <w:bookmarkEnd w:id="58"/>
      <w:bookmarkEnd w:id="59"/>
      <w:bookmarkEnd w:id="60"/>
      <w:r w:rsidRPr="00271560">
        <w:t xml:space="preserve"> </w:t>
      </w:r>
    </w:p>
    <w:p w14:paraId="2C2BA710" w14:textId="05FF890D" w:rsidR="00AC2298" w:rsidRPr="00271560" w:rsidRDefault="00AC2298" w:rsidP="00AC2298">
      <w:pPr>
        <w:pStyle w:val="3-BodyText"/>
      </w:pPr>
      <w:r w:rsidRPr="00271560">
        <w:t>The resubmission presented a modelled cost</w:t>
      </w:r>
      <w:r w:rsidRPr="0067202A">
        <w:t>-utility analysis that was largely based assumptions made by the sponsor. No data fro</w:t>
      </w:r>
      <w:r w:rsidRPr="00271560">
        <w:t xml:space="preserve">m the clinical evaluation was included in the model. </w:t>
      </w:r>
    </w:p>
    <w:p w14:paraId="21B4ED0D" w14:textId="457158C6" w:rsidR="00AC2298" w:rsidRPr="00271560" w:rsidRDefault="00AC2298" w:rsidP="00AC2298">
      <w:pPr>
        <w:pStyle w:val="3-BodyText"/>
      </w:pPr>
      <w:r w:rsidRPr="00271560">
        <w:fldChar w:fldCharType="begin" w:fldLock="1"/>
      </w:r>
      <w:r w:rsidRPr="00271560">
        <w:instrText xml:space="preserve"> REF _Ref132552609 \h </w:instrText>
      </w:r>
      <w:r w:rsidRPr="00271560">
        <w:fldChar w:fldCharType="separate"/>
      </w:r>
      <w:r w:rsidR="000825A0" w:rsidRPr="00271560">
        <w:t xml:space="preserve">Table </w:t>
      </w:r>
      <w:r w:rsidR="000825A0">
        <w:rPr>
          <w:noProof/>
        </w:rPr>
        <w:t>12</w:t>
      </w:r>
      <w:r w:rsidRPr="00271560">
        <w:fldChar w:fldCharType="end"/>
      </w:r>
      <w:r w:rsidRPr="00271560">
        <w:t xml:space="preserve"> provides a summary the key component</w:t>
      </w:r>
      <w:r w:rsidR="006B1F2D">
        <w:t>s</w:t>
      </w:r>
      <w:r w:rsidRPr="00271560">
        <w:t xml:space="preserve"> of the economic evaluation.</w:t>
      </w:r>
    </w:p>
    <w:p w14:paraId="34F6D634" w14:textId="63A34A9E" w:rsidR="00AC2298" w:rsidRPr="00271560" w:rsidRDefault="00AC2298" w:rsidP="00106AB0">
      <w:pPr>
        <w:pStyle w:val="Caption"/>
        <w:rPr>
          <w:rStyle w:val="CommentReference"/>
          <w:b/>
          <w:szCs w:val="18"/>
        </w:rPr>
      </w:pPr>
      <w:bookmarkStart w:id="61" w:name="_Ref132552609"/>
      <w:r w:rsidRPr="00271560">
        <w:t xml:space="preserve">Table </w:t>
      </w:r>
      <w:fldSimple w:instr=" SEQ Table \* ARABIC " w:fldLock="1">
        <w:r w:rsidR="0038407B">
          <w:rPr>
            <w:noProof/>
          </w:rPr>
          <w:t>12</w:t>
        </w:r>
      </w:fldSimple>
      <w:bookmarkEnd w:id="61"/>
      <w:r w:rsidRPr="00271560">
        <w:t>:</w:t>
      </w:r>
      <w:r w:rsidRPr="00271560">
        <w:rPr>
          <w:rStyle w:val="CommentReference"/>
          <w:b/>
          <w:szCs w:val="18"/>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2: Summary of model structure, key inputs and rationale"/>
      </w:tblPr>
      <w:tblGrid>
        <w:gridCol w:w="1555"/>
        <w:gridCol w:w="2836"/>
        <w:gridCol w:w="4625"/>
      </w:tblGrid>
      <w:tr w:rsidR="00AC2298" w:rsidRPr="00271560" w14:paraId="5F7632B1" w14:textId="77777777" w:rsidTr="00324EE8">
        <w:trPr>
          <w:cantSplit/>
          <w:tblHeader/>
        </w:trPr>
        <w:tc>
          <w:tcPr>
            <w:tcW w:w="862" w:type="pct"/>
          </w:tcPr>
          <w:p w14:paraId="7C84517E" w14:textId="77777777" w:rsidR="00AC2298" w:rsidRPr="00271560" w:rsidRDefault="00AC2298" w:rsidP="008C0AD8">
            <w:pPr>
              <w:pStyle w:val="In-tableHeading"/>
              <w:keepLines/>
              <w:widowControl w:val="0"/>
              <w:rPr>
                <w:lang w:val="en-AU"/>
              </w:rPr>
            </w:pPr>
            <w:r w:rsidRPr="00271560">
              <w:rPr>
                <w:lang w:val="en-AU"/>
              </w:rPr>
              <w:t>Component</w:t>
            </w:r>
          </w:p>
        </w:tc>
        <w:tc>
          <w:tcPr>
            <w:tcW w:w="1573" w:type="pct"/>
            <w:vAlign w:val="center"/>
          </w:tcPr>
          <w:p w14:paraId="7B374F59" w14:textId="77777777" w:rsidR="00AC2298" w:rsidRPr="00271560" w:rsidRDefault="00AC2298" w:rsidP="00106AB0">
            <w:pPr>
              <w:pStyle w:val="In-tableHeading"/>
              <w:keepLines/>
              <w:widowControl w:val="0"/>
              <w:rPr>
                <w:lang w:val="en-AU"/>
              </w:rPr>
            </w:pPr>
            <w:r w:rsidRPr="00271560">
              <w:rPr>
                <w:lang w:val="en-AU"/>
              </w:rPr>
              <w:t>Description</w:t>
            </w:r>
          </w:p>
        </w:tc>
        <w:tc>
          <w:tcPr>
            <w:tcW w:w="2565" w:type="pct"/>
            <w:vAlign w:val="center"/>
          </w:tcPr>
          <w:p w14:paraId="13EBFDD9" w14:textId="77777777" w:rsidR="00AC2298" w:rsidRPr="00271560" w:rsidRDefault="00AC2298" w:rsidP="00106AB0">
            <w:pPr>
              <w:pStyle w:val="In-tableHeading"/>
              <w:keepLines/>
              <w:widowControl w:val="0"/>
              <w:jc w:val="both"/>
              <w:rPr>
                <w:lang w:val="en-AU"/>
              </w:rPr>
            </w:pPr>
            <w:r w:rsidRPr="00271560">
              <w:rPr>
                <w:lang w:val="en-AU"/>
              </w:rPr>
              <w:t>Justification/comments</w:t>
            </w:r>
          </w:p>
        </w:tc>
      </w:tr>
      <w:tr w:rsidR="00AC2298" w:rsidRPr="00271560" w14:paraId="524F76CD" w14:textId="77777777" w:rsidTr="00324EE8">
        <w:trPr>
          <w:cantSplit/>
        </w:trPr>
        <w:tc>
          <w:tcPr>
            <w:tcW w:w="862" w:type="pct"/>
          </w:tcPr>
          <w:p w14:paraId="5483875E" w14:textId="77777777" w:rsidR="00AC2298" w:rsidRPr="00271560" w:rsidRDefault="00AC2298" w:rsidP="008C0AD8">
            <w:pPr>
              <w:pStyle w:val="TableText0"/>
              <w:keepLines/>
              <w:widowControl w:val="0"/>
            </w:pPr>
            <w:r w:rsidRPr="00271560">
              <w:t>Type of analysis</w:t>
            </w:r>
          </w:p>
        </w:tc>
        <w:tc>
          <w:tcPr>
            <w:tcW w:w="1573" w:type="pct"/>
            <w:vAlign w:val="center"/>
          </w:tcPr>
          <w:p w14:paraId="54ECFD89" w14:textId="77777777" w:rsidR="00AC2298" w:rsidRPr="00271560" w:rsidRDefault="00AC2298" w:rsidP="00106AB0">
            <w:pPr>
              <w:pStyle w:val="TableText0"/>
              <w:keepLines/>
              <w:widowControl w:val="0"/>
            </w:pPr>
            <w:r w:rsidRPr="00271560">
              <w:t>Cost-utility analysis</w:t>
            </w:r>
          </w:p>
        </w:tc>
        <w:tc>
          <w:tcPr>
            <w:tcW w:w="2565" w:type="pct"/>
            <w:vAlign w:val="center"/>
          </w:tcPr>
          <w:p w14:paraId="22C74930" w14:textId="360523F8" w:rsidR="00AC2298" w:rsidRPr="0067202A" w:rsidRDefault="00AC2298" w:rsidP="00106AB0">
            <w:pPr>
              <w:pStyle w:val="TableText0"/>
              <w:keepLines/>
              <w:widowControl w:val="0"/>
              <w:jc w:val="both"/>
              <w:rPr>
                <w:iCs/>
              </w:rPr>
            </w:pPr>
            <w:r w:rsidRPr="0067202A">
              <w:rPr>
                <w:iCs/>
              </w:rPr>
              <w:t xml:space="preserve">This was appropriate. </w:t>
            </w:r>
          </w:p>
        </w:tc>
      </w:tr>
      <w:tr w:rsidR="00AC2298" w:rsidRPr="00271560" w14:paraId="5D17A034" w14:textId="77777777" w:rsidTr="00324EE8">
        <w:trPr>
          <w:cantSplit/>
        </w:trPr>
        <w:tc>
          <w:tcPr>
            <w:tcW w:w="862" w:type="pct"/>
          </w:tcPr>
          <w:p w14:paraId="4D8D716F" w14:textId="77777777" w:rsidR="00AC2298" w:rsidRPr="00271560" w:rsidRDefault="00AC2298" w:rsidP="008C0AD8">
            <w:pPr>
              <w:pStyle w:val="TableText0"/>
              <w:keepLines/>
              <w:widowControl w:val="0"/>
            </w:pPr>
            <w:r w:rsidRPr="00271560">
              <w:t>Outcomes</w:t>
            </w:r>
          </w:p>
        </w:tc>
        <w:tc>
          <w:tcPr>
            <w:tcW w:w="1573" w:type="pct"/>
            <w:vAlign w:val="center"/>
          </w:tcPr>
          <w:p w14:paraId="46459CCB" w14:textId="77777777" w:rsidR="00AC2298" w:rsidRPr="00271560" w:rsidRDefault="00AC2298" w:rsidP="00106AB0">
            <w:pPr>
              <w:pStyle w:val="TableText0"/>
              <w:keepLines/>
              <w:widowControl w:val="0"/>
            </w:pPr>
            <w:r w:rsidRPr="00271560">
              <w:t>QALYs</w:t>
            </w:r>
          </w:p>
        </w:tc>
        <w:tc>
          <w:tcPr>
            <w:tcW w:w="2565" w:type="pct"/>
            <w:vAlign w:val="center"/>
          </w:tcPr>
          <w:p w14:paraId="779D000B" w14:textId="77777777" w:rsidR="00AC2298" w:rsidRPr="0067202A" w:rsidRDefault="00AC2298" w:rsidP="00106AB0">
            <w:pPr>
              <w:pStyle w:val="TableText0"/>
              <w:keepLines/>
              <w:widowControl w:val="0"/>
              <w:jc w:val="both"/>
              <w:rPr>
                <w:iCs/>
              </w:rPr>
            </w:pPr>
            <w:r w:rsidRPr="0067202A">
              <w:rPr>
                <w:iCs/>
              </w:rPr>
              <w:t>This was appropriate.</w:t>
            </w:r>
          </w:p>
        </w:tc>
      </w:tr>
      <w:tr w:rsidR="00AC2298" w:rsidRPr="00271560" w14:paraId="3D7045D6" w14:textId="77777777" w:rsidTr="00324EE8">
        <w:trPr>
          <w:cantSplit/>
        </w:trPr>
        <w:tc>
          <w:tcPr>
            <w:tcW w:w="862" w:type="pct"/>
          </w:tcPr>
          <w:p w14:paraId="6E69CE9E" w14:textId="77777777" w:rsidR="00AC2298" w:rsidRPr="00271560" w:rsidRDefault="00AC2298" w:rsidP="008C0AD8">
            <w:pPr>
              <w:pStyle w:val="TableText0"/>
              <w:keepLines/>
              <w:widowControl w:val="0"/>
            </w:pPr>
            <w:r w:rsidRPr="00271560">
              <w:t>Time horizon</w:t>
            </w:r>
          </w:p>
        </w:tc>
        <w:tc>
          <w:tcPr>
            <w:tcW w:w="1573" w:type="pct"/>
          </w:tcPr>
          <w:p w14:paraId="6C287A88" w14:textId="77777777" w:rsidR="00AC2298" w:rsidRPr="00271560" w:rsidRDefault="00AC2298" w:rsidP="009B236F">
            <w:pPr>
              <w:pStyle w:val="TableText0"/>
              <w:keepLines/>
              <w:widowControl w:val="0"/>
            </w:pPr>
            <w:r w:rsidRPr="00271560">
              <w:t>20 years</w:t>
            </w:r>
          </w:p>
        </w:tc>
        <w:tc>
          <w:tcPr>
            <w:tcW w:w="2565" w:type="pct"/>
          </w:tcPr>
          <w:p w14:paraId="67F1AC6A" w14:textId="2026D70D" w:rsidR="00AC2298" w:rsidRPr="0067202A" w:rsidRDefault="0023300D" w:rsidP="009B236F">
            <w:pPr>
              <w:pStyle w:val="TableText0"/>
              <w:keepLines/>
              <w:widowControl w:val="0"/>
              <w:rPr>
                <w:iCs/>
              </w:rPr>
            </w:pPr>
            <w:r>
              <w:rPr>
                <w:iCs/>
              </w:rPr>
              <w:t>T</w:t>
            </w:r>
            <w:r w:rsidR="00AC2298" w:rsidRPr="0067202A">
              <w:rPr>
                <w:iCs/>
              </w:rPr>
              <w:t>he model applied mortality rates of the general population to both treatment arms irrespective of SMA type or treatment status</w:t>
            </w:r>
            <w:r>
              <w:rPr>
                <w:iCs/>
              </w:rPr>
              <w:t>;</w:t>
            </w:r>
            <w:r w:rsidR="005B6DFD">
              <w:rPr>
                <w:iCs/>
              </w:rPr>
              <w:t xml:space="preserve"> t</w:t>
            </w:r>
            <w:r w:rsidR="00AC2298" w:rsidRPr="0067202A">
              <w:rPr>
                <w:iCs/>
              </w:rPr>
              <w:t xml:space="preserve">he assumption that all patients have a normal life expectancy may be optimistic. Additionally, a 20-year time horizon may also be optimistic given the NURTURE (Interim </w:t>
            </w:r>
            <w:r w:rsidR="0060569A" w:rsidRPr="0067202A">
              <w:rPr>
                <w:iCs/>
              </w:rPr>
              <w:t xml:space="preserve">analysis </w:t>
            </w:r>
            <w:r w:rsidR="00AC2298" w:rsidRPr="0067202A">
              <w:rPr>
                <w:iCs/>
              </w:rPr>
              <w:t xml:space="preserve">5) median follow-up time was 3.7 years for patients with 3 copies of </w:t>
            </w:r>
            <w:r w:rsidR="00AC2298" w:rsidRPr="0067202A">
              <w:rPr>
                <w:i/>
              </w:rPr>
              <w:t>SMN2</w:t>
            </w:r>
            <w:r w:rsidR="00AC2298" w:rsidRPr="0067202A">
              <w:rPr>
                <w:iCs/>
              </w:rPr>
              <w:t xml:space="preserve">. </w:t>
            </w:r>
          </w:p>
        </w:tc>
      </w:tr>
      <w:tr w:rsidR="00AC2298" w:rsidRPr="00271560" w14:paraId="28558CC7" w14:textId="77777777" w:rsidTr="00324EE8">
        <w:trPr>
          <w:cantSplit/>
        </w:trPr>
        <w:tc>
          <w:tcPr>
            <w:tcW w:w="862" w:type="pct"/>
          </w:tcPr>
          <w:p w14:paraId="1733E8BA" w14:textId="77777777" w:rsidR="00AC2298" w:rsidRPr="00271560" w:rsidRDefault="00AC2298" w:rsidP="008C0AD8">
            <w:pPr>
              <w:pStyle w:val="TableText0"/>
              <w:keepLines/>
              <w:widowControl w:val="0"/>
            </w:pPr>
            <w:r w:rsidRPr="00271560">
              <w:t>Methods used to generate results</w:t>
            </w:r>
          </w:p>
        </w:tc>
        <w:tc>
          <w:tcPr>
            <w:tcW w:w="1573" w:type="pct"/>
          </w:tcPr>
          <w:p w14:paraId="3D73F413" w14:textId="77777777" w:rsidR="00AC2298" w:rsidRPr="00271560" w:rsidRDefault="00AC2298" w:rsidP="009B236F">
            <w:pPr>
              <w:pStyle w:val="TableText0"/>
              <w:keepLines/>
              <w:widowControl w:val="0"/>
            </w:pPr>
            <w:r w:rsidRPr="00271560">
              <w:t>Cohort-based state transition (Markov) model</w:t>
            </w:r>
          </w:p>
        </w:tc>
        <w:tc>
          <w:tcPr>
            <w:tcW w:w="2565" w:type="pct"/>
          </w:tcPr>
          <w:p w14:paraId="246741D7" w14:textId="5DB66169" w:rsidR="00AC2298" w:rsidRPr="00CA0208" w:rsidRDefault="00AC2298" w:rsidP="009B236F">
            <w:pPr>
              <w:pStyle w:val="TableText0"/>
              <w:keepLines/>
              <w:widowControl w:val="0"/>
            </w:pPr>
            <w:r w:rsidRPr="00CA0208">
              <w:t>Reasonable</w:t>
            </w:r>
            <w:r w:rsidR="00401FD8" w:rsidRPr="00CA0208">
              <w:t xml:space="preserve">, although </w:t>
            </w:r>
            <w:r w:rsidR="00B86550">
              <w:t xml:space="preserve">the </w:t>
            </w:r>
            <w:r w:rsidR="00401FD8" w:rsidRPr="00CA0208">
              <w:t>ESC noted the crudeness of the assumptions around transitions within the model.</w:t>
            </w:r>
          </w:p>
        </w:tc>
      </w:tr>
      <w:tr w:rsidR="00AC2298" w:rsidRPr="00271560" w14:paraId="3C65C7A6" w14:textId="77777777" w:rsidTr="00324EE8">
        <w:trPr>
          <w:cantSplit/>
        </w:trPr>
        <w:tc>
          <w:tcPr>
            <w:tcW w:w="862" w:type="pct"/>
          </w:tcPr>
          <w:p w14:paraId="7506868E" w14:textId="77777777" w:rsidR="00AC2298" w:rsidRPr="00271560" w:rsidRDefault="00AC2298" w:rsidP="008C0AD8">
            <w:pPr>
              <w:pStyle w:val="TableText0"/>
              <w:keepLines/>
              <w:widowControl w:val="0"/>
            </w:pPr>
            <w:r w:rsidRPr="00271560">
              <w:t>Health states</w:t>
            </w:r>
          </w:p>
        </w:tc>
        <w:tc>
          <w:tcPr>
            <w:tcW w:w="1573" w:type="pct"/>
          </w:tcPr>
          <w:p w14:paraId="1664F4BE" w14:textId="77777777" w:rsidR="00AC2298" w:rsidRPr="00271560" w:rsidRDefault="00AC2298" w:rsidP="009B236F">
            <w:pPr>
              <w:pStyle w:val="TableText0"/>
              <w:keepLines/>
              <w:widowControl w:val="0"/>
            </w:pPr>
            <w:r w:rsidRPr="00271560">
              <w:t>15 health states corresponding to individuals with underlying SMA Type (I, II, IIIa, IIIb/c and IV), and treatment status (pre-symptomatic treated, pre-symptomatic untreated, and symptomatic treated), plus death.</w:t>
            </w:r>
          </w:p>
        </w:tc>
        <w:tc>
          <w:tcPr>
            <w:tcW w:w="2565" w:type="pct"/>
          </w:tcPr>
          <w:p w14:paraId="3A0DD9F1" w14:textId="77777777" w:rsidR="00AC2298" w:rsidRPr="0067202A" w:rsidRDefault="00AC2298" w:rsidP="009B236F">
            <w:pPr>
              <w:pStyle w:val="TableText0"/>
              <w:keepLines/>
              <w:widowControl w:val="0"/>
            </w:pPr>
            <w:r w:rsidRPr="0067202A">
              <w:t>The health states were modified to split Type IIIb/IV into two distinct health states, due to changes in the availability of nusinersen in individuals with Type IIIb/c SMA since the March 2020 submission.</w:t>
            </w:r>
          </w:p>
          <w:p w14:paraId="406EBFE1" w14:textId="77777777" w:rsidR="00AC2298" w:rsidRPr="0067202A" w:rsidRDefault="00AC2298" w:rsidP="009B236F">
            <w:pPr>
              <w:pStyle w:val="TableText0"/>
              <w:keepLines/>
              <w:widowControl w:val="0"/>
            </w:pPr>
          </w:p>
          <w:p w14:paraId="73C3DF98" w14:textId="49AB78C9" w:rsidR="00AC2298" w:rsidRPr="0067202A" w:rsidRDefault="00AC2298" w:rsidP="009B236F">
            <w:pPr>
              <w:pStyle w:val="TableText0"/>
              <w:keepLines/>
              <w:widowControl w:val="0"/>
            </w:pPr>
            <w:r w:rsidRPr="0067202A">
              <w:t>SMA Type IV pre-symptomatically treated and symptomatically treated health states w</w:t>
            </w:r>
            <w:r w:rsidR="005B6DFD">
              <w:t>ere</w:t>
            </w:r>
            <w:r w:rsidRPr="0067202A">
              <w:t xml:space="preserve"> assumed to not occur for any patients under the proposed restriction in the base case. </w:t>
            </w:r>
          </w:p>
        </w:tc>
      </w:tr>
      <w:tr w:rsidR="00AC2298" w:rsidRPr="00271560" w14:paraId="18B984A0" w14:textId="77777777" w:rsidTr="00324EE8">
        <w:trPr>
          <w:cantSplit/>
        </w:trPr>
        <w:tc>
          <w:tcPr>
            <w:tcW w:w="862" w:type="pct"/>
          </w:tcPr>
          <w:p w14:paraId="27A907D8" w14:textId="77777777" w:rsidR="00AC2298" w:rsidRPr="00271560" w:rsidRDefault="00AC2298" w:rsidP="008C0AD8">
            <w:pPr>
              <w:pStyle w:val="TableText0"/>
              <w:keepLines/>
              <w:widowControl w:val="0"/>
            </w:pPr>
            <w:r w:rsidRPr="00271560">
              <w:t>Cycle length</w:t>
            </w:r>
          </w:p>
        </w:tc>
        <w:tc>
          <w:tcPr>
            <w:tcW w:w="1573" w:type="pct"/>
          </w:tcPr>
          <w:p w14:paraId="1A9EA976" w14:textId="77777777" w:rsidR="00AC2298" w:rsidRPr="00271560" w:rsidRDefault="00AC2298" w:rsidP="009B236F">
            <w:pPr>
              <w:pStyle w:val="TableText0"/>
              <w:keepLines/>
              <w:widowControl w:val="0"/>
            </w:pPr>
            <w:r w:rsidRPr="00271560">
              <w:t>6 months</w:t>
            </w:r>
          </w:p>
        </w:tc>
        <w:tc>
          <w:tcPr>
            <w:tcW w:w="2565" w:type="pct"/>
          </w:tcPr>
          <w:p w14:paraId="53D7CBFD" w14:textId="28348382" w:rsidR="00AC2298" w:rsidRPr="0067202A" w:rsidRDefault="00AC2298" w:rsidP="009B236F">
            <w:pPr>
              <w:pStyle w:val="TableText0"/>
              <w:keepLines/>
              <w:widowControl w:val="0"/>
            </w:pPr>
            <w:r w:rsidRPr="0067202A">
              <w:t xml:space="preserve">Six monthly cycles may be too long and not sensitive enough to capture the likely rapid progression and deterioration of Type I SMA, which formed 25% of the estimated cohort. </w:t>
            </w:r>
          </w:p>
        </w:tc>
      </w:tr>
      <w:tr w:rsidR="00AC2298" w:rsidRPr="00271560" w14:paraId="511855AC" w14:textId="77777777" w:rsidTr="00324EE8">
        <w:trPr>
          <w:cantSplit/>
        </w:trPr>
        <w:tc>
          <w:tcPr>
            <w:tcW w:w="862" w:type="pct"/>
          </w:tcPr>
          <w:p w14:paraId="2021AE31" w14:textId="77777777" w:rsidR="00AC2298" w:rsidRPr="00271560" w:rsidRDefault="00AC2298" w:rsidP="008C0AD8">
            <w:pPr>
              <w:pStyle w:val="TableText0"/>
              <w:keepLines/>
              <w:widowControl w:val="0"/>
            </w:pPr>
            <w:r w:rsidRPr="00271560">
              <w:t>Transition probabilities</w:t>
            </w:r>
          </w:p>
        </w:tc>
        <w:tc>
          <w:tcPr>
            <w:tcW w:w="1573" w:type="pct"/>
          </w:tcPr>
          <w:p w14:paraId="47244CE4" w14:textId="77777777" w:rsidR="00AC2298" w:rsidRPr="00271560" w:rsidRDefault="00AC2298" w:rsidP="009B236F">
            <w:pPr>
              <w:pStyle w:val="TableText0"/>
              <w:keepLines/>
              <w:widowControl w:val="0"/>
            </w:pPr>
            <w:r w:rsidRPr="00271560">
              <w:t>Transition probabilities are not included in the model. Individuals in the SoC arm remain in their baseline health until symptom onset, when they transition to the corresponding (SMA type) symptomatic health state.</w:t>
            </w:r>
          </w:p>
        </w:tc>
        <w:tc>
          <w:tcPr>
            <w:tcW w:w="2565" w:type="pct"/>
          </w:tcPr>
          <w:p w14:paraId="56A69E6B" w14:textId="77777777" w:rsidR="00AC2298" w:rsidRPr="0067202A" w:rsidRDefault="00AC2298" w:rsidP="009B236F">
            <w:pPr>
              <w:pStyle w:val="TableText0"/>
              <w:keepLines/>
              <w:widowControl w:val="0"/>
            </w:pPr>
            <w:r w:rsidRPr="0067202A">
              <w:t>As for the model from the July 2020 submission, it is possibly unrealistic to have all patients of the same type becoming symptomatic at the same time. This does not model the degenerative and progressive nature of SMA in the model.</w:t>
            </w:r>
          </w:p>
        </w:tc>
      </w:tr>
      <w:tr w:rsidR="00AC2298" w:rsidRPr="00271560" w14:paraId="16DA701F" w14:textId="77777777" w:rsidTr="00324EE8">
        <w:trPr>
          <w:cantSplit/>
        </w:trPr>
        <w:tc>
          <w:tcPr>
            <w:tcW w:w="862" w:type="pct"/>
          </w:tcPr>
          <w:p w14:paraId="2D9B896B" w14:textId="6D10970B" w:rsidR="00AC2298" w:rsidRPr="00271560" w:rsidRDefault="00AC2298" w:rsidP="008C0AD8">
            <w:pPr>
              <w:pStyle w:val="TableText0"/>
              <w:keepLines/>
              <w:widowControl w:val="0"/>
            </w:pPr>
            <w:r w:rsidRPr="00271560">
              <w:t>Duration of incremental effect for pre</w:t>
            </w:r>
            <w:r w:rsidR="002B6FE4" w:rsidRPr="00271560">
              <w:noBreakHyphen/>
            </w:r>
            <w:r w:rsidRPr="00271560">
              <w:t>symptomatic treatment</w:t>
            </w:r>
          </w:p>
        </w:tc>
        <w:tc>
          <w:tcPr>
            <w:tcW w:w="1573" w:type="pct"/>
          </w:tcPr>
          <w:p w14:paraId="42F390DB" w14:textId="77777777" w:rsidR="00AC2298" w:rsidRPr="00271560" w:rsidRDefault="00AC2298" w:rsidP="009B236F">
            <w:pPr>
              <w:pStyle w:val="TableText0"/>
              <w:keepLines/>
              <w:widowControl w:val="0"/>
            </w:pPr>
            <w:r w:rsidRPr="00271560">
              <w:t>The benefit and cost savings decrease over 20 years to align with the utility and health care resource costs applied in the symptomatic SoC arm.</w:t>
            </w:r>
          </w:p>
        </w:tc>
        <w:tc>
          <w:tcPr>
            <w:tcW w:w="2565" w:type="pct"/>
          </w:tcPr>
          <w:p w14:paraId="15090A3D" w14:textId="37B2E3D5" w:rsidR="00AC2298" w:rsidRPr="0067202A" w:rsidRDefault="00AC2298" w:rsidP="009B236F">
            <w:pPr>
              <w:pStyle w:val="TableText0"/>
              <w:keepLines/>
              <w:widowControl w:val="0"/>
              <w:rPr>
                <w:highlight w:val="yellow"/>
              </w:rPr>
            </w:pPr>
            <w:r w:rsidRPr="0067202A">
              <w:t>Assumption</w:t>
            </w:r>
            <w:r w:rsidR="00565DD3" w:rsidRPr="00CA0208">
              <w:t xml:space="preserve">, and </w:t>
            </w:r>
            <w:r w:rsidR="00B86550">
              <w:t xml:space="preserve">the </w:t>
            </w:r>
            <w:r w:rsidR="00565DD3" w:rsidRPr="00CA0208">
              <w:t>ESC note</w:t>
            </w:r>
            <w:r w:rsidR="005F7BC7" w:rsidRPr="00CA0208">
              <w:t>d</w:t>
            </w:r>
            <w:r w:rsidR="00565DD3" w:rsidRPr="00CA0208">
              <w:t xml:space="preserve"> the sensitivity of the ICER to the assumption about the reduced rate of regression in the intervention arm of the model.</w:t>
            </w:r>
          </w:p>
        </w:tc>
      </w:tr>
      <w:tr w:rsidR="00AC2298" w:rsidRPr="00271560" w14:paraId="33B759E9" w14:textId="77777777" w:rsidTr="00324EE8">
        <w:trPr>
          <w:cantSplit/>
        </w:trPr>
        <w:tc>
          <w:tcPr>
            <w:tcW w:w="862" w:type="pct"/>
          </w:tcPr>
          <w:p w14:paraId="550C244F" w14:textId="77777777" w:rsidR="00AC2298" w:rsidRPr="00271560" w:rsidRDefault="00AC2298" w:rsidP="008C0AD8">
            <w:pPr>
              <w:pStyle w:val="TableText0"/>
              <w:keepLines/>
              <w:widowControl w:val="0"/>
            </w:pPr>
            <w:r w:rsidRPr="00271560">
              <w:t>Discount rate</w:t>
            </w:r>
          </w:p>
        </w:tc>
        <w:tc>
          <w:tcPr>
            <w:tcW w:w="1573" w:type="pct"/>
          </w:tcPr>
          <w:p w14:paraId="4DD9DCBD" w14:textId="77777777" w:rsidR="00AC2298" w:rsidRPr="00271560" w:rsidRDefault="00AC2298" w:rsidP="009B236F">
            <w:pPr>
              <w:pStyle w:val="TableText0"/>
              <w:keepLines/>
              <w:widowControl w:val="0"/>
            </w:pPr>
            <w:r w:rsidRPr="00271560">
              <w:t>5% annually</w:t>
            </w:r>
          </w:p>
        </w:tc>
        <w:tc>
          <w:tcPr>
            <w:tcW w:w="2565" w:type="pct"/>
          </w:tcPr>
          <w:p w14:paraId="39F62A08" w14:textId="77777777" w:rsidR="00AC2298" w:rsidRPr="0067202A" w:rsidRDefault="00AC2298" w:rsidP="009B236F">
            <w:pPr>
              <w:pStyle w:val="TableText0"/>
              <w:keepLines/>
              <w:widowControl w:val="0"/>
              <w:rPr>
                <w:highlight w:val="yellow"/>
              </w:rPr>
            </w:pPr>
            <w:r w:rsidRPr="0067202A">
              <w:t>Reasonable.</w:t>
            </w:r>
          </w:p>
        </w:tc>
      </w:tr>
      <w:tr w:rsidR="00AC2298" w:rsidRPr="00271560" w14:paraId="54DE09CA" w14:textId="77777777" w:rsidTr="00324EE8">
        <w:trPr>
          <w:cantSplit/>
        </w:trPr>
        <w:tc>
          <w:tcPr>
            <w:tcW w:w="862" w:type="pct"/>
          </w:tcPr>
          <w:p w14:paraId="1C0113CB" w14:textId="77777777" w:rsidR="00AC2298" w:rsidRPr="00271560" w:rsidRDefault="00AC2298" w:rsidP="008C0AD8">
            <w:pPr>
              <w:pStyle w:val="TableText0"/>
              <w:keepLines/>
              <w:widowControl w:val="0"/>
            </w:pPr>
            <w:r w:rsidRPr="00271560">
              <w:rPr>
                <w:szCs w:val="20"/>
              </w:rPr>
              <w:t>Proportion of each SMA type in cohort</w:t>
            </w:r>
          </w:p>
        </w:tc>
        <w:tc>
          <w:tcPr>
            <w:tcW w:w="1573" w:type="pct"/>
          </w:tcPr>
          <w:p w14:paraId="7061058B" w14:textId="77777777" w:rsidR="00AC2298" w:rsidRPr="00271560" w:rsidRDefault="00AC2298" w:rsidP="009B236F">
            <w:pPr>
              <w:pStyle w:val="TableText0"/>
              <w:keepLines/>
              <w:widowControl w:val="0"/>
            </w:pPr>
            <w:r w:rsidRPr="00271560">
              <w:t>Type I: 25.41%;</w:t>
            </w:r>
          </w:p>
          <w:p w14:paraId="551EAB8B" w14:textId="77777777" w:rsidR="00AC2298" w:rsidRPr="00271560" w:rsidRDefault="00AC2298" w:rsidP="009B236F">
            <w:pPr>
              <w:pStyle w:val="TableText0"/>
              <w:keepLines/>
              <w:widowControl w:val="0"/>
            </w:pPr>
            <w:r w:rsidRPr="00271560">
              <w:t>Type II: 44.40%;</w:t>
            </w:r>
          </w:p>
          <w:p w14:paraId="14A7CBB1" w14:textId="77777777" w:rsidR="00AC2298" w:rsidRPr="00271560" w:rsidRDefault="00AC2298" w:rsidP="009B236F">
            <w:pPr>
              <w:pStyle w:val="TableText0"/>
              <w:keepLines/>
              <w:widowControl w:val="0"/>
            </w:pPr>
            <w:r w:rsidRPr="00271560">
              <w:t>Type IIIa: 22.40%;</w:t>
            </w:r>
          </w:p>
          <w:p w14:paraId="043DF0C3" w14:textId="77777777" w:rsidR="00AC2298" w:rsidRPr="00271560" w:rsidRDefault="00AC2298" w:rsidP="009B236F">
            <w:pPr>
              <w:pStyle w:val="TableText0"/>
              <w:keepLines/>
              <w:widowControl w:val="0"/>
            </w:pPr>
            <w:r w:rsidRPr="00271560">
              <w:t>Type IIIb: 7.79%;</w:t>
            </w:r>
          </w:p>
          <w:p w14:paraId="574A29CD" w14:textId="77777777" w:rsidR="00AC2298" w:rsidRPr="00271560" w:rsidRDefault="00AC2298" w:rsidP="009B236F">
            <w:pPr>
              <w:pStyle w:val="TableText0"/>
              <w:keepLines/>
              <w:widowControl w:val="0"/>
            </w:pPr>
            <w:r w:rsidRPr="00271560">
              <w:t>Type IV: 0.00%</w:t>
            </w:r>
          </w:p>
        </w:tc>
        <w:tc>
          <w:tcPr>
            <w:tcW w:w="2565" w:type="pct"/>
          </w:tcPr>
          <w:p w14:paraId="533289D1" w14:textId="75809E08" w:rsidR="00AC2298" w:rsidRPr="0067202A" w:rsidRDefault="00AC2298" w:rsidP="009B236F">
            <w:pPr>
              <w:pStyle w:val="TableText0"/>
              <w:keepLines/>
              <w:widowControl w:val="0"/>
              <w:rPr>
                <w:highlight w:val="yellow"/>
              </w:rPr>
            </w:pPr>
            <w:r w:rsidRPr="0067202A">
              <w:t xml:space="preserve">This was different to the July 2020 submission with a different source for data (Sarv 2021) used to inform the distribution. </w:t>
            </w:r>
            <w:r w:rsidR="00B86550">
              <w:t xml:space="preserve">The </w:t>
            </w:r>
            <w:r w:rsidR="0028659F" w:rsidRPr="00CA0208">
              <w:t xml:space="preserve">ESC considered that the </w:t>
            </w:r>
            <w:r w:rsidR="008543EC" w:rsidRPr="00CA0208">
              <w:t xml:space="preserve">Sarv </w:t>
            </w:r>
            <w:r w:rsidR="005B6DFD">
              <w:t>2021</w:t>
            </w:r>
            <w:r w:rsidR="008543EC" w:rsidRPr="00CA0208">
              <w:t xml:space="preserve"> data appear</w:t>
            </w:r>
            <w:r w:rsidR="0028659F" w:rsidRPr="00CA0208">
              <w:t>ed</w:t>
            </w:r>
            <w:r w:rsidR="008543EC" w:rsidRPr="00CA0208">
              <w:t xml:space="preserve"> potentially </w:t>
            </w:r>
            <w:r w:rsidR="0028659F" w:rsidRPr="00CA0208">
              <w:t>useful but</w:t>
            </w:r>
            <w:r w:rsidR="008543EC" w:rsidRPr="00CA0208">
              <w:t xml:space="preserve"> noted the relatively small sample size (n=57) introduce</w:t>
            </w:r>
            <w:r w:rsidR="00B54E0C" w:rsidRPr="00CA0208">
              <w:t>d</w:t>
            </w:r>
            <w:r w:rsidR="008543EC" w:rsidRPr="00CA0208">
              <w:t xml:space="preserve"> uncertainty into this distribution.</w:t>
            </w:r>
          </w:p>
        </w:tc>
      </w:tr>
    </w:tbl>
    <w:p w14:paraId="4A471535" w14:textId="77777777" w:rsidR="00AC2298" w:rsidRPr="00271560" w:rsidRDefault="00AC2298" w:rsidP="00106AB0">
      <w:pPr>
        <w:pStyle w:val="FooterTableFigure"/>
        <w:keepNext/>
        <w:keepLines/>
        <w:widowControl w:val="0"/>
      </w:pPr>
      <w:r w:rsidRPr="00271560">
        <w:t>Source: Table 3.2, p124 of the resubmission</w:t>
      </w:r>
    </w:p>
    <w:p w14:paraId="24057EFA" w14:textId="77777777" w:rsidR="00AC2298" w:rsidRPr="00271560" w:rsidRDefault="00AC2298" w:rsidP="00266B11">
      <w:pPr>
        <w:pStyle w:val="FooterTableFigure"/>
        <w:widowControl w:val="0"/>
        <w:contextualSpacing w:val="0"/>
      </w:pPr>
      <w:r w:rsidRPr="00271560">
        <w:t>QALY=quality adjusted life year; SMA=spinal muscular atrophy; SMN = survival of motor neuron; SoC = standard of care</w:t>
      </w:r>
    </w:p>
    <w:p w14:paraId="01E505CE" w14:textId="603C319C" w:rsidR="00AC2298" w:rsidRPr="00271560" w:rsidRDefault="0023300D" w:rsidP="00AC2298">
      <w:pPr>
        <w:pStyle w:val="3-BodyText"/>
      </w:pPr>
      <w:r>
        <w:t>T</w:t>
      </w:r>
      <w:r w:rsidRPr="0067202A">
        <w:t xml:space="preserve">he </w:t>
      </w:r>
      <w:r>
        <w:t>resubmission</w:t>
      </w:r>
      <w:r w:rsidRPr="0067202A">
        <w:t xml:space="preserve"> model applied the same underlying structure and assumptions</w:t>
      </w:r>
      <w:r>
        <w:t xml:space="preserve"> as the July 2020 submission</w:t>
      </w:r>
      <w:r w:rsidRPr="0067202A">
        <w:t xml:space="preserve">, adjusted to reflect the proposed population. </w:t>
      </w:r>
      <w:r w:rsidR="00AC2298" w:rsidRPr="00271560">
        <w:t xml:space="preserve">The </w:t>
      </w:r>
      <w:r w:rsidR="00AC2298" w:rsidRPr="00271560">
        <w:lastRenderedPageBreak/>
        <w:t xml:space="preserve">resubmission </w:t>
      </w:r>
      <w:r>
        <w:t>argued</w:t>
      </w:r>
      <w:r w:rsidR="00AC2298" w:rsidRPr="00271560">
        <w:t xml:space="preserve"> that given nusinersen was recommended by the PBAC for use in patients with ≤2 </w:t>
      </w:r>
      <w:r w:rsidR="00AC2298" w:rsidRPr="00271560">
        <w:rPr>
          <w:i/>
          <w:iCs/>
        </w:rPr>
        <w:t>SMN2</w:t>
      </w:r>
      <w:r w:rsidR="00AC2298" w:rsidRPr="00271560">
        <w:t xml:space="preserve"> copies in July 2020, it was reasonable to assume the economic model used in the resubmission was considered suitable for decision making. </w:t>
      </w:r>
      <w:r w:rsidR="00AC2298" w:rsidRPr="0067202A">
        <w:t>Th</w:t>
      </w:r>
      <w:r w:rsidR="008C2BA1">
        <w:t>e evaluation considered that th</w:t>
      </w:r>
      <w:r w:rsidR="00AC2298" w:rsidRPr="0067202A">
        <w:t xml:space="preserve">is may not be a reasonable assumption. </w:t>
      </w:r>
      <w:r w:rsidR="00C07C2E" w:rsidRPr="00CA0208">
        <w:t xml:space="preserve">The PSCR argued that the resubmission’s approach was taken to help maintain consistency of PBAC decision making across similar patient groups. </w:t>
      </w:r>
      <w:r w:rsidR="00AC2298" w:rsidRPr="0067202A">
        <w:t xml:space="preserve">The PBAC previously noted that it was uncertain whether the model structure accurately reflected the progression of SMA and that a rebate </w:t>
      </w:r>
      <w:r w:rsidR="008E3840" w:rsidRPr="0067202A">
        <w:t xml:space="preserve">for </w:t>
      </w:r>
      <w:r w:rsidR="00546AD5" w:rsidRPr="007020B8">
        <w:rPr>
          <w:color w:val="000000"/>
          <w:w w:val="15"/>
          <w:shd w:val="solid" w:color="000000" w:fill="000000"/>
          <w:fitText w:val="-20" w:id="-116789862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621"/>
          <w14:textFill>
            <w14:solidFill>
              <w14:srgbClr w14:val="000000">
                <w14:alpha w14:val="100000"/>
              </w14:srgbClr>
            </w14:solidFill>
          </w14:textFill>
        </w:rPr>
        <w:t>|</w:t>
      </w:r>
      <w:r w:rsidR="008E3840" w:rsidRPr="0067202A">
        <w:t xml:space="preserve"> </w:t>
      </w:r>
      <w:r w:rsidR="00546AD5" w:rsidRPr="007020B8">
        <w:rPr>
          <w:color w:val="000000"/>
          <w:w w:val="15"/>
          <w:shd w:val="solid" w:color="000000" w:fill="000000"/>
          <w:fitText w:val="-20" w:id="-116789862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62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61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619"/>
          <w14:textFill>
            <w14:solidFill>
              <w14:srgbClr w14:val="000000">
                <w14:alpha w14:val="100000"/>
              </w14:srgbClr>
            </w14:solidFill>
          </w14:textFill>
        </w:rPr>
        <w:t>|</w:t>
      </w:r>
      <w:r w:rsidR="008E3840" w:rsidRPr="0067202A">
        <w:t xml:space="preserve"> </w:t>
      </w:r>
      <w:r w:rsidR="00AC2298" w:rsidRPr="0067202A">
        <w:t xml:space="preserve">was required </w:t>
      </w:r>
      <w:r w:rsidR="008E3840" w:rsidRPr="0067202A">
        <w:t xml:space="preserve">to reduce uncertainty </w:t>
      </w:r>
      <w:r w:rsidR="00AC2298" w:rsidRPr="0067202A">
        <w:t>(paragraph 7.6, nusinersen PSD, July 2020 PBAC meeting).</w:t>
      </w:r>
      <w:r w:rsidR="005B5036" w:rsidRPr="005B5036">
        <w:rPr>
          <w:i/>
          <w:iCs/>
        </w:rPr>
        <w:t xml:space="preserve"> </w:t>
      </w:r>
    </w:p>
    <w:p w14:paraId="4A1C602A" w14:textId="7548E342" w:rsidR="00AC2298" w:rsidRPr="00271560" w:rsidRDefault="00AC2298" w:rsidP="00AC2298">
      <w:pPr>
        <w:pStyle w:val="3-BodyText"/>
      </w:pPr>
      <w:r w:rsidRPr="00271560">
        <w:t xml:space="preserve">As per the July 2020 submission, the economic model in the resubmission compared quality of life and reductions in the costs of patient health care of nusinersen (in conjunction with best supportive care) for the treatment of individuals with pre-symptomatic SMA with 3 </w:t>
      </w:r>
      <w:r w:rsidRPr="00271560">
        <w:rPr>
          <w:i/>
          <w:iCs/>
        </w:rPr>
        <w:t>SMN2</w:t>
      </w:r>
      <w:r w:rsidRPr="00271560">
        <w:t xml:space="preserve"> copies versus S</w:t>
      </w:r>
      <w:r w:rsidR="00BA47A9">
        <w:t>o</w:t>
      </w:r>
      <w:r w:rsidRPr="00271560">
        <w:t xml:space="preserve">C, consisting of treatment with nusinersen upon symptom onset for individuals with Type I, II, and III SMA (in conjunction with best supportive care). A Markov approach was employed to model the costs and QALYs in the two treatment arms separately in six-month cycles. An overview of the economic model is provided in </w:t>
      </w:r>
      <w:r w:rsidRPr="00271560">
        <w:fldChar w:fldCharType="begin" w:fldLock="1"/>
      </w:r>
      <w:r w:rsidRPr="00271560">
        <w:instrText xml:space="preserve"> REF _Ref132553224 \h </w:instrText>
      </w:r>
      <w:r w:rsidRPr="00271560">
        <w:fldChar w:fldCharType="separate"/>
      </w:r>
      <w:r w:rsidR="00016BA6" w:rsidRPr="00271560">
        <w:t xml:space="preserve">Figure </w:t>
      </w:r>
      <w:r w:rsidR="00016BA6">
        <w:rPr>
          <w:noProof/>
        </w:rPr>
        <w:t>3</w:t>
      </w:r>
      <w:r w:rsidRPr="00271560">
        <w:fldChar w:fldCharType="end"/>
      </w:r>
      <w:r w:rsidRPr="00271560">
        <w:t>.</w:t>
      </w:r>
    </w:p>
    <w:p w14:paraId="3DA20B2B" w14:textId="01BC8620" w:rsidR="00AC2298" w:rsidRPr="00271560" w:rsidRDefault="00AC2298" w:rsidP="00324EE8">
      <w:pPr>
        <w:pStyle w:val="Caption"/>
      </w:pPr>
      <w:bookmarkStart w:id="62" w:name="_Ref132553224"/>
      <w:r w:rsidRPr="00271560">
        <w:t xml:space="preserve">Figure </w:t>
      </w:r>
      <w:fldSimple w:instr=" SEQ Figure \* ARABIC " w:fldLock="1">
        <w:r w:rsidR="00016BA6">
          <w:rPr>
            <w:noProof/>
          </w:rPr>
          <w:t>3</w:t>
        </w:r>
      </w:fldSimple>
      <w:bookmarkEnd w:id="62"/>
      <w:r w:rsidRPr="00271560">
        <w:t>: Decision tree diagram of the economic model</w:t>
      </w:r>
    </w:p>
    <w:p w14:paraId="0C934E49" w14:textId="3A31172B" w:rsidR="00AC2298" w:rsidRPr="00271560" w:rsidRDefault="00262A3F" w:rsidP="00324EE8">
      <w:pPr>
        <w:keepNext/>
        <w:keepLines/>
      </w:pPr>
      <w:r>
        <w:rPr>
          <w:noProof/>
        </w:rPr>
        <w:drawing>
          <wp:inline distT="0" distB="0" distL="0" distR="0" wp14:anchorId="0690030A" wp14:editId="5EFA1209">
            <wp:extent cx="5695884" cy="3114675"/>
            <wp:effectExtent l="0" t="0" r="635" b="0"/>
            <wp:docPr id="3" name="Picture 3" descr="Figure 3: Decision tree diagram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Decision tree diagram of the economic model"/>
                    <pic:cNvPicPr/>
                  </pic:nvPicPr>
                  <pic:blipFill rotWithShape="1">
                    <a:blip r:embed="rId10"/>
                    <a:srcRect l="622"/>
                    <a:stretch/>
                  </pic:blipFill>
                  <pic:spPr bwMode="auto">
                    <a:xfrm>
                      <a:off x="0" y="0"/>
                      <a:ext cx="5695884" cy="3114675"/>
                    </a:xfrm>
                    <a:prstGeom prst="rect">
                      <a:avLst/>
                    </a:prstGeom>
                    <a:ln>
                      <a:noFill/>
                    </a:ln>
                    <a:extLst>
                      <a:ext uri="{53640926-AAD7-44D8-BBD7-CCE9431645EC}">
                        <a14:shadowObscured xmlns:a14="http://schemas.microsoft.com/office/drawing/2010/main"/>
                      </a:ext>
                    </a:extLst>
                  </pic:spPr>
                </pic:pic>
              </a:graphicData>
            </a:graphic>
          </wp:inline>
        </w:drawing>
      </w:r>
    </w:p>
    <w:p w14:paraId="0A2EFBF2" w14:textId="77777777" w:rsidR="00AC2298" w:rsidRPr="00271560" w:rsidRDefault="00AC2298" w:rsidP="00324EE8">
      <w:pPr>
        <w:pStyle w:val="TableNotes"/>
        <w:keepNext/>
        <w:keepLines/>
        <w:spacing w:before="0" w:after="0" w:line="240" w:lineRule="auto"/>
        <w:contextualSpacing w:val="0"/>
        <w:rPr>
          <w:rFonts w:ascii="Arial Narrow" w:hAnsi="Arial Narrow"/>
          <w:sz w:val="18"/>
          <w:szCs w:val="18"/>
          <w:lang w:val="en-AU"/>
        </w:rPr>
      </w:pPr>
      <w:r w:rsidRPr="00271560">
        <w:rPr>
          <w:rFonts w:ascii="Arial Narrow" w:hAnsi="Arial Narrow"/>
          <w:sz w:val="18"/>
          <w:szCs w:val="18"/>
          <w:lang w:val="en-AU"/>
        </w:rPr>
        <w:t>Source: Figure 3.4, p130 of the resubmission</w:t>
      </w:r>
    </w:p>
    <w:p w14:paraId="478439F2" w14:textId="77777777" w:rsidR="00AC2298" w:rsidRPr="00271560" w:rsidRDefault="00AC2298" w:rsidP="00324EE8">
      <w:pPr>
        <w:pStyle w:val="TableNotes"/>
        <w:keepNext/>
        <w:keepLines/>
        <w:spacing w:before="0" w:after="0" w:line="240" w:lineRule="auto"/>
        <w:contextualSpacing w:val="0"/>
        <w:rPr>
          <w:rFonts w:ascii="Arial Narrow" w:hAnsi="Arial Narrow"/>
          <w:sz w:val="18"/>
          <w:szCs w:val="18"/>
          <w:lang w:val="en-AU"/>
        </w:rPr>
      </w:pPr>
      <w:r w:rsidRPr="00271560">
        <w:rPr>
          <w:rFonts w:ascii="Arial Narrow" w:hAnsi="Arial Narrow"/>
          <w:sz w:val="18"/>
          <w:szCs w:val="18"/>
          <w:lang w:val="en-AU"/>
        </w:rPr>
        <w:t>HCRU = healthcare resource utilisation; SMA = spinal muscular atrophy; Tx = treatment; SPA = Special pricing arrangement</w:t>
      </w:r>
    </w:p>
    <w:p w14:paraId="36AFDA3F" w14:textId="75712673" w:rsidR="00AC2298" w:rsidRPr="00271560" w:rsidRDefault="00AC2298" w:rsidP="00324EE8">
      <w:pPr>
        <w:pStyle w:val="TableNotes"/>
        <w:keepNext/>
        <w:keepLines/>
        <w:spacing w:before="0" w:after="0" w:line="240" w:lineRule="auto"/>
        <w:contextualSpacing w:val="0"/>
        <w:rPr>
          <w:rFonts w:ascii="Arial Narrow" w:hAnsi="Arial Narrow"/>
          <w:sz w:val="18"/>
          <w:szCs w:val="18"/>
          <w:lang w:val="en-AU"/>
        </w:rPr>
      </w:pPr>
      <w:r w:rsidRPr="00271560">
        <w:rPr>
          <w:rFonts w:ascii="Arial Narrow" w:hAnsi="Arial Narrow"/>
          <w:sz w:val="18"/>
          <w:szCs w:val="18"/>
          <w:lang w:val="en-AU"/>
        </w:rPr>
        <w:t xml:space="preserve">* Note: the current nusinersen SPA includes the rebate of </w:t>
      </w:r>
      <w:r w:rsidR="00546AD5" w:rsidRPr="00550E22">
        <w:rPr>
          <w:rFonts w:ascii="Arial Narrow" w:hAnsi="Arial Narrow"/>
          <w:color w:val="000000"/>
          <w:spacing w:val="40"/>
          <w:sz w:val="18"/>
          <w:szCs w:val="18"/>
          <w:shd w:val="solid" w:color="000000" w:fill="000000"/>
          <w:fitText w:val="279" w:id="-1167898618"/>
          <w:lang w:val="en-AU"/>
          <w14:textFill>
            <w14:solidFill>
              <w14:srgbClr w14:val="000000">
                <w14:alpha w14:val="100000"/>
              </w14:srgbClr>
            </w14:solidFill>
          </w14:textFill>
        </w:rPr>
        <w:t xml:space="preserve">|  </w:t>
      </w:r>
      <w:r w:rsidR="00546AD5" w:rsidRPr="00550E22">
        <w:rPr>
          <w:rFonts w:ascii="Arial Narrow" w:hAnsi="Arial Narrow"/>
          <w:color w:val="000000"/>
          <w:spacing w:val="1"/>
          <w:sz w:val="18"/>
          <w:szCs w:val="18"/>
          <w:shd w:val="solid" w:color="000000" w:fill="000000"/>
          <w:fitText w:val="279" w:id="-1167898618"/>
          <w:lang w:val="en-AU"/>
          <w14:textFill>
            <w14:solidFill>
              <w14:srgbClr w14:val="000000">
                <w14:alpha w14:val="100000"/>
              </w14:srgbClr>
            </w14:solidFill>
          </w14:textFill>
        </w:rPr>
        <w:t>|</w:t>
      </w:r>
      <w:r w:rsidRPr="00271560">
        <w:rPr>
          <w:rFonts w:ascii="Arial Narrow" w:hAnsi="Arial Narrow"/>
          <w:sz w:val="18"/>
          <w:szCs w:val="18"/>
          <w:lang w:val="en-AU"/>
        </w:rPr>
        <w:t xml:space="preserve"> </w:t>
      </w:r>
      <w:r w:rsidR="00546AD5" w:rsidRPr="00550E22">
        <w:rPr>
          <w:rFonts w:ascii="Arial Narrow" w:hAnsi="Arial Narrow"/>
          <w:color w:val="000000"/>
          <w:spacing w:val="40"/>
          <w:sz w:val="18"/>
          <w:szCs w:val="18"/>
          <w:shd w:val="solid" w:color="000000" w:fill="000000"/>
          <w:fitText w:val="279" w:id="-1167898617"/>
          <w:lang w:val="en-AU"/>
          <w14:textFill>
            <w14:solidFill>
              <w14:srgbClr w14:val="000000">
                <w14:alpha w14:val="100000"/>
              </w14:srgbClr>
            </w14:solidFill>
          </w14:textFill>
        </w:rPr>
        <w:t xml:space="preserve">|  </w:t>
      </w:r>
      <w:r w:rsidR="00546AD5" w:rsidRPr="00550E22">
        <w:rPr>
          <w:rFonts w:ascii="Arial Narrow" w:hAnsi="Arial Narrow"/>
          <w:color w:val="000000"/>
          <w:spacing w:val="1"/>
          <w:sz w:val="18"/>
          <w:szCs w:val="18"/>
          <w:shd w:val="solid" w:color="000000" w:fill="000000"/>
          <w:fitText w:val="279" w:id="-1167898617"/>
          <w:lang w:val="en-AU"/>
          <w14:textFill>
            <w14:solidFill>
              <w14:srgbClr w14:val="000000">
                <w14:alpha w14:val="100000"/>
              </w14:srgbClr>
            </w14:solidFill>
          </w14:textFill>
        </w:rPr>
        <w:t>|</w:t>
      </w:r>
      <w:r w:rsidR="00523ABB" w:rsidRPr="00523ABB">
        <w:rPr>
          <w:rFonts w:ascii="Arial Narrow" w:hAnsi="Arial Narrow"/>
          <w:sz w:val="18"/>
          <w:szCs w:val="18"/>
          <w:lang w:val="en-AU"/>
        </w:rPr>
        <w:t xml:space="preserve"> </w:t>
      </w:r>
      <w:r w:rsidR="00546AD5" w:rsidRPr="00550E22">
        <w:rPr>
          <w:rFonts w:ascii="Arial Narrow" w:hAnsi="Arial Narrow"/>
          <w:color w:val="000000"/>
          <w:spacing w:val="40"/>
          <w:sz w:val="18"/>
          <w:szCs w:val="18"/>
          <w:shd w:val="solid" w:color="000000" w:fill="000000"/>
          <w:fitText w:val="279" w:id="-1167898616"/>
          <w:lang w:val="en-AU"/>
          <w14:textFill>
            <w14:solidFill>
              <w14:srgbClr w14:val="000000">
                <w14:alpha w14:val="100000"/>
              </w14:srgbClr>
            </w14:solidFill>
          </w14:textFill>
        </w:rPr>
        <w:t xml:space="preserve">|  </w:t>
      </w:r>
      <w:r w:rsidR="00546AD5" w:rsidRPr="00550E22">
        <w:rPr>
          <w:rFonts w:ascii="Arial Narrow" w:hAnsi="Arial Narrow"/>
          <w:color w:val="000000"/>
          <w:spacing w:val="1"/>
          <w:sz w:val="18"/>
          <w:szCs w:val="18"/>
          <w:shd w:val="solid" w:color="000000" w:fill="000000"/>
          <w:fitText w:val="279" w:id="-1167898616"/>
          <w:lang w:val="en-AU"/>
          <w14:textFill>
            <w14:solidFill>
              <w14:srgbClr w14:val="000000">
                <w14:alpha w14:val="100000"/>
              </w14:srgbClr>
            </w14:solidFill>
          </w14:textFill>
        </w:rPr>
        <w:t>|</w:t>
      </w:r>
      <w:r w:rsidRPr="00271560">
        <w:rPr>
          <w:rFonts w:ascii="Arial Narrow" w:hAnsi="Arial Narrow"/>
          <w:sz w:val="18"/>
          <w:szCs w:val="18"/>
          <w:lang w:val="en-AU"/>
        </w:rPr>
        <w:t xml:space="preserve"> for individuals with symptomatic Type II, IIIa and IIIb/c. The SPA proposed for nusinersen in the resubmission includes the rebate of </w:t>
      </w:r>
      <w:r w:rsidR="00546AD5" w:rsidRPr="00550E22">
        <w:rPr>
          <w:rFonts w:ascii="Arial Narrow" w:hAnsi="Arial Narrow"/>
          <w:color w:val="000000"/>
          <w:spacing w:val="40"/>
          <w:sz w:val="18"/>
          <w:szCs w:val="18"/>
          <w:shd w:val="solid" w:color="000000" w:fill="000000"/>
          <w:fitText w:val="279" w:id="-1167898615"/>
          <w:lang w:val="en-AU"/>
          <w14:textFill>
            <w14:solidFill>
              <w14:srgbClr w14:val="000000">
                <w14:alpha w14:val="100000"/>
              </w14:srgbClr>
            </w14:solidFill>
          </w14:textFill>
        </w:rPr>
        <w:t xml:space="preserve">|  </w:t>
      </w:r>
      <w:r w:rsidR="00546AD5" w:rsidRPr="00550E22">
        <w:rPr>
          <w:rFonts w:ascii="Arial Narrow" w:hAnsi="Arial Narrow"/>
          <w:color w:val="000000"/>
          <w:spacing w:val="1"/>
          <w:sz w:val="18"/>
          <w:szCs w:val="18"/>
          <w:shd w:val="solid" w:color="000000" w:fill="000000"/>
          <w:fitText w:val="279" w:id="-1167898615"/>
          <w:lang w:val="en-AU"/>
          <w14:textFill>
            <w14:solidFill>
              <w14:srgbClr w14:val="000000">
                <w14:alpha w14:val="100000"/>
              </w14:srgbClr>
            </w14:solidFill>
          </w14:textFill>
        </w:rPr>
        <w:t>|</w:t>
      </w:r>
      <w:r w:rsidRPr="00271560">
        <w:rPr>
          <w:rFonts w:ascii="Arial Narrow" w:hAnsi="Arial Narrow"/>
          <w:sz w:val="18"/>
          <w:szCs w:val="18"/>
          <w:lang w:val="en-AU"/>
        </w:rPr>
        <w:t xml:space="preserve"> </w:t>
      </w:r>
      <w:r w:rsidR="00546AD5" w:rsidRPr="00550E22">
        <w:rPr>
          <w:rFonts w:ascii="Arial Narrow" w:hAnsi="Arial Narrow"/>
          <w:color w:val="000000"/>
          <w:spacing w:val="40"/>
          <w:sz w:val="18"/>
          <w:szCs w:val="18"/>
          <w:shd w:val="solid" w:color="000000" w:fill="000000"/>
          <w:fitText w:val="280" w:id="-1167898614"/>
          <w:lang w:val="en-AU"/>
          <w14:textFill>
            <w14:solidFill>
              <w14:srgbClr w14:val="000000">
                <w14:alpha w14:val="100000"/>
              </w14:srgbClr>
            </w14:solidFill>
          </w14:textFill>
        </w:rPr>
        <w:t xml:space="preserve">|  </w:t>
      </w:r>
      <w:r w:rsidR="00546AD5" w:rsidRPr="00550E22">
        <w:rPr>
          <w:rFonts w:ascii="Arial Narrow" w:hAnsi="Arial Narrow"/>
          <w:color w:val="000000"/>
          <w:spacing w:val="2"/>
          <w:sz w:val="18"/>
          <w:szCs w:val="18"/>
          <w:shd w:val="solid" w:color="000000" w:fill="000000"/>
          <w:fitText w:val="280" w:id="-1167898614"/>
          <w:lang w:val="en-AU"/>
          <w14:textFill>
            <w14:solidFill>
              <w14:srgbClr w14:val="000000">
                <w14:alpha w14:val="100000"/>
              </w14:srgbClr>
            </w14:solidFill>
          </w14:textFill>
        </w:rPr>
        <w:t>|</w:t>
      </w:r>
      <w:r w:rsidR="00523ABB" w:rsidRPr="00523ABB">
        <w:rPr>
          <w:rFonts w:ascii="Arial Narrow" w:hAnsi="Arial Narrow"/>
          <w:sz w:val="18"/>
          <w:szCs w:val="18"/>
          <w:lang w:val="en-AU"/>
        </w:rPr>
        <w:t xml:space="preserve"> </w:t>
      </w:r>
      <w:r w:rsidR="00546AD5" w:rsidRPr="00550E22">
        <w:rPr>
          <w:rFonts w:ascii="Arial Narrow" w:hAnsi="Arial Narrow"/>
          <w:color w:val="000000"/>
          <w:spacing w:val="40"/>
          <w:sz w:val="18"/>
          <w:szCs w:val="18"/>
          <w:shd w:val="solid" w:color="000000" w:fill="000000"/>
          <w:fitText w:val="279" w:id="-1167898613"/>
          <w:lang w:val="en-AU"/>
          <w14:textFill>
            <w14:solidFill>
              <w14:srgbClr w14:val="000000">
                <w14:alpha w14:val="100000"/>
              </w14:srgbClr>
            </w14:solidFill>
          </w14:textFill>
        </w:rPr>
        <w:t xml:space="preserve">|  </w:t>
      </w:r>
      <w:r w:rsidR="00546AD5" w:rsidRPr="00550E22">
        <w:rPr>
          <w:rFonts w:ascii="Arial Narrow" w:hAnsi="Arial Narrow"/>
          <w:color w:val="000000"/>
          <w:spacing w:val="1"/>
          <w:sz w:val="18"/>
          <w:szCs w:val="18"/>
          <w:shd w:val="solid" w:color="000000" w:fill="000000"/>
          <w:fitText w:val="279" w:id="-1167898613"/>
          <w:lang w:val="en-AU"/>
          <w14:textFill>
            <w14:solidFill>
              <w14:srgbClr w14:val="000000">
                <w14:alpha w14:val="100000"/>
              </w14:srgbClr>
            </w14:solidFill>
          </w14:textFill>
        </w:rPr>
        <w:t>|</w:t>
      </w:r>
      <w:r w:rsidRPr="00271560">
        <w:rPr>
          <w:rFonts w:ascii="Arial Narrow" w:hAnsi="Arial Narrow"/>
          <w:sz w:val="18"/>
          <w:szCs w:val="18"/>
          <w:lang w:val="en-AU"/>
        </w:rPr>
        <w:t xml:space="preserve"> for pre-symptomatic patients with 3 </w:t>
      </w:r>
      <w:r w:rsidRPr="007E4E62">
        <w:rPr>
          <w:rFonts w:ascii="Arial Narrow" w:hAnsi="Arial Narrow"/>
          <w:i/>
          <w:iCs/>
          <w:sz w:val="18"/>
          <w:szCs w:val="18"/>
          <w:lang w:val="en-AU"/>
        </w:rPr>
        <w:t>SMN2</w:t>
      </w:r>
      <w:r w:rsidRPr="00271560">
        <w:rPr>
          <w:rFonts w:ascii="Arial Narrow" w:hAnsi="Arial Narrow"/>
          <w:sz w:val="18"/>
          <w:szCs w:val="18"/>
          <w:lang w:val="en-AU"/>
        </w:rPr>
        <w:t xml:space="preserve"> copies.</w:t>
      </w:r>
    </w:p>
    <w:p w14:paraId="13547ADB" w14:textId="77777777" w:rsidR="00AC2298" w:rsidRPr="00271560" w:rsidRDefault="00AC2298" w:rsidP="00324EE8">
      <w:pPr>
        <w:pStyle w:val="TableNotes"/>
        <w:keepNext/>
        <w:keepLines/>
        <w:spacing w:before="0" w:after="0" w:line="240" w:lineRule="auto"/>
        <w:contextualSpacing w:val="0"/>
        <w:rPr>
          <w:rFonts w:ascii="Arial Narrow" w:hAnsi="Arial Narrow"/>
          <w:sz w:val="18"/>
          <w:szCs w:val="18"/>
          <w:lang w:val="en-AU"/>
        </w:rPr>
      </w:pPr>
      <w:r w:rsidRPr="00271560">
        <w:rPr>
          <w:rFonts w:ascii="Arial Narrow" w:hAnsi="Arial Narrow"/>
          <w:sz w:val="18"/>
          <w:szCs w:val="18"/>
          <w:lang w:val="en-AU"/>
        </w:rPr>
        <w:t>1 HCRU costs derived from Dangouloff (2022).</w:t>
      </w:r>
    </w:p>
    <w:p w14:paraId="2AF9E07A" w14:textId="77777777" w:rsidR="00AC2298" w:rsidRPr="00271560" w:rsidRDefault="00AC2298" w:rsidP="00324EE8">
      <w:pPr>
        <w:pStyle w:val="TableNotes"/>
        <w:keepNext/>
        <w:keepLines/>
        <w:spacing w:before="0" w:after="0" w:line="240" w:lineRule="auto"/>
        <w:contextualSpacing w:val="0"/>
        <w:rPr>
          <w:rFonts w:ascii="Arial Narrow" w:hAnsi="Arial Narrow"/>
          <w:sz w:val="18"/>
          <w:szCs w:val="18"/>
          <w:lang w:val="en-AU"/>
        </w:rPr>
      </w:pPr>
      <w:r w:rsidRPr="00271560">
        <w:rPr>
          <w:rFonts w:ascii="Arial Narrow" w:hAnsi="Arial Narrow"/>
          <w:sz w:val="18"/>
          <w:szCs w:val="18"/>
          <w:lang w:val="en-AU"/>
        </w:rPr>
        <w:t>2 Utilities derived from Lloyd (2019).</w:t>
      </w:r>
    </w:p>
    <w:p w14:paraId="4F2575A5" w14:textId="77777777" w:rsidR="00AC2298" w:rsidRPr="00271560" w:rsidRDefault="00AC2298" w:rsidP="00324EE8">
      <w:pPr>
        <w:pStyle w:val="TableNotes"/>
        <w:spacing w:before="0" w:after="120" w:line="240" w:lineRule="auto"/>
        <w:contextualSpacing w:val="0"/>
        <w:rPr>
          <w:rFonts w:ascii="Arial Narrow" w:hAnsi="Arial Narrow"/>
          <w:sz w:val="18"/>
          <w:szCs w:val="18"/>
          <w:lang w:val="en-AU"/>
        </w:rPr>
      </w:pPr>
      <w:r w:rsidRPr="00271560">
        <w:rPr>
          <w:rFonts w:ascii="Arial Narrow" w:hAnsi="Arial Narrow"/>
          <w:sz w:val="18"/>
          <w:szCs w:val="18"/>
          <w:lang w:val="en-AU"/>
        </w:rPr>
        <w:t>3 Patients assumed to be Type I, II, IIIa and IIIb/c assumed to transition to symptomatic and treated at 6 months, 12 months, 27 months and 10.5 years, respectively, in SoC (pre-symptomatic and untreated) arm.</w:t>
      </w:r>
    </w:p>
    <w:p w14:paraId="2507F054" w14:textId="77777777" w:rsidR="00AC2298" w:rsidRPr="00271560" w:rsidRDefault="00AC2298" w:rsidP="00AC2298">
      <w:pPr>
        <w:pStyle w:val="3-BodyText"/>
      </w:pPr>
      <w:r w:rsidRPr="00271560">
        <w:t>The main differences between the current model and the July 2020 model were:</w:t>
      </w:r>
    </w:p>
    <w:p w14:paraId="3C9B7CB0" w14:textId="77777777" w:rsidR="00AC2298" w:rsidRPr="00271560" w:rsidRDefault="00AC2298" w:rsidP="00106AA4">
      <w:pPr>
        <w:pStyle w:val="3-BodyText"/>
        <w:numPr>
          <w:ilvl w:val="1"/>
          <w:numId w:val="11"/>
        </w:numPr>
        <w:ind w:left="993" w:hanging="219"/>
      </w:pPr>
      <w:r w:rsidRPr="00271560">
        <w:lastRenderedPageBreak/>
        <w:t>The number of health states were changed to reflect the current nusinersen PBS-listing;</w:t>
      </w:r>
    </w:p>
    <w:p w14:paraId="340B524A" w14:textId="77777777" w:rsidR="00AC2298" w:rsidRPr="00271560" w:rsidRDefault="00AC2298" w:rsidP="00106AA4">
      <w:pPr>
        <w:pStyle w:val="3-BodyText"/>
        <w:numPr>
          <w:ilvl w:val="1"/>
          <w:numId w:val="11"/>
        </w:numPr>
        <w:ind w:left="993" w:hanging="219"/>
      </w:pPr>
      <w:r w:rsidRPr="00271560">
        <w:t>AE unit costs, health care costs and nusinersen price were updated; and</w:t>
      </w:r>
    </w:p>
    <w:p w14:paraId="3160BF5E" w14:textId="74823180" w:rsidR="00AC2298" w:rsidRPr="00271560" w:rsidRDefault="00AC2298" w:rsidP="00106AA4">
      <w:pPr>
        <w:pStyle w:val="3-BodyText"/>
        <w:numPr>
          <w:ilvl w:val="1"/>
          <w:numId w:val="11"/>
        </w:numPr>
        <w:ind w:left="993" w:hanging="219"/>
      </w:pPr>
      <w:r w:rsidRPr="00271560">
        <w:t xml:space="preserve">The proportion of each SMA type in </w:t>
      </w:r>
      <w:r w:rsidR="005B6DFD">
        <w:t xml:space="preserve">the </w:t>
      </w:r>
      <w:r w:rsidRPr="00271560">
        <w:t>modelled cohort was changed from the previous model (Type I: 89.56%; Type II: 7.63%; Type IIIa: 0.80%; Type IIIb/IV: 2.01%) to the current model (Type I: 25.41%; Type II: 44.40%; Type IIIa: 22.40%; Type IIIb: 7.79%; Type IV: 0.00%).</w:t>
      </w:r>
    </w:p>
    <w:p w14:paraId="496FDE74" w14:textId="0EF97B19" w:rsidR="00C41935" w:rsidRPr="0067202A" w:rsidRDefault="00AC2298" w:rsidP="004C69A2">
      <w:pPr>
        <w:pStyle w:val="3-BodyText"/>
      </w:pPr>
      <w:r w:rsidRPr="00271560">
        <w:t>In each cycle, independent of treatment or SMA type, patients may die from background mortality based on ABS life tables for Australians aged 0-20 years. No SMA-related mortality was incorporated into the model</w:t>
      </w:r>
      <w:r w:rsidR="00C41935">
        <w:t xml:space="preserve"> as the resubmission claimed that there was no evidence that patients with Type I SMA and 3 copies of </w:t>
      </w:r>
      <w:r w:rsidR="00C41935" w:rsidRPr="00C41935">
        <w:rPr>
          <w:i/>
          <w:iCs/>
        </w:rPr>
        <w:t xml:space="preserve">SMN2 </w:t>
      </w:r>
      <w:r w:rsidR="00C41935">
        <w:t>had increased mortality</w:t>
      </w:r>
      <w:r w:rsidRPr="00271560">
        <w:t xml:space="preserve">. </w:t>
      </w:r>
      <w:r w:rsidR="00C41935" w:rsidRPr="0067202A">
        <w:t xml:space="preserve">While it was accurate that no deaths were reported </w:t>
      </w:r>
      <w:r w:rsidR="005B6DFD">
        <w:t xml:space="preserve">in </w:t>
      </w:r>
      <w:r w:rsidR="00C41935" w:rsidRPr="0067202A">
        <w:t xml:space="preserve">these patents in the identified studies, this may not be a reasonable conclusion as there was a paucity of data in mortality of patients with Type I SMA and 3 copies of </w:t>
      </w:r>
      <w:r w:rsidR="00C41935" w:rsidRPr="0067202A">
        <w:rPr>
          <w:i/>
          <w:iCs/>
        </w:rPr>
        <w:t>SMN2</w:t>
      </w:r>
      <w:r w:rsidR="00C41935" w:rsidRPr="0067202A">
        <w:t xml:space="preserve">. Only two of the identified studies (EMBRACE and CS3A) were likely to have reported mortality data </w:t>
      </w:r>
      <w:r w:rsidR="008B6AA9" w:rsidRPr="0067202A">
        <w:t xml:space="preserve">that </w:t>
      </w:r>
      <w:r w:rsidR="00C41935" w:rsidRPr="0067202A">
        <w:t xml:space="preserve">was informative, and only from seven patients with Type I SMA and 3 copies of </w:t>
      </w:r>
      <w:r w:rsidR="00C41935" w:rsidRPr="0067202A">
        <w:rPr>
          <w:i/>
          <w:iCs/>
        </w:rPr>
        <w:t>SMN2</w:t>
      </w:r>
      <w:r w:rsidR="00C41935" w:rsidRPr="0067202A">
        <w:t xml:space="preserve">. </w:t>
      </w:r>
    </w:p>
    <w:p w14:paraId="3DE7D5C9" w14:textId="08528DF6" w:rsidR="00AC2298" w:rsidRPr="0067202A" w:rsidRDefault="00AC2298" w:rsidP="004C69A2">
      <w:pPr>
        <w:pStyle w:val="3-BodyText"/>
      </w:pPr>
      <w:r w:rsidRPr="0067202A">
        <w:t xml:space="preserve">For the model in the July 2020 submission, it was noted that given that the life expectancy of patients with Type I SMA is around 2 years, the omission of mortality from SMA was inappropriate and may overestimate the duration of assumed benefit in pre-symptomatic initiation of treatment compared to SoC in Type I SMA (paragraph 6.36, nusinersen PSD, July 2020 PBAC meeting). While the current model included a lower proportion of patients with Type I SMA (25.4% compared to 89.7% in the </w:t>
      </w:r>
      <w:r w:rsidR="00324EE8" w:rsidRPr="0067202A">
        <w:t>July</w:t>
      </w:r>
      <w:r w:rsidR="00324EE8">
        <w:t> </w:t>
      </w:r>
      <w:r w:rsidRPr="0067202A">
        <w:t xml:space="preserve">2020 model), the lack of additional mortality in SMA </w:t>
      </w:r>
      <w:r w:rsidR="008B6AA9" w:rsidRPr="0067202A">
        <w:t>T</w:t>
      </w:r>
      <w:r w:rsidRPr="0067202A">
        <w:t>ype I patients remains relevant for the resubmission.</w:t>
      </w:r>
    </w:p>
    <w:p w14:paraId="12FCFF00" w14:textId="41CD3994" w:rsidR="00085BBE" w:rsidRPr="00271560" w:rsidRDefault="00AC2298" w:rsidP="00AC2298">
      <w:pPr>
        <w:pStyle w:val="3-BodyText"/>
        <w:rPr>
          <w:i/>
          <w:iCs/>
        </w:rPr>
      </w:pPr>
      <w:r w:rsidRPr="00271560">
        <w:t xml:space="preserve">The resubmission adapted the methodology used in the July 2019 and the July 2020 (re)submissions to incorporate a distribution of </w:t>
      </w:r>
      <w:r w:rsidRPr="00271560">
        <w:rPr>
          <w:i/>
          <w:iCs/>
        </w:rPr>
        <w:t>SMN2</w:t>
      </w:r>
      <w:r w:rsidRPr="00271560">
        <w:t xml:space="preserve"> copy number by SMA type using data from published studies into the economic model. For the July 2020 model, the distribution of </w:t>
      </w:r>
      <w:r w:rsidRPr="00271560">
        <w:rPr>
          <w:i/>
          <w:iCs/>
        </w:rPr>
        <w:t>SMN2</w:t>
      </w:r>
      <w:r w:rsidRPr="00271560">
        <w:t xml:space="preserve"> copy numbers as a function of SMA type was based on data of 901 individuals extracted from ten studies. The resubmission stated that whil</w:t>
      </w:r>
      <w:r w:rsidR="005959FE" w:rsidRPr="00271560">
        <w:t>e</w:t>
      </w:r>
      <w:r w:rsidRPr="00271560">
        <w:t xml:space="preserve"> no additional studies were identified that met the specified inclusion criteria, one </w:t>
      </w:r>
      <w:r w:rsidR="00C83546" w:rsidRPr="00271560">
        <w:t xml:space="preserve">additional </w:t>
      </w:r>
      <w:r w:rsidRPr="00271560">
        <w:t>study (Sarv 2021) was identified as assessing the birth prevalence of SMA by type</w:t>
      </w:r>
      <w:r w:rsidR="00D5594E" w:rsidRPr="00271560">
        <w:t xml:space="preserve"> which was used in the resubmission’s base case to inform the distribution of expected SMA type at birth among all individuals with SMA</w:t>
      </w:r>
      <w:r w:rsidRPr="00271560">
        <w:t>.</w:t>
      </w:r>
      <w:r w:rsidRPr="00271560">
        <w:rPr>
          <w:i/>
          <w:iCs/>
        </w:rPr>
        <w:t xml:space="preserve"> </w:t>
      </w:r>
    </w:p>
    <w:p w14:paraId="53CA2272" w14:textId="1DD11B05" w:rsidR="00085BBE" w:rsidRPr="00271560" w:rsidRDefault="00085BBE" w:rsidP="00AC2298">
      <w:pPr>
        <w:pStyle w:val="3-BodyText"/>
        <w:rPr>
          <w:i/>
          <w:iCs/>
        </w:rPr>
      </w:pPr>
      <w:r w:rsidRPr="00271560">
        <w:t xml:space="preserve">Sarv 2021 retrospectively reviewed the clinical and laboratory data of all individuals with genetically diagnosed SMA in Estonia to estimate the birth prevalence of SMA by type. A total of 57 individuals with SMA were identified, of which one had Type 0 SMA and was thus not relevant to the pre-symptomatic treatment setting. Of the remaining 56 individuals, 25 (44.6%) were Type I, 13 (23.2%) Type II, 17 (30.3%) Type III and </w:t>
      </w:r>
      <w:r w:rsidR="00B57FEC" w:rsidRPr="00271560">
        <w:t xml:space="preserve">one </w:t>
      </w:r>
      <w:r w:rsidRPr="00271560">
        <w:t>(1.8%) Type IV.</w:t>
      </w:r>
    </w:p>
    <w:p w14:paraId="088AE27A" w14:textId="621CD8D4" w:rsidR="00AC2298" w:rsidRPr="0067202A" w:rsidRDefault="001A7670" w:rsidP="00005360">
      <w:pPr>
        <w:pStyle w:val="3-BodyText"/>
      </w:pPr>
      <w:r w:rsidRPr="0067202A">
        <w:lastRenderedPageBreak/>
        <w:t xml:space="preserve">The resubmission provided no rationale as to why </w:t>
      </w:r>
      <w:r w:rsidR="00AC2298" w:rsidRPr="0067202A">
        <w:t xml:space="preserve">data from Sarv 2021 </w:t>
      </w:r>
      <w:r w:rsidRPr="0067202A">
        <w:t xml:space="preserve">should be relied upon </w:t>
      </w:r>
      <w:r w:rsidR="00085BBE" w:rsidRPr="0067202A">
        <w:t xml:space="preserve">in the resubmission </w:t>
      </w:r>
      <w:r w:rsidRPr="0067202A">
        <w:t xml:space="preserve">despite it not meeting the inclusion criteria (did not separately report patients with </w:t>
      </w:r>
      <w:r w:rsidR="008B6AA9" w:rsidRPr="0067202A">
        <w:t>SMA T</w:t>
      </w:r>
      <w:r w:rsidRPr="0067202A">
        <w:t>ype IIIa and IIIb)</w:t>
      </w:r>
      <w:r w:rsidR="00AC2298" w:rsidRPr="0067202A">
        <w:t xml:space="preserve">. </w:t>
      </w:r>
      <w:bookmarkStart w:id="63" w:name="_Ref132657114"/>
      <w:r w:rsidR="00AC2298" w:rsidRPr="0067202A">
        <w:t xml:space="preserve">Additionally, </w:t>
      </w:r>
      <w:r w:rsidR="00EC13CD" w:rsidRPr="0067202A">
        <w:t>the resubmission</w:t>
      </w:r>
      <w:r w:rsidR="00803074" w:rsidRPr="0067202A">
        <w:t xml:space="preserve"> inappropriately</w:t>
      </w:r>
      <w:r w:rsidR="00EC13CD" w:rsidRPr="0067202A">
        <w:t xml:space="preserve"> did not </w:t>
      </w:r>
      <w:r w:rsidR="00803074" w:rsidRPr="0067202A">
        <w:t xml:space="preserve">combine </w:t>
      </w:r>
      <w:r w:rsidR="00EC13CD" w:rsidRPr="0067202A">
        <w:t xml:space="preserve">the results of patients </w:t>
      </w:r>
      <w:r w:rsidR="00803074" w:rsidRPr="0067202A">
        <w:t xml:space="preserve">from Sarv 2021 </w:t>
      </w:r>
      <w:r w:rsidR="00EC13CD" w:rsidRPr="0067202A">
        <w:t xml:space="preserve">into the </w:t>
      </w:r>
      <w:r w:rsidR="00B06B22" w:rsidRPr="0067202A">
        <w:t xml:space="preserve">data of the 901 individuals previously considered. During the evaluation, </w:t>
      </w:r>
      <w:r w:rsidR="00AC2298" w:rsidRPr="0067202A">
        <w:t xml:space="preserve">data from the </w:t>
      </w:r>
      <w:r w:rsidR="00324EE8" w:rsidRPr="0067202A">
        <w:t>50</w:t>
      </w:r>
      <w:r w:rsidR="00324EE8">
        <w:t> </w:t>
      </w:r>
      <w:r w:rsidR="00AC2298" w:rsidRPr="0067202A">
        <w:t xml:space="preserve">patients </w:t>
      </w:r>
      <w:r w:rsidR="00B06B22" w:rsidRPr="0067202A">
        <w:t xml:space="preserve">in </w:t>
      </w:r>
      <w:r w:rsidR="00AC2298" w:rsidRPr="0067202A">
        <w:t xml:space="preserve">Sarv 2021 in whom </w:t>
      </w:r>
      <w:r w:rsidR="00AC2298" w:rsidRPr="0023300D">
        <w:rPr>
          <w:i/>
          <w:iCs/>
        </w:rPr>
        <w:t>SMN2</w:t>
      </w:r>
      <w:r w:rsidR="00AC2298" w:rsidRPr="0067202A">
        <w:t xml:space="preserve"> copy number and SMA type was known (excluding the 1 patient who was SMA type 0)</w:t>
      </w:r>
      <w:r w:rsidR="00803074" w:rsidRPr="0067202A">
        <w:t xml:space="preserve"> were added to the existing information </w:t>
      </w:r>
      <w:r w:rsidR="00AC2298" w:rsidRPr="0067202A">
        <w:t>and these results were used to present a revised base case in the commentary</w:t>
      </w:r>
      <w:r w:rsidR="00AC2298" w:rsidRPr="00CA0208">
        <w:t>.</w:t>
      </w:r>
      <w:bookmarkEnd w:id="63"/>
      <w:r w:rsidR="00524F23" w:rsidRPr="00CA0208">
        <w:t xml:space="preserve"> The ESC considered this revised base case was an appropriate adjustment to the model and recommend</w:t>
      </w:r>
      <w:r w:rsidR="00892D39">
        <w:t>ed</w:t>
      </w:r>
      <w:r w:rsidR="00524F23" w:rsidRPr="00CA0208">
        <w:t xml:space="preserve"> the PBAC consider the ICERs using this approach as a respecified base case.</w:t>
      </w:r>
    </w:p>
    <w:p w14:paraId="531F1DE4" w14:textId="49225CB4" w:rsidR="00AC2298" w:rsidRPr="0067202A" w:rsidRDefault="00AC2298" w:rsidP="00AC2298">
      <w:pPr>
        <w:pStyle w:val="3-BodyText"/>
      </w:pPr>
      <w:r w:rsidRPr="00271560">
        <w:t xml:space="preserve">Transition probabilities were not explicitly included in the model. </w:t>
      </w:r>
      <w:r w:rsidR="00701B53" w:rsidRPr="00271560">
        <w:t>P</w:t>
      </w:r>
      <w:r w:rsidRPr="00271560">
        <w:t>atients move</w:t>
      </w:r>
      <w:r w:rsidR="00701B53" w:rsidRPr="00271560">
        <w:t>d</w:t>
      </w:r>
      <w:r w:rsidRPr="00271560">
        <w:t xml:space="preserve"> from being pre-symptomatic and not receiving nusinersen to being symptomatic and receiving nusinersen at a fixed time point in the model based on the average expected symptom onset time</w:t>
      </w:r>
      <w:r w:rsidR="009B7F2D">
        <w:t>,</w:t>
      </w:r>
      <w:r w:rsidRPr="00271560">
        <w:t xml:space="preserve"> which </w:t>
      </w:r>
      <w:r w:rsidR="009B7F2D">
        <w:t>wa</w:t>
      </w:r>
      <w:r w:rsidRPr="00271560">
        <w:t>s entirely dependent on the assumed SMA type (</w:t>
      </w:r>
      <w:r w:rsidR="00324EE8" w:rsidRPr="00271560">
        <w:t>Type</w:t>
      </w:r>
      <w:r w:rsidR="00324EE8">
        <w:t> </w:t>
      </w:r>
      <w:r w:rsidRPr="00271560">
        <w:t>I - 0.5 years, Type II - 1 year, Type IIIa – 2.25 years, Type IIIb/c – 10.5 years, Type IV 50.</w:t>
      </w:r>
      <w:r w:rsidR="00324EE8" w:rsidRPr="00271560">
        <w:t>5</w:t>
      </w:r>
      <w:r w:rsidR="00324EE8">
        <w:t> </w:t>
      </w:r>
      <w:r w:rsidRPr="00271560">
        <w:t xml:space="preserve">years). </w:t>
      </w:r>
      <w:r w:rsidRPr="0067202A">
        <w:t xml:space="preserve">The PBAC previously considered there to be uncertainty associated with applying a uniform fixed age of symptom onset for each SMA type, noting that it was possibly unrealistic to have all patients of the same type being symptomatic at the same time and that </w:t>
      </w:r>
      <w:r w:rsidR="009B7F2D" w:rsidRPr="0067202A">
        <w:t>this approach</w:t>
      </w:r>
      <w:r w:rsidRPr="0067202A">
        <w:t xml:space="preserve"> does not </w:t>
      </w:r>
      <w:r w:rsidR="009B7F2D" w:rsidRPr="0067202A">
        <w:t xml:space="preserve">account for </w:t>
      </w:r>
      <w:r w:rsidRPr="0067202A">
        <w:t xml:space="preserve">the degenerative and progressive nature of SMA in the model (paragraph 6.29, </w:t>
      </w:r>
      <w:r w:rsidR="00570E4E" w:rsidRPr="0067202A">
        <w:t>nusinersen</w:t>
      </w:r>
      <w:r w:rsidRPr="0067202A">
        <w:t xml:space="preserve"> PSD, July 2020 PBAC meeting). </w:t>
      </w:r>
      <w:r w:rsidR="000B3CB1">
        <w:t xml:space="preserve">The resubmission provided a sensitivity analysis that applied a distribution to the expected age of symptom onset for each SMA type, resulting in an ICER of </w:t>
      </w:r>
      <w:r w:rsidR="00324EE8" w:rsidRPr="00324EE8">
        <w:t>$155,000 to &lt; $255,000</w:t>
      </w:r>
      <w:r w:rsidR="00324EE8">
        <w:t xml:space="preserve"> </w:t>
      </w:r>
      <w:r w:rsidR="000B3CB1" w:rsidRPr="00271560">
        <w:t>per QALY</w:t>
      </w:r>
      <w:r w:rsidR="000B3CB1">
        <w:t>, which suggests that the submission’s assumption of a fixed age of onset may favour pre symptomatic treatment.</w:t>
      </w:r>
    </w:p>
    <w:p w14:paraId="6BCA8DCE" w14:textId="3C94A37D" w:rsidR="00AC2298" w:rsidRDefault="00AC2298" w:rsidP="00AC2298">
      <w:pPr>
        <w:pStyle w:val="3-BodyText"/>
        <w:rPr>
          <w:i/>
          <w:iCs/>
        </w:rPr>
      </w:pPr>
      <w:r w:rsidRPr="00271560">
        <w:t xml:space="preserve">The current model used data from Dangouloff 2022 to determine health state costs, as </w:t>
      </w:r>
      <w:r w:rsidR="001E04F7">
        <w:t>this paper</w:t>
      </w:r>
      <w:r w:rsidRPr="00271560">
        <w:t xml:space="preserve"> reported health care costs by </w:t>
      </w:r>
      <w:r w:rsidRPr="00271560">
        <w:rPr>
          <w:i/>
          <w:iCs/>
        </w:rPr>
        <w:t>SMN2</w:t>
      </w:r>
      <w:r w:rsidRPr="00271560">
        <w:t xml:space="preserve"> copy number and symptom onset in an SMA cohort. The resubmission considered these costs to be more applicable to the pre</w:t>
      </w:r>
      <w:r w:rsidR="00C83546" w:rsidRPr="00271560">
        <w:noBreakHyphen/>
      </w:r>
      <w:r w:rsidRPr="00271560">
        <w:t>symptomatic treatment setting than the costs and assumptions previously applied in the July 2020 model (Klug 2016). A</w:t>
      </w:r>
      <w:r w:rsidR="008714A7">
        <w:t>n annual</w:t>
      </w:r>
      <w:r w:rsidRPr="00271560">
        <w:t xml:space="preserve"> cost of $429.76 was applied in the pre-symptomatic arm until the projected time of symptom onset for each SMA type, after which a linearly increasing cost to $26,107.92 </w:t>
      </w:r>
      <w:r w:rsidR="008714A7">
        <w:t xml:space="preserve">per year </w:t>
      </w:r>
      <w:r w:rsidRPr="00271560">
        <w:t>was applied over 20 years</w:t>
      </w:r>
      <w:r w:rsidRPr="0067202A">
        <w:t xml:space="preserve">. It was unreasonable to assume that the health care costs in symptomatic patients with 3 </w:t>
      </w:r>
      <w:r w:rsidRPr="002B5EE4">
        <w:rPr>
          <w:i/>
          <w:iCs/>
        </w:rPr>
        <w:t>SMN2</w:t>
      </w:r>
      <w:r w:rsidRPr="0067202A">
        <w:t xml:space="preserve"> copies ($26,107.92</w:t>
      </w:r>
      <w:r w:rsidR="008714A7">
        <w:t xml:space="preserve"> per year</w:t>
      </w:r>
      <w:r w:rsidRPr="0067202A">
        <w:t xml:space="preserve">) will be substantially greater than what was previously accepted for patients with 2 </w:t>
      </w:r>
      <w:r w:rsidRPr="0067202A">
        <w:rPr>
          <w:i/>
          <w:iCs/>
        </w:rPr>
        <w:t>SMN2</w:t>
      </w:r>
      <w:r w:rsidRPr="0067202A">
        <w:t xml:space="preserve"> copies ($14,380</w:t>
      </w:r>
      <w:r w:rsidR="008714A7">
        <w:t xml:space="preserve"> per year</w:t>
      </w:r>
      <w:r w:rsidRPr="0067202A">
        <w:t xml:space="preserve">) given that patients with 3 </w:t>
      </w:r>
      <w:r w:rsidRPr="001C465E">
        <w:rPr>
          <w:i/>
          <w:iCs/>
        </w:rPr>
        <w:t>SMN2</w:t>
      </w:r>
      <w:r w:rsidRPr="0067202A">
        <w:t xml:space="preserve"> copies are likely to have less severe disease. It was also unreasonable to assume patients in the pre-symptomatic arm would slowly accrue additional health care costs once symptomatic but patients in the S</w:t>
      </w:r>
      <w:r w:rsidR="001B7959">
        <w:t>o</w:t>
      </w:r>
      <w:r w:rsidRPr="0067202A">
        <w:t>C arm would incur the full cost as soon as they were symptomatic.</w:t>
      </w:r>
      <w:r w:rsidR="001B7959">
        <w:t xml:space="preserve"> </w:t>
      </w:r>
      <w:r w:rsidR="001B7959" w:rsidRPr="00CA0208">
        <w:t>The ESC considered the resubmission’s derivation of health care costs to be optimistic</w:t>
      </w:r>
      <w:r w:rsidR="00565DD3" w:rsidRPr="00CA0208">
        <w:t>, and uncertain given the data do not come from Australian sources</w:t>
      </w:r>
      <w:r w:rsidR="001B7959" w:rsidRPr="00CA0208">
        <w:t>.</w:t>
      </w:r>
    </w:p>
    <w:p w14:paraId="67FD0CAC" w14:textId="464B4C1E" w:rsidR="0047421B" w:rsidRPr="00CA0208" w:rsidRDefault="0047421B" w:rsidP="00AC2298">
      <w:pPr>
        <w:pStyle w:val="3-BodyText"/>
      </w:pPr>
      <w:r>
        <w:lastRenderedPageBreak/>
        <w:t>As in the July 2020 submission the b</w:t>
      </w:r>
      <w:r w:rsidRPr="00271560">
        <w:t xml:space="preserve">ase case assumed utility benefit of 0.2 between treatment arms, based on a utility of 0.91 for pre-symptomatic treatment versus 0.71 for symptomatic treatment. </w:t>
      </w:r>
      <w:r w:rsidRPr="0067202A">
        <w:t>The utility benefit was not supported by any evidence and is purely an assumption.</w:t>
      </w:r>
      <w:r>
        <w:t xml:space="preserve"> </w:t>
      </w:r>
      <w:r w:rsidRPr="00CA0208">
        <w:t xml:space="preserve">The PSCR </w:t>
      </w:r>
      <w:r w:rsidR="008714A7">
        <w:t>argued</w:t>
      </w:r>
      <w:r w:rsidRPr="00CA0208">
        <w:t xml:space="preserve"> that the clinical evidence from NURTURE supported the economic model’s proposition that patients with 3 </w:t>
      </w:r>
      <w:r w:rsidRPr="00CA0208">
        <w:rPr>
          <w:i/>
          <w:iCs/>
        </w:rPr>
        <w:t>SMN2</w:t>
      </w:r>
      <w:r w:rsidRPr="00CA0208">
        <w:t xml:space="preserve"> copies treated with nusinersen reach functional milestones consistent with normal development and can therefore be expected to have normal quality of life. The PSCR also noted that the incremental utility benefit was consistent with previous PBAC decision making regarding SMA quality of life outcomes for patients treated when symptomatic and the clinical evidence supporting the normal development of children treated pre-symptomatically. The ESC questioned the pre-symptomatic utility value of 0.91, given it was based on adult norms, and the symptomatic utility value of 0.71, given the relevance/applicability of the vignettes used to derive the utility value to patients with 3 copies of </w:t>
      </w:r>
      <w:r w:rsidRPr="00CA0208">
        <w:rPr>
          <w:i/>
          <w:iCs/>
        </w:rPr>
        <w:t>SMN2</w:t>
      </w:r>
      <w:r w:rsidRPr="00CA0208">
        <w:t>, and as such, considered the incremental utility benefit to be highly uncertain, and likely overestimated.</w:t>
      </w:r>
    </w:p>
    <w:p w14:paraId="04C42B47" w14:textId="3D6050C9" w:rsidR="0047421B" w:rsidRDefault="0047421B" w:rsidP="00AC2298">
      <w:pPr>
        <w:pStyle w:val="3-BodyText"/>
        <w:rPr>
          <w:i/>
          <w:iCs/>
        </w:rPr>
      </w:pPr>
      <w:r w:rsidRPr="0067202A">
        <w:t>The ESC had previously considered a time horizon of 20 years to be optimistic in the context of the available clinical data.</w:t>
      </w:r>
      <w:r>
        <w:rPr>
          <w:i/>
          <w:iCs/>
        </w:rPr>
        <w:t xml:space="preserve"> </w:t>
      </w:r>
      <w:r w:rsidRPr="00CA0208">
        <w:t xml:space="preserve">For patients with 3 copies of </w:t>
      </w:r>
      <w:r w:rsidRPr="00CA0208">
        <w:rPr>
          <w:i/>
          <w:iCs/>
        </w:rPr>
        <w:t>SMN2</w:t>
      </w:r>
      <w:r w:rsidRPr="00CA0208">
        <w:t>, the ESC considered that a time horizon of 20 years was reasonable given the better prognosis.</w:t>
      </w:r>
    </w:p>
    <w:p w14:paraId="330807BC" w14:textId="056945E2" w:rsidR="0047421B" w:rsidRPr="00CA0208" w:rsidRDefault="0047421B" w:rsidP="00AC2298">
      <w:pPr>
        <w:pStyle w:val="3-BodyText"/>
      </w:pPr>
      <w:r>
        <w:t xml:space="preserve">The base case assumed no patients with 3 copies of </w:t>
      </w:r>
      <w:r w:rsidRPr="003745D7">
        <w:rPr>
          <w:i/>
          <w:iCs/>
        </w:rPr>
        <w:t xml:space="preserve">SMN2 </w:t>
      </w:r>
      <w:r>
        <w:t xml:space="preserve">will have Type IV SMA. This was based on published literature, however it differed compared with the July 2020 submission and patients with Type IV SMA may be underrepresented in the literature. </w:t>
      </w:r>
      <w:r w:rsidRPr="00CA0208">
        <w:t>The ESC considered this assumption was potentially optimistic and noted that a small change in this parameter resulted in a substantial increase in the ICER.</w:t>
      </w:r>
    </w:p>
    <w:p w14:paraId="54AF0E85" w14:textId="758B5B99" w:rsidR="00AC2298" w:rsidRPr="00271560" w:rsidRDefault="00AC2298" w:rsidP="00557332">
      <w:pPr>
        <w:pStyle w:val="ListParagraph"/>
        <w:numPr>
          <w:ilvl w:val="1"/>
          <w:numId w:val="1"/>
        </w:numPr>
      </w:pPr>
      <w:r w:rsidRPr="00271560">
        <w:t xml:space="preserve">The key drivers of the model are highlighted in </w:t>
      </w:r>
      <w:r w:rsidRPr="00271560">
        <w:fldChar w:fldCharType="begin" w:fldLock="1"/>
      </w:r>
      <w:r w:rsidRPr="00271560">
        <w:instrText xml:space="preserve"> REF _Ref132553884 \h </w:instrText>
      </w:r>
      <w:r w:rsidRPr="00271560">
        <w:fldChar w:fldCharType="separate"/>
      </w:r>
      <w:r w:rsidR="000825A0" w:rsidRPr="00271560">
        <w:t xml:space="preserve">Table </w:t>
      </w:r>
      <w:r w:rsidR="000825A0">
        <w:rPr>
          <w:noProof/>
        </w:rPr>
        <w:t>13</w:t>
      </w:r>
      <w:r w:rsidRPr="00271560">
        <w:fldChar w:fldCharType="end"/>
      </w:r>
      <w:r w:rsidRPr="00271560">
        <w:t>.</w:t>
      </w:r>
    </w:p>
    <w:p w14:paraId="5ACCF9BA" w14:textId="7F90033A" w:rsidR="00AC2298" w:rsidRPr="00271560" w:rsidRDefault="00AC2298" w:rsidP="00557332">
      <w:pPr>
        <w:pStyle w:val="Caption"/>
        <w:rPr>
          <w:rStyle w:val="CommentReference"/>
          <w:b/>
          <w:szCs w:val="18"/>
        </w:rPr>
      </w:pPr>
      <w:bookmarkStart w:id="64" w:name="_Ref132553884"/>
      <w:r w:rsidRPr="00271560">
        <w:lastRenderedPageBreak/>
        <w:t xml:space="preserve">Table </w:t>
      </w:r>
      <w:fldSimple w:instr=" SEQ Table \* ARABIC " w:fldLock="1">
        <w:r w:rsidR="0038407B">
          <w:rPr>
            <w:noProof/>
          </w:rPr>
          <w:t>13</w:t>
        </w:r>
      </w:fldSimple>
      <w:bookmarkEnd w:id="64"/>
      <w:r w:rsidRPr="00271560">
        <w:rPr>
          <w:rStyle w:val="CommentReference"/>
          <w:b/>
          <w:szCs w:val="18"/>
        </w:rPr>
        <w:t>: Key drivers of the model</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model"/>
      </w:tblPr>
      <w:tblGrid>
        <w:gridCol w:w="986"/>
        <w:gridCol w:w="4821"/>
        <w:gridCol w:w="3207"/>
      </w:tblGrid>
      <w:tr w:rsidR="00AC2298" w:rsidRPr="00271560" w14:paraId="4F2D5D25" w14:textId="77777777" w:rsidTr="008714A7">
        <w:trPr>
          <w:tblHeader/>
        </w:trPr>
        <w:tc>
          <w:tcPr>
            <w:tcW w:w="547" w:type="pct"/>
            <w:shd w:val="clear" w:color="auto" w:fill="auto"/>
            <w:vAlign w:val="center"/>
          </w:tcPr>
          <w:p w14:paraId="0495469D" w14:textId="77777777" w:rsidR="00AC2298" w:rsidRPr="00271560" w:rsidRDefault="00AC2298" w:rsidP="00557332">
            <w:pPr>
              <w:pStyle w:val="Tabletext"/>
              <w:keepNext/>
              <w:keepLines/>
              <w:rPr>
                <w:b/>
              </w:rPr>
            </w:pPr>
            <w:r w:rsidRPr="00271560">
              <w:rPr>
                <w:b/>
              </w:rPr>
              <w:t>Description</w:t>
            </w:r>
          </w:p>
        </w:tc>
        <w:tc>
          <w:tcPr>
            <w:tcW w:w="2674" w:type="pct"/>
            <w:shd w:val="clear" w:color="auto" w:fill="auto"/>
            <w:vAlign w:val="center"/>
          </w:tcPr>
          <w:p w14:paraId="6DC2BA0B" w14:textId="086A252F" w:rsidR="00AC2298" w:rsidRPr="00271560" w:rsidRDefault="00AC2298" w:rsidP="00557332">
            <w:pPr>
              <w:pStyle w:val="Tabletext"/>
              <w:keepNext/>
              <w:keepLines/>
              <w:jc w:val="center"/>
              <w:rPr>
                <w:b/>
              </w:rPr>
            </w:pPr>
            <w:r w:rsidRPr="00271560">
              <w:rPr>
                <w:b/>
              </w:rPr>
              <w:t>Method/Value</w:t>
            </w:r>
          </w:p>
        </w:tc>
        <w:tc>
          <w:tcPr>
            <w:tcW w:w="1779" w:type="pct"/>
            <w:shd w:val="clear" w:color="auto" w:fill="auto"/>
            <w:vAlign w:val="center"/>
          </w:tcPr>
          <w:p w14:paraId="62681CFF" w14:textId="77777777" w:rsidR="00AC2298" w:rsidRPr="00271560" w:rsidRDefault="00AC2298" w:rsidP="00557332">
            <w:pPr>
              <w:pStyle w:val="Tabletext"/>
              <w:keepNext/>
              <w:keepLines/>
              <w:rPr>
                <w:b/>
              </w:rPr>
            </w:pPr>
            <w:r w:rsidRPr="00271560">
              <w:rPr>
                <w:b/>
              </w:rPr>
              <w:t>Impact</w:t>
            </w:r>
          </w:p>
        </w:tc>
      </w:tr>
      <w:tr w:rsidR="0047421B" w14:paraId="0FC7F90E" w14:textId="77777777" w:rsidTr="008714A7">
        <w:tc>
          <w:tcPr>
            <w:tcW w:w="547" w:type="pct"/>
            <w:tcBorders>
              <w:top w:val="single" w:sz="4" w:space="0" w:color="auto"/>
              <w:left w:val="single" w:sz="4" w:space="0" w:color="auto"/>
              <w:bottom w:val="single" w:sz="4" w:space="0" w:color="auto"/>
              <w:right w:val="single" w:sz="4" w:space="0" w:color="auto"/>
            </w:tcBorders>
            <w:vAlign w:val="center"/>
            <w:hideMark/>
          </w:tcPr>
          <w:p w14:paraId="246A2475" w14:textId="77777777" w:rsidR="0045458C" w:rsidRDefault="0045458C" w:rsidP="00557332">
            <w:pPr>
              <w:pStyle w:val="Tabletext"/>
              <w:keepNext/>
              <w:keepLines/>
              <w:rPr>
                <w:b/>
              </w:rPr>
            </w:pPr>
            <w:r>
              <w:t xml:space="preserve">Duration of treatment effect </w:t>
            </w:r>
          </w:p>
        </w:tc>
        <w:tc>
          <w:tcPr>
            <w:tcW w:w="2674" w:type="pct"/>
            <w:tcBorders>
              <w:top w:val="single" w:sz="4" w:space="0" w:color="auto"/>
              <w:left w:val="single" w:sz="4" w:space="0" w:color="auto"/>
              <w:bottom w:val="single" w:sz="4" w:space="0" w:color="auto"/>
              <w:right w:val="single" w:sz="4" w:space="0" w:color="auto"/>
            </w:tcBorders>
            <w:vAlign w:val="center"/>
            <w:hideMark/>
          </w:tcPr>
          <w:p w14:paraId="17057047" w14:textId="2432060E" w:rsidR="0045458C" w:rsidRDefault="0045458C" w:rsidP="00557332">
            <w:pPr>
              <w:pStyle w:val="Tabletext"/>
              <w:keepNext/>
              <w:keepLines/>
              <w:rPr>
                <w:b/>
              </w:rPr>
            </w:pPr>
            <w:r>
              <w:t>A waning of treatment effect was assumed to occur over 20 years in the model</w:t>
            </w:r>
            <w:r>
              <w:rPr>
                <w:i/>
                <w:iCs/>
              </w:rPr>
              <w:t xml:space="preserve">. </w:t>
            </w:r>
            <w:r w:rsidR="00B86550">
              <w:t xml:space="preserve">The </w:t>
            </w:r>
            <w:r w:rsidRPr="00452F48">
              <w:t>ESC noted</w:t>
            </w:r>
            <w:r>
              <w:t xml:space="preserve"> that there was no basis for this assumption.</w:t>
            </w:r>
          </w:p>
        </w:tc>
        <w:tc>
          <w:tcPr>
            <w:tcW w:w="1779" w:type="pct"/>
            <w:tcBorders>
              <w:top w:val="single" w:sz="4" w:space="0" w:color="auto"/>
              <w:left w:val="single" w:sz="4" w:space="0" w:color="auto"/>
              <w:bottom w:val="single" w:sz="4" w:space="0" w:color="auto"/>
              <w:right w:val="single" w:sz="4" w:space="0" w:color="auto"/>
            </w:tcBorders>
            <w:vAlign w:val="center"/>
            <w:hideMark/>
          </w:tcPr>
          <w:p w14:paraId="46B10A1E" w14:textId="77777777" w:rsidR="0045458C" w:rsidRDefault="0045458C" w:rsidP="00557332">
            <w:pPr>
              <w:pStyle w:val="Tabletext"/>
              <w:keepNext/>
              <w:keepLines/>
              <w:rPr>
                <w:iCs/>
              </w:rPr>
            </w:pPr>
            <w:r>
              <w:rPr>
                <w:iCs/>
              </w:rPr>
              <w:t xml:space="preserve">High, favoured pre-symptomatic treatment. </w:t>
            </w:r>
          </w:p>
          <w:p w14:paraId="10DDEED4" w14:textId="0E2E8F64" w:rsidR="0045458C" w:rsidRPr="00324EE8" w:rsidRDefault="0045458C" w:rsidP="00557332">
            <w:pPr>
              <w:pStyle w:val="Tabletext"/>
              <w:keepNext/>
              <w:keepLines/>
              <w:rPr>
                <w:iCs/>
                <w:vertAlign w:val="superscript"/>
              </w:rPr>
            </w:pPr>
            <w:r>
              <w:rPr>
                <w:iCs/>
              </w:rPr>
              <w:t>Base case (20 years): $</w:t>
            </w:r>
            <w:r w:rsidR="00546AD5" w:rsidRPr="00546AD5">
              <w:rPr>
                <w:iCs/>
                <w:color w:val="000000"/>
                <w:spacing w:val="54"/>
                <w:shd w:val="solid" w:color="000000" w:fill="000000"/>
                <w:fitText w:val="333" w:id="-1167898612"/>
                <w14:textFill>
                  <w14:solidFill>
                    <w14:srgbClr w14:val="000000">
                      <w14:alpha w14:val="100000"/>
                    </w14:srgbClr>
                  </w14:solidFill>
                </w14:textFill>
              </w:rPr>
              <w:t>|||</w:t>
            </w:r>
            <w:r w:rsidR="00546AD5" w:rsidRPr="00546AD5">
              <w:rPr>
                <w:iCs/>
                <w:color w:val="000000"/>
                <w:spacing w:val="1"/>
                <w:shd w:val="solid" w:color="000000" w:fill="000000"/>
                <w:fitText w:val="333" w:id="-1167898612"/>
                <w14:textFill>
                  <w14:solidFill>
                    <w14:srgbClr w14:val="000000">
                      <w14:alpha w14:val="100000"/>
                    </w14:srgbClr>
                  </w14:solidFill>
                </w14:textFill>
              </w:rPr>
              <w:t>|</w:t>
            </w:r>
            <w:r w:rsidR="00324EE8" w:rsidRPr="00324EE8">
              <w:rPr>
                <w:iCs/>
                <w:vertAlign w:val="superscript"/>
              </w:rPr>
              <w:t>1</w:t>
            </w:r>
          </w:p>
          <w:p w14:paraId="2D1FEAE5" w14:textId="287578D5" w:rsidR="0045458C" w:rsidRDefault="0045458C" w:rsidP="00557332">
            <w:pPr>
              <w:pStyle w:val="Tabletext"/>
              <w:keepNext/>
              <w:keepLines/>
              <w:rPr>
                <w:iCs/>
              </w:rPr>
            </w:pPr>
            <w:r>
              <w:rPr>
                <w:iCs/>
              </w:rPr>
              <w:t>5 years: $</w:t>
            </w:r>
            <w:r w:rsidR="00546AD5" w:rsidRPr="00546AD5">
              <w:rPr>
                <w:iCs/>
                <w:color w:val="000000"/>
                <w:spacing w:val="54"/>
                <w:shd w:val="solid" w:color="000000" w:fill="000000"/>
                <w:fitText w:val="333" w:id="-1167898611"/>
                <w14:textFill>
                  <w14:solidFill>
                    <w14:srgbClr w14:val="000000">
                      <w14:alpha w14:val="100000"/>
                    </w14:srgbClr>
                  </w14:solidFill>
                </w14:textFill>
              </w:rPr>
              <w:t>|||</w:t>
            </w:r>
            <w:r w:rsidR="00546AD5" w:rsidRPr="00546AD5">
              <w:rPr>
                <w:iCs/>
                <w:color w:val="000000"/>
                <w:spacing w:val="1"/>
                <w:shd w:val="solid" w:color="000000" w:fill="000000"/>
                <w:fitText w:val="333" w:id="-1167898611"/>
                <w14:textFill>
                  <w14:solidFill>
                    <w14:srgbClr w14:val="000000">
                      <w14:alpha w14:val="100000"/>
                    </w14:srgbClr>
                  </w14:solidFill>
                </w14:textFill>
              </w:rPr>
              <w:t>|</w:t>
            </w:r>
            <w:r w:rsidR="00324EE8">
              <w:rPr>
                <w:iCs/>
                <w:vertAlign w:val="superscript"/>
              </w:rPr>
              <w:t>2</w:t>
            </w:r>
            <w:r>
              <w:rPr>
                <w:iCs/>
              </w:rPr>
              <w:t xml:space="preserve"> (+323%)</w:t>
            </w:r>
          </w:p>
          <w:p w14:paraId="3C832FA7" w14:textId="1DCE59C6" w:rsidR="0045458C" w:rsidRDefault="0045458C" w:rsidP="00557332">
            <w:pPr>
              <w:pStyle w:val="Tabletext"/>
              <w:keepNext/>
              <w:keepLines/>
              <w:rPr>
                <w:b/>
                <w:iCs/>
              </w:rPr>
            </w:pPr>
            <w:r>
              <w:rPr>
                <w:iCs/>
              </w:rPr>
              <w:t>10 years: $</w:t>
            </w:r>
            <w:r w:rsidR="00546AD5" w:rsidRPr="00546AD5">
              <w:rPr>
                <w:iCs/>
                <w:color w:val="000000"/>
                <w:spacing w:val="53"/>
                <w:shd w:val="solid" w:color="000000" w:fill="000000"/>
                <w:fitText w:val="332" w:id="-1167898610"/>
                <w14:textFill>
                  <w14:solidFill>
                    <w14:srgbClr w14:val="000000">
                      <w14:alpha w14:val="100000"/>
                    </w14:srgbClr>
                  </w14:solidFill>
                </w14:textFill>
              </w:rPr>
              <w:t>|||</w:t>
            </w:r>
            <w:r w:rsidR="00546AD5" w:rsidRPr="00546AD5">
              <w:rPr>
                <w:iCs/>
                <w:color w:val="000000"/>
                <w:spacing w:val="3"/>
                <w:shd w:val="solid" w:color="000000" w:fill="000000"/>
                <w:fitText w:val="332" w:id="-1167898610"/>
                <w14:textFill>
                  <w14:solidFill>
                    <w14:srgbClr w14:val="000000">
                      <w14:alpha w14:val="100000"/>
                    </w14:srgbClr>
                  </w14:solidFill>
                </w14:textFill>
              </w:rPr>
              <w:t>|</w:t>
            </w:r>
            <w:r w:rsidR="00324EE8">
              <w:rPr>
                <w:iCs/>
                <w:vertAlign w:val="superscript"/>
              </w:rPr>
              <w:t>3</w:t>
            </w:r>
            <w:r>
              <w:rPr>
                <w:iCs/>
              </w:rPr>
              <w:t xml:space="preserve"> (+110%)</w:t>
            </w:r>
          </w:p>
        </w:tc>
      </w:tr>
      <w:tr w:rsidR="00AC2298" w:rsidRPr="00271560" w14:paraId="29707377" w14:textId="77777777" w:rsidTr="008714A7">
        <w:tc>
          <w:tcPr>
            <w:tcW w:w="547" w:type="pct"/>
            <w:shd w:val="clear" w:color="auto" w:fill="auto"/>
            <w:vAlign w:val="center"/>
          </w:tcPr>
          <w:p w14:paraId="0BB2F0F0" w14:textId="77777777" w:rsidR="00AC2298" w:rsidRPr="00271560" w:rsidRDefault="00AC2298" w:rsidP="00557332">
            <w:pPr>
              <w:pStyle w:val="Tabletext"/>
              <w:keepNext/>
              <w:keepLines/>
            </w:pPr>
            <w:r w:rsidRPr="00271560">
              <w:t>Utility benefit assumed</w:t>
            </w:r>
          </w:p>
        </w:tc>
        <w:tc>
          <w:tcPr>
            <w:tcW w:w="2674" w:type="pct"/>
            <w:shd w:val="clear" w:color="auto" w:fill="auto"/>
            <w:vAlign w:val="center"/>
          </w:tcPr>
          <w:p w14:paraId="6AD1EBBF" w14:textId="41C7A46D" w:rsidR="00AC2298" w:rsidRPr="00271560" w:rsidRDefault="00AC2298" w:rsidP="00557332">
            <w:pPr>
              <w:pStyle w:val="Tabletext"/>
              <w:keepNext/>
              <w:keepLines/>
            </w:pPr>
            <w:r w:rsidRPr="00271560">
              <w:t xml:space="preserve">Base case assumed utility benefit of 0.2 between treatment arms, based on a utility of 0.91 for pre-symptomatic treatment versus 0.71 for symptomatic treatment. </w:t>
            </w:r>
          </w:p>
        </w:tc>
        <w:tc>
          <w:tcPr>
            <w:tcW w:w="1779" w:type="pct"/>
            <w:shd w:val="clear" w:color="auto" w:fill="auto"/>
            <w:vAlign w:val="center"/>
          </w:tcPr>
          <w:p w14:paraId="124DDFF2" w14:textId="77777777" w:rsidR="00AC2298" w:rsidRPr="0067202A" w:rsidRDefault="00AC2298" w:rsidP="00557332">
            <w:pPr>
              <w:pStyle w:val="Tabletext"/>
              <w:keepNext/>
              <w:keepLines/>
              <w:rPr>
                <w:iCs/>
              </w:rPr>
            </w:pPr>
            <w:r w:rsidRPr="0067202A">
              <w:rPr>
                <w:iCs/>
              </w:rPr>
              <w:t>High, uncertain which arm was favoured.</w:t>
            </w:r>
          </w:p>
          <w:p w14:paraId="50950D92" w14:textId="25F3C1A9" w:rsidR="00AC2298" w:rsidRPr="0067202A" w:rsidRDefault="00AC2298" w:rsidP="00557332">
            <w:pPr>
              <w:pStyle w:val="Tabletext"/>
              <w:keepNext/>
              <w:keepLines/>
              <w:rPr>
                <w:iCs/>
              </w:rPr>
            </w:pPr>
            <w:r w:rsidRPr="0067202A">
              <w:rPr>
                <w:iCs/>
              </w:rPr>
              <w:t>Base case (0.2 benefit): $</w:t>
            </w:r>
            <w:r w:rsidR="00546AD5" w:rsidRPr="00546AD5">
              <w:rPr>
                <w:iCs/>
                <w:color w:val="000000"/>
                <w:spacing w:val="50"/>
                <w:shd w:val="solid" w:color="000000" w:fill="000000"/>
                <w:fitText w:val="322" w:id="-1167898609"/>
                <w14:textFill>
                  <w14:solidFill>
                    <w14:srgbClr w14:val="000000">
                      <w14:alpha w14:val="100000"/>
                    </w14:srgbClr>
                  </w14:solidFill>
                </w14:textFill>
              </w:rPr>
              <w:t>|||</w:t>
            </w:r>
            <w:r w:rsidR="00546AD5" w:rsidRPr="00546AD5">
              <w:rPr>
                <w:iCs/>
                <w:color w:val="000000"/>
                <w:spacing w:val="2"/>
                <w:shd w:val="solid" w:color="000000" w:fill="000000"/>
                <w:fitText w:val="322" w:id="-1167898609"/>
                <w14:textFill>
                  <w14:solidFill>
                    <w14:srgbClr w14:val="000000">
                      <w14:alpha w14:val="100000"/>
                    </w14:srgbClr>
                  </w14:solidFill>
                </w14:textFill>
              </w:rPr>
              <w:t>|</w:t>
            </w:r>
            <w:r w:rsidR="00324EE8">
              <w:rPr>
                <w:iCs/>
                <w:vertAlign w:val="superscript"/>
              </w:rPr>
              <w:t>1</w:t>
            </w:r>
          </w:p>
          <w:p w14:paraId="01367EE6" w14:textId="04649043" w:rsidR="00AC2298" w:rsidRPr="0067202A" w:rsidRDefault="00AC2298" w:rsidP="00557332">
            <w:pPr>
              <w:pStyle w:val="Tabletext"/>
              <w:keepNext/>
              <w:keepLines/>
              <w:rPr>
                <w:iCs/>
              </w:rPr>
            </w:pPr>
            <w:r w:rsidRPr="0067202A">
              <w:rPr>
                <w:iCs/>
              </w:rPr>
              <w:t>0.1: $</w:t>
            </w:r>
            <w:r w:rsidR="00546AD5" w:rsidRPr="00546AD5">
              <w:rPr>
                <w:iCs/>
                <w:color w:val="000000"/>
                <w:spacing w:val="53"/>
                <w:shd w:val="solid" w:color="000000" w:fill="000000"/>
                <w:fitText w:val="332" w:id="-1167898608"/>
                <w14:textFill>
                  <w14:solidFill>
                    <w14:srgbClr w14:val="000000">
                      <w14:alpha w14:val="100000"/>
                    </w14:srgbClr>
                  </w14:solidFill>
                </w14:textFill>
              </w:rPr>
              <w:t>|||</w:t>
            </w:r>
            <w:r w:rsidR="00546AD5" w:rsidRPr="00546AD5">
              <w:rPr>
                <w:iCs/>
                <w:color w:val="000000"/>
                <w:spacing w:val="3"/>
                <w:shd w:val="solid" w:color="000000" w:fill="000000"/>
                <w:fitText w:val="332" w:id="-1167898608"/>
                <w14:textFill>
                  <w14:solidFill>
                    <w14:srgbClr w14:val="000000">
                      <w14:alpha w14:val="100000"/>
                    </w14:srgbClr>
                  </w14:solidFill>
                </w14:textFill>
              </w:rPr>
              <w:t>|</w:t>
            </w:r>
            <w:r w:rsidR="00324EE8">
              <w:rPr>
                <w:iCs/>
                <w:vertAlign w:val="superscript"/>
              </w:rPr>
              <w:t>4</w:t>
            </w:r>
            <w:r w:rsidRPr="0067202A">
              <w:rPr>
                <w:iCs/>
              </w:rPr>
              <w:t xml:space="preserve"> (+102%)</w:t>
            </w:r>
          </w:p>
          <w:p w14:paraId="22AEDD67" w14:textId="48223B65" w:rsidR="00AC2298" w:rsidRPr="0067202A" w:rsidRDefault="00AC2298" w:rsidP="00557332">
            <w:pPr>
              <w:pStyle w:val="Tabletext"/>
              <w:keepNext/>
              <w:keepLines/>
              <w:rPr>
                <w:iCs/>
              </w:rPr>
            </w:pPr>
            <w:r w:rsidRPr="0067202A">
              <w:rPr>
                <w:iCs/>
              </w:rPr>
              <w:t>0.4: $</w:t>
            </w:r>
            <w:r w:rsidR="00546AD5" w:rsidRPr="00546AD5">
              <w:rPr>
                <w:iCs/>
                <w:color w:val="000000"/>
                <w:spacing w:val="53"/>
                <w:shd w:val="solid" w:color="000000" w:fill="000000"/>
                <w:fitText w:val="332" w:id="-1167898624"/>
                <w14:textFill>
                  <w14:solidFill>
                    <w14:srgbClr w14:val="000000">
                      <w14:alpha w14:val="100000"/>
                    </w14:srgbClr>
                  </w14:solidFill>
                </w14:textFill>
              </w:rPr>
              <w:t>|||</w:t>
            </w:r>
            <w:r w:rsidR="00546AD5" w:rsidRPr="00546AD5">
              <w:rPr>
                <w:iCs/>
                <w:color w:val="000000"/>
                <w:spacing w:val="3"/>
                <w:shd w:val="solid" w:color="000000" w:fill="000000"/>
                <w:fitText w:val="332" w:id="-1167898624"/>
                <w14:textFill>
                  <w14:solidFill>
                    <w14:srgbClr w14:val="000000">
                      <w14:alpha w14:val="100000"/>
                    </w14:srgbClr>
                  </w14:solidFill>
                </w14:textFill>
              </w:rPr>
              <w:t>|</w:t>
            </w:r>
            <w:r w:rsidR="00324EE8">
              <w:rPr>
                <w:iCs/>
                <w:vertAlign w:val="superscript"/>
              </w:rPr>
              <w:t>5</w:t>
            </w:r>
            <w:r w:rsidRPr="0067202A">
              <w:rPr>
                <w:iCs/>
              </w:rPr>
              <w:t xml:space="preserve"> (-50%)</w:t>
            </w:r>
          </w:p>
        </w:tc>
      </w:tr>
      <w:tr w:rsidR="00BC2602" w:rsidRPr="00271560" w14:paraId="2FEED50F" w14:textId="77777777" w:rsidTr="008714A7">
        <w:tc>
          <w:tcPr>
            <w:tcW w:w="547" w:type="pct"/>
            <w:shd w:val="clear" w:color="auto" w:fill="auto"/>
            <w:vAlign w:val="center"/>
          </w:tcPr>
          <w:p w14:paraId="4ABFBEBD" w14:textId="6432CDC3" w:rsidR="00BC2602" w:rsidRPr="00271560" w:rsidRDefault="00BC2602" w:rsidP="00557332">
            <w:pPr>
              <w:pStyle w:val="Tabletext"/>
              <w:keepNext/>
              <w:keepLines/>
            </w:pPr>
            <w:r>
              <w:t>Time horizon</w:t>
            </w:r>
          </w:p>
        </w:tc>
        <w:tc>
          <w:tcPr>
            <w:tcW w:w="2674" w:type="pct"/>
            <w:shd w:val="clear" w:color="auto" w:fill="auto"/>
            <w:vAlign w:val="center"/>
          </w:tcPr>
          <w:p w14:paraId="390545E8" w14:textId="24BF5E50" w:rsidR="00BC2602" w:rsidRPr="00BC2602" w:rsidRDefault="00BC2602" w:rsidP="00557332">
            <w:pPr>
              <w:pStyle w:val="Tabletext"/>
              <w:keepNext/>
              <w:keepLines/>
              <w:rPr>
                <w:i/>
                <w:iCs/>
              </w:rPr>
            </w:pPr>
            <w:r>
              <w:t xml:space="preserve">20 years in base case. </w:t>
            </w:r>
          </w:p>
        </w:tc>
        <w:tc>
          <w:tcPr>
            <w:tcW w:w="1779" w:type="pct"/>
            <w:shd w:val="clear" w:color="auto" w:fill="auto"/>
            <w:vAlign w:val="center"/>
          </w:tcPr>
          <w:p w14:paraId="172C8006" w14:textId="77777777" w:rsidR="00166AD5" w:rsidRPr="0067202A" w:rsidRDefault="00166AD5" w:rsidP="00557332">
            <w:pPr>
              <w:pStyle w:val="Tabletext"/>
              <w:keepNext/>
              <w:keepLines/>
              <w:rPr>
                <w:iCs/>
              </w:rPr>
            </w:pPr>
            <w:r w:rsidRPr="0067202A">
              <w:rPr>
                <w:iCs/>
              </w:rPr>
              <w:t xml:space="preserve">High, favoured pre-symptomatic treatment. </w:t>
            </w:r>
          </w:p>
          <w:p w14:paraId="2138111E" w14:textId="712A3017" w:rsidR="00166AD5" w:rsidRPr="0067202A" w:rsidRDefault="00166AD5" w:rsidP="00557332">
            <w:pPr>
              <w:pStyle w:val="Tabletext"/>
              <w:keepNext/>
              <w:keepLines/>
              <w:rPr>
                <w:iCs/>
              </w:rPr>
            </w:pPr>
            <w:r w:rsidRPr="0067202A">
              <w:rPr>
                <w:iCs/>
              </w:rPr>
              <w:t>Base case (20 years): $</w:t>
            </w:r>
            <w:r w:rsidR="00546AD5" w:rsidRPr="00546AD5">
              <w:rPr>
                <w:iCs/>
                <w:color w:val="000000"/>
                <w:spacing w:val="54"/>
                <w:shd w:val="solid" w:color="000000" w:fill="000000"/>
                <w:fitText w:val="333" w:id="-1167898623"/>
                <w14:textFill>
                  <w14:solidFill>
                    <w14:srgbClr w14:val="000000">
                      <w14:alpha w14:val="100000"/>
                    </w14:srgbClr>
                  </w14:solidFill>
                </w14:textFill>
              </w:rPr>
              <w:t>|||</w:t>
            </w:r>
            <w:r w:rsidR="00546AD5" w:rsidRPr="00546AD5">
              <w:rPr>
                <w:iCs/>
                <w:color w:val="000000"/>
                <w:spacing w:val="1"/>
                <w:shd w:val="solid" w:color="000000" w:fill="000000"/>
                <w:fitText w:val="333" w:id="-1167898623"/>
                <w14:textFill>
                  <w14:solidFill>
                    <w14:srgbClr w14:val="000000">
                      <w14:alpha w14:val="100000"/>
                    </w14:srgbClr>
                  </w14:solidFill>
                </w14:textFill>
              </w:rPr>
              <w:t>|</w:t>
            </w:r>
            <w:r w:rsidR="00324EE8">
              <w:rPr>
                <w:iCs/>
                <w:vertAlign w:val="superscript"/>
              </w:rPr>
              <w:t>1</w:t>
            </w:r>
          </w:p>
          <w:p w14:paraId="1A57A8AE" w14:textId="1E9EB96A" w:rsidR="00BC2602" w:rsidRPr="0067202A" w:rsidRDefault="00166AD5" w:rsidP="00557332">
            <w:pPr>
              <w:pStyle w:val="Tabletext"/>
              <w:keepNext/>
              <w:keepLines/>
              <w:rPr>
                <w:iCs/>
              </w:rPr>
            </w:pPr>
            <w:r w:rsidRPr="0067202A">
              <w:rPr>
                <w:iCs/>
              </w:rPr>
              <w:t>10 year</w:t>
            </w:r>
            <w:r w:rsidR="00E565E4" w:rsidRPr="0067202A">
              <w:rPr>
                <w:iCs/>
              </w:rPr>
              <w:t>s</w:t>
            </w:r>
            <w:r w:rsidRPr="0067202A">
              <w:rPr>
                <w:iCs/>
              </w:rPr>
              <w:t>: $</w:t>
            </w:r>
            <w:r w:rsidR="00546AD5" w:rsidRPr="00546AD5">
              <w:rPr>
                <w:iCs/>
                <w:color w:val="000000"/>
                <w:spacing w:val="53"/>
                <w:shd w:val="solid" w:color="000000" w:fill="000000"/>
                <w:fitText w:val="332" w:id="-1167898622"/>
                <w14:textFill>
                  <w14:solidFill>
                    <w14:srgbClr w14:val="000000">
                      <w14:alpha w14:val="100000"/>
                    </w14:srgbClr>
                  </w14:solidFill>
                </w14:textFill>
              </w:rPr>
              <w:t>|||</w:t>
            </w:r>
            <w:r w:rsidR="00546AD5" w:rsidRPr="00546AD5">
              <w:rPr>
                <w:iCs/>
                <w:color w:val="000000"/>
                <w:spacing w:val="3"/>
                <w:shd w:val="solid" w:color="000000" w:fill="000000"/>
                <w:fitText w:val="332" w:id="-1167898622"/>
                <w14:textFill>
                  <w14:solidFill>
                    <w14:srgbClr w14:val="000000">
                      <w14:alpha w14:val="100000"/>
                    </w14:srgbClr>
                  </w14:solidFill>
                </w14:textFill>
              </w:rPr>
              <w:t>|</w:t>
            </w:r>
            <w:r w:rsidR="00324EE8">
              <w:rPr>
                <w:iCs/>
                <w:vertAlign w:val="superscript"/>
              </w:rPr>
              <w:t>3</w:t>
            </w:r>
            <w:r w:rsidRPr="0067202A">
              <w:rPr>
                <w:iCs/>
              </w:rPr>
              <w:t xml:space="preserve"> (+41%)</w:t>
            </w:r>
          </w:p>
        </w:tc>
      </w:tr>
      <w:tr w:rsidR="00AC2298" w:rsidRPr="00271560" w14:paraId="504B673F" w14:textId="77777777" w:rsidTr="008714A7">
        <w:tc>
          <w:tcPr>
            <w:tcW w:w="547" w:type="pct"/>
            <w:shd w:val="clear" w:color="auto" w:fill="auto"/>
            <w:vAlign w:val="center"/>
          </w:tcPr>
          <w:p w14:paraId="5A0A604D" w14:textId="77777777" w:rsidR="00AC2298" w:rsidRPr="00271560" w:rsidRDefault="00AC2298" w:rsidP="00557332">
            <w:pPr>
              <w:pStyle w:val="Tabletext"/>
              <w:keepNext/>
              <w:keepLines/>
            </w:pPr>
            <w:r w:rsidRPr="00271560">
              <w:t>Health state costs</w:t>
            </w:r>
          </w:p>
        </w:tc>
        <w:tc>
          <w:tcPr>
            <w:tcW w:w="2674" w:type="pct"/>
            <w:shd w:val="clear" w:color="auto" w:fill="auto"/>
            <w:vAlign w:val="center"/>
          </w:tcPr>
          <w:p w14:paraId="5B1D57C7" w14:textId="3C2F021B" w:rsidR="00AC2298" w:rsidRPr="00271560" w:rsidRDefault="00AC2298" w:rsidP="00557332">
            <w:pPr>
              <w:pStyle w:val="Tabletext"/>
              <w:keepNext/>
              <w:keepLines/>
            </w:pPr>
            <w:r w:rsidRPr="00271560">
              <w:t>Health state costs were increased from the July 2020 submission ($14,380 for symptomatic and $0 for pre-symptomatic health states) using data from Dangouloff 2022 ($26,108 for symptomatic and $430 for pre-symptomatic health states).</w:t>
            </w:r>
          </w:p>
        </w:tc>
        <w:tc>
          <w:tcPr>
            <w:tcW w:w="1779" w:type="pct"/>
            <w:shd w:val="clear" w:color="auto" w:fill="auto"/>
            <w:vAlign w:val="center"/>
          </w:tcPr>
          <w:p w14:paraId="0FBD61BC" w14:textId="0BF00543" w:rsidR="00AC2298" w:rsidRPr="0067202A" w:rsidRDefault="00AC2298" w:rsidP="00557332">
            <w:pPr>
              <w:pStyle w:val="Tabletext"/>
              <w:keepNext/>
              <w:keepLines/>
              <w:rPr>
                <w:iCs/>
              </w:rPr>
            </w:pPr>
            <w:r w:rsidRPr="0067202A">
              <w:rPr>
                <w:iCs/>
              </w:rPr>
              <w:t xml:space="preserve">Moderate, favoured </w:t>
            </w:r>
            <w:r w:rsidR="00115E22" w:rsidRPr="0067202A">
              <w:rPr>
                <w:iCs/>
              </w:rPr>
              <w:t>pre</w:t>
            </w:r>
            <w:r w:rsidR="00115E22" w:rsidRPr="0067202A">
              <w:rPr>
                <w:iCs/>
              </w:rPr>
              <w:noBreakHyphen/>
              <w:t>symptomatic treatment</w:t>
            </w:r>
            <w:r w:rsidR="00271560" w:rsidRPr="0067202A">
              <w:rPr>
                <w:iCs/>
              </w:rPr>
              <w:t>.</w:t>
            </w:r>
          </w:p>
          <w:p w14:paraId="6F5B271C" w14:textId="0DE741C7" w:rsidR="00AC2298" w:rsidRPr="0067202A" w:rsidRDefault="00AC2298" w:rsidP="00557332">
            <w:pPr>
              <w:pStyle w:val="Tabletext"/>
              <w:keepNext/>
              <w:keepLines/>
              <w:rPr>
                <w:iCs/>
              </w:rPr>
            </w:pPr>
            <w:r w:rsidRPr="0067202A">
              <w:rPr>
                <w:iCs/>
              </w:rPr>
              <w:t>Base case (Dangouloff 2022): $</w:t>
            </w:r>
            <w:r w:rsidR="00546AD5" w:rsidRPr="00546AD5">
              <w:rPr>
                <w:iCs/>
                <w:color w:val="000000"/>
                <w:spacing w:val="54"/>
                <w:shd w:val="solid" w:color="000000" w:fill="000000"/>
                <w:fitText w:val="333" w:id="-1167898621"/>
                <w14:textFill>
                  <w14:solidFill>
                    <w14:srgbClr w14:val="000000">
                      <w14:alpha w14:val="100000"/>
                    </w14:srgbClr>
                  </w14:solidFill>
                </w14:textFill>
              </w:rPr>
              <w:t>|||</w:t>
            </w:r>
            <w:r w:rsidR="00546AD5" w:rsidRPr="00546AD5">
              <w:rPr>
                <w:iCs/>
                <w:color w:val="000000"/>
                <w:spacing w:val="1"/>
                <w:shd w:val="solid" w:color="000000" w:fill="000000"/>
                <w:fitText w:val="333" w:id="-1167898621"/>
                <w14:textFill>
                  <w14:solidFill>
                    <w14:srgbClr w14:val="000000">
                      <w14:alpha w14:val="100000"/>
                    </w14:srgbClr>
                  </w14:solidFill>
                </w14:textFill>
              </w:rPr>
              <w:t>|</w:t>
            </w:r>
            <w:r w:rsidR="00324EE8">
              <w:rPr>
                <w:iCs/>
                <w:vertAlign w:val="superscript"/>
              </w:rPr>
              <w:t>1</w:t>
            </w:r>
          </w:p>
          <w:p w14:paraId="16F857C2" w14:textId="044269B5" w:rsidR="00AC2298" w:rsidRPr="0067202A" w:rsidRDefault="00AC2298" w:rsidP="00557332">
            <w:pPr>
              <w:pStyle w:val="Tabletext"/>
              <w:keepNext/>
              <w:keepLines/>
              <w:rPr>
                <w:iCs/>
                <w:highlight w:val="yellow"/>
              </w:rPr>
            </w:pPr>
            <w:r w:rsidRPr="0067202A">
              <w:rPr>
                <w:iCs/>
              </w:rPr>
              <w:t>Klug 2016: $</w:t>
            </w:r>
            <w:r w:rsidR="00546AD5" w:rsidRPr="00546AD5">
              <w:rPr>
                <w:iCs/>
                <w:color w:val="000000"/>
                <w:spacing w:val="53"/>
                <w:shd w:val="solid" w:color="000000" w:fill="000000"/>
                <w:fitText w:val="332" w:id="-1167898620"/>
                <w14:textFill>
                  <w14:solidFill>
                    <w14:srgbClr w14:val="000000">
                      <w14:alpha w14:val="100000"/>
                    </w14:srgbClr>
                  </w14:solidFill>
                </w14:textFill>
              </w:rPr>
              <w:t>|||</w:t>
            </w:r>
            <w:r w:rsidR="00546AD5" w:rsidRPr="00546AD5">
              <w:rPr>
                <w:iCs/>
                <w:color w:val="000000"/>
                <w:spacing w:val="3"/>
                <w:shd w:val="solid" w:color="000000" w:fill="000000"/>
                <w:fitText w:val="332" w:id="-1167898620"/>
                <w14:textFill>
                  <w14:solidFill>
                    <w14:srgbClr w14:val="000000">
                      <w14:alpha w14:val="100000"/>
                    </w14:srgbClr>
                  </w14:solidFill>
                </w14:textFill>
              </w:rPr>
              <w:t>|</w:t>
            </w:r>
            <w:r w:rsidR="00324EE8">
              <w:rPr>
                <w:iCs/>
                <w:vertAlign w:val="superscript"/>
              </w:rPr>
              <w:t>3</w:t>
            </w:r>
            <w:r w:rsidRPr="0067202A">
              <w:rPr>
                <w:iCs/>
              </w:rPr>
              <w:t xml:space="preserve"> (+27%)</w:t>
            </w:r>
          </w:p>
        </w:tc>
      </w:tr>
      <w:tr w:rsidR="003745D7" w:rsidRPr="00271560" w14:paraId="250ABE17" w14:textId="77777777" w:rsidTr="00A86453">
        <w:trPr>
          <w:trHeight w:val="964"/>
        </w:trPr>
        <w:tc>
          <w:tcPr>
            <w:tcW w:w="547" w:type="pct"/>
            <w:shd w:val="clear" w:color="auto" w:fill="auto"/>
            <w:vAlign w:val="center"/>
          </w:tcPr>
          <w:p w14:paraId="6684B9D2" w14:textId="1C6EF36D" w:rsidR="003745D7" w:rsidRPr="00271560" w:rsidRDefault="003745D7" w:rsidP="00557332">
            <w:pPr>
              <w:pStyle w:val="Tabletext"/>
              <w:keepNext/>
              <w:keepLines/>
            </w:pPr>
            <w:r>
              <w:t>Type IV patients</w:t>
            </w:r>
          </w:p>
        </w:tc>
        <w:tc>
          <w:tcPr>
            <w:tcW w:w="2674" w:type="pct"/>
            <w:shd w:val="clear" w:color="auto" w:fill="auto"/>
            <w:vAlign w:val="center"/>
          </w:tcPr>
          <w:p w14:paraId="0CD993F2" w14:textId="386F9A9F" w:rsidR="003745D7" w:rsidRPr="00271560" w:rsidRDefault="003745D7" w:rsidP="00557332">
            <w:pPr>
              <w:pStyle w:val="Tabletext"/>
              <w:keepNext/>
              <w:keepLines/>
            </w:pPr>
            <w:r>
              <w:t xml:space="preserve">Base case assumed no patients with 3 copies of </w:t>
            </w:r>
            <w:r w:rsidRPr="003745D7">
              <w:rPr>
                <w:i/>
                <w:iCs/>
              </w:rPr>
              <w:t xml:space="preserve">SMN2 </w:t>
            </w:r>
            <w:r>
              <w:t>will have Type IV SMA.</w:t>
            </w:r>
          </w:p>
        </w:tc>
        <w:tc>
          <w:tcPr>
            <w:tcW w:w="1779" w:type="pct"/>
            <w:shd w:val="clear" w:color="auto" w:fill="auto"/>
            <w:vAlign w:val="center"/>
          </w:tcPr>
          <w:p w14:paraId="3AB79C26" w14:textId="1A97F4B8" w:rsidR="003745D7" w:rsidRDefault="003745D7" w:rsidP="00557332">
            <w:pPr>
              <w:pStyle w:val="Tabletext"/>
              <w:keepNext/>
              <w:keepLines/>
              <w:rPr>
                <w:iCs/>
              </w:rPr>
            </w:pPr>
            <w:r>
              <w:rPr>
                <w:iCs/>
              </w:rPr>
              <w:t xml:space="preserve">Moderate, possibly high, favoured pre-symptomatic </w:t>
            </w:r>
            <w:r w:rsidR="00A86453">
              <w:rPr>
                <w:iCs/>
              </w:rPr>
              <w:t>treatment.</w:t>
            </w:r>
          </w:p>
          <w:p w14:paraId="2718990C" w14:textId="0C60E1F6" w:rsidR="003745D7" w:rsidRDefault="003745D7" w:rsidP="00557332">
            <w:pPr>
              <w:pStyle w:val="Tabletext"/>
              <w:keepNext/>
              <w:keepLines/>
              <w:rPr>
                <w:iCs/>
              </w:rPr>
            </w:pPr>
            <w:r>
              <w:rPr>
                <w:iCs/>
              </w:rPr>
              <w:t>Base case (0%) $</w:t>
            </w:r>
            <w:r w:rsidR="00546AD5" w:rsidRPr="00546AD5">
              <w:rPr>
                <w:iCs/>
                <w:color w:val="000000"/>
                <w:spacing w:val="50"/>
                <w:shd w:val="solid" w:color="000000" w:fill="000000"/>
                <w:fitText w:val="322" w:id="-1167898619"/>
                <w14:textFill>
                  <w14:solidFill>
                    <w14:srgbClr w14:val="000000">
                      <w14:alpha w14:val="100000"/>
                    </w14:srgbClr>
                  </w14:solidFill>
                </w14:textFill>
              </w:rPr>
              <w:t>|||</w:t>
            </w:r>
            <w:r w:rsidR="00546AD5" w:rsidRPr="00546AD5">
              <w:rPr>
                <w:iCs/>
                <w:color w:val="000000"/>
                <w:spacing w:val="2"/>
                <w:shd w:val="solid" w:color="000000" w:fill="000000"/>
                <w:fitText w:val="322" w:id="-1167898619"/>
                <w14:textFill>
                  <w14:solidFill>
                    <w14:srgbClr w14:val="000000">
                      <w14:alpha w14:val="100000"/>
                    </w14:srgbClr>
                  </w14:solidFill>
                </w14:textFill>
              </w:rPr>
              <w:t>|</w:t>
            </w:r>
            <w:r w:rsidR="00324EE8">
              <w:rPr>
                <w:iCs/>
                <w:vertAlign w:val="superscript"/>
              </w:rPr>
              <w:t>1</w:t>
            </w:r>
          </w:p>
          <w:p w14:paraId="120D588C" w14:textId="0CFAA283" w:rsidR="003745D7" w:rsidRPr="0067202A" w:rsidRDefault="003745D7" w:rsidP="00557332">
            <w:pPr>
              <w:pStyle w:val="Tabletext"/>
              <w:keepNext/>
              <w:keepLines/>
              <w:rPr>
                <w:iCs/>
              </w:rPr>
            </w:pPr>
            <w:r>
              <w:rPr>
                <w:iCs/>
              </w:rPr>
              <w:t>1% SMA Type IV: $</w:t>
            </w:r>
            <w:r w:rsidR="00546AD5" w:rsidRPr="00546AD5">
              <w:rPr>
                <w:iCs/>
                <w:color w:val="000000"/>
                <w:spacing w:val="54"/>
                <w:shd w:val="solid" w:color="000000" w:fill="000000"/>
                <w:fitText w:val="333" w:id="-1167898618"/>
                <w14:textFill>
                  <w14:solidFill>
                    <w14:srgbClr w14:val="000000">
                      <w14:alpha w14:val="100000"/>
                    </w14:srgbClr>
                  </w14:solidFill>
                </w14:textFill>
              </w:rPr>
              <w:t>|||</w:t>
            </w:r>
            <w:r w:rsidR="00546AD5" w:rsidRPr="00546AD5">
              <w:rPr>
                <w:iCs/>
                <w:color w:val="000000"/>
                <w:spacing w:val="1"/>
                <w:shd w:val="solid" w:color="000000" w:fill="000000"/>
                <w:fitText w:val="333" w:id="-1167898618"/>
                <w14:textFill>
                  <w14:solidFill>
                    <w14:srgbClr w14:val="000000">
                      <w14:alpha w14:val="100000"/>
                    </w14:srgbClr>
                  </w14:solidFill>
                </w14:textFill>
              </w:rPr>
              <w:t>|</w:t>
            </w:r>
            <w:r>
              <w:rPr>
                <w:iCs/>
              </w:rPr>
              <w:t xml:space="preserve"> </w:t>
            </w:r>
            <w:r w:rsidR="00324EE8">
              <w:rPr>
                <w:iCs/>
                <w:vertAlign w:val="superscript"/>
              </w:rPr>
              <w:t>1</w:t>
            </w:r>
            <w:r w:rsidR="00324EE8">
              <w:rPr>
                <w:iCs/>
              </w:rPr>
              <w:t xml:space="preserve"> </w:t>
            </w:r>
            <w:r>
              <w:rPr>
                <w:iCs/>
              </w:rPr>
              <w:t>(+12%)</w:t>
            </w:r>
          </w:p>
        </w:tc>
      </w:tr>
    </w:tbl>
    <w:p w14:paraId="0EF647E1" w14:textId="7963170D" w:rsidR="00AC2298" w:rsidRDefault="00AC2298" w:rsidP="00557332">
      <w:pPr>
        <w:pStyle w:val="TableFooter"/>
        <w:keepNext/>
        <w:keepLines/>
      </w:pPr>
      <w:r w:rsidRPr="00271560">
        <w:t>Source: Table 3.32, p162 of the resubmission; Cost utility analysis (CUA) workbook (Section 3).xlsx</w:t>
      </w:r>
    </w:p>
    <w:p w14:paraId="7E2AFEDD" w14:textId="77777777" w:rsidR="00324EE8" w:rsidRPr="009A6D58" w:rsidRDefault="00324EE8" w:rsidP="0055733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2805B92" w14:textId="4BEAF2E8" w:rsidR="00324EE8" w:rsidRPr="009A6D58" w:rsidRDefault="00324EE8" w:rsidP="00557332">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65" w:name="_Hlk145584952"/>
      <w:r w:rsidR="00557332" w:rsidRPr="00557332">
        <w:rPr>
          <w:rFonts w:ascii="Arial Narrow" w:hAnsi="Arial Narrow"/>
          <w:i/>
          <w:sz w:val="18"/>
          <w:szCs w:val="18"/>
        </w:rPr>
        <w:t>$155,000 to &lt; $255,000</w:t>
      </w:r>
      <w:r w:rsidR="00557332">
        <w:rPr>
          <w:rFonts w:ascii="Arial Narrow" w:hAnsi="Arial Narrow"/>
          <w:i/>
          <w:sz w:val="18"/>
          <w:szCs w:val="18"/>
        </w:rPr>
        <w:t xml:space="preserve"> </w:t>
      </w:r>
      <w:bookmarkEnd w:id="65"/>
      <w:r w:rsidR="00557332">
        <w:rPr>
          <w:rFonts w:ascii="Arial Narrow" w:hAnsi="Arial Narrow"/>
          <w:i/>
          <w:sz w:val="18"/>
          <w:szCs w:val="18"/>
        </w:rPr>
        <w:t>/ QALY</w:t>
      </w:r>
    </w:p>
    <w:p w14:paraId="2145D079" w14:textId="5B89F918" w:rsidR="00324EE8" w:rsidRPr="009A6D58" w:rsidRDefault="00324EE8" w:rsidP="00557332">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557332" w:rsidRPr="00557332">
        <w:rPr>
          <w:rFonts w:ascii="Arial Narrow" w:hAnsi="Arial Narrow"/>
          <w:i/>
          <w:sz w:val="18"/>
          <w:szCs w:val="18"/>
        </w:rPr>
        <w:t>$855,000 to &lt; $955,000</w:t>
      </w:r>
      <w:r w:rsidR="00557332">
        <w:rPr>
          <w:rFonts w:ascii="Arial Narrow" w:hAnsi="Arial Narrow"/>
          <w:i/>
          <w:sz w:val="18"/>
          <w:szCs w:val="18"/>
        </w:rPr>
        <w:t xml:space="preserve"> / QALY</w:t>
      </w:r>
    </w:p>
    <w:p w14:paraId="0E5B8308" w14:textId="292509AB" w:rsidR="00324EE8" w:rsidRDefault="00324EE8" w:rsidP="00557332">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557332" w:rsidRPr="00557332">
        <w:rPr>
          <w:rFonts w:ascii="Arial Narrow" w:hAnsi="Arial Narrow"/>
          <w:i/>
          <w:sz w:val="18"/>
          <w:szCs w:val="18"/>
        </w:rPr>
        <w:t>$255,000 to &lt; $355,000</w:t>
      </w:r>
      <w:r w:rsidR="00557332">
        <w:rPr>
          <w:rFonts w:ascii="Arial Narrow" w:hAnsi="Arial Narrow"/>
          <w:i/>
          <w:sz w:val="18"/>
          <w:szCs w:val="18"/>
        </w:rPr>
        <w:t xml:space="preserve"> / QALY</w:t>
      </w:r>
    </w:p>
    <w:p w14:paraId="67BE91E9" w14:textId="209CB261" w:rsidR="00324EE8" w:rsidRDefault="00324EE8" w:rsidP="00557332">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557332" w:rsidRPr="00557332">
        <w:rPr>
          <w:rFonts w:ascii="Arial Narrow" w:hAnsi="Arial Narrow"/>
          <w:i/>
          <w:sz w:val="18"/>
          <w:szCs w:val="18"/>
        </w:rPr>
        <w:t>$355,000 to &lt; $455,000</w:t>
      </w:r>
      <w:r w:rsidR="00557332">
        <w:rPr>
          <w:rFonts w:ascii="Arial Narrow" w:hAnsi="Arial Narrow"/>
          <w:i/>
          <w:sz w:val="18"/>
          <w:szCs w:val="18"/>
        </w:rPr>
        <w:t xml:space="preserve"> / QALY</w:t>
      </w:r>
    </w:p>
    <w:p w14:paraId="6A71AEDC" w14:textId="644588AB" w:rsidR="00324EE8" w:rsidRDefault="00324EE8" w:rsidP="00557332">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557332" w:rsidRPr="00557332">
        <w:rPr>
          <w:rFonts w:ascii="Arial Narrow" w:hAnsi="Arial Narrow"/>
          <w:i/>
          <w:sz w:val="18"/>
          <w:szCs w:val="18"/>
        </w:rPr>
        <w:t>$95,000 to &lt; $115,000</w:t>
      </w:r>
      <w:r w:rsidR="00557332">
        <w:rPr>
          <w:rFonts w:ascii="Arial Narrow" w:hAnsi="Arial Narrow"/>
          <w:i/>
          <w:sz w:val="18"/>
          <w:szCs w:val="18"/>
        </w:rPr>
        <w:t xml:space="preserve"> / QALY</w:t>
      </w:r>
    </w:p>
    <w:p w14:paraId="6BA4F63E" w14:textId="3C243F93" w:rsidR="00AC2298" w:rsidRPr="00271560" w:rsidRDefault="00AC2298" w:rsidP="00557332">
      <w:pPr>
        <w:pStyle w:val="3-BodyText"/>
        <w:rPr>
          <w:i/>
        </w:rPr>
      </w:pPr>
      <w:r w:rsidRPr="00271560">
        <w:t xml:space="preserve">The resubmission estimated an ICER of </w:t>
      </w:r>
      <w:r w:rsidR="00557332" w:rsidRPr="00557332">
        <w:rPr>
          <w:iCs/>
        </w:rPr>
        <w:t>$155,000 to &lt; $255,000</w:t>
      </w:r>
      <w:r w:rsidR="00557332" w:rsidRPr="00557332">
        <w:t xml:space="preserve"> </w:t>
      </w:r>
      <w:r w:rsidRPr="00271560">
        <w:t>/QALY (</w:t>
      </w:r>
      <w:r w:rsidRPr="00271560">
        <w:fldChar w:fldCharType="begin" w:fldLock="1"/>
      </w:r>
      <w:r w:rsidRPr="00271560">
        <w:instrText xml:space="preserve"> REF _Ref132561038 \h </w:instrText>
      </w:r>
      <w:r w:rsidRPr="00271560">
        <w:fldChar w:fldCharType="separate"/>
      </w:r>
      <w:r w:rsidR="000825A0" w:rsidRPr="00271560">
        <w:t xml:space="preserve">Table </w:t>
      </w:r>
      <w:r w:rsidR="000825A0">
        <w:rPr>
          <w:noProof/>
        </w:rPr>
        <w:t>14</w:t>
      </w:r>
      <w:r w:rsidRPr="00271560">
        <w:fldChar w:fldCharType="end"/>
      </w:r>
      <w:r w:rsidRPr="00271560">
        <w:t xml:space="preserve">). </w:t>
      </w:r>
    </w:p>
    <w:p w14:paraId="16C2F787" w14:textId="1CEFFFA2" w:rsidR="00AC2298" w:rsidRPr="00271560" w:rsidRDefault="00AC2298" w:rsidP="00557332">
      <w:pPr>
        <w:pStyle w:val="Caption"/>
      </w:pPr>
      <w:bookmarkStart w:id="66" w:name="_Ref132561038"/>
      <w:r w:rsidRPr="00271560">
        <w:t xml:space="preserve">Table </w:t>
      </w:r>
      <w:fldSimple w:instr=" SEQ Table \* ARABIC " w:fldLock="1">
        <w:r w:rsidR="0038407B">
          <w:rPr>
            <w:noProof/>
          </w:rPr>
          <w:t>14</w:t>
        </w:r>
      </w:fldSimple>
      <w:bookmarkEnd w:id="66"/>
      <w:r w:rsidRPr="00271560">
        <w:t xml:space="preserve">: </w:t>
      </w:r>
      <w:r w:rsidRPr="00271560">
        <w:rPr>
          <w:rStyle w:val="CommentReference"/>
          <w:b/>
          <w:szCs w:val="24"/>
        </w:rPr>
        <w:t>Results of the economic evaluation</w:t>
      </w:r>
      <w:r w:rsidRPr="00271560">
        <w:t xml:space="preserve"> (as presented in the resubmission</w:t>
      </w:r>
      <w:r w:rsidR="00565DD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Results of the economic evaluation (as presented in the resubmission)"/>
      </w:tblPr>
      <w:tblGrid>
        <w:gridCol w:w="3595"/>
        <w:gridCol w:w="1807"/>
        <w:gridCol w:w="1807"/>
        <w:gridCol w:w="1807"/>
      </w:tblGrid>
      <w:tr w:rsidR="00AC2298" w:rsidRPr="00271560" w14:paraId="3FB5443C" w14:textId="77777777" w:rsidTr="00CB2C92">
        <w:trPr>
          <w:trHeight w:val="57"/>
        </w:trPr>
        <w:tc>
          <w:tcPr>
            <w:tcW w:w="1994" w:type="pct"/>
            <w:shd w:val="clear" w:color="auto" w:fill="auto"/>
            <w:noWrap/>
            <w:hideMark/>
          </w:tcPr>
          <w:p w14:paraId="509EB821" w14:textId="77777777" w:rsidR="00AC2298" w:rsidRPr="00271560" w:rsidRDefault="00AC2298" w:rsidP="00557332">
            <w:pPr>
              <w:pStyle w:val="In-tableHeading"/>
              <w:keepLines/>
              <w:rPr>
                <w:lang w:val="en-AU"/>
              </w:rPr>
            </w:pPr>
            <w:r w:rsidRPr="00271560">
              <w:rPr>
                <w:lang w:val="en-AU"/>
              </w:rPr>
              <w:t>Model outcome</w:t>
            </w:r>
          </w:p>
        </w:tc>
        <w:tc>
          <w:tcPr>
            <w:tcW w:w="1002" w:type="pct"/>
            <w:shd w:val="clear" w:color="auto" w:fill="auto"/>
            <w:noWrap/>
            <w:vAlign w:val="center"/>
            <w:hideMark/>
          </w:tcPr>
          <w:p w14:paraId="740AABC4" w14:textId="77777777" w:rsidR="00AC2298" w:rsidRPr="00271560" w:rsidRDefault="00AC2298" w:rsidP="00557332">
            <w:pPr>
              <w:pStyle w:val="In-tableHeading"/>
              <w:keepLines/>
              <w:jc w:val="center"/>
              <w:rPr>
                <w:lang w:val="en-AU"/>
              </w:rPr>
            </w:pPr>
            <w:r w:rsidRPr="00271560">
              <w:rPr>
                <w:lang w:val="en-AU"/>
              </w:rPr>
              <w:t>Pre-symptomatic treatment</w:t>
            </w:r>
          </w:p>
        </w:tc>
        <w:tc>
          <w:tcPr>
            <w:tcW w:w="1002" w:type="pct"/>
            <w:shd w:val="clear" w:color="auto" w:fill="auto"/>
            <w:noWrap/>
            <w:vAlign w:val="center"/>
            <w:hideMark/>
          </w:tcPr>
          <w:p w14:paraId="586C7FFA" w14:textId="77777777" w:rsidR="00AC2298" w:rsidRPr="00271560" w:rsidRDefault="00AC2298" w:rsidP="00557332">
            <w:pPr>
              <w:pStyle w:val="In-tableHeading"/>
              <w:keepLines/>
              <w:jc w:val="center"/>
              <w:rPr>
                <w:lang w:val="en-AU"/>
              </w:rPr>
            </w:pPr>
            <w:r w:rsidRPr="00271560">
              <w:rPr>
                <w:lang w:val="en-AU"/>
              </w:rPr>
              <w:t>Standard of care</w:t>
            </w:r>
          </w:p>
        </w:tc>
        <w:tc>
          <w:tcPr>
            <w:tcW w:w="1002" w:type="pct"/>
            <w:shd w:val="clear" w:color="auto" w:fill="auto"/>
            <w:noWrap/>
            <w:vAlign w:val="center"/>
            <w:hideMark/>
          </w:tcPr>
          <w:p w14:paraId="55768ABC" w14:textId="77777777" w:rsidR="00AC2298" w:rsidRPr="00271560" w:rsidRDefault="00AC2298" w:rsidP="00557332">
            <w:pPr>
              <w:pStyle w:val="In-tableHeading"/>
              <w:keepLines/>
              <w:jc w:val="center"/>
              <w:rPr>
                <w:lang w:val="en-AU"/>
              </w:rPr>
            </w:pPr>
            <w:r w:rsidRPr="00271560">
              <w:rPr>
                <w:lang w:val="en-AU"/>
              </w:rPr>
              <w:t>Incremental</w:t>
            </w:r>
          </w:p>
        </w:tc>
      </w:tr>
      <w:tr w:rsidR="00AC2298" w:rsidRPr="00271560" w14:paraId="1A21D353" w14:textId="77777777" w:rsidTr="00CB2C92">
        <w:trPr>
          <w:trHeight w:val="57"/>
        </w:trPr>
        <w:tc>
          <w:tcPr>
            <w:tcW w:w="1994" w:type="pct"/>
            <w:shd w:val="clear" w:color="auto" w:fill="auto"/>
            <w:noWrap/>
            <w:hideMark/>
          </w:tcPr>
          <w:p w14:paraId="280787E4" w14:textId="77777777" w:rsidR="00AC2298" w:rsidRPr="00271560" w:rsidRDefault="00AC2298" w:rsidP="00557332">
            <w:pPr>
              <w:pStyle w:val="Tabletext"/>
              <w:keepNext/>
              <w:keepLines/>
            </w:pPr>
            <w:r w:rsidRPr="00271560">
              <w:t xml:space="preserve">Nusinersen costs </w:t>
            </w:r>
          </w:p>
        </w:tc>
        <w:tc>
          <w:tcPr>
            <w:tcW w:w="1002" w:type="pct"/>
            <w:shd w:val="clear" w:color="auto" w:fill="auto"/>
            <w:noWrap/>
          </w:tcPr>
          <w:p w14:paraId="43F5045A" w14:textId="6119A6DE" w:rsidR="00AC2298" w:rsidRPr="00271560" w:rsidRDefault="00AC2298" w:rsidP="00557332">
            <w:pPr>
              <w:pStyle w:val="Tabletext"/>
              <w:keepNext/>
              <w:keepLines/>
              <w:jc w:val="center"/>
            </w:pPr>
            <w:r w:rsidRPr="00271560">
              <w:t>$</w:t>
            </w:r>
            <w:r w:rsidR="00546AD5" w:rsidRPr="00546AD5">
              <w:rPr>
                <w:color w:val="000000"/>
                <w:shd w:val="solid" w:color="000000" w:fill="000000"/>
                <w14:textFill>
                  <w14:solidFill>
                    <w14:srgbClr w14:val="000000">
                      <w14:alpha w14:val="100000"/>
                    </w14:srgbClr>
                  </w14:solidFill>
                </w14:textFill>
              </w:rPr>
              <w:t>|</w:t>
            </w:r>
          </w:p>
        </w:tc>
        <w:tc>
          <w:tcPr>
            <w:tcW w:w="1002" w:type="pct"/>
            <w:shd w:val="clear" w:color="auto" w:fill="auto"/>
            <w:noWrap/>
          </w:tcPr>
          <w:p w14:paraId="29B4D853" w14:textId="56CC242B" w:rsidR="00AC2298" w:rsidRPr="00271560" w:rsidRDefault="00AC2298" w:rsidP="00557332">
            <w:pPr>
              <w:pStyle w:val="Tabletext"/>
              <w:keepNext/>
              <w:keepLines/>
              <w:jc w:val="center"/>
            </w:pPr>
            <w:r w:rsidRPr="00271560">
              <w:t>$</w:t>
            </w:r>
            <w:r w:rsidR="00546AD5" w:rsidRPr="00546AD5">
              <w:rPr>
                <w:color w:val="000000"/>
                <w:shd w:val="solid" w:color="000000" w:fill="000000"/>
                <w14:textFill>
                  <w14:solidFill>
                    <w14:srgbClr w14:val="000000">
                      <w14:alpha w14:val="100000"/>
                    </w14:srgbClr>
                  </w14:solidFill>
                </w14:textFill>
              </w:rPr>
              <w:t>|</w:t>
            </w:r>
          </w:p>
        </w:tc>
        <w:tc>
          <w:tcPr>
            <w:tcW w:w="1002" w:type="pct"/>
            <w:shd w:val="clear" w:color="auto" w:fill="auto"/>
            <w:noWrap/>
          </w:tcPr>
          <w:p w14:paraId="19DBA3A6" w14:textId="58FA82D3" w:rsidR="00AC2298" w:rsidRPr="00271560" w:rsidRDefault="00AC2298" w:rsidP="00557332">
            <w:pPr>
              <w:pStyle w:val="Tabletext"/>
              <w:keepNext/>
              <w:keepLines/>
              <w:jc w:val="center"/>
            </w:pPr>
            <w:r w:rsidRPr="00271560">
              <w:t>$</w:t>
            </w:r>
            <w:r w:rsidR="00546AD5" w:rsidRPr="00546AD5">
              <w:rPr>
                <w:color w:val="000000"/>
                <w:shd w:val="solid" w:color="000000" w:fill="000000"/>
                <w14:textFill>
                  <w14:solidFill>
                    <w14:srgbClr w14:val="000000">
                      <w14:alpha w14:val="100000"/>
                    </w14:srgbClr>
                  </w14:solidFill>
                </w14:textFill>
              </w:rPr>
              <w:t>|</w:t>
            </w:r>
          </w:p>
        </w:tc>
      </w:tr>
      <w:tr w:rsidR="00AC2298" w:rsidRPr="00271560" w14:paraId="39095B7F" w14:textId="77777777" w:rsidTr="00CB2C92">
        <w:trPr>
          <w:trHeight w:val="57"/>
        </w:trPr>
        <w:tc>
          <w:tcPr>
            <w:tcW w:w="1994" w:type="pct"/>
            <w:shd w:val="clear" w:color="auto" w:fill="auto"/>
            <w:noWrap/>
            <w:hideMark/>
          </w:tcPr>
          <w:p w14:paraId="1EB4DD96" w14:textId="77777777" w:rsidR="00AC2298" w:rsidRPr="00271560" w:rsidRDefault="00AC2298" w:rsidP="00557332">
            <w:pPr>
              <w:pStyle w:val="Tabletext"/>
              <w:keepNext/>
              <w:keepLines/>
            </w:pPr>
            <w:r w:rsidRPr="00271560">
              <w:t xml:space="preserve">Administration costs </w:t>
            </w:r>
          </w:p>
        </w:tc>
        <w:tc>
          <w:tcPr>
            <w:tcW w:w="1002" w:type="pct"/>
            <w:shd w:val="clear" w:color="auto" w:fill="auto"/>
            <w:noWrap/>
          </w:tcPr>
          <w:p w14:paraId="1BA59371" w14:textId="77777777" w:rsidR="00AC2298" w:rsidRPr="00557332" w:rsidRDefault="00AC2298" w:rsidP="00557332">
            <w:pPr>
              <w:pStyle w:val="Tabletext"/>
              <w:keepNext/>
              <w:keepLines/>
              <w:jc w:val="center"/>
            </w:pPr>
            <w:r w:rsidRPr="00557332">
              <w:t>$17,631</w:t>
            </w:r>
          </w:p>
        </w:tc>
        <w:tc>
          <w:tcPr>
            <w:tcW w:w="1002" w:type="pct"/>
            <w:shd w:val="clear" w:color="auto" w:fill="auto"/>
            <w:noWrap/>
          </w:tcPr>
          <w:p w14:paraId="3A16289F" w14:textId="77777777" w:rsidR="00AC2298" w:rsidRPr="00557332" w:rsidRDefault="00AC2298" w:rsidP="00557332">
            <w:pPr>
              <w:pStyle w:val="Tabletext"/>
              <w:keepNext/>
              <w:keepLines/>
              <w:jc w:val="center"/>
            </w:pPr>
            <w:r w:rsidRPr="00557332">
              <w:t>$15,319</w:t>
            </w:r>
          </w:p>
        </w:tc>
        <w:tc>
          <w:tcPr>
            <w:tcW w:w="1002" w:type="pct"/>
            <w:shd w:val="clear" w:color="auto" w:fill="auto"/>
            <w:noWrap/>
          </w:tcPr>
          <w:p w14:paraId="7F213C0B" w14:textId="77777777" w:rsidR="00AC2298" w:rsidRPr="00557332" w:rsidRDefault="00AC2298" w:rsidP="00557332">
            <w:pPr>
              <w:pStyle w:val="Tabletext"/>
              <w:keepNext/>
              <w:keepLines/>
              <w:jc w:val="center"/>
            </w:pPr>
            <w:r w:rsidRPr="00557332">
              <w:t>$2,312</w:t>
            </w:r>
          </w:p>
        </w:tc>
      </w:tr>
      <w:tr w:rsidR="00AC2298" w:rsidRPr="00271560" w14:paraId="7B98F191" w14:textId="77777777" w:rsidTr="00CB2C92">
        <w:trPr>
          <w:trHeight w:val="57"/>
        </w:trPr>
        <w:tc>
          <w:tcPr>
            <w:tcW w:w="1994" w:type="pct"/>
            <w:shd w:val="clear" w:color="auto" w:fill="auto"/>
            <w:noWrap/>
          </w:tcPr>
          <w:p w14:paraId="3707E763" w14:textId="77777777" w:rsidR="00AC2298" w:rsidRPr="00271560" w:rsidRDefault="00AC2298" w:rsidP="00557332">
            <w:pPr>
              <w:pStyle w:val="Tabletext"/>
              <w:keepNext/>
              <w:keepLines/>
            </w:pPr>
            <w:r w:rsidRPr="00271560">
              <w:t>Adverse event costs</w:t>
            </w:r>
          </w:p>
        </w:tc>
        <w:tc>
          <w:tcPr>
            <w:tcW w:w="1002" w:type="pct"/>
            <w:shd w:val="clear" w:color="auto" w:fill="auto"/>
            <w:noWrap/>
          </w:tcPr>
          <w:p w14:paraId="4544890C" w14:textId="77777777" w:rsidR="00AC2298" w:rsidRPr="00557332" w:rsidRDefault="00AC2298" w:rsidP="00557332">
            <w:pPr>
              <w:pStyle w:val="Tabletext"/>
              <w:keepNext/>
              <w:keepLines/>
              <w:jc w:val="center"/>
            </w:pPr>
            <w:r w:rsidRPr="00557332">
              <w:t>$1,504</w:t>
            </w:r>
          </w:p>
        </w:tc>
        <w:tc>
          <w:tcPr>
            <w:tcW w:w="1002" w:type="pct"/>
            <w:shd w:val="clear" w:color="auto" w:fill="auto"/>
            <w:noWrap/>
          </w:tcPr>
          <w:p w14:paraId="714A6128" w14:textId="77777777" w:rsidR="00AC2298" w:rsidRPr="00557332" w:rsidRDefault="00AC2298" w:rsidP="00557332">
            <w:pPr>
              <w:pStyle w:val="Tabletext"/>
              <w:keepNext/>
              <w:keepLines/>
              <w:jc w:val="center"/>
            </w:pPr>
            <w:r w:rsidRPr="00557332">
              <w:t>$935</w:t>
            </w:r>
          </w:p>
        </w:tc>
        <w:tc>
          <w:tcPr>
            <w:tcW w:w="1002" w:type="pct"/>
            <w:shd w:val="clear" w:color="auto" w:fill="auto"/>
            <w:noWrap/>
          </w:tcPr>
          <w:p w14:paraId="4D7E2687" w14:textId="77777777" w:rsidR="00AC2298" w:rsidRPr="00557332" w:rsidRDefault="00AC2298" w:rsidP="00557332">
            <w:pPr>
              <w:pStyle w:val="Tabletext"/>
              <w:keepNext/>
              <w:keepLines/>
              <w:jc w:val="center"/>
            </w:pPr>
            <w:r w:rsidRPr="00557332">
              <w:t>$568</w:t>
            </w:r>
          </w:p>
        </w:tc>
      </w:tr>
      <w:tr w:rsidR="00AC2298" w:rsidRPr="00271560" w14:paraId="1D03D24D" w14:textId="77777777" w:rsidTr="00CB2C92">
        <w:trPr>
          <w:trHeight w:val="57"/>
        </w:trPr>
        <w:tc>
          <w:tcPr>
            <w:tcW w:w="1994" w:type="pct"/>
            <w:tcBorders>
              <w:bottom w:val="single" w:sz="4" w:space="0" w:color="auto"/>
            </w:tcBorders>
            <w:shd w:val="clear" w:color="auto" w:fill="auto"/>
            <w:noWrap/>
          </w:tcPr>
          <w:p w14:paraId="3578306D" w14:textId="77777777" w:rsidR="00AC2298" w:rsidRPr="00271560" w:rsidRDefault="00AC2298" w:rsidP="00557332">
            <w:pPr>
              <w:pStyle w:val="Tabletext"/>
              <w:keepNext/>
              <w:keepLines/>
            </w:pPr>
            <w:r w:rsidRPr="00271560">
              <w:t>Healthcare resource costs</w:t>
            </w:r>
          </w:p>
        </w:tc>
        <w:tc>
          <w:tcPr>
            <w:tcW w:w="1002" w:type="pct"/>
            <w:tcBorders>
              <w:bottom w:val="single" w:sz="4" w:space="0" w:color="auto"/>
            </w:tcBorders>
            <w:shd w:val="clear" w:color="auto" w:fill="auto"/>
            <w:noWrap/>
          </w:tcPr>
          <w:p w14:paraId="5EE69D0A" w14:textId="77777777" w:rsidR="00AC2298" w:rsidRPr="00557332" w:rsidRDefault="00AC2298" w:rsidP="00557332">
            <w:pPr>
              <w:pStyle w:val="Tabletext"/>
              <w:keepNext/>
              <w:keepLines/>
              <w:jc w:val="center"/>
            </w:pPr>
            <w:r w:rsidRPr="00557332">
              <w:t>$117,999</w:t>
            </w:r>
          </w:p>
        </w:tc>
        <w:tc>
          <w:tcPr>
            <w:tcW w:w="1002" w:type="pct"/>
            <w:tcBorders>
              <w:bottom w:val="single" w:sz="4" w:space="0" w:color="auto"/>
            </w:tcBorders>
            <w:shd w:val="clear" w:color="auto" w:fill="auto"/>
            <w:noWrap/>
          </w:tcPr>
          <w:p w14:paraId="5023617F" w14:textId="77777777" w:rsidR="00AC2298" w:rsidRPr="00557332" w:rsidRDefault="00AC2298" w:rsidP="00557332">
            <w:pPr>
              <w:pStyle w:val="Tabletext"/>
              <w:keepNext/>
              <w:keepLines/>
              <w:jc w:val="center"/>
            </w:pPr>
            <w:r w:rsidRPr="00557332">
              <w:t>$297,413</w:t>
            </w:r>
          </w:p>
        </w:tc>
        <w:tc>
          <w:tcPr>
            <w:tcW w:w="1002" w:type="pct"/>
            <w:tcBorders>
              <w:bottom w:val="single" w:sz="4" w:space="0" w:color="auto"/>
            </w:tcBorders>
            <w:shd w:val="clear" w:color="auto" w:fill="auto"/>
            <w:noWrap/>
          </w:tcPr>
          <w:p w14:paraId="78602F4F" w14:textId="77777777" w:rsidR="00AC2298" w:rsidRPr="00557332" w:rsidRDefault="00AC2298" w:rsidP="00557332">
            <w:pPr>
              <w:pStyle w:val="Tabletext"/>
              <w:keepNext/>
              <w:keepLines/>
              <w:jc w:val="center"/>
            </w:pPr>
            <w:r w:rsidRPr="00557332">
              <w:t>-$179,414</w:t>
            </w:r>
          </w:p>
        </w:tc>
      </w:tr>
      <w:tr w:rsidR="00AC2298" w:rsidRPr="00271560" w14:paraId="25EED055" w14:textId="77777777" w:rsidTr="00CB2C92">
        <w:trPr>
          <w:trHeight w:val="57"/>
        </w:trPr>
        <w:tc>
          <w:tcPr>
            <w:tcW w:w="1994" w:type="pct"/>
            <w:tcBorders>
              <w:bottom w:val="double" w:sz="4" w:space="0" w:color="auto"/>
            </w:tcBorders>
            <w:shd w:val="clear" w:color="auto" w:fill="auto"/>
            <w:noWrap/>
          </w:tcPr>
          <w:p w14:paraId="36A79D54" w14:textId="77777777" w:rsidR="00AC2298" w:rsidRPr="00271560" w:rsidRDefault="00AC2298" w:rsidP="00557332">
            <w:pPr>
              <w:pStyle w:val="Tabletext"/>
              <w:keepNext/>
              <w:keepLines/>
              <w:rPr>
                <w:b/>
                <w:bCs/>
              </w:rPr>
            </w:pPr>
            <w:r w:rsidRPr="00271560">
              <w:rPr>
                <w:b/>
                <w:bCs/>
              </w:rPr>
              <w:t>Total costs health care perspective</w:t>
            </w:r>
          </w:p>
        </w:tc>
        <w:tc>
          <w:tcPr>
            <w:tcW w:w="1002" w:type="pct"/>
            <w:tcBorders>
              <w:bottom w:val="double" w:sz="4" w:space="0" w:color="auto"/>
            </w:tcBorders>
            <w:shd w:val="clear" w:color="auto" w:fill="auto"/>
            <w:noWrap/>
          </w:tcPr>
          <w:p w14:paraId="574B72AF" w14:textId="0BFC17F7" w:rsidR="00AC2298" w:rsidRPr="00271560" w:rsidRDefault="00AC2298" w:rsidP="00557332">
            <w:pPr>
              <w:pStyle w:val="Tabletext"/>
              <w:keepNext/>
              <w:keepLines/>
              <w:jc w:val="center"/>
              <w:rPr>
                <w:b/>
                <w:bCs/>
              </w:rPr>
            </w:pPr>
            <w:r w:rsidRPr="00271560">
              <w:rPr>
                <w:b/>
                <w:bCs/>
              </w:rPr>
              <w:t>$</w:t>
            </w:r>
            <w:r w:rsidR="00546AD5" w:rsidRPr="00546AD5">
              <w:rPr>
                <w:b/>
                <w:bCs/>
                <w:color w:val="000000"/>
                <w:shd w:val="solid" w:color="000000" w:fill="000000"/>
                <w14:textFill>
                  <w14:solidFill>
                    <w14:srgbClr w14:val="000000">
                      <w14:alpha w14:val="100000"/>
                    </w14:srgbClr>
                  </w14:solidFill>
                </w14:textFill>
              </w:rPr>
              <w:t>|</w:t>
            </w:r>
          </w:p>
        </w:tc>
        <w:tc>
          <w:tcPr>
            <w:tcW w:w="1002" w:type="pct"/>
            <w:tcBorders>
              <w:bottom w:val="double" w:sz="4" w:space="0" w:color="auto"/>
            </w:tcBorders>
            <w:shd w:val="clear" w:color="auto" w:fill="auto"/>
            <w:noWrap/>
          </w:tcPr>
          <w:p w14:paraId="047B953F" w14:textId="5EF51F79" w:rsidR="00AC2298" w:rsidRPr="00271560" w:rsidRDefault="00AC2298" w:rsidP="00557332">
            <w:pPr>
              <w:pStyle w:val="Tabletext"/>
              <w:keepNext/>
              <w:keepLines/>
              <w:jc w:val="center"/>
              <w:rPr>
                <w:b/>
                <w:bCs/>
              </w:rPr>
            </w:pPr>
            <w:r w:rsidRPr="00271560">
              <w:rPr>
                <w:b/>
                <w:bCs/>
              </w:rPr>
              <w:t>$</w:t>
            </w:r>
            <w:r w:rsidR="00546AD5" w:rsidRPr="00546AD5">
              <w:rPr>
                <w:b/>
                <w:bCs/>
                <w:color w:val="000000"/>
                <w:shd w:val="solid" w:color="000000" w:fill="000000"/>
                <w14:textFill>
                  <w14:solidFill>
                    <w14:srgbClr w14:val="000000">
                      <w14:alpha w14:val="100000"/>
                    </w14:srgbClr>
                  </w14:solidFill>
                </w14:textFill>
              </w:rPr>
              <w:t>|</w:t>
            </w:r>
          </w:p>
        </w:tc>
        <w:tc>
          <w:tcPr>
            <w:tcW w:w="1002" w:type="pct"/>
            <w:tcBorders>
              <w:bottom w:val="double" w:sz="4" w:space="0" w:color="auto"/>
            </w:tcBorders>
            <w:shd w:val="clear" w:color="auto" w:fill="auto"/>
            <w:noWrap/>
          </w:tcPr>
          <w:p w14:paraId="1419340F" w14:textId="701B1F67" w:rsidR="00AC2298" w:rsidRPr="00271560" w:rsidRDefault="00AC2298" w:rsidP="00557332">
            <w:pPr>
              <w:pStyle w:val="Tabletext"/>
              <w:keepNext/>
              <w:keepLines/>
              <w:jc w:val="center"/>
              <w:rPr>
                <w:b/>
                <w:bCs/>
              </w:rPr>
            </w:pPr>
            <w:r w:rsidRPr="00271560">
              <w:rPr>
                <w:b/>
                <w:bCs/>
              </w:rPr>
              <w:t>$</w:t>
            </w:r>
            <w:r w:rsidR="00546AD5" w:rsidRPr="00546AD5">
              <w:rPr>
                <w:b/>
                <w:bCs/>
                <w:color w:val="000000"/>
                <w:shd w:val="solid" w:color="000000" w:fill="000000"/>
                <w14:textFill>
                  <w14:solidFill>
                    <w14:srgbClr w14:val="000000">
                      <w14:alpha w14:val="100000"/>
                    </w14:srgbClr>
                  </w14:solidFill>
                </w14:textFill>
              </w:rPr>
              <w:t>|</w:t>
            </w:r>
          </w:p>
        </w:tc>
      </w:tr>
      <w:tr w:rsidR="00AC2298" w:rsidRPr="00271560" w14:paraId="403DFAA6" w14:textId="77777777" w:rsidTr="00CB2C92">
        <w:trPr>
          <w:trHeight w:val="57"/>
        </w:trPr>
        <w:tc>
          <w:tcPr>
            <w:tcW w:w="1994" w:type="pct"/>
            <w:tcBorders>
              <w:top w:val="double" w:sz="4" w:space="0" w:color="auto"/>
            </w:tcBorders>
            <w:shd w:val="clear" w:color="auto" w:fill="auto"/>
            <w:noWrap/>
            <w:hideMark/>
          </w:tcPr>
          <w:p w14:paraId="55BB1F26" w14:textId="77777777" w:rsidR="00AC2298" w:rsidRPr="00271560" w:rsidRDefault="00AC2298" w:rsidP="00557332">
            <w:pPr>
              <w:pStyle w:val="Tabletext"/>
              <w:keepNext/>
              <w:keepLines/>
            </w:pPr>
            <w:r w:rsidRPr="00271560">
              <w:t>QALYs</w:t>
            </w:r>
          </w:p>
        </w:tc>
        <w:tc>
          <w:tcPr>
            <w:tcW w:w="1002" w:type="pct"/>
            <w:tcBorders>
              <w:top w:val="double" w:sz="4" w:space="0" w:color="auto"/>
            </w:tcBorders>
            <w:shd w:val="clear" w:color="auto" w:fill="auto"/>
            <w:noWrap/>
          </w:tcPr>
          <w:p w14:paraId="06A6DF95" w14:textId="77777777" w:rsidR="00AC2298" w:rsidRPr="00271560" w:rsidRDefault="00AC2298" w:rsidP="00557332">
            <w:pPr>
              <w:pStyle w:val="Tabletext"/>
              <w:keepNext/>
              <w:keepLines/>
              <w:jc w:val="center"/>
            </w:pPr>
            <w:r w:rsidRPr="00271560">
              <w:t>10.8436</w:t>
            </w:r>
          </w:p>
        </w:tc>
        <w:tc>
          <w:tcPr>
            <w:tcW w:w="1002" w:type="pct"/>
            <w:tcBorders>
              <w:top w:val="double" w:sz="4" w:space="0" w:color="auto"/>
            </w:tcBorders>
            <w:shd w:val="clear" w:color="auto" w:fill="auto"/>
            <w:noWrap/>
          </w:tcPr>
          <w:p w14:paraId="4ADC0463" w14:textId="77777777" w:rsidR="00AC2298" w:rsidRPr="00271560" w:rsidRDefault="00AC2298" w:rsidP="00557332">
            <w:pPr>
              <w:pStyle w:val="Tabletext"/>
              <w:keepNext/>
              <w:keepLines/>
              <w:jc w:val="center"/>
            </w:pPr>
            <w:r w:rsidRPr="00271560">
              <w:t>9.4462</w:t>
            </w:r>
          </w:p>
        </w:tc>
        <w:tc>
          <w:tcPr>
            <w:tcW w:w="1002" w:type="pct"/>
            <w:tcBorders>
              <w:top w:val="double" w:sz="4" w:space="0" w:color="auto"/>
            </w:tcBorders>
            <w:shd w:val="clear" w:color="auto" w:fill="auto"/>
            <w:noWrap/>
          </w:tcPr>
          <w:p w14:paraId="75A118B6" w14:textId="77777777" w:rsidR="00AC2298" w:rsidRPr="00271560" w:rsidRDefault="00AC2298" w:rsidP="00557332">
            <w:pPr>
              <w:pStyle w:val="Tabletext"/>
              <w:keepNext/>
              <w:keepLines/>
              <w:jc w:val="center"/>
            </w:pPr>
            <w:r w:rsidRPr="00271560">
              <w:t>1.3974</w:t>
            </w:r>
          </w:p>
        </w:tc>
      </w:tr>
      <w:tr w:rsidR="00AC2298" w:rsidRPr="00271560" w14:paraId="3CEF7F3E" w14:textId="77777777" w:rsidTr="00CB2C92">
        <w:trPr>
          <w:trHeight w:val="57"/>
        </w:trPr>
        <w:tc>
          <w:tcPr>
            <w:tcW w:w="1994" w:type="pct"/>
            <w:tcBorders>
              <w:bottom w:val="single" w:sz="4" w:space="0" w:color="auto"/>
            </w:tcBorders>
            <w:shd w:val="clear" w:color="auto" w:fill="auto"/>
            <w:noWrap/>
          </w:tcPr>
          <w:p w14:paraId="24C587F3" w14:textId="77777777" w:rsidR="00AC2298" w:rsidRPr="00271560" w:rsidRDefault="00AC2298" w:rsidP="00557332">
            <w:pPr>
              <w:pStyle w:val="Tabletext"/>
              <w:keepNext/>
              <w:keepLines/>
            </w:pPr>
            <w:r w:rsidRPr="00271560">
              <w:t>Disutility of adverse events</w:t>
            </w:r>
          </w:p>
        </w:tc>
        <w:tc>
          <w:tcPr>
            <w:tcW w:w="1002" w:type="pct"/>
            <w:tcBorders>
              <w:bottom w:val="single" w:sz="4" w:space="0" w:color="auto"/>
            </w:tcBorders>
            <w:shd w:val="clear" w:color="auto" w:fill="auto"/>
            <w:noWrap/>
          </w:tcPr>
          <w:p w14:paraId="48FD405B" w14:textId="77777777" w:rsidR="00AC2298" w:rsidRPr="00271560" w:rsidRDefault="00AC2298" w:rsidP="00557332">
            <w:pPr>
              <w:pStyle w:val="Tabletext"/>
              <w:keepNext/>
              <w:keepLines/>
              <w:jc w:val="center"/>
            </w:pPr>
            <w:r w:rsidRPr="00271560">
              <w:t>-0.0298</w:t>
            </w:r>
          </w:p>
        </w:tc>
        <w:tc>
          <w:tcPr>
            <w:tcW w:w="1002" w:type="pct"/>
            <w:tcBorders>
              <w:bottom w:val="single" w:sz="4" w:space="0" w:color="auto"/>
            </w:tcBorders>
            <w:shd w:val="clear" w:color="auto" w:fill="auto"/>
            <w:noWrap/>
          </w:tcPr>
          <w:p w14:paraId="369ABD0C" w14:textId="77777777" w:rsidR="00AC2298" w:rsidRPr="00271560" w:rsidRDefault="00AC2298" w:rsidP="00557332">
            <w:pPr>
              <w:pStyle w:val="Tabletext"/>
              <w:keepNext/>
              <w:keepLines/>
              <w:jc w:val="center"/>
            </w:pPr>
            <w:r w:rsidRPr="00271560">
              <w:t>-0.0185</w:t>
            </w:r>
          </w:p>
        </w:tc>
        <w:tc>
          <w:tcPr>
            <w:tcW w:w="1002" w:type="pct"/>
            <w:tcBorders>
              <w:bottom w:val="single" w:sz="4" w:space="0" w:color="auto"/>
            </w:tcBorders>
            <w:shd w:val="clear" w:color="auto" w:fill="auto"/>
            <w:noWrap/>
          </w:tcPr>
          <w:p w14:paraId="695354F7" w14:textId="77777777" w:rsidR="00AC2298" w:rsidRPr="00271560" w:rsidRDefault="00AC2298" w:rsidP="00557332">
            <w:pPr>
              <w:pStyle w:val="Tabletext"/>
              <w:keepNext/>
              <w:keepLines/>
              <w:jc w:val="center"/>
            </w:pPr>
            <w:r w:rsidRPr="00271560">
              <w:t>-0.0113</w:t>
            </w:r>
          </w:p>
        </w:tc>
      </w:tr>
      <w:tr w:rsidR="00AC2298" w:rsidRPr="00271560" w14:paraId="740C001E" w14:textId="77777777" w:rsidTr="00CB2C92">
        <w:trPr>
          <w:trHeight w:val="57"/>
        </w:trPr>
        <w:tc>
          <w:tcPr>
            <w:tcW w:w="1994" w:type="pct"/>
            <w:tcBorders>
              <w:bottom w:val="double" w:sz="4" w:space="0" w:color="auto"/>
            </w:tcBorders>
            <w:shd w:val="clear" w:color="auto" w:fill="auto"/>
            <w:noWrap/>
          </w:tcPr>
          <w:p w14:paraId="4AF13C7F" w14:textId="77777777" w:rsidR="00AC2298" w:rsidRPr="00271560" w:rsidRDefault="00AC2298" w:rsidP="00557332">
            <w:pPr>
              <w:pStyle w:val="Tabletext"/>
              <w:keepNext/>
              <w:keepLines/>
              <w:rPr>
                <w:b/>
                <w:bCs/>
              </w:rPr>
            </w:pPr>
            <w:r w:rsidRPr="00271560">
              <w:rPr>
                <w:b/>
                <w:bCs/>
              </w:rPr>
              <w:t>Total QALYs</w:t>
            </w:r>
          </w:p>
        </w:tc>
        <w:tc>
          <w:tcPr>
            <w:tcW w:w="1002" w:type="pct"/>
            <w:tcBorders>
              <w:bottom w:val="double" w:sz="4" w:space="0" w:color="auto"/>
            </w:tcBorders>
            <w:shd w:val="clear" w:color="auto" w:fill="auto"/>
            <w:noWrap/>
          </w:tcPr>
          <w:p w14:paraId="23AABF36" w14:textId="77777777" w:rsidR="00AC2298" w:rsidRPr="00271560" w:rsidRDefault="00AC2298" w:rsidP="00557332">
            <w:pPr>
              <w:pStyle w:val="Tabletext"/>
              <w:keepNext/>
              <w:keepLines/>
              <w:jc w:val="center"/>
              <w:rPr>
                <w:b/>
                <w:bCs/>
              </w:rPr>
            </w:pPr>
            <w:r w:rsidRPr="00271560">
              <w:rPr>
                <w:b/>
                <w:bCs/>
              </w:rPr>
              <w:t>10.8138</w:t>
            </w:r>
          </w:p>
        </w:tc>
        <w:tc>
          <w:tcPr>
            <w:tcW w:w="1002" w:type="pct"/>
            <w:tcBorders>
              <w:bottom w:val="double" w:sz="4" w:space="0" w:color="auto"/>
            </w:tcBorders>
            <w:shd w:val="clear" w:color="auto" w:fill="auto"/>
            <w:noWrap/>
          </w:tcPr>
          <w:p w14:paraId="687643BF" w14:textId="77777777" w:rsidR="00AC2298" w:rsidRPr="00271560" w:rsidRDefault="00AC2298" w:rsidP="00557332">
            <w:pPr>
              <w:pStyle w:val="Tabletext"/>
              <w:keepNext/>
              <w:keepLines/>
              <w:jc w:val="center"/>
              <w:rPr>
                <w:b/>
                <w:bCs/>
              </w:rPr>
            </w:pPr>
            <w:r w:rsidRPr="00271560">
              <w:rPr>
                <w:b/>
                <w:bCs/>
              </w:rPr>
              <w:t>9.4277</w:t>
            </w:r>
          </w:p>
        </w:tc>
        <w:tc>
          <w:tcPr>
            <w:tcW w:w="1002" w:type="pct"/>
            <w:tcBorders>
              <w:bottom w:val="double" w:sz="4" w:space="0" w:color="auto"/>
            </w:tcBorders>
            <w:shd w:val="clear" w:color="auto" w:fill="auto"/>
            <w:noWrap/>
          </w:tcPr>
          <w:p w14:paraId="1C11DB05" w14:textId="77777777" w:rsidR="00AC2298" w:rsidRPr="00271560" w:rsidRDefault="00AC2298" w:rsidP="00557332">
            <w:pPr>
              <w:pStyle w:val="Tabletext"/>
              <w:keepNext/>
              <w:keepLines/>
              <w:jc w:val="center"/>
              <w:rPr>
                <w:b/>
                <w:bCs/>
              </w:rPr>
            </w:pPr>
            <w:r w:rsidRPr="00271560">
              <w:rPr>
                <w:b/>
                <w:bCs/>
              </w:rPr>
              <w:t>1.3861</w:t>
            </w:r>
          </w:p>
        </w:tc>
      </w:tr>
      <w:tr w:rsidR="00AC2298" w:rsidRPr="00271560" w14:paraId="07D9E45C" w14:textId="77777777" w:rsidTr="00CB2C92">
        <w:trPr>
          <w:trHeight w:val="57"/>
        </w:trPr>
        <w:tc>
          <w:tcPr>
            <w:tcW w:w="1994" w:type="pct"/>
            <w:tcBorders>
              <w:top w:val="double" w:sz="4" w:space="0" w:color="auto"/>
              <w:right w:val="nil"/>
            </w:tcBorders>
            <w:shd w:val="clear" w:color="auto" w:fill="auto"/>
            <w:noWrap/>
            <w:hideMark/>
          </w:tcPr>
          <w:p w14:paraId="0B6D6CAC" w14:textId="77777777" w:rsidR="00AC2298" w:rsidRPr="00271560" w:rsidRDefault="00AC2298" w:rsidP="00557332">
            <w:pPr>
              <w:pStyle w:val="Tabletext"/>
              <w:keepNext/>
              <w:keepLines/>
              <w:rPr>
                <w:b/>
                <w:bCs/>
              </w:rPr>
            </w:pPr>
            <w:r w:rsidRPr="00271560">
              <w:rPr>
                <w:b/>
                <w:bCs/>
              </w:rPr>
              <w:t>Incremental cost per QALY gained</w:t>
            </w:r>
          </w:p>
        </w:tc>
        <w:tc>
          <w:tcPr>
            <w:tcW w:w="1002" w:type="pct"/>
            <w:tcBorders>
              <w:top w:val="double" w:sz="4" w:space="0" w:color="auto"/>
              <w:left w:val="nil"/>
              <w:right w:val="nil"/>
            </w:tcBorders>
            <w:shd w:val="clear" w:color="auto" w:fill="auto"/>
            <w:noWrap/>
          </w:tcPr>
          <w:p w14:paraId="7FEEBA01" w14:textId="77777777" w:rsidR="00AC2298" w:rsidRPr="00271560" w:rsidRDefault="00AC2298" w:rsidP="00557332">
            <w:pPr>
              <w:pStyle w:val="Tabletext"/>
              <w:keepNext/>
              <w:keepLines/>
              <w:jc w:val="center"/>
              <w:rPr>
                <w:b/>
                <w:bCs/>
              </w:rPr>
            </w:pPr>
          </w:p>
        </w:tc>
        <w:tc>
          <w:tcPr>
            <w:tcW w:w="1002" w:type="pct"/>
            <w:tcBorders>
              <w:top w:val="double" w:sz="4" w:space="0" w:color="auto"/>
              <w:left w:val="nil"/>
              <w:right w:val="nil"/>
            </w:tcBorders>
            <w:shd w:val="clear" w:color="auto" w:fill="auto"/>
            <w:noWrap/>
          </w:tcPr>
          <w:p w14:paraId="0462A90F" w14:textId="77777777" w:rsidR="00AC2298" w:rsidRPr="00271560" w:rsidRDefault="00AC2298" w:rsidP="00557332">
            <w:pPr>
              <w:pStyle w:val="Tabletext"/>
              <w:keepNext/>
              <w:keepLines/>
              <w:jc w:val="center"/>
              <w:rPr>
                <w:b/>
                <w:bCs/>
              </w:rPr>
            </w:pPr>
          </w:p>
        </w:tc>
        <w:tc>
          <w:tcPr>
            <w:tcW w:w="1002" w:type="pct"/>
            <w:tcBorders>
              <w:top w:val="double" w:sz="4" w:space="0" w:color="auto"/>
              <w:left w:val="nil"/>
            </w:tcBorders>
            <w:shd w:val="clear" w:color="auto" w:fill="auto"/>
            <w:noWrap/>
          </w:tcPr>
          <w:p w14:paraId="57FC5F1E" w14:textId="74EB3FA6" w:rsidR="00AC2298" w:rsidRPr="00557332" w:rsidRDefault="00AC2298" w:rsidP="00557332">
            <w:pPr>
              <w:pStyle w:val="Tabletext"/>
              <w:keepNext/>
              <w:keepLines/>
              <w:jc w:val="center"/>
              <w:rPr>
                <w:b/>
                <w:bCs/>
                <w:vertAlign w:val="superscript"/>
              </w:rPr>
            </w:pPr>
            <w:r w:rsidRPr="00271560">
              <w:rPr>
                <w:b/>
                <w:bCs/>
              </w:rPr>
              <w:t>$</w:t>
            </w:r>
            <w:r w:rsidR="00546AD5" w:rsidRPr="00546AD5">
              <w:rPr>
                <w:b/>
                <w:bCs/>
                <w:color w:val="000000"/>
                <w:shd w:val="solid" w:color="000000" w:fill="000000"/>
                <w14:textFill>
                  <w14:solidFill>
                    <w14:srgbClr w14:val="000000">
                      <w14:alpha w14:val="100000"/>
                    </w14:srgbClr>
                  </w14:solidFill>
                </w14:textFill>
              </w:rPr>
              <w:t>|</w:t>
            </w:r>
            <w:r w:rsidR="00557332">
              <w:rPr>
                <w:b/>
                <w:bCs/>
                <w:vertAlign w:val="superscript"/>
              </w:rPr>
              <w:t>1</w:t>
            </w:r>
          </w:p>
        </w:tc>
      </w:tr>
    </w:tbl>
    <w:p w14:paraId="4D1A4476" w14:textId="77777777" w:rsidR="00AC2298" w:rsidRPr="00271560" w:rsidRDefault="00AC2298" w:rsidP="00557332">
      <w:pPr>
        <w:pStyle w:val="FooterTableFigure"/>
        <w:keepNext/>
        <w:keepLines/>
      </w:pPr>
      <w:r w:rsidRPr="00271560">
        <w:t>Source: Table 3.31, p160 of the resubmission</w:t>
      </w:r>
    </w:p>
    <w:p w14:paraId="03C12EB3" w14:textId="7E6FA720" w:rsidR="00AC2298" w:rsidRDefault="00AC2298" w:rsidP="00557332">
      <w:pPr>
        <w:pStyle w:val="FooterTableFigure"/>
        <w:keepNext/>
        <w:keepLines/>
        <w:spacing w:after="0"/>
      </w:pPr>
      <w:r w:rsidRPr="00271560">
        <w:t>QALY = quality adjusted life year</w:t>
      </w:r>
    </w:p>
    <w:p w14:paraId="35298AF4" w14:textId="77777777" w:rsidR="00557332" w:rsidRPr="009A6D58" w:rsidRDefault="00557332" w:rsidP="0055733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5C47AF3" w14:textId="77777777" w:rsidR="00557332" w:rsidRPr="009A6D58" w:rsidRDefault="00557332" w:rsidP="00A7669D">
      <w:pPr>
        <w:keepLines/>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57332">
        <w:rPr>
          <w:rFonts w:ascii="Arial Narrow" w:hAnsi="Arial Narrow"/>
          <w:i/>
          <w:sz w:val="18"/>
          <w:szCs w:val="18"/>
        </w:rPr>
        <w:t>$155,000 to &lt; $255,000</w:t>
      </w:r>
      <w:r>
        <w:rPr>
          <w:rFonts w:ascii="Arial Narrow" w:hAnsi="Arial Narrow"/>
          <w:i/>
          <w:sz w:val="18"/>
          <w:szCs w:val="18"/>
        </w:rPr>
        <w:t xml:space="preserve"> / QALY</w:t>
      </w:r>
    </w:p>
    <w:p w14:paraId="2529359D" w14:textId="595E5862" w:rsidR="00AC2298" w:rsidRPr="0067202A" w:rsidRDefault="007F1A76" w:rsidP="00AC2298">
      <w:pPr>
        <w:pStyle w:val="3-BodyText"/>
        <w:rPr>
          <w:iCs/>
        </w:rPr>
      </w:pPr>
      <w:r w:rsidRPr="0067202A">
        <w:rPr>
          <w:iCs/>
        </w:rPr>
        <w:t xml:space="preserve">As discussed in paragraph </w:t>
      </w:r>
      <w:r w:rsidRPr="0067202A">
        <w:rPr>
          <w:iCs/>
        </w:rPr>
        <w:fldChar w:fldCharType="begin" w:fldLock="1"/>
      </w:r>
      <w:r w:rsidRPr="0067202A">
        <w:rPr>
          <w:iCs/>
        </w:rPr>
        <w:instrText xml:space="preserve"> REF _Ref132657114 \r \h </w:instrText>
      </w:r>
      <w:r w:rsidR="0067202A">
        <w:rPr>
          <w:iCs/>
        </w:rPr>
        <w:instrText xml:space="preserve"> \* MERGEFORMAT </w:instrText>
      </w:r>
      <w:r w:rsidRPr="0067202A">
        <w:rPr>
          <w:iCs/>
        </w:rPr>
      </w:r>
      <w:r w:rsidRPr="0067202A">
        <w:rPr>
          <w:iCs/>
        </w:rPr>
        <w:fldChar w:fldCharType="separate"/>
      </w:r>
      <w:r w:rsidR="00EF7A55">
        <w:rPr>
          <w:iCs/>
        </w:rPr>
        <w:t>6.51</w:t>
      </w:r>
      <w:r w:rsidRPr="0067202A">
        <w:rPr>
          <w:iCs/>
        </w:rPr>
        <w:fldChar w:fldCharType="end"/>
      </w:r>
      <w:r w:rsidRPr="0067202A">
        <w:rPr>
          <w:iCs/>
        </w:rPr>
        <w:t>,</w:t>
      </w:r>
      <w:r w:rsidR="00AC2298" w:rsidRPr="0067202A">
        <w:rPr>
          <w:iCs/>
        </w:rPr>
        <w:t xml:space="preserve"> </w:t>
      </w:r>
      <w:r w:rsidRPr="0067202A">
        <w:rPr>
          <w:iCs/>
        </w:rPr>
        <w:t xml:space="preserve">the distribution of SMA type by </w:t>
      </w:r>
      <w:r w:rsidRPr="0067202A">
        <w:rPr>
          <w:i/>
        </w:rPr>
        <w:t>SMN2</w:t>
      </w:r>
      <w:r w:rsidRPr="0067202A">
        <w:rPr>
          <w:iCs/>
        </w:rPr>
        <w:t xml:space="preserve"> was </w:t>
      </w:r>
      <w:r w:rsidR="00AC2298" w:rsidRPr="0067202A">
        <w:rPr>
          <w:iCs/>
        </w:rPr>
        <w:t xml:space="preserve">updated during the evaluation </w:t>
      </w:r>
      <w:r w:rsidRPr="0067202A">
        <w:rPr>
          <w:iCs/>
        </w:rPr>
        <w:t xml:space="preserve">to include 50 patients from Sarv 2021 </w:t>
      </w:r>
      <w:r w:rsidR="00AC2298" w:rsidRPr="0067202A">
        <w:rPr>
          <w:iCs/>
        </w:rPr>
        <w:t xml:space="preserve">and a revised base case </w:t>
      </w:r>
      <w:r w:rsidRPr="0067202A">
        <w:rPr>
          <w:iCs/>
        </w:rPr>
        <w:t xml:space="preserve">was estimated </w:t>
      </w:r>
      <w:r w:rsidR="00AC2298" w:rsidRPr="0067202A">
        <w:rPr>
          <w:iCs/>
        </w:rPr>
        <w:t>(</w:t>
      </w:r>
      <w:r w:rsidR="00AC2298" w:rsidRPr="0067202A">
        <w:rPr>
          <w:iCs/>
        </w:rPr>
        <w:fldChar w:fldCharType="begin" w:fldLock="1"/>
      </w:r>
      <w:r w:rsidR="00AC2298" w:rsidRPr="0067202A">
        <w:rPr>
          <w:iCs/>
        </w:rPr>
        <w:instrText xml:space="preserve"> REF _Ref132569596 \h </w:instrText>
      </w:r>
      <w:r w:rsidR="00921ACF" w:rsidRPr="0067202A">
        <w:rPr>
          <w:iCs/>
        </w:rPr>
        <w:instrText xml:space="preserve"> \* MERGEFORMAT </w:instrText>
      </w:r>
      <w:r w:rsidR="00AC2298" w:rsidRPr="0067202A">
        <w:rPr>
          <w:iCs/>
        </w:rPr>
      </w:r>
      <w:r w:rsidR="00AC2298" w:rsidRPr="0067202A">
        <w:rPr>
          <w:iCs/>
        </w:rPr>
        <w:fldChar w:fldCharType="separate"/>
      </w:r>
      <w:r w:rsidR="000825A0" w:rsidRPr="000825A0">
        <w:rPr>
          <w:iCs/>
        </w:rPr>
        <w:t xml:space="preserve">Table </w:t>
      </w:r>
      <w:r w:rsidR="000825A0" w:rsidRPr="000825A0">
        <w:rPr>
          <w:iCs/>
          <w:noProof/>
        </w:rPr>
        <w:t>15</w:t>
      </w:r>
      <w:r w:rsidR="00AC2298" w:rsidRPr="0067202A">
        <w:rPr>
          <w:iCs/>
        </w:rPr>
        <w:fldChar w:fldCharType="end"/>
      </w:r>
      <w:r w:rsidR="00AC2298" w:rsidRPr="0067202A">
        <w:rPr>
          <w:iCs/>
        </w:rPr>
        <w:t xml:space="preserve">), with the ICER increasing by 5.8% </w:t>
      </w:r>
      <w:r w:rsidR="00921ACF" w:rsidRPr="0067202A">
        <w:rPr>
          <w:iCs/>
        </w:rPr>
        <w:t xml:space="preserve">compared to </w:t>
      </w:r>
      <w:r w:rsidR="00AC2298" w:rsidRPr="0067202A">
        <w:rPr>
          <w:iCs/>
        </w:rPr>
        <w:t>the resubmission’s base case. The increase was due to a decrease in SMA Type I (25.41% to 24.36%) and an increase in SMA Type IIIb (7.79% to 8.34%).</w:t>
      </w:r>
    </w:p>
    <w:p w14:paraId="38FA7E6F" w14:textId="382CEF25" w:rsidR="00AC2298" w:rsidRPr="00271560" w:rsidRDefault="00AC2298" w:rsidP="00AC2298">
      <w:pPr>
        <w:pStyle w:val="Caption"/>
        <w:rPr>
          <w:rStyle w:val="CommentReference"/>
          <w:b/>
          <w:szCs w:val="24"/>
        </w:rPr>
      </w:pPr>
      <w:bookmarkStart w:id="67" w:name="_Ref132569596"/>
      <w:r w:rsidRPr="00271560">
        <w:lastRenderedPageBreak/>
        <w:t xml:space="preserve">Table </w:t>
      </w:r>
      <w:fldSimple w:instr=" SEQ Table \* ARABIC " w:fldLock="1">
        <w:r w:rsidR="0038407B">
          <w:rPr>
            <w:noProof/>
          </w:rPr>
          <w:t>15</w:t>
        </w:r>
      </w:fldSimple>
      <w:bookmarkEnd w:id="67"/>
      <w:r w:rsidRPr="00271560">
        <w:t xml:space="preserve">: </w:t>
      </w:r>
      <w:r w:rsidRPr="00271560">
        <w:rPr>
          <w:rStyle w:val="CommentReference"/>
          <w:b/>
          <w:szCs w:val="24"/>
        </w:rPr>
        <w:t>Incremental cost per QALY of pre-symptomatic treatment with nusinersen versus current practice of treatment upon onset of symptoms (</w:t>
      </w:r>
      <w:r w:rsidR="0047421B">
        <w:rPr>
          <w:rStyle w:val="CommentReference"/>
          <w:b/>
          <w:szCs w:val="24"/>
        </w:rPr>
        <w:t>r</w:t>
      </w:r>
      <w:r w:rsidRPr="00271560">
        <w:rPr>
          <w:rStyle w:val="CommentReference"/>
          <w:b/>
          <w:szCs w:val="24"/>
        </w:rPr>
        <w:t>evised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Incremental cost per QALY of pre-symptomatic treatment with nusinersen versus current practice of treatment upon onset of symptoms (revised base case)"/>
      </w:tblPr>
      <w:tblGrid>
        <w:gridCol w:w="3595"/>
        <w:gridCol w:w="1807"/>
        <w:gridCol w:w="1807"/>
        <w:gridCol w:w="1807"/>
      </w:tblGrid>
      <w:tr w:rsidR="00AC2298" w:rsidRPr="00271560" w14:paraId="4D92C9A3" w14:textId="77777777" w:rsidTr="00CB2C92">
        <w:trPr>
          <w:trHeight w:val="57"/>
        </w:trPr>
        <w:tc>
          <w:tcPr>
            <w:tcW w:w="1994" w:type="pct"/>
            <w:shd w:val="clear" w:color="auto" w:fill="auto"/>
            <w:noWrap/>
            <w:hideMark/>
          </w:tcPr>
          <w:p w14:paraId="7CD13D37" w14:textId="77777777" w:rsidR="00AC2298" w:rsidRPr="00271560" w:rsidRDefault="00AC2298" w:rsidP="00CB2C92">
            <w:pPr>
              <w:pStyle w:val="In-tableHeading"/>
              <w:keepLines/>
              <w:rPr>
                <w:lang w:val="en-AU"/>
              </w:rPr>
            </w:pPr>
            <w:r w:rsidRPr="00271560">
              <w:rPr>
                <w:lang w:val="en-AU"/>
              </w:rPr>
              <w:t>Model outcome</w:t>
            </w:r>
          </w:p>
        </w:tc>
        <w:tc>
          <w:tcPr>
            <w:tcW w:w="1002" w:type="pct"/>
            <w:shd w:val="clear" w:color="auto" w:fill="auto"/>
            <w:noWrap/>
            <w:vAlign w:val="center"/>
            <w:hideMark/>
          </w:tcPr>
          <w:p w14:paraId="02265F78" w14:textId="77777777" w:rsidR="00AC2298" w:rsidRPr="00271560" w:rsidRDefault="00AC2298" w:rsidP="00CB2C92">
            <w:pPr>
              <w:pStyle w:val="In-tableHeading"/>
              <w:keepLines/>
              <w:jc w:val="center"/>
              <w:rPr>
                <w:lang w:val="en-AU"/>
              </w:rPr>
            </w:pPr>
            <w:r w:rsidRPr="00271560">
              <w:rPr>
                <w:lang w:val="en-AU"/>
              </w:rPr>
              <w:t>Pre-symptomatic treatment</w:t>
            </w:r>
          </w:p>
        </w:tc>
        <w:tc>
          <w:tcPr>
            <w:tcW w:w="1002" w:type="pct"/>
            <w:shd w:val="clear" w:color="auto" w:fill="auto"/>
            <w:noWrap/>
            <w:vAlign w:val="center"/>
            <w:hideMark/>
          </w:tcPr>
          <w:p w14:paraId="15293512" w14:textId="77777777" w:rsidR="00AC2298" w:rsidRPr="00271560" w:rsidRDefault="00AC2298" w:rsidP="00CB2C92">
            <w:pPr>
              <w:pStyle w:val="In-tableHeading"/>
              <w:keepLines/>
              <w:jc w:val="center"/>
              <w:rPr>
                <w:lang w:val="en-AU"/>
              </w:rPr>
            </w:pPr>
            <w:r w:rsidRPr="00271560">
              <w:rPr>
                <w:lang w:val="en-AU"/>
              </w:rPr>
              <w:t>Standard of care</w:t>
            </w:r>
          </w:p>
        </w:tc>
        <w:tc>
          <w:tcPr>
            <w:tcW w:w="1002" w:type="pct"/>
            <w:shd w:val="clear" w:color="auto" w:fill="auto"/>
            <w:noWrap/>
            <w:vAlign w:val="center"/>
            <w:hideMark/>
          </w:tcPr>
          <w:p w14:paraId="68E5A90A" w14:textId="77777777" w:rsidR="00AC2298" w:rsidRPr="00271560" w:rsidRDefault="00AC2298" w:rsidP="00CB2C92">
            <w:pPr>
              <w:pStyle w:val="In-tableHeading"/>
              <w:keepLines/>
              <w:jc w:val="center"/>
              <w:rPr>
                <w:lang w:val="en-AU"/>
              </w:rPr>
            </w:pPr>
            <w:r w:rsidRPr="00271560">
              <w:rPr>
                <w:lang w:val="en-AU"/>
              </w:rPr>
              <w:t>Incremental</w:t>
            </w:r>
          </w:p>
        </w:tc>
      </w:tr>
      <w:tr w:rsidR="00AC2298" w:rsidRPr="00271560" w14:paraId="44DA1815" w14:textId="77777777" w:rsidTr="00CB2C92">
        <w:trPr>
          <w:trHeight w:val="57"/>
        </w:trPr>
        <w:tc>
          <w:tcPr>
            <w:tcW w:w="1994" w:type="pct"/>
            <w:shd w:val="clear" w:color="auto" w:fill="auto"/>
            <w:noWrap/>
            <w:hideMark/>
          </w:tcPr>
          <w:p w14:paraId="134E465D" w14:textId="77777777" w:rsidR="00AC2298" w:rsidRPr="00271560" w:rsidRDefault="00AC2298" w:rsidP="00CB2C92">
            <w:pPr>
              <w:pStyle w:val="Tabletext"/>
              <w:keepNext/>
              <w:keepLines/>
            </w:pPr>
            <w:r w:rsidRPr="00271560">
              <w:t xml:space="preserve">Nusinersen costs </w:t>
            </w:r>
          </w:p>
        </w:tc>
        <w:tc>
          <w:tcPr>
            <w:tcW w:w="1002" w:type="pct"/>
            <w:shd w:val="clear" w:color="auto" w:fill="auto"/>
            <w:noWrap/>
            <w:vAlign w:val="center"/>
          </w:tcPr>
          <w:p w14:paraId="3CEE1096" w14:textId="1589E268" w:rsidR="00AC2298" w:rsidRPr="0067202A" w:rsidRDefault="00AC2298" w:rsidP="00CB2C92">
            <w:pPr>
              <w:pStyle w:val="Tabletext"/>
              <w:keepNext/>
              <w:keepLines/>
              <w:jc w:val="center"/>
            </w:pPr>
            <w:r w:rsidRPr="0067202A">
              <w:t>$</w:t>
            </w:r>
            <w:r w:rsidR="00546AD5" w:rsidRPr="00546AD5">
              <w:rPr>
                <w:color w:val="000000"/>
                <w:shd w:val="solid" w:color="000000" w:fill="000000"/>
                <w14:textFill>
                  <w14:solidFill>
                    <w14:srgbClr w14:val="000000">
                      <w14:alpha w14:val="100000"/>
                    </w14:srgbClr>
                  </w14:solidFill>
                </w14:textFill>
              </w:rPr>
              <w:t>|</w:t>
            </w:r>
          </w:p>
        </w:tc>
        <w:tc>
          <w:tcPr>
            <w:tcW w:w="1002" w:type="pct"/>
            <w:shd w:val="clear" w:color="auto" w:fill="auto"/>
            <w:noWrap/>
            <w:vAlign w:val="center"/>
          </w:tcPr>
          <w:p w14:paraId="13FF2A2E" w14:textId="56BE4681" w:rsidR="00AC2298" w:rsidRPr="0067202A" w:rsidRDefault="00AC2298" w:rsidP="00CB2C92">
            <w:pPr>
              <w:pStyle w:val="Tabletext"/>
              <w:keepNext/>
              <w:keepLines/>
              <w:jc w:val="center"/>
            </w:pPr>
            <w:r w:rsidRPr="0067202A">
              <w:t>$</w:t>
            </w:r>
            <w:r w:rsidR="00546AD5" w:rsidRPr="00546AD5">
              <w:rPr>
                <w:color w:val="000000"/>
                <w:shd w:val="solid" w:color="000000" w:fill="000000"/>
                <w14:textFill>
                  <w14:solidFill>
                    <w14:srgbClr w14:val="000000">
                      <w14:alpha w14:val="100000"/>
                    </w14:srgbClr>
                  </w14:solidFill>
                </w14:textFill>
              </w:rPr>
              <w:t>|</w:t>
            </w:r>
          </w:p>
        </w:tc>
        <w:tc>
          <w:tcPr>
            <w:tcW w:w="1002" w:type="pct"/>
            <w:shd w:val="clear" w:color="auto" w:fill="auto"/>
            <w:noWrap/>
            <w:vAlign w:val="center"/>
          </w:tcPr>
          <w:p w14:paraId="3F01D877" w14:textId="441A16EB" w:rsidR="00AC2298" w:rsidRPr="0067202A" w:rsidRDefault="00AC2298" w:rsidP="00CB2C92">
            <w:pPr>
              <w:pStyle w:val="Tabletext"/>
              <w:keepNext/>
              <w:keepLines/>
              <w:jc w:val="center"/>
            </w:pPr>
            <w:r w:rsidRPr="0067202A">
              <w:t>$</w:t>
            </w:r>
            <w:r w:rsidR="00546AD5" w:rsidRPr="00546AD5">
              <w:rPr>
                <w:color w:val="000000"/>
                <w:shd w:val="solid" w:color="000000" w:fill="000000"/>
                <w14:textFill>
                  <w14:solidFill>
                    <w14:srgbClr w14:val="000000">
                      <w14:alpha w14:val="100000"/>
                    </w14:srgbClr>
                  </w14:solidFill>
                </w14:textFill>
              </w:rPr>
              <w:t>|</w:t>
            </w:r>
          </w:p>
        </w:tc>
      </w:tr>
      <w:tr w:rsidR="00AC2298" w:rsidRPr="00271560" w14:paraId="4EA17D45" w14:textId="77777777" w:rsidTr="00CB2C92">
        <w:trPr>
          <w:trHeight w:val="57"/>
        </w:trPr>
        <w:tc>
          <w:tcPr>
            <w:tcW w:w="1994" w:type="pct"/>
            <w:shd w:val="clear" w:color="auto" w:fill="auto"/>
            <w:noWrap/>
            <w:hideMark/>
          </w:tcPr>
          <w:p w14:paraId="7DDAC913" w14:textId="77777777" w:rsidR="00AC2298" w:rsidRPr="00271560" w:rsidRDefault="00AC2298" w:rsidP="00CB2C92">
            <w:pPr>
              <w:pStyle w:val="Tabletext"/>
              <w:keepNext/>
              <w:keepLines/>
            </w:pPr>
            <w:r w:rsidRPr="00271560">
              <w:t xml:space="preserve">Administration costs </w:t>
            </w:r>
          </w:p>
        </w:tc>
        <w:tc>
          <w:tcPr>
            <w:tcW w:w="1002" w:type="pct"/>
            <w:shd w:val="clear" w:color="auto" w:fill="auto"/>
            <w:noWrap/>
            <w:vAlign w:val="center"/>
          </w:tcPr>
          <w:p w14:paraId="4D60C9E0" w14:textId="77777777" w:rsidR="00AC2298" w:rsidRPr="0067202A" w:rsidRDefault="00AC2298" w:rsidP="00CB2C92">
            <w:pPr>
              <w:pStyle w:val="Tabletext"/>
              <w:keepNext/>
              <w:keepLines/>
              <w:jc w:val="center"/>
            </w:pPr>
            <w:r w:rsidRPr="0067202A">
              <w:t>$17,631</w:t>
            </w:r>
          </w:p>
        </w:tc>
        <w:tc>
          <w:tcPr>
            <w:tcW w:w="1002" w:type="pct"/>
            <w:shd w:val="clear" w:color="auto" w:fill="auto"/>
            <w:noWrap/>
            <w:vAlign w:val="center"/>
          </w:tcPr>
          <w:p w14:paraId="152D667A" w14:textId="77777777" w:rsidR="00AC2298" w:rsidRPr="0067202A" w:rsidRDefault="00AC2298" w:rsidP="00CB2C92">
            <w:pPr>
              <w:pStyle w:val="Tabletext"/>
              <w:keepNext/>
              <w:keepLines/>
              <w:jc w:val="center"/>
            </w:pPr>
            <w:r w:rsidRPr="0067202A">
              <w:t>$15,258</w:t>
            </w:r>
          </w:p>
        </w:tc>
        <w:tc>
          <w:tcPr>
            <w:tcW w:w="1002" w:type="pct"/>
            <w:shd w:val="clear" w:color="auto" w:fill="auto"/>
            <w:noWrap/>
            <w:vAlign w:val="center"/>
          </w:tcPr>
          <w:p w14:paraId="09C11078" w14:textId="77777777" w:rsidR="00AC2298" w:rsidRPr="0067202A" w:rsidRDefault="00AC2298" w:rsidP="00CB2C92">
            <w:pPr>
              <w:pStyle w:val="Tabletext"/>
              <w:keepNext/>
              <w:keepLines/>
              <w:jc w:val="center"/>
            </w:pPr>
            <w:r w:rsidRPr="0067202A">
              <w:t>$2,373</w:t>
            </w:r>
          </w:p>
        </w:tc>
      </w:tr>
      <w:tr w:rsidR="00AC2298" w:rsidRPr="00271560" w14:paraId="68D58AE9" w14:textId="77777777" w:rsidTr="00CB2C92">
        <w:trPr>
          <w:trHeight w:val="57"/>
        </w:trPr>
        <w:tc>
          <w:tcPr>
            <w:tcW w:w="1994" w:type="pct"/>
            <w:shd w:val="clear" w:color="auto" w:fill="auto"/>
            <w:noWrap/>
          </w:tcPr>
          <w:p w14:paraId="244FAA51" w14:textId="77777777" w:rsidR="00AC2298" w:rsidRPr="00271560" w:rsidRDefault="00AC2298" w:rsidP="00CB2C92">
            <w:pPr>
              <w:pStyle w:val="Tabletext"/>
              <w:keepNext/>
              <w:keepLines/>
            </w:pPr>
            <w:r w:rsidRPr="00271560">
              <w:t>Adverse event costs</w:t>
            </w:r>
          </w:p>
        </w:tc>
        <w:tc>
          <w:tcPr>
            <w:tcW w:w="1002" w:type="pct"/>
            <w:shd w:val="clear" w:color="auto" w:fill="auto"/>
            <w:noWrap/>
            <w:vAlign w:val="center"/>
          </w:tcPr>
          <w:p w14:paraId="1F45AEA2" w14:textId="77777777" w:rsidR="00AC2298" w:rsidRPr="0067202A" w:rsidRDefault="00AC2298" w:rsidP="00CB2C92">
            <w:pPr>
              <w:pStyle w:val="Tabletext"/>
              <w:keepNext/>
              <w:keepLines/>
              <w:jc w:val="center"/>
            </w:pPr>
            <w:r w:rsidRPr="0067202A">
              <w:t>$1,504</w:t>
            </w:r>
          </w:p>
        </w:tc>
        <w:tc>
          <w:tcPr>
            <w:tcW w:w="1002" w:type="pct"/>
            <w:shd w:val="clear" w:color="auto" w:fill="auto"/>
            <w:noWrap/>
            <w:vAlign w:val="center"/>
          </w:tcPr>
          <w:p w14:paraId="4F494216" w14:textId="77777777" w:rsidR="00AC2298" w:rsidRPr="0067202A" w:rsidRDefault="00AC2298" w:rsidP="00CB2C92">
            <w:pPr>
              <w:pStyle w:val="Tabletext"/>
              <w:keepNext/>
              <w:keepLines/>
              <w:jc w:val="center"/>
            </w:pPr>
            <w:r w:rsidRPr="0067202A">
              <w:t>$928</w:t>
            </w:r>
          </w:p>
        </w:tc>
        <w:tc>
          <w:tcPr>
            <w:tcW w:w="1002" w:type="pct"/>
            <w:shd w:val="clear" w:color="auto" w:fill="auto"/>
            <w:noWrap/>
            <w:vAlign w:val="center"/>
          </w:tcPr>
          <w:p w14:paraId="48791989" w14:textId="77777777" w:rsidR="00AC2298" w:rsidRPr="0067202A" w:rsidRDefault="00AC2298" w:rsidP="00CB2C92">
            <w:pPr>
              <w:pStyle w:val="Tabletext"/>
              <w:keepNext/>
              <w:keepLines/>
              <w:jc w:val="center"/>
            </w:pPr>
            <w:r w:rsidRPr="0067202A">
              <w:t>$576</w:t>
            </w:r>
          </w:p>
        </w:tc>
      </w:tr>
      <w:tr w:rsidR="00AC2298" w:rsidRPr="00271560" w14:paraId="0C5E2713" w14:textId="77777777" w:rsidTr="00CB2C92">
        <w:trPr>
          <w:trHeight w:val="57"/>
        </w:trPr>
        <w:tc>
          <w:tcPr>
            <w:tcW w:w="1994" w:type="pct"/>
            <w:tcBorders>
              <w:bottom w:val="single" w:sz="4" w:space="0" w:color="auto"/>
            </w:tcBorders>
            <w:shd w:val="clear" w:color="auto" w:fill="auto"/>
            <w:noWrap/>
          </w:tcPr>
          <w:p w14:paraId="633F0D4B" w14:textId="77777777" w:rsidR="00AC2298" w:rsidRPr="00271560" w:rsidRDefault="00AC2298" w:rsidP="00CB2C92">
            <w:pPr>
              <w:pStyle w:val="Tabletext"/>
              <w:keepNext/>
              <w:keepLines/>
            </w:pPr>
            <w:r w:rsidRPr="00271560">
              <w:t>Healthcare resource costs</w:t>
            </w:r>
          </w:p>
        </w:tc>
        <w:tc>
          <w:tcPr>
            <w:tcW w:w="1002" w:type="pct"/>
            <w:tcBorders>
              <w:bottom w:val="single" w:sz="4" w:space="0" w:color="auto"/>
            </w:tcBorders>
            <w:shd w:val="clear" w:color="auto" w:fill="auto"/>
            <w:noWrap/>
            <w:vAlign w:val="center"/>
          </w:tcPr>
          <w:p w14:paraId="04EDF1BB" w14:textId="77777777" w:rsidR="00AC2298" w:rsidRPr="0067202A" w:rsidRDefault="00AC2298" w:rsidP="00CB2C92">
            <w:pPr>
              <w:pStyle w:val="Tabletext"/>
              <w:keepNext/>
              <w:keepLines/>
              <w:jc w:val="center"/>
            </w:pPr>
            <w:r w:rsidRPr="0067202A">
              <w:t>$117,381</w:t>
            </w:r>
          </w:p>
        </w:tc>
        <w:tc>
          <w:tcPr>
            <w:tcW w:w="1002" w:type="pct"/>
            <w:tcBorders>
              <w:bottom w:val="single" w:sz="4" w:space="0" w:color="auto"/>
            </w:tcBorders>
            <w:shd w:val="clear" w:color="auto" w:fill="auto"/>
            <w:noWrap/>
            <w:vAlign w:val="center"/>
          </w:tcPr>
          <w:p w14:paraId="375F5399" w14:textId="77777777" w:rsidR="00AC2298" w:rsidRPr="0067202A" w:rsidRDefault="00AC2298" w:rsidP="00CB2C92">
            <w:pPr>
              <w:pStyle w:val="Tabletext"/>
              <w:keepNext/>
              <w:keepLines/>
              <w:jc w:val="center"/>
            </w:pPr>
            <w:r w:rsidRPr="0067202A">
              <w:t>$296,232</w:t>
            </w:r>
          </w:p>
        </w:tc>
        <w:tc>
          <w:tcPr>
            <w:tcW w:w="1002" w:type="pct"/>
            <w:tcBorders>
              <w:bottom w:val="single" w:sz="4" w:space="0" w:color="auto"/>
            </w:tcBorders>
            <w:shd w:val="clear" w:color="auto" w:fill="auto"/>
            <w:noWrap/>
            <w:vAlign w:val="center"/>
          </w:tcPr>
          <w:p w14:paraId="5F16E50E" w14:textId="77777777" w:rsidR="00AC2298" w:rsidRPr="0067202A" w:rsidRDefault="00AC2298" w:rsidP="00CB2C92">
            <w:pPr>
              <w:pStyle w:val="Tabletext"/>
              <w:keepNext/>
              <w:keepLines/>
              <w:jc w:val="center"/>
            </w:pPr>
            <w:r w:rsidRPr="0067202A">
              <w:t>-$178,851</w:t>
            </w:r>
          </w:p>
        </w:tc>
      </w:tr>
      <w:tr w:rsidR="00AC2298" w:rsidRPr="00271560" w14:paraId="6BC23D7C" w14:textId="77777777" w:rsidTr="00CB2C92">
        <w:trPr>
          <w:trHeight w:val="57"/>
        </w:trPr>
        <w:tc>
          <w:tcPr>
            <w:tcW w:w="1994" w:type="pct"/>
            <w:tcBorders>
              <w:bottom w:val="double" w:sz="4" w:space="0" w:color="auto"/>
            </w:tcBorders>
            <w:shd w:val="clear" w:color="auto" w:fill="auto"/>
            <w:noWrap/>
          </w:tcPr>
          <w:p w14:paraId="130DC757" w14:textId="77777777" w:rsidR="00AC2298" w:rsidRPr="00271560" w:rsidRDefault="00AC2298" w:rsidP="00CB2C92">
            <w:pPr>
              <w:pStyle w:val="Tabletext"/>
              <w:keepNext/>
              <w:keepLines/>
              <w:rPr>
                <w:b/>
                <w:bCs/>
              </w:rPr>
            </w:pPr>
            <w:r w:rsidRPr="00271560">
              <w:rPr>
                <w:b/>
                <w:bCs/>
              </w:rPr>
              <w:t>Total costs health care perspective</w:t>
            </w:r>
          </w:p>
        </w:tc>
        <w:tc>
          <w:tcPr>
            <w:tcW w:w="1002" w:type="pct"/>
            <w:tcBorders>
              <w:bottom w:val="double" w:sz="4" w:space="0" w:color="auto"/>
            </w:tcBorders>
            <w:shd w:val="clear" w:color="auto" w:fill="auto"/>
            <w:noWrap/>
            <w:vAlign w:val="center"/>
          </w:tcPr>
          <w:p w14:paraId="12A51A5E" w14:textId="3D21AF9E" w:rsidR="00AC2298" w:rsidRPr="0067202A" w:rsidRDefault="00AC2298" w:rsidP="00CB2C92">
            <w:pPr>
              <w:pStyle w:val="Tabletext"/>
              <w:keepNext/>
              <w:keepLines/>
              <w:jc w:val="center"/>
              <w:rPr>
                <w:b/>
                <w:bCs/>
              </w:rPr>
            </w:pPr>
            <w:r w:rsidRPr="0067202A">
              <w:rPr>
                <w:b/>
                <w:bCs/>
              </w:rPr>
              <w:t>$</w:t>
            </w:r>
            <w:r w:rsidR="00546AD5" w:rsidRPr="00546AD5">
              <w:rPr>
                <w:b/>
                <w:bCs/>
                <w:color w:val="000000"/>
                <w:shd w:val="solid" w:color="000000" w:fill="000000"/>
                <w14:textFill>
                  <w14:solidFill>
                    <w14:srgbClr w14:val="000000">
                      <w14:alpha w14:val="100000"/>
                    </w14:srgbClr>
                  </w14:solidFill>
                </w14:textFill>
              </w:rPr>
              <w:t>|</w:t>
            </w:r>
          </w:p>
        </w:tc>
        <w:tc>
          <w:tcPr>
            <w:tcW w:w="1002" w:type="pct"/>
            <w:tcBorders>
              <w:bottom w:val="double" w:sz="4" w:space="0" w:color="auto"/>
            </w:tcBorders>
            <w:shd w:val="clear" w:color="auto" w:fill="auto"/>
            <w:noWrap/>
            <w:vAlign w:val="center"/>
          </w:tcPr>
          <w:p w14:paraId="62F13FBE" w14:textId="0EC6F4EE" w:rsidR="00AC2298" w:rsidRPr="0067202A" w:rsidRDefault="00AC2298" w:rsidP="00CB2C92">
            <w:pPr>
              <w:pStyle w:val="Tabletext"/>
              <w:keepNext/>
              <w:keepLines/>
              <w:jc w:val="center"/>
              <w:rPr>
                <w:b/>
                <w:bCs/>
              </w:rPr>
            </w:pPr>
            <w:r w:rsidRPr="0067202A">
              <w:rPr>
                <w:b/>
                <w:bCs/>
              </w:rPr>
              <w:t>$</w:t>
            </w:r>
            <w:r w:rsidR="00546AD5" w:rsidRPr="00546AD5">
              <w:rPr>
                <w:b/>
                <w:bCs/>
                <w:color w:val="000000"/>
                <w:shd w:val="solid" w:color="000000" w:fill="000000"/>
                <w14:textFill>
                  <w14:solidFill>
                    <w14:srgbClr w14:val="000000">
                      <w14:alpha w14:val="100000"/>
                    </w14:srgbClr>
                  </w14:solidFill>
                </w14:textFill>
              </w:rPr>
              <w:t>|</w:t>
            </w:r>
          </w:p>
        </w:tc>
        <w:tc>
          <w:tcPr>
            <w:tcW w:w="1002" w:type="pct"/>
            <w:tcBorders>
              <w:bottom w:val="double" w:sz="4" w:space="0" w:color="auto"/>
            </w:tcBorders>
            <w:shd w:val="clear" w:color="auto" w:fill="auto"/>
            <w:noWrap/>
            <w:vAlign w:val="center"/>
          </w:tcPr>
          <w:p w14:paraId="5C2753AF" w14:textId="5E31711D" w:rsidR="00AC2298" w:rsidRPr="0067202A" w:rsidRDefault="00AC2298" w:rsidP="00CB2C92">
            <w:pPr>
              <w:pStyle w:val="Tabletext"/>
              <w:keepNext/>
              <w:keepLines/>
              <w:jc w:val="center"/>
              <w:rPr>
                <w:b/>
                <w:bCs/>
              </w:rPr>
            </w:pPr>
            <w:r w:rsidRPr="0067202A">
              <w:rPr>
                <w:b/>
                <w:bCs/>
              </w:rPr>
              <w:t>$</w:t>
            </w:r>
            <w:r w:rsidR="00546AD5" w:rsidRPr="00546AD5">
              <w:rPr>
                <w:b/>
                <w:bCs/>
                <w:color w:val="000000"/>
                <w:shd w:val="solid" w:color="000000" w:fill="000000"/>
                <w14:textFill>
                  <w14:solidFill>
                    <w14:srgbClr w14:val="000000">
                      <w14:alpha w14:val="100000"/>
                    </w14:srgbClr>
                  </w14:solidFill>
                </w14:textFill>
              </w:rPr>
              <w:t>|</w:t>
            </w:r>
          </w:p>
        </w:tc>
      </w:tr>
      <w:tr w:rsidR="00AC2298" w:rsidRPr="00271560" w14:paraId="7CCAE880" w14:textId="77777777" w:rsidTr="00CB2C92">
        <w:trPr>
          <w:trHeight w:val="57"/>
        </w:trPr>
        <w:tc>
          <w:tcPr>
            <w:tcW w:w="1994" w:type="pct"/>
            <w:tcBorders>
              <w:top w:val="double" w:sz="4" w:space="0" w:color="auto"/>
            </w:tcBorders>
            <w:shd w:val="clear" w:color="auto" w:fill="auto"/>
            <w:noWrap/>
            <w:hideMark/>
          </w:tcPr>
          <w:p w14:paraId="15BDA0E1" w14:textId="77777777" w:rsidR="00AC2298" w:rsidRPr="00271560" w:rsidRDefault="00AC2298" w:rsidP="00CB2C92">
            <w:pPr>
              <w:pStyle w:val="Tabletext"/>
              <w:keepNext/>
              <w:keepLines/>
            </w:pPr>
            <w:r w:rsidRPr="00271560">
              <w:t>QALYs</w:t>
            </w:r>
          </w:p>
        </w:tc>
        <w:tc>
          <w:tcPr>
            <w:tcW w:w="1002" w:type="pct"/>
            <w:tcBorders>
              <w:top w:val="double" w:sz="4" w:space="0" w:color="auto"/>
            </w:tcBorders>
            <w:shd w:val="clear" w:color="auto" w:fill="auto"/>
            <w:noWrap/>
            <w:vAlign w:val="center"/>
          </w:tcPr>
          <w:p w14:paraId="26D1A1B2" w14:textId="77777777" w:rsidR="00AC2298" w:rsidRPr="0067202A" w:rsidRDefault="00AC2298" w:rsidP="00CB2C92">
            <w:pPr>
              <w:pStyle w:val="Tabletext"/>
              <w:keepNext/>
              <w:keepLines/>
              <w:jc w:val="center"/>
            </w:pPr>
            <w:r w:rsidRPr="0067202A">
              <w:t>10.8484</w:t>
            </w:r>
          </w:p>
        </w:tc>
        <w:tc>
          <w:tcPr>
            <w:tcW w:w="1002" w:type="pct"/>
            <w:tcBorders>
              <w:top w:val="double" w:sz="4" w:space="0" w:color="auto"/>
            </w:tcBorders>
            <w:shd w:val="clear" w:color="auto" w:fill="auto"/>
            <w:noWrap/>
            <w:vAlign w:val="center"/>
          </w:tcPr>
          <w:p w14:paraId="5334E7DB" w14:textId="77777777" w:rsidR="00AC2298" w:rsidRPr="0067202A" w:rsidRDefault="00AC2298" w:rsidP="00CB2C92">
            <w:pPr>
              <w:pStyle w:val="Tabletext"/>
              <w:keepNext/>
              <w:keepLines/>
              <w:jc w:val="center"/>
            </w:pPr>
            <w:r w:rsidRPr="0067202A">
              <w:t>9.4554</w:t>
            </w:r>
          </w:p>
        </w:tc>
        <w:tc>
          <w:tcPr>
            <w:tcW w:w="1002" w:type="pct"/>
            <w:tcBorders>
              <w:top w:val="double" w:sz="4" w:space="0" w:color="auto"/>
            </w:tcBorders>
            <w:shd w:val="clear" w:color="auto" w:fill="auto"/>
            <w:noWrap/>
            <w:vAlign w:val="center"/>
          </w:tcPr>
          <w:p w14:paraId="2FAF8D42" w14:textId="77777777" w:rsidR="00AC2298" w:rsidRPr="0067202A" w:rsidRDefault="00AC2298" w:rsidP="00CB2C92">
            <w:pPr>
              <w:pStyle w:val="Tabletext"/>
              <w:keepNext/>
              <w:keepLines/>
              <w:jc w:val="center"/>
            </w:pPr>
            <w:r w:rsidRPr="0067202A">
              <w:t>1.3930</w:t>
            </w:r>
          </w:p>
        </w:tc>
      </w:tr>
      <w:tr w:rsidR="00AC2298" w:rsidRPr="00271560" w14:paraId="44925591" w14:textId="77777777" w:rsidTr="00CB2C92">
        <w:trPr>
          <w:trHeight w:val="57"/>
        </w:trPr>
        <w:tc>
          <w:tcPr>
            <w:tcW w:w="1994" w:type="pct"/>
            <w:tcBorders>
              <w:bottom w:val="single" w:sz="4" w:space="0" w:color="auto"/>
            </w:tcBorders>
            <w:shd w:val="clear" w:color="auto" w:fill="auto"/>
            <w:noWrap/>
          </w:tcPr>
          <w:p w14:paraId="0F467A4D" w14:textId="77777777" w:rsidR="00AC2298" w:rsidRPr="00271560" w:rsidRDefault="00AC2298" w:rsidP="00CB2C92">
            <w:pPr>
              <w:pStyle w:val="Tabletext"/>
              <w:keepNext/>
              <w:keepLines/>
            </w:pPr>
            <w:r w:rsidRPr="00271560">
              <w:t>Disutility of adverse events</w:t>
            </w:r>
          </w:p>
        </w:tc>
        <w:tc>
          <w:tcPr>
            <w:tcW w:w="1002" w:type="pct"/>
            <w:tcBorders>
              <w:bottom w:val="single" w:sz="4" w:space="0" w:color="auto"/>
            </w:tcBorders>
            <w:shd w:val="clear" w:color="auto" w:fill="auto"/>
            <w:noWrap/>
            <w:vAlign w:val="center"/>
          </w:tcPr>
          <w:p w14:paraId="1DCEA2EF" w14:textId="77777777" w:rsidR="00AC2298" w:rsidRPr="0067202A" w:rsidRDefault="00AC2298" w:rsidP="00CB2C92">
            <w:pPr>
              <w:pStyle w:val="Tabletext"/>
              <w:keepNext/>
              <w:keepLines/>
              <w:jc w:val="center"/>
            </w:pPr>
            <w:r w:rsidRPr="0067202A">
              <w:t>-0.0298</w:t>
            </w:r>
          </w:p>
        </w:tc>
        <w:tc>
          <w:tcPr>
            <w:tcW w:w="1002" w:type="pct"/>
            <w:tcBorders>
              <w:bottom w:val="single" w:sz="4" w:space="0" w:color="auto"/>
            </w:tcBorders>
            <w:shd w:val="clear" w:color="auto" w:fill="auto"/>
            <w:noWrap/>
            <w:vAlign w:val="center"/>
          </w:tcPr>
          <w:p w14:paraId="1B4D5ED4" w14:textId="77777777" w:rsidR="00AC2298" w:rsidRPr="0067202A" w:rsidRDefault="00AC2298" w:rsidP="00CB2C92">
            <w:pPr>
              <w:pStyle w:val="Tabletext"/>
              <w:keepNext/>
              <w:keepLines/>
              <w:jc w:val="center"/>
            </w:pPr>
            <w:r w:rsidRPr="0067202A">
              <w:t>-0.0184</w:t>
            </w:r>
          </w:p>
        </w:tc>
        <w:tc>
          <w:tcPr>
            <w:tcW w:w="1002" w:type="pct"/>
            <w:tcBorders>
              <w:bottom w:val="single" w:sz="4" w:space="0" w:color="auto"/>
            </w:tcBorders>
            <w:shd w:val="clear" w:color="auto" w:fill="auto"/>
            <w:noWrap/>
            <w:vAlign w:val="center"/>
          </w:tcPr>
          <w:p w14:paraId="023BA0BE" w14:textId="77777777" w:rsidR="00AC2298" w:rsidRPr="0067202A" w:rsidRDefault="00AC2298" w:rsidP="00CB2C92">
            <w:pPr>
              <w:pStyle w:val="Tabletext"/>
              <w:keepNext/>
              <w:keepLines/>
              <w:jc w:val="center"/>
            </w:pPr>
            <w:r w:rsidRPr="0067202A">
              <w:t>-0.0114</w:t>
            </w:r>
          </w:p>
        </w:tc>
      </w:tr>
      <w:tr w:rsidR="00AC2298" w:rsidRPr="00271560" w14:paraId="74D4956E" w14:textId="77777777" w:rsidTr="00CB2C92">
        <w:trPr>
          <w:trHeight w:val="57"/>
        </w:trPr>
        <w:tc>
          <w:tcPr>
            <w:tcW w:w="1994" w:type="pct"/>
            <w:tcBorders>
              <w:bottom w:val="double" w:sz="4" w:space="0" w:color="auto"/>
            </w:tcBorders>
            <w:shd w:val="clear" w:color="auto" w:fill="auto"/>
            <w:noWrap/>
          </w:tcPr>
          <w:p w14:paraId="3CE96C87" w14:textId="77777777" w:rsidR="00AC2298" w:rsidRPr="00271560" w:rsidRDefault="00AC2298" w:rsidP="00CB2C92">
            <w:pPr>
              <w:pStyle w:val="Tabletext"/>
              <w:keepNext/>
              <w:keepLines/>
              <w:rPr>
                <w:b/>
                <w:bCs/>
              </w:rPr>
            </w:pPr>
            <w:r w:rsidRPr="00271560">
              <w:rPr>
                <w:b/>
                <w:bCs/>
              </w:rPr>
              <w:t>Total QALYs</w:t>
            </w:r>
          </w:p>
        </w:tc>
        <w:tc>
          <w:tcPr>
            <w:tcW w:w="1002" w:type="pct"/>
            <w:tcBorders>
              <w:bottom w:val="double" w:sz="4" w:space="0" w:color="auto"/>
            </w:tcBorders>
            <w:shd w:val="clear" w:color="auto" w:fill="auto"/>
            <w:noWrap/>
            <w:vAlign w:val="center"/>
          </w:tcPr>
          <w:p w14:paraId="61F54125" w14:textId="77777777" w:rsidR="00AC2298" w:rsidRPr="0067202A" w:rsidRDefault="00AC2298" w:rsidP="00CB2C92">
            <w:pPr>
              <w:pStyle w:val="Tabletext"/>
              <w:keepNext/>
              <w:keepLines/>
              <w:jc w:val="center"/>
              <w:rPr>
                <w:b/>
                <w:bCs/>
              </w:rPr>
            </w:pPr>
            <w:r w:rsidRPr="0067202A">
              <w:rPr>
                <w:b/>
                <w:bCs/>
              </w:rPr>
              <w:t>10.8186</w:t>
            </w:r>
          </w:p>
        </w:tc>
        <w:tc>
          <w:tcPr>
            <w:tcW w:w="1002" w:type="pct"/>
            <w:tcBorders>
              <w:bottom w:val="double" w:sz="4" w:space="0" w:color="auto"/>
            </w:tcBorders>
            <w:shd w:val="clear" w:color="auto" w:fill="auto"/>
            <w:noWrap/>
            <w:vAlign w:val="center"/>
          </w:tcPr>
          <w:p w14:paraId="18D11AEF" w14:textId="77777777" w:rsidR="00AC2298" w:rsidRPr="0067202A" w:rsidRDefault="00AC2298" w:rsidP="00CB2C92">
            <w:pPr>
              <w:pStyle w:val="Tabletext"/>
              <w:keepNext/>
              <w:keepLines/>
              <w:jc w:val="center"/>
              <w:rPr>
                <w:b/>
                <w:bCs/>
              </w:rPr>
            </w:pPr>
            <w:r w:rsidRPr="0067202A">
              <w:rPr>
                <w:b/>
                <w:bCs/>
              </w:rPr>
              <w:t>9.4370</w:t>
            </w:r>
          </w:p>
        </w:tc>
        <w:tc>
          <w:tcPr>
            <w:tcW w:w="1002" w:type="pct"/>
            <w:tcBorders>
              <w:bottom w:val="double" w:sz="4" w:space="0" w:color="auto"/>
            </w:tcBorders>
            <w:shd w:val="clear" w:color="auto" w:fill="auto"/>
            <w:noWrap/>
            <w:vAlign w:val="center"/>
          </w:tcPr>
          <w:p w14:paraId="29030B48" w14:textId="77777777" w:rsidR="00AC2298" w:rsidRPr="0067202A" w:rsidRDefault="00AC2298" w:rsidP="00CB2C92">
            <w:pPr>
              <w:pStyle w:val="Tabletext"/>
              <w:keepNext/>
              <w:keepLines/>
              <w:jc w:val="center"/>
              <w:rPr>
                <w:b/>
                <w:bCs/>
              </w:rPr>
            </w:pPr>
            <w:r w:rsidRPr="0067202A">
              <w:rPr>
                <w:b/>
                <w:bCs/>
              </w:rPr>
              <w:t>1.3816</w:t>
            </w:r>
          </w:p>
        </w:tc>
      </w:tr>
      <w:tr w:rsidR="00AC2298" w:rsidRPr="00271560" w14:paraId="093B2138" w14:textId="77777777" w:rsidTr="00CB2C92">
        <w:trPr>
          <w:trHeight w:val="57"/>
        </w:trPr>
        <w:tc>
          <w:tcPr>
            <w:tcW w:w="1994" w:type="pct"/>
            <w:tcBorders>
              <w:top w:val="double" w:sz="4" w:space="0" w:color="auto"/>
              <w:right w:val="nil"/>
            </w:tcBorders>
            <w:shd w:val="clear" w:color="auto" w:fill="auto"/>
            <w:noWrap/>
            <w:hideMark/>
          </w:tcPr>
          <w:p w14:paraId="1A7599B8" w14:textId="77777777" w:rsidR="00AC2298" w:rsidRPr="00271560" w:rsidRDefault="00AC2298" w:rsidP="00CB2C92">
            <w:pPr>
              <w:pStyle w:val="Tabletext"/>
              <w:keepNext/>
              <w:keepLines/>
              <w:rPr>
                <w:b/>
                <w:bCs/>
              </w:rPr>
            </w:pPr>
            <w:r w:rsidRPr="00271560">
              <w:rPr>
                <w:b/>
                <w:bCs/>
              </w:rPr>
              <w:t>Incremental cost per QALY gained</w:t>
            </w:r>
          </w:p>
        </w:tc>
        <w:tc>
          <w:tcPr>
            <w:tcW w:w="1002" w:type="pct"/>
            <w:tcBorders>
              <w:top w:val="double" w:sz="4" w:space="0" w:color="auto"/>
              <w:left w:val="nil"/>
              <w:right w:val="nil"/>
            </w:tcBorders>
            <w:shd w:val="clear" w:color="auto" w:fill="auto"/>
            <w:noWrap/>
            <w:vAlign w:val="center"/>
          </w:tcPr>
          <w:p w14:paraId="2C96EBF5" w14:textId="77777777" w:rsidR="00AC2298" w:rsidRPr="0067202A" w:rsidRDefault="00AC2298" w:rsidP="00CB2C92">
            <w:pPr>
              <w:pStyle w:val="Tabletext"/>
              <w:keepNext/>
              <w:keepLines/>
              <w:jc w:val="center"/>
              <w:rPr>
                <w:b/>
                <w:bCs/>
              </w:rPr>
            </w:pPr>
          </w:p>
        </w:tc>
        <w:tc>
          <w:tcPr>
            <w:tcW w:w="1002" w:type="pct"/>
            <w:tcBorders>
              <w:top w:val="double" w:sz="4" w:space="0" w:color="auto"/>
              <w:left w:val="nil"/>
              <w:right w:val="nil"/>
            </w:tcBorders>
            <w:shd w:val="clear" w:color="auto" w:fill="auto"/>
            <w:noWrap/>
            <w:vAlign w:val="center"/>
          </w:tcPr>
          <w:p w14:paraId="34E6CDC0" w14:textId="77777777" w:rsidR="00AC2298" w:rsidRPr="0067202A" w:rsidRDefault="00AC2298" w:rsidP="00CB2C92">
            <w:pPr>
              <w:pStyle w:val="Tabletext"/>
              <w:keepNext/>
              <w:keepLines/>
              <w:jc w:val="center"/>
              <w:rPr>
                <w:b/>
                <w:bCs/>
              </w:rPr>
            </w:pPr>
          </w:p>
        </w:tc>
        <w:tc>
          <w:tcPr>
            <w:tcW w:w="1002" w:type="pct"/>
            <w:tcBorders>
              <w:top w:val="double" w:sz="4" w:space="0" w:color="auto"/>
              <w:left w:val="nil"/>
            </w:tcBorders>
            <w:shd w:val="clear" w:color="auto" w:fill="auto"/>
            <w:noWrap/>
            <w:vAlign w:val="center"/>
          </w:tcPr>
          <w:p w14:paraId="15701DFD" w14:textId="11883FBF" w:rsidR="00AC2298" w:rsidRPr="00557332" w:rsidRDefault="00AC2298" w:rsidP="00CB2C92">
            <w:pPr>
              <w:jc w:val="center"/>
              <w:rPr>
                <w:rFonts w:ascii="Arial Narrow" w:hAnsi="Arial Narrow" w:cs="Times New Roman"/>
                <w:b/>
                <w:bCs/>
                <w:snapToGrid w:val="0"/>
                <w:sz w:val="20"/>
                <w:vertAlign w:val="superscript"/>
              </w:rPr>
            </w:pPr>
            <w:r w:rsidRPr="0067202A">
              <w:rPr>
                <w:rFonts w:ascii="Arial Narrow" w:hAnsi="Arial Narrow" w:cs="Times New Roman"/>
                <w:b/>
                <w:bCs/>
                <w:snapToGrid w:val="0"/>
                <w:sz w:val="20"/>
              </w:rPr>
              <w:t>$</w:t>
            </w:r>
            <w:r w:rsidR="00546AD5" w:rsidRPr="00546AD5">
              <w:rPr>
                <w:rFonts w:ascii="Arial Narrow" w:hAnsi="Arial Narrow" w:cs="Times New Roman"/>
                <w:b/>
                <w:bCs/>
                <w:snapToGrid w:val="0"/>
                <w:color w:val="000000"/>
                <w:sz w:val="20"/>
                <w:shd w:val="solid" w:color="000000" w:fill="000000"/>
                <w14:textFill>
                  <w14:solidFill>
                    <w14:srgbClr w14:val="000000">
                      <w14:alpha w14:val="100000"/>
                    </w14:srgbClr>
                  </w14:solidFill>
                </w14:textFill>
              </w:rPr>
              <w:t>|</w:t>
            </w:r>
            <w:r w:rsidR="00557332">
              <w:rPr>
                <w:rFonts w:ascii="Arial Narrow" w:hAnsi="Arial Narrow" w:cs="Times New Roman"/>
                <w:b/>
                <w:bCs/>
                <w:snapToGrid w:val="0"/>
                <w:sz w:val="20"/>
                <w:vertAlign w:val="superscript"/>
              </w:rPr>
              <w:t>1</w:t>
            </w:r>
          </w:p>
        </w:tc>
      </w:tr>
    </w:tbl>
    <w:p w14:paraId="3C761E90" w14:textId="77777777" w:rsidR="00AC2298" w:rsidRPr="00271560" w:rsidRDefault="00AC2298" w:rsidP="00AC2298">
      <w:pPr>
        <w:pStyle w:val="FooterTableFigure"/>
      </w:pPr>
      <w:r w:rsidRPr="00271560">
        <w:t>Source: Constructed during evaluation using Cost utility analysis (CUA) workbook (Section 3).xlsx. Details of distribution presented in Table 3.3.5, 3.3.6 and 3.3.7 of the commentary.</w:t>
      </w:r>
    </w:p>
    <w:p w14:paraId="1A7F3D27" w14:textId="7B49F6AD" w:rsidR="00AC2298" w:rsidRDefault="00AC2298" w:rsidP="00557332">
      <w:pPr>
        <w:pStyle w:val="FooterTableFigure"/>
        <w:spacing w:after="0"/>
      </w:pPr>
      <w:r w:rsidRPr="00271560">
        <w:t>QALY = quality adjusted life year</w:t>
      </w:r>
    </w:p>
    <w:p w14:paraId="6A11A185" w14:textId="77777777" w:rsidR="00557332" w:rsidRPr="009A6D58" w:rsidRDefault="00557332" w:rsidP="0055733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16E4D8C" w14:textId="77777777" w:rsidR="00557332" w:rsidRPr="009A6D58" w:rsidRDefault="00557332" w:rsidP="00A7669D">
      <w:pPr>
        <w:keepLines/>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57332">
        <w:rPr>
          <w:rFonts w:ascii="Arial Narrow" w:hAnsi="Arial Narrow"/>
          <w:i/>
          <w:sz w:val="18"/>
          <w:szCs w:val="18"/>
        </w:rPr>
        <w:t>$155,000 to &lt; $255,000</w:t>
      </w:r>
      <w:r>
        <w:rPr>
          <w:rFonts w:ascii="Arial Narrow" w:hAnsi="Arial Narrow"/>
          <w:i/>
          <w:sz w:val="18"/>
          <w:szCs w:val="18"/>
        </w:rPr>
        <w:t xml:space="preserve"> / QALY</w:t>
      </w:r>
    </w:p>
    <w:p w14:paraId="566330A4" w14:textId="09BE9D1D" w:rsidR="008859FE" w:rsidRDefault="008859FE" w:rsidP="00AC2298">
      <w:pPr>
        <w:pStyle w:val="3-BodyText"/>
      </w:pPr>
      <w:r w:rsidRPr="00271560">
        <w:t>The resubmission presented additional analyses individually investigating each SMA type (</w:t>
      </w:r>
      <w:r>
        <w:fldChar w:fldCharType="begin" w:fldLock="1"/>
      </w:r>
      <w:r>
        <w:instrText xml:space="preserve"> REF _Ref132658383 \h </w:instrText>
      </w:r>
      <w:r>
        <w:fldChar w:fldCharType="separate"/>
      </w:r>
      <w:r w:rsidR="000825A0">
        <w:t xml:space="preserve">Table </w:t>
      </w:r>
      <w:r w:rsidR="000825A0">
        <w:rPr>
          <w:noProof/>
        </w:rPr>
        <w:t>16</w:t>
      </w:r>
      <w:r>
        <w:fldChar w:fldCharType="end"/>
      </w:r>
      <w:r w:rsidRPr="00271560">
        <w:t>). The resubmission claimed that this illustrates the implicit cost-effectiveness of pre-symptomatic nusinersen versus symptomatic nusinersen as a function of expected SMA type.</w:t>
      </w:r>
    </w:p>
    <w:p w14:paraId="18F61412" w14:textId="5B2320E5" w:rsidR="008859FE" w:rsidRPr="00271560" w:rsidRDefault="008859FE" w:rsidP="008859FE">
      <w:pPr>
        <w:pStyle w:val="Caption"/>
        <w:rPr>
          <w:szCs w:val="20"/>
        </w:rPr>
      </w:pPr>
      <w:bookmarkStart w:id="68" w:name="_Ref132658383"/>
      <w:r>
        <w:t xml:space="preserve">Table </w:t>
      </w:r>
      <w:fldSimple w:instr=" SEQ Table \* ARABIC " w:fldLock="1">
        <w:r w:rsidR="0038407B">
          <w:rPr>
            <w:noProof/>
          </w:rPr>
          <w:t>16</w:t>
        </w:r>
      </w:fldSimple>
      <w:bookmarkEnd w:id="68"/>
      <w:r>
        <w:t xml:space="preserve">: Economic evaluation: </w:t>
      </w:r>
      <w:r>
        <w:rPr>
          <w:szCs w:val="20"/>
        </w:rPr>
        <w:t>T</w:t>
      </w:r>
      <w:r w:rsidRPr="00271560">
        <w:rPr>
          <w:szCs w:val="20"/>
        </w:rPr>
        <w:t>reatment benefits by SMA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16: Economic evaluation: Treatment benefits by SMA type"/>
      </w:tblPr>
      <w:tblGrid>
        <w:gridCol w:w="4288"/>
        <w:gridCol w:w="1576"/>
        <w:gridCol w:w="1576"/>
        <w:gridCol w:w="1576"/>
      </w:tblGrid>
      <w:tr w:rsidR="008859FE" w:rsidRPr="00271560" w14:paraId="087E2385" w14:textId="77777777" w:rsidTr="00CB2C92">
        <w:trPr>
          <w:cantSplit/>
          <w:trHeight w:val="227"/>
        </w:trPr>
        <w:tc>
          <w:tcPr>
            <w:tcW w:w="2378" w:type="pct"/>
            <w:tcBorders>
              <w:top w:val="single" w:sz="4" w:space="0" w:color="auto"/>
              <w:left w:val="single" w:sz="4" w:space="0" w:color="auto"/>
              <w:bottom w:val="single" w:sz="4" w:space="0" w:color="auto"/>
              <w:right w:val="single" w:sz="4" w:space="0" w:color="auto"/>
            </w:tcBorders>
            <w:shd w:val="clear" w:color="auto" w:fill="auto"/>
            <w:noWrap/>
          </w:tcPr>
          <w:p w14:paraId="336CBE79" w14:textId="77777777" w:rsidR="008859FE" w:rsidRPr="00271560" w:rsidRDefault="008859FE" w:rsidP="00CB2C92">
            <w:pPr>
              <w:pStyle w:val="In-tableHeading"/>
              <w:keepLines/>
              <w:rPr>
                <w:szCs w:val="20"/>
                <w:lang w:val="en-AU"/>
              </w:rPr>
            </w:pPr>
            <w:r w:rsidRPr="00271560">
              <w:rPr>
                <w:szCs w:val="20"/>
                <w:lang w:val="en-AU"/>
              </w:rPr>
              <w:t>Description of sensitivity analysis (base case)</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14:paraId="6DD3E9D1" w14:textId="77777777" w:rsidR="008859FE" w:rsidRPr="00271560" w:rsidRDefault="008859FE" w:rsidP="00CB2C92">
            <w:pPr>
              <w:pStyle w:val="In-tableHeading"/>
              <w:keepLines/>
              <w:jc w:val="center"/>
              <w:rPr>
                <w:szCs w:val="20"/>
                <w:lang w:val="en-AU"/>
              </w:rPr>
            </w:pPr>
            <w:r w:rsidRPr="00271560">
              <w:rPr>
                <w:szCs w:val="20"/>
                <w:lang w:val="en-AU"/>
              </w:rPr>
              <w:t>Incr. costs</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14:paraId="75BDEA2A" w14:textId="77777777" w:rsidR="008859FE" w:rsidRPr="00271560" w:rsidRDefault="008859FE" w:rsidP="00CB2C92">
            <w:pPr>
              <w:pStyle w:val="In-tableHeading"/>
              <w:keepLines/>
              <w:jc w:val="center"/>
              <w:rPr>
                <w:szCs w:val="20"/>
                <w:lang w:val="en-AU"/>
              </w:rPr>
            </w:pPr>
            <w:r w:rsidRPr="00271560">
              <w:rPr>
                <w:szCs w:val="20"/>
                <w:lang w:val="en-AU"/>
              </w:rPr>
              <w:t>Incr. QALYs</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14:paraId="11CD3530" w14:textId="77777777" w:rsidR="008859FE" w:rsidRPr="00271560" w:rsidRDefault="008859FE" w:rsidP="00CB2C92">
            <w:pPr>
              <w:pStyle w:val="In-tableHeading"/>
              <w:keepLines/>
              <w:jc w:val="center"/>
              <w:rPr>
                <w:szCs w:val="20"/>
                <w:lang w:val="en-AU"/>
              </w:rPr>
            </w:pPr>
            <w:r w:rsidRPr="00271560">
              <w:rPr>
                <w:szCs w:val="20"/>
                <w:lang w:val="en-AU"/>
              </w:rPr>
              <w:t>ICER</w:t>
            </w:r>
          </w:p>
        </w:tc>
      </w:tr>
      <w:tr w:rsidR="008859FE" w:rsidRPr="00271560" w14:paraId="004089A3" w14:textId="77777777" w:rsidTr="00CB2C92">
        <w:trPr>
          <w:cantSplit/>
          <w:trHeight w:val="227"/>
        </w:trPr>
        <w:tc>
          <w:tcPr>
            <w:tcW w:w="2378" w:type="pct"/>
            <w:tcBorders>
              <w:top w:val="single" w:sz="4" w:space="0" w:color="auto"/>
              <w:left w:val="single" w:sz="4" w:space="0" w:color="auto"/>
              <w:bottom w:val="single" w:sz="4" w:space="0" w:color="auto"/>
              <w:right w:val="single" w:sz="4" w:space="0" w:color="auto"/>
            </w:tcBorders>
            <w:shd w:val="clear" w:color="auto" w:fill="auto"/>
            <w:noWrap/>
          </w:tcPr>
          <w:p w14:paraId="6A2557D1" w14:textId="77777777" w:rsidR="008859FE" w:rsidRPr="00271560" w:rsidRDefault="008859FE" w:rsidP="00CB2C92">
            <w:pPr>
              <w:pStyle w:val="Tabletext"/>
              <w:keepNext/>
              <w:keepLines/>
              <w:rPr>
                <w:szCs w:val="20"/>
              </w:rPr>
            </w:pPr>
            <w:r w:rsidRPr="00271560">
              <w:rPr>
                <w:szCs w:val="20"/>
              </w:rPr>
              <w:t>Base case</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14:paraId="35A6D71A" w14:textId="61EFA155" w:rsidR="008859FE" w:rsidRPr="00271560" w:rsidRDefault="008859FE" w:rsidP="00CB2C92">
            <w:pPr>
              <w:pStyle w:val="Tabletext"/>
              <w:keepNext/>
              <w:keepLines/>
              <w:jc w:val="center"/>
              <w:rPr>
                <w:szCs w:val="20"/>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14:paraId="5C96C2AE" w14:textId="77777777" w:rsidR="008859FE" w:rsidRPr="00271560" w:rsidRDefault="008859FE" w:rsidP="00CB2C92">
            <w:pPr>
              <w:pStyle w:val="Tabletext"/>
              <w:keepNext/>
              <w:keepLines/>
              <w:jc w:val="center"/>
              <w:rPr>
                <w:szCs w:val="20"/>
              </w:rPr>
            </w:pPr>
            <w:r w:rsidRPr="00271560">
              <w:rPr>
                <w:szCs w:val="20"/>
              </w:rPr>
              <w:t>1.3861</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14:paraId="1EB77CEE" w14:textId="35153B8D" w:rsidR="008859FE" w:rsidRPr="00A7669D" w:rsidRDefault="008859FE" w:rsidP="00CB2C92">
            <w:pPr>
              <w:pStyle w:val="Tabletext"/>
              <w:keepNext/>
              <w:keepLines/>
              <w:jc w:val="center"/>
              <w:rPr>
                <w:szCs w:val="20"/>
                <w:vertAlign w:val="superscript"/>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r w:rsidR="00A7669D" w:rsidRPr="00A7669D">
              <w:rPr>
                <w:szCs w:val="20"/>
                <w:vertAlign w:val="superscript"/>
              </w:rPr>
              <w:t>1</w:t>
            </w:r>
          </w:p>
        </w:tc>
      </w:tr>
      <w:tr w:rsidR="008859FE" w:rsidRPr="00271560" w14:paraId="0706E211" w14:textId="77777777" w:rsidTr="00CB2C92">
        <w:trPr>
          <w:cantSplit/>
          <w:trHeight w:val="227"/>
        </w:trPr>
        <w:tc>
          <w:tcPr>
            <w:tcW w:w="5000" w:type="pct"/>
            <w:gridSpan w:val="4"/>
            <w:shd w:val="clear" w:color="auto" w:fill="auto"/>
            <w:noWrap/>
          </w:tcPr>
          <w:p w14:paraId="46ECD728" w14:textId="77777777" w:rsidR="008859FE" w:rsidRPr="00271560" w:rsidRDefault="008859FE" w:rsidP="00CB2C92">
            <w:pPr>
              <w:pStyle w:val="In-tableHeading"/>
              <w:keepLines/>
              <w:rPr>
                <w:szCs w:val="20"/>
                <w:lang w:val="en-AU"/>
              </w:rPr>
            </w:pPr>
            <w:r w:rsidRPr="00271560">
              <w:rPr>
                <w:szCs w:val="20"/>
                <w:lang w:val="en-AU"/>
              </w:rPr>
              <w:t>Results by SMA type</w:t>
            </w:r>
          </w:p>
        </w:tc>
      </w:tr>
      <w:tr w:rsidR="008859FE" w:rsidRPr="00271560" w14:paraId="27750F49" w14:textId="77777777" w:rsidTr="00CB2C92">
        <w:trPr>
          <w:cantSplit/>
          <w:trHeight w:val="227"/>
        </w:trPr>
        <w:tc>
          <w:tcPr>
            <w:tcW w:w="2378" w:type="pct"/>
            <w:shd w:val="clear" w:color="auto" w:fill="auto"/>
            <w:noWrap/>
          </w:tcPr>
          <w:p w14:paraId="2E1B6172" w14:textId="77777777" w:rsidR="008859FE" w:rsidRPr="00271560" w:rsidRDefault="008859FE" w:rsidP="00CB2C92">
            <w:pPr>
              <w:pStyle w:val="Tabletext"/>
              <w:keepNext/>
              <w:keepLines/>
              <w:rPr>
                <w:szCs w:val="20"/>
              </w:rPr>
            </w:pPr>
            <w:r w:rsidRPr="00271560">
              <w:rPr>
                <w:szCs w:val="20"/>
              </w:rPr>
              <w:t>Type I</w:t>
            </w:r>
          </w:p>
        </w:tc>
        <w:tc>
          <w:tcPr>
            <w:tcW w:w="874" w:type="pct"/>
            <w:shd w:val="clear" w:color="auto" w:fill="auto"/>
            <w:noWrap/>
          </w:tcPr>
          <w:p w14:paraId="6B761FE3" w14:textId="19331805" w:rsidR="008859FE" w:rsidRPr="00271560" w:rsidRDefault="008859FE" w:rsidP="00CB2C92">
            <w:pPr>
              <w:pStyle w:val="Tabletext"/>
              <w:keepNext/>
              <w:keepLines/>
              <w:jc w:val="center"/>
              <w:rPr>
                <w:szCs w:val="20"/>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p>
        </w:tc>
        <w:tc>
          <w:tcPr>
            <w:tcW w:w="874" w:type="pct"/>
            <w:shd w:val="clear" w:color="auto" w:fill="auto"/>
            <w:noWrap/>
          </w:tcPr>
          <w:p w14:paraId="2DB240A0" w14:textId="77777777" w:rsidR="008859FE" w:rsidRPr="00271560" w:rsidRDefault="008859FE" w:rsidP="00CB2C92">
            <w:pPr>
              <w:pStyle w:val="Tabletext"/>
              <w:keepNext/>
              <w:keepLines/>
              <w:jc w:val="center"/>
              <w:rPr>
                <w:szCs w:val="20"/>
              </w:rPr>
            </w:pPr>
            <w:r w:rsidRPr="00271560">
              <w:rPr>
                <w:szCs w:val="20"/>
              </w:rPr>
              <w:t>1.5041</w:t>
            </w:r>
          </w:p>
        </w:tc>
        <w:tc>
          <w:tcPr>
            <w:tcW w:w="874" w:type="pct"/>
            <w:shd w:val="clear" w:color="auto" w:fill="auto"/>
            <w:noWrap/>
          </w:tcPr>
          <w:p w14:paraId="2A660907" w14:textId="77777777" w:rsidR="008859FE" w:rsidRPr="00271560" w:rsidRDefault="008859FE" w:rsidP="00CB2C92">
            <w:pPr>
              <w:pStyle w:val="Tabletext"/>
              <w:keepNext/>
              <w:keepLines/>
              <w:jc w:val="center"/>
              <w:rPr>
                <w:szCs w:val="20"/>
              </w:rPr>
            </w:pPr>
            <w:r w:rsidRPr="00271560">
              <w:rPr>
                <w:szCs w:val="20"/>
              </w:rPr>
              <w:t>DOMINANT</w:t>
            </w:r>
          </w:p>
        </w:tc>
      </w:tr>
      <w:tr w:rsidR="008859FE" w:rsidRPr="00271560" w14:paraId="418114D1" w14:textId="77777777" w:rsidTr="00CB2C92">
        <w:trPr>
          <w:cantSplit/>
          <w:trHeight w:val="227"/>
        </w:trPr>
        <w:tc>
          <w:tcPr>
            <w:tcW w:w="2378" w:type="pct"/>
            <w:shd w:val="clear" w:color="auto" w:fill="auto"/>
            <w:noWrap/>
          </w:tcPr>
          <w:p w14:paraId="50D830C5" w14:textId="77777777" w:rsidR="008859FE" w:rsidRPr="00271560" w:rsidRDefault="008859FE" w:rsidP="00CB2C92">
            <w:pPr>
              <w:pStyle w:val="Tabletext"/>
              <w:keepNext/>
              <w:keepLines/>
              <w:rPr>
                <w:szCs w:val="20"/>
              </w:rPr>
            </w:pPr>
            <w:r w:rsidRPr="00271560">
              <w:rPr>
                <w:szCs w:val="20"/>
              </w:rPr>
              <w:t>Type II</w:t>
            </w:r>
          </w:p>
        </w:tc>
        <w:tc>
          <w:tcPr>
            <w:tcW w:w="874" w:type="pct"/>
            <w:shd w:val="clear" w:color="auto" w:fill="auto"/>
            <w:noWrap/>
          </w:tcPr>
          <w:p w14:paraId="10D3D9D3" w14:textId="4D971F96" w:rsidR="008859FE" w:rsidRPr="00271560" w:rsidRDefault="008859FE" w:rsidP="00CB2C92">
            <w:pPr>
              <w:pStyle w:val="Tabletext"/>
              <w:keepNext/>
              <w:keepLines/>
              <w:jc w:val="center"/>
              <w:rPr>
                <w:szCs w:val="20"/>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p>
        </w:tc>
        <w:tc>
          <w:tcPr>
            <w:tcW w:w="874" w:type="pct"/>
            <w:shd w:val="clear" w:color="auto" w:fill="auto"/>
            <w:noWrap/>
          </w:tcPr>
          <w:p w14:paraId="2A58287A" w14:textId="77777777" w:rsidR="008859FE" w:rsidRPr="00271560" w:rsidRDefault="008859FE" w:rsidP="00CB2C92">
            <w:pPr>
              <w:pStyle w:val="Tabletext"/>
              <w:keepNext/>
              <w:keepLines/>
              <w:jc w:val="center"/>
              <w:rPr>
                <w:szCs w:val="20"/>
              </w:rPr>
            </w:pPr>
            <w:r w:rsidRPr="00271560">
              <w:rPr>
                <w:szCs w:val="20"/>
              </w:rPr>
              <w:t>1.4597</w:t>
            </w:r>
          </w:p>
        </w:tc>
        <w:tc>
          <w:tcPr>
            <w:tcW w:w="874" w:type="pct"/>
            <w:shd w:val="clear" w:color="auto" w:fill="auto"/>
            <w:noWrap/>
          </w:tcPr>
          <w:p w14:paraId="1315AC56" w14:textId="5E12C01E" w:rsidR="008859FE" w:rsidRPr="00A7669D" w:rsidRDefault="008859FE" w:rsidP="00CB2C92">
            <w:pPr>
              <w:pStyle w:val="Tabletext"/>
              <w:keepNext/>
              <w:keepLines/>
              <w:jc w:val="center"/>
              <w:rPr>
                <w:szCs w:val="20"/>
                <w:vertAlign w:val="superscript"/>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r w:rsidR="00A7669D">
              <w:rPr>
                <w:szCs w:val="20"/>
                <w:vertAlign w:val="superscript"/>
              </w:rPr>
              <w:t>2</w:t>
            </w:r>
          </w:p>
        </w:tc>
      </w:tr>
      <w:tr w:rsidR="008859FE" w:rsidRPr="00271560" w14:paraId="27D8BABB" w14:textId="77777777" w:rsidTr="00CB2C92">
        <w:trPr>
          <w:cantSplit/>
          <w:trHeight w:val="227"/>
        </w:trPr>
        <w:tc>
          <w:tcPr>
            <w:tcW w:w="2378" w:type="pct"/>
            <w:shd w:val="clear" w:color="auto" w:fill="auto"/>
            <w:noWrap/>
          </w:tcPr>
          <w:p w14:paraId="10086AE6" w14:textId="77777777" w:rsidR="008859FE" w:rsidRPr="00271560" w:rsidRDefault="008859FE" w:rsidP="00CB2C92">
            <w:pPr>
              <w:pStyle w:val="Tabletext"/>
              <w:keepNext/>
              <w:keepLines/>
              <w:rPr>
                <w:szCs w:val="20"/>
              </w:rPr>
            </w:pPr>
            <w:r w:rsidRPr="00271560">
              <w:rPr>
                <w:szCs w:val="20"/>
              </w:rPr>
              <w:t>Type IIIa</w:t>
            </w:r>
          </w:p>
        </w:tc>
        <w:tc>
          <w:tcPr>
            <w:tcW w:w="874" w:type="pct"/>
            <w:shd w:val="clear" w:color="auto" w:fill="auto"/>
            <w:noWrap/>
          </w:tcPr>
          <w:p w14:paraId="2DF9AC48" w14:textId="32C01D7F" w:rsidR="008859FE" w:rsidRPr="00271560" w:rsidRDefault="008859FE" w:rsidP="00CB2C92">
            <w:pPr>
              <w:pStyle w:val="Tabletext"/>
              <w:keepNext/>
              <w:keepLines/>
              <w:jc w:val="center"/>
              <w:rPr>
                <w:szCs w:val="20"/>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p>
        </w:tc>
        <w:tc>
          <w:tcPr>
            <w:tcW w:w="874" w:type="pct"/>
            <w:shd w:val="clear" w:color="auto" w:fill="auto"/>
            <w:noWrap/>
          </w:tcPr>
          <w:p w14:paraId="5E531EDF" w14:textId="77777777" w:rsidR="008859FE" w:rsidRPr="00271560" w:rsidRDefault="008859FE" w:rsidP="00CB2C92">
            <w:pPr>
              <w:pStyle w:val="Tabletext"/>
              <w:keepNext/>
              <w:keepLines/>
              <w:jc w:val="center"/>
              <w:rPr>
                <w:szCs w:val="20"/>
              </w:rPr>
            </w:pPr>
            <w:r w:rsidRPr="00271560">
              <w:rPr>
                <w:szCs w:val="20"/>
              </w:rPr>
              <w:t>1.3373</w:t>
            </w:r>
          </w:p>
        </w:tc>
        <w:tc>
          <w:tcPr>
            <w:tcW w:w="874" w:type="pct"/>
            <w:shd w:val="clear" w:color="auto" w:fill="auto"/>
            <w:noWrap/>
          </w:tcPr>
          <w:p w14:paraId="35D42D40" w14:textId="0E0AC8BD" w:rsidR="008859FE" w:rsidRPr="00A7669D" w:rsidRDefault="008859FE" w:rsidP="00CB2C92">
            <w:pPr>
              <w:pStyle w:val="Tabletext"/>
              <w:keepNext/>
              <w:keepLines/>
              <w:jc w:val="center"/>
              <w:rPr>
                <w:szCs w:val="20"/>
                <w:vertAlign w:val="superscript"/>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r w:rsidR="00A7669D">
              <w:rPr>
                <w:szCs w:val="20"/>
                <w:vertAlign w:val="superscript"/>
              </w:rPr>
              <w:t>3</w:t>
            </w:r>
          </w:p>
        </w:tc>
      </w:tr>
      <w:tr w:rsidR="008859FE" w:rsidRPr="00271560" w14:paraId="2E365CA1" w14:textId="77777777" w:rsidTr="00CB2C92">
        <w:trPr>
          <w:cantSplit/>
          <w:trHeight w:val="227"/>
        </w:trPr>
        <w:tc>
          <w:tcPr>
            <w:tcW w:w="2378" w:type="pct"/>
            <w:shd w:val="clear" w:color="auto" w:fill="auto"/>
            <w:noWrap/>
          </w:tcPr>
          <w:p w14:paraId="4080608A" w14:textId="77777777" w:rsidR="008859FE" w:rsidRPr="00271560" w:rsidRDefault="008859FE" w:rsidP="00CB2C92">
            <w:pPr>
              <w:pStyle w:val="Tabletext"/>
              <w:keepNext/>
              <w:keepLines/>
              <w:rPr>
                <w:szCs w:val="20"/>
              </w:rPr>
            </w:pPr>
            <w:r w:rsidRPr="00271560">
              <w:rPr>
                <w:szCs w:val="20"/>
              </w:rPr>
              <w:t>Type IIIb</w:t>
            </w:r>
          </w:p>
        </w:tc>
        <w:tc>
          <w:tcPr>
            <w:tcW w:w="874" w:type="pct"/>
            <w:shd w:val="clear" w:color="auto" w:fill="auto"/>
            <w:noWrap/>
          </w:tcPr>
          <w:p w14:paraId="18046859" w14:textId="1736CE16" w:rsidR="008859FE" w:rsidRPr="00271560" w:rsidRDefault="008859FE" w:rsidP="00CB2C92">
            <w:pPr>
              <w:pStyle w:val="Tabletext"/>
              <w:keepNext/>
              <w:keepLines/>
              <w:jc w:val="center"/>
              <w:rPr>
                <w:szCs w:val="20"/>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p>
        </w:tc>
        <w:tc>
          <w:tcPr>
            <w:tcW w:w="874" w:type="pct"/>
            <w:shd w:val="clear" w:color="auto" w:fill="auto"/>
            <w:noWrap/>
          </w:tcPr>
          <w:p w14:paraId="7C23EC7B" w14:textId="77777777" w:rsidR="008859FE" w:rsidRPr="00271560" w:rsidRDefault="008859FE" w:rsidP="00CB2C92">
            <w:pPr>
              <w:pStyle w:val="Tabletext"/>
              <w:keepNext/>
              <w:keepLines/>
              <w:jc w:val="center"/>
              <w:rPr>
                <w:szCs w:val="20"/>
              </w:rPr>
            </w:pPr>
            <w:r w:rsidRPr="00271560">
              <w:rPr>
                <w:szCs w:val="20"/>
              </w:rPr>
              <w:t>0.7225</w:t>
            </w:r>
          </w:p>
        </w:tc>
        <w:tc>
          <w:tcPr>
            <w:tcW w:w="874" w:type="pct"/>
            <w:shd w:val="clear" w:color="auto" w:fill="auto"/>
            <w:noWrap/>
          </w:tcPr>
          <w:p w14:paraId="093415D6" w14:textId="0FDD058D" w:rsidR="008859FE" w:rsidRPr="00A7669D" w:rsidRDefault="008859FE" w:rsidP="00CB2C92">
            <w:pPr>
              <w:pStyle w:val="Tabletext"/>
              <w:keepNext/>
              <w:keepLines/>
              <w:jc w:val="center"/>
              <w:rPr>
                <w:szCs w:val="20"/>
                <w:vertAlign w:val="superscript"/>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r w:rsidR="00A7669D">
              <w:rPr>
                <w:szCs w:val="20"/>
                <w:vertAlign w:val="superscript"/>
              </w:rPr>
              <w:t>4</w:t>
            </w:r>
          </w:p>
        </w:tc>
      </w:tr>
      <w:tr w:rsidR="008859FE" w:rsidRPr="00271560" w14:paraId="05FEB842" w14:textId="77777777" w:rsidTr="00CB2C92">
        <w:trPr>
          <w:cantSplit/>
          <w:trHeight w:val="227"/>
        </w:trPr>
        <w:tc>
          <w:tcPr>
            <w:tcW w:w="2378" w:type="pct"/>
            <w:shd w:val="clear" w:color="auto" w:fill="auto"/>
            <w:noWrap/>
          </w:tcPr>
          <w:p w14:paraId="768C5491" w14:textId="77777777" w:rsidR="008859FE" w:rsidRPr="00271560" w:rsidRDefault="008859FE" w:rsidP="00CB2C92">
            <w:pPr>
              <w:pStyle w:val="Tabletext"/>
              <w:keepNext/>
              <w:keepLines/>
              <w:rPr>
                <w:szCs w:val="20"/>
              </w:rPr>
            </w:pPr>
            <w:r w:rsidRPr="00271560">
              <w:rPr>
                <w:szCs w:val="20"/>
              </w:rPr>
              <w:t>Type IV</w:t>
            </w:r>
          </w:p>
        </w:tc>
        <w:tc>
          <w:tcPr>
            <w:tcW w:w="874" w:type="pct"/>
            <w:shd w:val="clear" w:color="auto" w:fill="auto"/>
            <w:noWrap/>
          </w:tcPr>
          <w:p w14:paraId="009534D8" w14:textId="2CA9CA42" w:rsidR="008859FE" w:rsidRPr="00271560" w:rsidRDefault="008859FE" w:rsidP="00CB2C92">
            <w:pPr>
              <w:pStyle w:val="Tabletext"/>
              <w:keepNext/>
              <w:keepLines/>
              <w:jc w:val="center"/>
              <w:rPr>
                <w:szCs w:val="20"/>
              </w:rPr>
            </w:pPr>
            <w:r w:rsidRPr="00271560">
              <w:rPr>
                <w:szCs w:val="20"/>
              </w:rPr>
              <w:t>$</w:t>
            </w:r>
            <w:r w:rsidR="00546AD5" w:rsidRPr="00546AD5">
              <w:rPr>
                <w:color w:val="000000"/>
                <w:szCs w:val="20"/>
                <w:shd w:val="solid" w:color="000000" w:fill="000000"/>
                <w14:textFill>
                  <w14:solidFill>
                    <w14:srgbClr w14:val="000000">
                      <w14:alpha w14:val="100000"/>
                    </w14:srgbClr>
                  </w14:solidFill>
                </w14:textFill>
              </w:rPr>
              <w:t>|</w:t>
            </w:r>
          </w:p>
        </w:tc>
        <w:tc>
          <w:tcPr>
            <w:tcW w:w="874" w:type="pct"/>
            <w:shd w:val="clear" w:color="auto" w:fill="auto"/>
            <w:noWrap/>
          </w:tcPr>
          <w:p w14:paraId="7718E0D0" w14:textId="77777777" w:rsidR="008859FE" w:rsidRPr="00271560" w:rsidRDefault="008859FE" w:rsidP="00CB2C92">
            <w:pPr>
              <w:pStyle w:val="Tabletext"/>
              <w:keepNext/>
              <w:keepLines/>
              <w:jc w:val="center"/>
              <w:rPr>
                <w:szCs w:val="20"/>
              </w:rPr>
            </w:pPr>
            <w:r w:rsidRPr="00271560">
              <w:rPr>
                <w:szCs w:val="20"/>
              </w:rPr>
              <w:t>-0.0298</w:t>
            </w:r>
          </w:p>
        </w:tc>
        <w:tc>
          <w:tcPr>
            <w:tcW w:w="874" w:type="pct"/>
            <w:shd w:val="clear" w:color="auto" w:fill="auto"/>
            <w:noWrap/>
          </w:tcPr>
          <w:p w14:paraId="10757B0F" w14:textId="77777777" w:rsidR="008859FE" w:rsidRPr="00271560" w:rsidRDefault="008859FE" w:rsidP="00CB2C92">
            <w:pPr>
              <w:pStyle w:val="Tabletext"/>
              <w:keepNext/>
              <w:keepLines/>
              <w:jc w:val="center"/>
              <w:rPr>
                <w:szCs w:val="20"/>
              </w:rPr>
            </w:pPr>
            <w:r w:rsidRPr="00271560">
              <w:rPr>
                <w:szCs w:val="20"/>
              </w:rPr>
              <w:t>DOMINATED</w:t>
            </w:r>
          </w:p>
        </w:tc>
      </w:tr>
    </w:tbl>
    <w:p w14:paraId="17EF6C3C" w14:textId="77777777" w:rsidR="008859FE" w:rsidRPr="00271560" w:rsidRDefault="008859FE" w:rsidP="008859FE">
      <w:pPr>
        <w:pStyle w:val="TableFooter"/>
        <w:keepNext/>
        <w:keepLines/>
        <w:rPr>
          <w:szCs w:val="18"/>
        </w:rPr>
      </w:pPr>
      <w:r w:rsidRPr="00271560">
        <w:rPr>
          <w:szCs w:val="18"/>
        </w:rPr>
        <w:t>Source: Table 3.33, p163 of the resubmission</w:t>
      </w:r>
    </w:p>
    <w:p w14:paraId="5717EC5F" w14:textId="078BAFE4" w:rsidR="008859FE" w:rsidRDefault="008859FE" w:rsidP="00A7669D">
      <w:pPr>
        <w:pStyle w:val="TableFooter"/>
        <w:keepNext/>
        <w:keepLines/>
        <w:rPr>
          <w:szCs w:val="18"/>
        </w:rPr>
      </w:pPr>
      <w:r w:rsidRPr="00271560">
        <w:rPr>
          <w:szCs w:val="18"/>
        </w:rPr>
        <w:t>ICER = incremental cost effectiveness ratio; Incr. = incremental; QALY = quality adjusted life year; SMA = spinal muscular atrophy</w:t>
      </w:r>
    </w:p>
    <w:p w14:paraId="51866C81" w14:textId="77777777" w:rsidR="00A7669D" w:rsidRPr="009A6D58" w:rsidRDefault="00A7669D" w:rsidP="00A7669D">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CFD80F5" w14:textId="77777777" w:rsidR="00A7669D" w:rsidRPr="009A6D58" w:rsidRDefault="00A7669D" w:rsidP="00A7669D">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57332">
        <w:rPr>
          <w:rFonts w:ascii="Arial Narrow" w:hAnsi="Arial Narrow"/>
          <w:i/>
          <w:sz w:val="18"/>
          <w:szCs w:val="18"/>
        </w:rPr>
        <w:t>$155,000 to &lt; $255,000</w:t>
      </w:r>
      <w:r>
        <w:rPr>
          <w:rFonts w:ascii="Arial Narrow" w:hAnsi="Arial Narrow"/>
          <w:i/>
          <w:sz w:val="18"/>
          <w:szCs w:val="18"/>
        </w:rPr>
        <w:t xml:space="preserve"> / QALY</w:t>
      </w:r>
    </w:p>
    <w:p w14:paraId="144906A8" w14:textId="54EEB7A0" w:rsidR="00A7669D" w:rsidRPr="009A6D58" w:rsidRDefault="00A7669D" w:rsidP="00A7669D">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7669D">
        <w:rPr>
          <w:rFonts w:ascii="Arial Narrow" w:hAnsi="Arial Narrow"/>
          <w:i/>
          <w:sz w:val="18"/>
          <w:szCs w:val="18"/>
        </w:rPr>
        <w:t>$45,000 to &lt; $55,000</w:t>
      </w:r>
      <w:r>
        <w:rPr>
          <w:rFonts w:ascii="Arial Narrow" w:hAnsi="Arial Narrow"/>
          <w:i/>
          <w:sz w:val="18"/>
          <w:szCs w:val="18"/>
        </w:rPr>
        <w:t xml:space="preserve"> / QALY</w:t>
      </w:r>
    </w:p>
    <w:p w14:paraId="509111BA" w14:textId="77777777" w:rsidR="00A7669D" w:rsidRDefault="00A7669D" w:rsidP="00A7669D">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57332">
        <w:rPr>
          <w:rFonts w:ascii="Arial Narrow" w:hAnsi="Arial Narrow"/>
          <w:i/>
          <w:sz w:val="18"/>
          <w:szCs w:val="18"/>
        </w:rPr>
        <w:t>$255,000 to &lt; $355,000</w:t>
      </w:r>
      <w:r>
        <w:rPr>
          <w:rFonts w:ascii="Arial Narrow" w:hAnsi="Arial Narrow"/>
          <w:i/>
          <w:sz w:val="18"/>
          <w:szCs w:val="18"/>
        </w:rPr>
        <w:t xml:space="preserve"> / QALY</w:t>
      </w:r>
    </w:p>
    <w:p w14:paraId="6861FD56" w14:textId="64EB6BCC" w:rsidR="00A7669D" w:rsidRDefault="00A7669D" w:rsidP="00A7669D">
      <w:pPr>
        <w:keepLines/>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7669D">
        <w:rPr>
          <w:rFonts w:ascii="Arial Narrow" w:hAnsi="Arial Narrow"/>
          <w:i/>
          <w:sz w:val="18"/>
          <w:szCs w:val="18"/>
        </w:rPr>
        <w:t>&gt; $1,055,000</w:t>
      </w:r>
      <w:r>
        <w:rPr>
          <w:rFonts w:ascii="Arial Narrow" w:hAnsi="Arial Narrow"/>
          <w:i/>
          <w:sz w:val="18"/>
          <w:szCs w:val="18"/>
        </w:rPr>
        <w:t xml:space="preserve"> / QALY</w:t>
      </w:r>
    </w:p>
    <w:p w14:paraId="1E59B58C" w14:textId="454CC941" w:rsidR="00AC2298" w:rsidRPr="00271560" w:rsidRDefault="00AC2298" w:rsidP="00AC2298">
      <w:pPr>
        <w:pStyle w:val="3-BodyText"/>
      </w:pPr>
      <w:r w:rsidRPr="00271560">
        <w:t xml:space="preserve">The results of key univariate sensitivity analyses presented by the resubmission and conducted during the evaluation, are summarised in </w:t>
      </w:r>
      <w:r w:rsidRPr="00271560">
        <w:fldChar w:fldCharType="begin" w:fldLock="1"/>
      </w:r>
      <w:r w:rsidRPr="00271560">
        <w:instrText xml:space="preserve"> REF _Ref132570230 \h </w:instrText>
      </w:r>
      <w:r w:rsidRPr="00271560">
        <w:fldChar w:fldCharType="separate"/>
      </w:r>
      <w:r w:rsidR="000825A0" w:rsidRPr="00271560">
        <w:t xml:space="preserve">Table </w:t>
      </w:r>
      <w:r w:rsidR="000825A0">
        <w:rPr>
          <w:noProof/>
        </w:rPr>
        <w:t>17</w:t>
      </w:r>
      <w:r w:rsidRPr="00271560">
        <w:fldChar w:fldCharType="end"/>
      </w:r>
      <w:r w:rsidRPr="00271560">
        <w:t>.</w:t>
      </w:r>
    </w:p>
    <w:p w14:paraId="72966E0F" w14:textId="2404B30E" w:rsidR="00AC2298" w:rsidRPr="00271560" w:rsidRDefault="00AC2298" w:rsidP="00353F8F">
      <w:pPr>
        <w:pStyle w:val="Caption"/>
      </w:pPr>
      <w:bookmarkStart w:id="69" w:name="_Ref132570230"/>
      <w:r w:rsidRPr="00271560">
        <w:lastRenderedPageBreak/>
        <w:t xml:space="preserve">Table </w:t>
      </w:r>
      <w:fldSimple w:instr=" SEQ Table \* ARABIC " w:fldLock="1">
        <w:r w:rsidR="0038407B">
          <w:rPr>
            <w:noProof/>
          </w:rPr>
          <w:t>17</w:t>
        </w:r>
      </w:fldSimple>
      <w:bookmarkEnd w:id="69"/>
      <w:r w:rsidRPr="00271560">
        <w:t>: Univariate sensitivity analysis</w:t>
      </w:r>
    </w:p>
    <w:tbl>
      <w:tblPr>
        <w:tblW w:w="9351" w:type="dxa"/>
        <w:tblLayout w:type="fixed"/>
        <w:tblLook w:val="04A0" w:firstRow="1" w:lastRow="0" w:firstColumn="1" w:lastColumn="0" w:noHBand="0" w:noVBand="1"/>
        <w:tblCaption w:val="Table 17: Univariate sensitivity analysis"/>
      </w:tblPr>
      <w:tblGrid>
        <w:gridCol w:w="4815"/>
        <w:gridCol w:w="1276"/>
        <w:gridCol w:w="708"/>
        <w:gridCol w:w="284"/>
        <w:gridCol w:w="283"/>
        <w:gridCol w:w="993"/>
        <w:gridCol w:w="992"/>
      </w:tblGrid>
      <w:tr w:rsidR="00AC2298" w:rsidRPr="00271560" w14:paraId="50E7DC63" w14:textId="77777777" w:rsidTr="00222368">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92A1E" w14:textId="77777777" w:rsidR="00AC2298" w:rsidRPr="00271560" w:rsidRDefault="00AC2298" w:rsidP="00353F8F">
            <w:pPr>
              <w:pStyle w:val="In-tableHeading"/>
              <w:keepLines/>
              <w:rPr>
                <w:lang w:val="en-AU"/>
              </w:rPr>
            </w:pPr>
            <w:r w:rsidRPr="00271560">
              <w:rPr>
                <w:lang w:val="en-AU"/>
              </w:rPr>
              <w:t>Description of sensitivity analysis (base case)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AA16D55" w14:textId="77777777" w:rsidR="00AC2298" w:rsidRPr="00271560" w:rsidRDefault="00AC2298" w:rsidP="00353F8F">
            <w:pPr>
              <w:pStyle w:val="In-tableHeading"/>
              <w:keepLines/>
              <w:jc w:val="center"/>
              <w:rPr>
                <w:lang w:val="en-AU"/>
              </w:rPr>
            </w:pPr>
            <w:r w:rsidRPr="00271560">
              <w:rPr>
                <w:lang w:val="en-AU"/>
              </w:rPr>
              <w:t>Incremental costs</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EC24B4" w14:textId="77777777" w:rsidR="00AC2298" w:rsidRPr="00271560" w:rsidRDefault="00AC2298" w:rsidP="00353F8F">
            <w:pPr>
              <w:pStyle w:val="In-tableHeading"/>
              <w:keepLines/>
              <w:jc w:val="center"/>
              <w:rPr>
                <w:lang w:val="en-AU"/>
              </w:rPr>
            </w:pPr>
            <w:r w:rsidRPr="00271560">
              <w:rPr>
                <w:lang w:val="en-AU"/>
              </w:rPr>
              <w:t>Incremental QALYs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748EA87" w14:textId="77777777" w:rsidR="00AC2298" w:rsidRPr="00271560" w:rsidRDefault="00AC2298" w:rsidP="00353F8F">
            <w:pPr>
              <w:pStyle w:val="In-tableHeading"/>
              <w:keepLines/>
              <w:jc w:val="center"/>
              <w:rPr>
                <w:lang w:val="en-AU"/>
              </w:rPr>
            </w:pPr>
            <w:r w:rsidRPr="00271560">
              <w:rPr>
                <w:lang w:val="en-AU"/>
              </w:rPr>
              <w:t>ICER</w:t>
            </w:r>
          </w:p>
        </w:tc>
        <w:tc>
          <w:tcPr>
            <w:tcW w:w="992" w:type="dxa"/>
            <w:tcBorders>
              <w:top w:val="single" w:sz="4" w:space="0" w:color="auto"/>
              <w:left w:val="nil"/>
              <w:bottom w:val="single" w:sz="4" w:space="0" w:color="auto"/>
              <w:right w:val="single" w:sz="4" w:space="0" w:color="auto"/>
            </w:tcBorders>
            <w:vAlign w:val="center"/>
          </w:tcPr>
          <w:p w14:paraId="235A0E6B" w14:textId="77777777" w:rsidR="00AC2298" w:rsidRPr="00271560" w:rsidRDefault="00AC2298" w:rsidP="00353F8F">
            <w:pPr>
              <w:pStyle w:val="In-tableHeading"/>
              <w:keepLines/>
              <w:jc w:val="center"/>
              <w:rPr>
                <w:lang w:val="en-AU"/>
              </w:rPr>
            </w:pPr>
            <w:r w:rsidRPr="00271560">
              <w:rPr>
                <w:szCs w:val="20"/>
                <w:lang w:val="en-AU"/>
              </w:rPr>
              <w:t>%Δ</w:t>
            </w:r>
          </w:p>
        </w:tc>
      </w:tr>
      <w:tr w:rsidR="00AC2298" w:rsidRPr="00271560" w14:paraId="0E7877A3"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9FEA0AC" w14:textId="77777777" w:rsidR="00AC2298" w:rsidRPr="00271560" w:rsidRDefault="00AC2298" w:rsidP="00353F8F">
            <w:pPr>
              <w:pStyle w:val="Tabletext"/>
              <w:keepNext/>
              <w:keepLines/>
              <w:rPr>
                <w:b/>
                <w:bCs/>
              </w:rPr>
            </w:pPr>
            <w:r w:rsidRPr="00271560">
              <w:rPr>
                <w:b/>
                <w:bCs/>
              </w:rPr>
              <w:t>Base case</w:t>
            </w:r>
          </w:p>
        </w:tc>
        <w:tc>
          <w:tcPr>
            <w:tcW w:w="1276" w:type="dxa"/>
            <w:tcBorders>
              <w:top w:val="nil"/>
              <w:left w:val="nil"/>
              <w:bottom w:val="single" w:sz="4" w:space="0" w:color="auto"/>
              <w:right w:val="single" w:sz="4" w:space="0" w:color="auto"/>
            </w:tcBorders>
            <w:shd w:val="clear" w:color="auto" w:fill="auto"/>
            <w:noWrap/>
            <w:vAlign w:val="center"/>
            <w:hideMark/>
          </w:tcPr>
          <w:p w14:paraId="6866D719" w14:textId="1F75D612" w:rsidR="00AC2298" w:rsidRPr="00271560" w:rsidRDefault="00AC2298" w:rsidP="00353F8F">
            <w:pPr>
              <w:pStyle w:val="Tabletext"/>
              <w:keepNext/>
              <w:keepLines/>
              <w:jc w:val="center"/>
              <w:rPr>
                <w:b/>
                <w:bCs/>
              </w:rPr>
            </w:pPr>
            <w:r w:rsidRPr="00271560">
              <w:rPr>
                <w:b/>
                <w:bCs/>
              </w:rPr>
              <w:t>$</w:t>
            </w:r>
            <w:r w:rsidR="00546AD5" w:rsidRPr="00546AD5">
              <w:rPr>
                <w:rFonts w:hint="eastAsia"/>
                <w:b/>
                <w:bCs/>
                <w:color w:val="000000"/>
                <w:w w:val="24"/>
                <w:shd w:val="solid" w:color="000000" w:fill="000000"/>
                <w:fitText w:val="111" w:id="-1167898617"/>
                <w14:textFill>
                  <w14:solidFill>
                    <w14:srgbClr w14:val="000000">
                      <w14:alpha w14:val="100000"/>
                    </w14:srgbClr>
                  </w14:solidFill>
                </w14:textFill>
              </w:rPr>
              <w:t xml:space="preserve">　</w:t>
            </w:r>
            <w:r w:rsidR="00546AD5" w:rsidRPr="00546AD5">
              <w:rPr>
                <w:b/>
                <w:bCs/>
                <w:color w:val="000000"/>
                <w:w w:val="24"/>
                <w:shd w:val="solid" w:color="000000" w:fill="000000"/>
                <w:fitText w:val="111" w:id="-1167898617"/>
                <w14:textFill>
                  <w14:solidFill>
                    <w14:srgbClr w14:val="000000">
                      <w14:alpha w14:val="100000"/>
                    </w14:srgbClr>
                  </w14:solidFill>
                </w14:textFill>
              </w:rPr>
              <w:t>|</w:t>
            </w:r>
            <w:r w:rsidR="00546AD5" w:rsidRPr="00546AD5">
              <w:rPr>
                <w:rFonts w:hint="eastAsia"/>
                <w:b/>
                <w:bCs/>
                <w:color w:val="000000"/>
                <w:spacing w:val="6"/>
                <w:w w:val="24"/>
                <w:shd w:val="solid" w:color="000000" w:fill="000000"/>
                <w:fitText w:val="111" w:id="-1167898617"/>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4C56DA82" w14:textId="77777777" w:rsidR="00AC2298" w:rsidRPr="00271560" w:rsidRDefault="00AC2298" w:rsidP="00353F8F">
            <w:pPr>
              <w:pStyle w:val="Tabletext"/>
              <w:keepNext/>
              <w:keepLines/>
              <w:jc w:val="center"/>
              <w:rPr>
                <w:b/>
                <w:bCs/>
              </w:rPr>
            </w:pPr>
            <w:r w:rsidRPr="00271560">
              <w:rPr>
                <w:b/>
                <w:bCs/>
              </w:rPr>
              <w:t>1.3861</w:t>
            </w:r>
          </w:p>
        </w:tc>
        <w:tc>
          <w:tcPr>
            <w:tcW w:w="993" w:type="dxa"/>
            <w:tcBorders>
              <w:top w:val="nil"/>
              <w:left w:val="nil"/>
              <w:bottom w:val="single" w:sz="4" w:space="0" w:color="auto"/>
              <w:right w:val="single" w:sz="4" w:space="0" w:color="auto"/>
            </w:tcBorders>
            <w:shd w:val="clear" w:color="auto" w:fill="auto"/>
            <w:noWrap/>
            <w:vAlign w:val="center"/>
            <w:hideMark/>
          </w:tcPr>
          <w:p w14:paraId="3B0993CE" w14:textId="1FB25C0A" w:rsidR="00AC2298" w:rsidRPr="00A7669D" w:rsidRDefault="00AC2298" w:rsidP="00353F8F">
            <w:pPr>
              <w:pStyle w:val="Tabletext"/>
              <w:keepNext/>
              <w:keepLines/>
              <w:jc w:val="center"/>
              <w:rPr>
                <w:b/>
                <w:bCs/>
                <w:vertAlign w:val="superscript"/>
              </w:rPr>
            </w:pPr>
            <w:r w:rsidRPr="00271560">
              <w:rPr>
                <w:b/>
                <w:bCs/>
              </w:rPr>
              <w:t>$</w:t>
            </w:r>
            <w:r w:rsidR="00546AD5" w:rsidRPr="00546AD5">
              <w:rPr>
                <w:b/>
                <w:bCs/>
                <w:color w:val="000000"/>
                <w:spacing w:val="185"/>
                <w:shd w:val="solid" w:color="000000" w:fill="000000"/>
                <w:fitText w:val="277" w:id="-1167898616"/>
                <w14:textFill>
                  <w14:solidFill>
                    <w14:srgbClr w14:val="000000">
                      <w14:alpha w14:val="100000"/>
                    </w14:srgbClr>
                  </w14:solidFill>
                </w14:textFill>
              </w:rPr>
              <w:t>|</w:t>
            </w:r>
            <w:r w:rsidR="00546AD5" w:rsidRPr="00546AD5">
              <w:rPr>
                <w:b/>
                <w:bCs/>
                <w:color w:val="000000"/>
                <w:spacing w:val="1"/>
                <w:shd w:val="solid" w:color="000000" w:fill="000000"/>
                <w:fitText w:val="277" w:id="-1167898616"/>
                <w14:textFill>
                  <w14:solidFill>
                    <w14:srgbClr w14:val="000000">
                      <w14:alpha w14:val="100000"/>
                    </w14:srgbClr>
                  </w14:solidFill>
                </w14:textFill>
              </w:rPr>
              <w:t>|</w:t>
            </w:r>
            <w:r w:rsidR="00A7669D">
              <w:rPr>
                <w:b/>
                <w:bCs/>
                <w:vertAlign w:val="superscript"/>
              </w:rPr>
              <w:t>1</w:t>
            </w:r>
          </w:p>
        </w:tc>
        <w:tc>
          <w:tcPr>
            <w:tcW w:w="992" w:type="dxa"/>
            <w:tcBorders>
              <w:top w:val="nil"/>
              <w:left w:val="nil"/>
              <w:bottom w:val="single" w:sz="4" w:space="0" w:color="auto"/>
              <w:right w:val="single" w:sz="4" w:space="0" w:color="auto"/>
            </w:tcBorders>
            <w:vAlign w:val="center"/>
          </w:tcPr>
          <w:p w14:paraId="797812DC" w14:textId="77777777" w:rsidR="00AC2298" w:rsidRPr="00271560" w:rsidRDefault="00AC2298" w:rsidP="00353F8F">
            <w:pPr>
              <w:pStyle w:val="Tabletext"/>
              <w:keepNext/>
              <w:keepLines/>
              <w:jc w:val="center"/>
              <w:rPr>
                <w:b/>
                <w:bCs/>
                <w:iCs/>
              </w:rPr>
            </w:pPr>
            <w:r w:rsidRPr="00271560">
              <w:rPr>
                <w:b/>
                <w:iCs/>
                <w:szCs w:val="20"/>
              </w:rPr>
              <w:t>0%</w:t>
            </w:r>
          </w:p>
        </w:tc>
      </w:tr>
      <w:tr w:rsidR="00AC2298" w:rsidRPr="00271560" w14:paraId="065C2995" w14:textId="77777777" w:rsidTr="00CB2C92">
        <w:trPr>
          <w:trHeight w:val="20"/>
        </w:trPr>
        <w:tc>
          <w:tcPr>
            <w:tcW w:w="93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C1F18B" w14:textId="6DE21D31" w:rsidR="00AC2298" w:rsidRPr="00271560" w:rsidRDefault="00AC2298" w:rsidP="00353F8F">
            <w:pPr>
              <w:pStyle w:val="Tabletext"/>
              <w:keepNext/>
              <w:keepLines/>
              <w:rPr>
                <w:iCs/>
              </w:rPr>
            </w:pPr>
            <w:r w:rsidRPr="00271560">
              <w:t>Annual health care costs (Dangouloff 2022; pre-symptomatic = $429.76, symptomatic = $26,107.92)</w:t>
            </w:r>
          </w:p>
        </w:tc>
      </w:tr>
      <w:tr w:rsidR="00AC2298" w:rsidRPr="00271560" w14:paraId="4346F25B"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118AA091" w14:textId="72B6DEF9" w:rsidR="00AC2298" w:rsidRPr="0067202A" w:rsidRDefault="00F31ABD" w:rsidP="00353F8F">
            <w:pPr>
              <w:pStyle w:val="Tabletext"/>
              <w:keepNext/>
              <w:keepLines/>
            </w:pPr>
            <w:r w:rsidRPr="0067202A">
              <w:t xml:space="preserve">Klug 2016 as for July 2020 </w:t>
            </w:r>
            <w:r w:rsidR="00AC2298" w:rsidRPr="0067202A">
              <w:t xml:space="preserve">(pre-symptomatic = $0, symptomatic = $14,379.72) </w:t>
            </w:r>
          </w:p>
        </w:tc>
        <w:tc>
          <w:tcPr>
            <w:tcW w:w="1276" w:type="dxa"/>
            <w:tcBorders>
              <w:top w:val="nil"/>
              <w:left w:val="nil"/>
              <w:bottom w:val="single" w:sz="4" w:space="0" w:color="auto"/>
              <w:right w:val="single" w:sz="4" w:space="0" w:color="auto"/>
            </w:tcBorders>
            <w:shd w:val="clear" w:color="auto" w:fill="auto"/>
            <w:noWrap/>
            <w:vAlign w:val="center"/>
          </w:tcPr>
          <w:p w14:paraId="0E3EA648" w14:textId="0BD4B081" w:rsidR="00AC2298" w:rsidRPr="0067202A" w:rsidRDefault="00AC2298" w:rsidP="00353F8F">
            <w:pPr>
              <w:pStyle w:val="Tabletext"/>
              <w:keepNext/>
              <w:keepLines/>
              <w:jc w:val="center"/>
            </w:pPr>
            <w:r w:rsidRPr="0067202A">
              <w:rPr>
                <w:szCs w:val="20"/>
              </w:rPr>
              <w:t>$</w:t>
            </w:r>
            <w:r w:rsidR="00546AD5" w:rsidRPr="00546AD5">
              <w:rPr>
                <w:rFonts w:hint="eastAsia"/>
                <w:color w:val="000000"/>
                <w:w w:val="15"/>
                <w:szCs w:val="20"/>
                <w:shd w:val="solid" w:color="000000" w:fill="000000"/>
                <w:fitText w:val="67" w:id="-1167898615"/>
                <w14:textFill>
                  <w14:solidFill>
                    <w14:srgbClr w14:val="000000">
                      <w14:alpha w14:val="100000"/>
                    </w14:srgbClr>
                  </w14:solidFill>
                </w14:textFill>
              </w:rPr>
              <w:t xml:space="preserve">　</w:t>
            </w:r>
            <w:r w:rsidR="00546AD5" w:rsidRPr="00546AD5">
              <w:rPr>
                <w:color w:val="000000"/>
                <w:w w:val="15"/>
                <w:szCs w:val="20"/>
                <w:shd w:val="solid" w:color="000000" w:fill="000000"/>
                <w:fitText w:val="67" w:id="-1167898615"/>
                <w14:textFill>
                  <w14:solidFill>
                    <w14:srgbClr w14:val="000000">
                      <w14:alpha w14:val="100000"/>
                    </w14:srgbClr>
                  </w14:solidFill>
                </w14:textFill>
              </w:rPr>
              <w:t>|</w:t>
            </w:r>
            <w:r w:rsidR="00546AD5" w:rsidRPr="00546AD5">
              <w:rPr>
                <w:rFonts w:hint="eastAsia"/>
                <w:color w:val="000000"/>
                <w:spacing w:val="1"/>
                <w:w w:val="15"/>
                <w:szCs w:val="20"/>
                <w:shd w:val="solid" w:color="000000" w:fill="000000"/>
                <w:fitText w:val="67" w:id="-1167898615"/>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tcPr>
          <w:p w14:paraId="147DD633" w14:textId="77777777" w:rsidR="00AC2298" w:rsidRPr="0067202A" w:rsidRDefault="00AC2298" w:rsidP="00353F8F">
            <w:pPr>
              <w:pStyle w:val="Tabletext"/>
              <w:keepNext/>
              <w:keepLines/>
              <w:jc w:val="center"/>
            </w:pPr>
            <w:r w:rsidRPr="0067202A">
              <w:rPr>
                <w:szCs w:val="20"/>
              </w:rPr>
              <w:t>1.3861</w:t>
            </w:r>
          </w:p>
        </w:tc>
        <w:tc>
          <w:tcPr>
            <w:tcW w:w="993" w:type="dxa"/>
            <w:tcBorders>
              <w:top w:val="nil"/>
              <w:left w:val="nil"/>
              <w:bottom w:val="single" w:sz="4" w:space="0" w:color="auto"/>
              <w:right w:val="single" w:sz="4" w:space="0" w:color="auto"/>
            </w:tcBorders>
            <w:shd w:val="clear" w:color="auto" w:fill="auto"/>
            <w:noWrap/>
            <w:vAlign w:val="center"/>
          </w:tcPr>
          <w:p w14:paraId="3A8F254A" w14:textId="601DE3FB" w:rsidR="00AC2298" w:rsidRPr="00A7669D" w:rsidRDefault="00AC2298" w:rsidP="00353F8F">
            <w:pPr>
              <w:pStyle w:val="Tabletext"/>
              <w:keepNext/>
              <w:keepLines/>
              <w:jc w:val="center"/>
              <w:rPr>
                <w:highlight w:val="darkGray"/>
              </w:rPr>
            </w:pPr>
            <w:r w:rsidRPr="00A7669D">
              <w:rPr>
                <w:szCs w:val="20"/>
              </w:rPr>
              <w:t>$</w:t>
            </w:r>
            <w:r w:rsidR="00546AD5" w:rsidRPr="00546AD5">
              <w:rPr>
                <w:color w:val="000000"/>
                <w:spacing w:val="47"/>
                <w:szCs w:val="20"/>
                <w:shd w:val="solid" w:color="000000" w:fill="000000"/>
                <w:fitText w:val="222" w:id="-1167898614"/>
                <w14:textFill>
                  <w14:solidFill>
                    <w14:srgbClr w14:val="000000">
                      <w14:alpha w14:val="100000"/>
                    </w14:srgbClr>
                  </w14:solidFill>
                </w14:textFill>
              </w:rPr>
              <w:t>||</w:t>
            </w:r>
            <w:r w:rsidR="00546AD5" w:rsidRPr="00546AD5">
              <w:rPr>
                <w:color w:val="000000"/>
                <w:spacing w:val="1"/>
                <w:szCs w:val="20"/>
                <w:shd w:val="solid" w:color="000000" w:fill="000000"/>
                <w:fitText w:val="222" w:id="-1167898614"/>
                <w14:textFill>
                  <w14:solidFill>
                    <w14:srgbClr w14:val="000000">
                      <w14:alpha w14:val="100000"/>
                    </w14:srgbClr>
                  </w14:solidFill>
                </w14:textFill>
              </w:rPr>
              <w:t>|</w:t>
            </w:r>
            <w:r w:rsidR="00A7669D" w:rsidRPr="00A7669D">
              <w:rPr>
                <w:b/>
                <w:bCs/>
                <w:vertAlign w:val="superscript"/>
              </w:rPr>
              <w:t>2</w:t>
            </w:r>
          </w:p>
        </w:tc>
        <w:tc>
          <w:tcPr>
            <w:tcW w:w="992" w:type="dxa"/>
            <w:tcBorders>
              <w:top w:val="nil"/>
              <w:left w:val="nil"/>
              <w:bottom w:val="single" w:sz="4" w:space="0" w:color="auto"/>
              <w:right w:val="single" w:sz="4" w:space="0" w:color="auto"/>
            </w:tcBorders>
            <w:vAlign w:val="center"/>
          </w:tcPr>
          <w:p w14:paraId="20965BA8" w14:textId="77777777" w:rsidR="00AC2298" w:rsidRPr="0067202A" w:rsidRDefault="00AC2298" w:rsidP="00353F8F">
            <w:pPr>
              <w:pStyle w:val="Tabletext"/>
              <w:keepNext/>
              <w:keepLines/>
              <w:jc w:val="center"/>
            </w:pPr>
            <w:r w:rsidRPr="0067202A">
              <w:rPr>
                <w:szCs w:val="20"/>
              </w:rPr>
              <w:t>+27.34%</w:t>
            </w:r>
          </w:p>
        </w:tc>
      </w:tr>
      <w:tr w:rsidR="00AC2298" w:rsidRPr="00271560" w14:paraId="2BF891D0"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13CC5AFD" w14:textId="63E7C09A" w:rsidR="00AC2298" w:rsidRPr="00271560" w:rsidRDefault="00AC2298" w:rsidP="00353F8F">
            <w:pPr>
              <w:pStyle w:val="Tabletext"/>
              <w:keepNext/>
              <w:keepLines/>
            </w:pPr>
            <w:r w:rsidRPr="00271560">
              <w:t>Costs applied in July 2020 submission</w:t>
            </w:r>
          </w:p>
        </w:tc>
        <w:tc>
          <w:tcPr>
            <w:tcW w:w="1276" w:type="dxa"/>
            <w:tcBorders>
              <w:top w:val="nil"/>
              <w:left w:val="nil"/>
              <w:bottom w:val="single" w:sz="4" w:space="0" w:color="auto"/>
              <w:right w:val="single" w:sz="4" w:space="0" w:color="auto"/>
            </w:tcBorders>
            <w:shd w:val="clear" w:color="auto" w:fill="auto"/>
            <w:noWrap/>
            <w:vAlign w:val="center"/>
          </w:tcPr>
          <w:p w14:paraId="21CB4BCB" w14:textId="521AAA47"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13"/>
                <w14:textFill>
                  <w14:solidFill>
                    <w14:srgbClr w14:val="000000">
                      <w14:alpha w14:val="100000"/>
                    </w14:srgbClr>
                  </w14:solidFill>
                </w14:textFill>
              </w:rPr>
              <w:t xml:space="preserve">　</w:t>
            </w:r>
            <w:r w:rsidR="00546AD5" w:rsidRPr="00546AD5">
              <w:rPr>
                <w:color w:val="000000"/>
                <w:w w:val="15"/>
                <w:shd w:val="solid" w:color="000000" w:fill="000000"/>
                <w:fitText w:val="67" w:id="-1167898613"/>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13"/>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tcPr>
          <w:p w14:paraId="0F2760D9" w14:textId="77777777" w:rsidR="00AC2298" w:rsidRPr="00271560" w:rsidRDefault="00AC2298" w:rsidP="00353F8F">
            <w:pPr>
              <w:pStyle w:val="Tabletext"/>
              <w:keepNext/>
              <w:keepLines/>
              <w:jc w:val="center"/>
            </w:pPr>
            <w:r w:rsidRPr="00271560">
              <w:t>1.3861</w:t>
            </w:r>
          </w:p>
        </w:tc>
        <w:tc>
          <w:tcPr>
            <w:tcW w:w="993" w:type="dxa"/>
            <w:tcBorders>
              <w:top w:val="nil"/>
              <w:left w:val="nil"/>
              <w:bottom w:val="single" w:sz="4" w:space="0" w:color="auto"/>
              <w:right w:val="single" w:sz="4" w:space="0" w:color="auto"/>
            </w:tcBorders>
            <w:shd w:val="clear" w:color="auto" w:fill="auto"/>
            <w:noWrap/>
            <w:vAlign w:val="center"/>
          </w:tcPr>
          <w:p w14:paraId="74BB1DD9" w14:textId="6A5CCA2E" w:rsidR="00AC2298" w:rsidRPr="00271560" w:rsidRDefault="00AC2298" w:rsidP="00353F8F">
            <w:pPr>
              <w:pStyle w:val="Tabletext"/>
              <w:keepNext/>
              <w:keepLines/>
              <w:jc w:val="center"/>
            </w:pPr>
            <w:r w:rsidRPr="00271560">
              <w:t>$</w:t>
            </w:r>
            <w:r w:rsidR="00546AD5" w:rsidRPr="00546AD5">
              <w:rPr>
                <w:color w:val="000000"/>
                <w:spacing w:val="47"/>
                <w:shd w:val="solid" w:color="000000" w:fill="000000"/>
                <w:fitText w:val="222" w:id="-1167898612"/>
                <w14:textFill>
                  <w14:solidFill>
                    <w14:srgbClr w14:val="000000">
                      <w14:alpha w14:val="100000"/>
                    </w14:srgbClr>
                  </w14:solidFill>
                </w14:textFill>
              </w:rPr>
              <w:t>||</w:t>
            </w:r>
            <w:r w:rsidR="00546AD5" w:rsidRPr="00546AD5">
              <w:rPr>
                <w:color w:val="000000"/>
                <w:spacing w:val="1"/>
                <w:shd w:val="solid" w:color="000000" w:fill="000000"/>
                <w:fitText w:val="222" w:id="-1167898612"/>
                <w14:textFill>
                  <w14:solidFill>
                    <w14:srgbClr w14:val="000000">
                      <w14:alpha w14:val="100000"/>
                    </w14:srgbClr>
                  </w14:solidFill>
                </w14:textFill>
              </w:rPr>
              <w:t>|</w:t>
            </w:r>
            <w:r w:rsidR="00A7669D">
              <w:rPr>
                <w:b/>
                <w:bCs/>
                <w:vertAlign w:val="superscript"/>
              </w:rPr>
              <w:t>2</w:t>
            </w:r>
          </w:p>
        </w:tc>
        <w:tc>
          <w:tcPr>
            <w:tcW w:w="992" w:type="dxa"/>
            <w:tcBorders>
              <w:top w:val="nil"/>
              <w:left w:val="nil"/>
              <w:bottom w:val="single" w:sz="4" w:space="0" w:color="auto"/>
              <w:right w:val="single" w:sz="4" w:space="0" w:color="auto"/>
            </w:tcBorders>
            <w:vAlign w:val="center"/>
          </w:tcPr>
          <w:p w14:paraId="497516CD" w14:textId="77777777" w:rsidR="00AC2298" w:rsidRPr="00271560" w:rsidRDefault="00AC2298" w:rsidP="00353F8F">
            <w:pPr>
              <w:pStyle w:val="Tabletext"/>
              <w:keepNext/>
              <w:keepLines/>
              <w:jc w:val="center"/>
            </w:pPr>
            <w:r w:rsidRPr="00271560">
              <w:t>+55.2%</w:t>
            </w:r>
          </w:p>
        </w:tc>
      </w:tr>
      <w:tr w:rsidR="00AC2298" w:rsidRPr="00271560" w14:paraId="37B93180" w14:textId="77777777" w:rsidTr="00CB2C92">
        <w:trPr>
          <w:trHeight w:val="20"/>
        </w:trPr>
        <w:tc>
          <w:tcPr>
            <w:tcW w:w="93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FE9C25" w14:textId="4FD750A8" w:rsidR="00AC2298" w:rsidRPr="00271560" w:rsidRDefault="00AC2298" w:rsidP="00353F8F">
            <w:pPr>
              <w:pStyle w:val="Tabletext"/>
              <w:keepNext/>
              <w:keepLines/>
            </w:pPr>
            <w:r w:rsidRPr="00271560">
              <w:t>Utility values (pre-symptomatic = 0.91; symptomatic = 0.71</w:t>
            </w:r>
            <w:r w:rsidR="00C06393">
              <w:t>, 0.2 difference</w:t>
            </w:r>
            <w:r w:rsidRPr="00271560">
              <w:t>)</w:t>
            </w:r>
          </w:p>
        </w:tc>
      </w:tr>
      <w:tr w:rsidR="00AC2298" w:rsidRPr="00271560" w14:paraId="5A993D99"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6ACD14B" w14:textId="603FD52A" w:rsidR="00AC2298" w:rsidRPr="00271560" w:rsidRDefault="00AC2298" w:rsidP="00353F8F">
            <w:pPr>
              <w:pStyle w:val="Tabletext"/>
              <w:keepNext/>
              <w:keepLines/>
            </w:pPr>
            <w:r w:rsidRPr="00271560">
              <w:t>pre-symptomatic = 0.91, symptomatic = 0.81</w:t>
            </w:r>
            <w:r w:rsidR="00782B3C">
              <w:t xml:space="preserve"> </w:t>
            </w:r>
            <w:r w:rsidR="00C06393">
              <w:t>(0.1 difference</w:t>
            </w:r>
            <w:r w:rsidRPr="00271560">
              <w:t>)</w:t>
            </w:r>
          </w:p>
        </w:tc>
        <w:tc>
          <w:tcPr>
            <w:tcW w:w="1276" w:type="dxa"/>
            <w:tcBorders>
              <w:top w:val="nil"/>
              <w:left w:val="nil"/>
              <w:bottom w:val="single" w:sz="4" w:space="0" w:color="auto"/>
              <w:right w:val="single" w:sz="4" w:space="0" w:color="auto"/>
            </w:tcBorders>
            <w:shd w:val="clear" w:color="auto" w:fill="auto"/>
            <w:noWrap/>
            <w:vAlign w:val="center"/>
            <w:hideMark/>
          </w:tcPr>
          <w:p w14:paraId="3EE60343" w14:textId="333008E8"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11"/>
                <w14:textFill>
                  <w14:solidFill>
                    <w14:srgbClr w14:val="000000">
                      <w14:alpha w14:val="100000"/>
                    </w14:srgbClr>
                  </w14:solidFill>
                </w14:textFill>
              </w:rPr>
              <w:t xml:space="preserve">　</w:t>
            </w:r>
            <w:r w:rsidR="00546AD5" w:rsidRPr="00546AD5">
              <w:rPr>
                <w:color w:val="000000"/>
                <w:w w:val="15"/>
                <w:shd w:val="solid" w:color="000000" w:fill="000000"/>
                <w:fitText w:val="67" w:id="-1167898611"/>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11"/>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1917F317" w14:textId="77777777" w:rsidR="00AC2298" w:rsidRPr="00271560" w:rsidRDefault="00AC2298" w:rsidP="00353F8F">
            <w:pPr>
              <w:pStyle w:val="Tabletext"/>
              <w:keepNext/>
              <w:keepLines/>
              <w:jc w:val="center"/>
            </w:pPr>
            <w:r w:rsidRPr="00271560">
              <w:t>0.6874</w:t>
            </w:r>
          </w:p>
        </w:tc>
        <w:tc>
          <w:tcPr>
            <w:tcW w:w="993" w:type="dxa"/>
            <w:tcBorders>
              <w:top w:val="nil"/>
              <w:left w:val="nil"/>
              <w:bottom w:val="single" w:sz="4" w:space="0" w:color="auto"/>
              <w:right w:val="single" w:sz="4" w:space="0" w:color="auto"/>
            </w:tcBorders>
            <w:shd w:val="clear" w:color="auto" w:fill="auto"/>
            <w:noWrap/>
            <w:vAlign w:val="center"/>
            <w:hideMark/>
          </w:tcPr>
          <w:p w14:paraId="46D5735A" w14:textId="126B3DDD" w:rsidR="00AC2298" w:rsidRPr="00A7669D" w:rsidRDefault="00AC2298" w:rsidP="00353F8F">
            <w:pPr>
              <w:pStyle w:val="Tabletext"/>
              <w:keepNext/>
              <w:keepLines/>
              <w:jc w:val="center"/>
              <w:rPr>
                <w:vertAlign w:val="superscript"/>
              </w:rPr>
            </w:pPr>
            <w:r w:rsidRPr="00271560">
              <w:t>$</w:t>
            </w:r>
            <w:r w:rsidR="00546AD5" w:rsidRPr="00546AD5">
              <w:rPr>
                <w:color w:val="000000"/>
                <w:spacing w:val="47"/>
                <w:shd w:val="solid" w:color="000000" w:fill="000000"/>
                <w:fitText w:val="222" w:id="-1167898610"/>
                <w14:textFill>
                  <w14:solidFill>
                    <w14:srgbClr w14:val="000000">
                      <w14:alpha w14:val="100000"/>
                    </w14:srgbClr>
                  </w14:solidFill>
                </w14:textFill>
              </w:rPr>
              <w:t>||</w:t>
            </w:r>
            <w:r w:rsidR="00546AD5" w:rsidRPr="00546AD5">
              <w:rPr>
                <w:color w:val="000000"/>
                <w:spacing w:val="1"/>
                <w:shd w:val="solid" w:color="000000" w:fill="000000"/>
                <w:fitText w:val="222" w:id="-1167898610"/>
                <w14:textFill>
                  <w14:solidFill>
                    <w14:srgbClr w14:val="000000">
                      <w14:alpha w14:val="100000"/>
                    </w14:srgbClr>
                  </w14:solidFill>
                </w14:textFill>
              </w:rPr>
              <w:t>|</w:t>
            </w:r>
            <w:r w:rsidR="00A7669D">
              <w:rPr>
                <w:vertAlign w:val="superscript"/>
              </w:rPr>
              <w:t>3</w:t>
            </w:r>
          </w:p>
        </w:tc>
        <w:tc>
          <w:tcPr>
            <w:tcW w:w="992" w:type="dxa"/>
            <w:tcBorders>
              <w:top w:val="nil"/>
              <w:left w:val="nil"/>
              <w:bottom w:val="single" w:sz="4" w:space="0" w:color="auto"/>
              <w:right w:val="single" w:sz="4" w:space="0" w:color="auto"/>
            </w:tcBorders>
            <w:vAlign w:val="center"/>
          </w:tcPr>
          <w:p w14:paraId="05B70DCE" w14:textId="77777777" w:rsidR="00AC2298" w:rsidRPr="00271560" w:rsidRDefault="00AC2298" w:rsidP="00353F8F">
            <w:pPr>
              <w:pStyle w:val="Tabletext"/>
              <w:keepNext/>
              <w:keepLines/>
              <w:jc w:val="center"/>
            </w:pPr>
            <w:r w:rsidRPr="00271560">
              <w:t>+101.6%</w:t>
            </w:r>
          </w:p>
        </w:tc>
      </w:tr>
      <w:tr w:rsidR="00AC2298" w:rsidRPr="00271560" w14:paraId="76B706CA" w14:textId="77777777" w:rsidTr="00EF7A55">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3DD0567" w14:textId="0BE18EA4" w:rsidR="00AC2298" w:rsidRPr="00271560" w:rsidRDefault="00AC2298" w:rsidP="00353F8F">
            <w:pPr>
              <w:pStyle w:val="Tabletext"/>
              <w:keepNext/>
              <w:keepLines/>
            </w:pPr>
            <w:r w:rsidRPr="00271560">
              <w:t>pre-symptomatic = 0.91, symptomatic = 0.61</w:t>
            </w:r>
            <w:r w:rsidR="00782B3C">
              <w:t xml:space="preserve"> </w:t>
            </w:r>
            <w:r w:rsidR="00C06393">
              <w:t>(0.3 difference</w:t>
            </w:r>
            <w:r w:rsidRPr="00271560">
              <w:t>)</w:t>
            </w:r>
          </w:p>
        </w:tc>
        <w:tc>
          <w:tcPr>
            <w:tcW w:w="1276" w:type="dxa"/>
            <w:tcBorders>
              <w:top w:val="nil"/>
              <w:left w:val="nil"/>
              <w:bottom w:val="single" w:sz="4" w:space="0" w:color="auto"/>
              <w:right w:val="single" w:sz="4" w:space="0" w:color="auto"/>
            </w:tcBorders>
            <w:shd w:val="clear" w:color="auto" w:fill="auto"/>
            <w:noWrap/>
            <w:vAlign w:val="center"/>
            <w:hideMark/>
          </w:tcPr>
          <w:p w14:paraId="11250CB3" w14:textId="235F66E0"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09"/>
                <w14:textFill>
                  <w14:solidFill>
                    <w14:srgbClr w14:val="000000">
                      <w14:alpha w14:val="100000"/>
                    </w14:srgbClr>
                  </w14:solidFill>
                </w14:textFill>
              </w:rPr>
              <w:t xml:space="preserve">　</w:t>
            </w:r>
            <w:r w:rsidR="00546AD5" w:rsidRPr="00546AD5">
              <w:rPr>
                <w:color w:val="000000"/>
                <w:w w:val="15"/>
                <w:shd w:val="solid" w:color="000000" w:fill="000000"/>
                <w:fitText w:val="67" w:id="-1167898609"/>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09"/>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5564DF0E" w14:textId="77777777" w:rsidR="00AC2298" w:rsidRPr="00271560" w:rsidRDefault="00AC2298" w:rsidP="00353F8F">
            <w:pPr>
              <w:pStyle w:val="Tabletext"/>
              <w:keepNext/>
              <w:keepLines/>
              <w:jc w:val="center"/>
            </w:pPr>
            <w:r w:rsidRPr="00271560">
              <w:t>2.7835</w:t>
            </w:r>
          </w:p>
        </w:tc>
        <w:tc>
          <w:tcPr>
            <w:tcW w:w="993" w:type="dxa"/>
            <w:tcBorders>
              <w:top w:val="nil"/>
              <w:left w:val="nil"/>
              <w:bottom w:val="single" w:sz="4" w:space="0" w:color="auto"/>
              <w:right w:val="single" w:sz="4" w:space="0" w:color="auto"/>
            </w:tcBorders>
            <w:shd w:val="clear" w:color="auto" w:fill="auto"/>
            <w:noWrap/>
            <w:vAlign w:val="center"/>
            <w:hideMark/>
          </w:tcPr>
          <w:p w14:paraId="19CE067D" w14:textId="3E43AC30" w:rsidR="00AC2298" w:rsidRPr="00A7669D" w:rsidRDefault="00AC2298" w:rsidP="00353F8F">
            <w:pPr>
              <w:pStyle w:val="Tabletext"/>
              <w:keepNext/>
              <w:keepLines/>
              <w:jc w:val="center"/>
              <w:rPr>
                <w:vertAlign w:val="superscript"/>
              </w:rPr>
            </w:pPr>
            <w:r w:rsidRPr="00271560">
              <w:t>$</w:t>
            </w:r>
            <w:r w:rsidR="00546AD5" w:rsidRPr="00546AD5">
              <w:rPr>
                <w:color w:val="000000"/>
                <w:spacing w:val="47"/>
                <w:shd w:val="solid" w:color="000000" w:fill="000000"/>
                <w:fitText w:val="222" w:id="-1167898608"/>
                <w14:textFill>
                  <w14:solidFill>
                    <w14:srgbClr w14:val="000000">
                      <w14:alpha w14:val="100000"/>
                    </w14:srgbClr>
                  </w14:solidFill>
                </w14:textFill>
              </w:rPr>
              <w:t>||</w:t>
            </w:r>
            <w:r w:rsidR="00546AD5" w:rsidRPr="00546AD5">
              <w:rPr>
                <w:color w:val="000000"/>
                <w:spacing w:val="1"/>
                <w:shd w:val="solid" w:color="000000" w:fill="000000"/>
                <w:fitText w:val="222" w:id="-1167898608"/>
                <w14:textFill>
                  <w14:solidFill>
                    <w14:srgbClr w14:val="000000">
                      <w14:alpha w14:val="100000"/>
                    </w14:srgbClr>
                  </w14:solidFill>
                </w14:textFill>
              </w:rPr>
              <w:t>|</w:t>
            </w:r>
            <w:r w:rsidR="00A7669D">
              <w:rPr>
                <w:vertAlign w:val="superscript"/>
              </w:rPr>
              <w:t>4</w:t>
            </w:r>
          </w:p>
        </w:tc>
        <w:tc>
          <w:tcPr>
            <w:tcW w:w="992" w:type="dxa"/>
            <w:tcBorders>
              <w:top w:val="nil"/>
              <w:left w:val="nil"/>
              <w:bottom w:val="single" w:sz="4" w:space="0" w:color="auto"/>
              <w:right w:val="single" w:sz="4" w:space="0" w:color="auto"/>
            </w:tcBorders>
            <w:vAlign w:val="center"/>
          </w:tcPr>
          <w:p w14:paraId="0FDB9A31" w14:textId="77777777" w:rsidR="00AC2298" w:rsidRPr="00271560" w:rsidRDefault="00AC2298" w:rsidP="00353F8F">
            <w:pPr>
              <w:pStyle w:val="Tabletext"/>
              <w:keepNext/>
              <w:keepLines/>
              <w:jc w:val="center"/>
            </w:pPr>
            <w:r w:rsidRPr="00271560">
              <w:t>-50.2%</w:t>
            </w:r>
          </w:p>
        </w:tc>
      </w:tr>
      <w:tr w:rsidR="00AC2298" w:rsidRPr="00271560" w14:paraId="074145A6" w14:textId="77777777" w:rsidTr="00EF7A55">
        <w:trPr>
          <w:trHeight w:val="20"/>
        </w:trPr>
        <w:tc>
          <w:tcPr>
            <w:tcW w:w="8359" w:type="dxa"/>
            <w:gridSpan w:val="6"/>
            <w:tcBorders>
              <w:top w:val="single" w:sz="4" w:space="0" w:color="auto"/>
              <w:left w:val="single" w:sz="4" w:space="0" w:color="auto"/>
              <w:bottom w:val="single" w:sz="4" w:space="0" w:color="auto"/>
              <w:right w:val="nil"/>
            </w:tcBorders>
            <w:shd w:val="clear" w:color="auto" w:fill="auto"/>
            <w:noWrap/>
            <w:vAlign w:val="center"/>
            <w:hideMark/>
          </w:tcPr>
          <w:p w14:paraId="16C8E960" w14:textId="7667337F" w:rsidR="00AC2298" w:rsidRPr="00271560" w:rsidRDefault="00AC2298" w:rsidP="00353F8F">
            <w:pPr>
              <w:pStyle w:val="Tabletext"/>
              <w:keepNext/>
              <w:keepLines/>
            </w:pPr>
            <w:r w:rsidRPr="00271560">
              <w:t xml:space="preserve">Duration of treatment effects, </w:t>
            </w:r>
            <w:r w:rsidR="0001364A">
              <w:t>i.e.,</w:t>
            </w:r>
            <w:r w:rsidRPr="00271560">
              <w:t xml:space="preserve"> healthcare costs and utilities (20 years)</w:t>
            </w:r>
          </w:p>
        </w:tc>
        <w:tc>
          <w:tcPr>
            <w:tcW w:w="992" w:type="dxa"/>
            <w:tcBorders>
              <w:top w:val="single" w:sz="4" w:space="0" w:color="auto"/>
              <w:left w:val="single" w:sz="4" w:space="0" w:color="auto"/>
              <w:bottom w:val="single" w:sz="4" w:space="0" w:color="auto"/>
              <w:right w:val="single" w:sz="4" w:space="0" w:color="auto"/>
            </w:tcBorders>
            <w:vAlign w:val="center"/>
          </w:tcPr>
          <w:p w14:paraId="34ADB68E" w14:textId="77777777" w:rsidR="00AC2298" w:rsidRPr="00271560" w:rsidRDefault="00AC2298" w:rsidP="00353F8F">
            <w:pPr>
              <w:pStyle w:val="Tabletext"/>
              <w:keepNext/>
              <w:keepLines/>
              <w:jc w:val="center"/>
            </w:pPr>
          </w:p>
        </w:tc>
      </w:tr>
      <w:tr w:rsidR="00AC2298" w:rsidRPr="00271560" w14:paraId="1C1616B6" w14:textId="77777777" w:rsidTr="00EF7A55">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99F88" w14:textId="77777777" w:rsidR="00AC2298" w:rsidRPr="00271560" w:rsidRDefault="00AC2298" w:rsidP="00353F8F">
            <w:pPr>
              <w:pStyle w:val="Tabletext"/>
              <w:keepNext/>
              <w:keepLines/>
            </w:pPr>
            <w:r w:rsidRPr="00271560">
              <w:t>5 years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0A2761" w14:textId="4B38200D"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24"/>
                <w14:textFill>
                  <w14:solidFill>
                    <w14:srgbClr w14:val="000000">
                      <w14:alpha w14:val="100000"/>
                    </w14:srgbClr>
                  </w14:solidFill>
                </w14:textFill>
              </w:rPr>
              <w:t xml:space="preserve">　</w:t>
            </w:r>
            <w:r w:rsidR="00546AD5" w:rsidRPr="00546AD5">
              <w:rPr>
                <w:color w:val="000000"/>
                <w:w w:val="15"/>
                <w:shd w:val="solid" w:color="000000" w:fill="000000"/>
                <w:fitText w:val="67" w:id="-1167898624"/>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24"/>
                <w14:textFill>
                  <w14:solidFill>
                    <w14:srgbClr w14:val="000000">
                      <w14:alpha w14:val="100000"/>
                    </w14:srgbClr>
                  </w14:solidFill>
                </w14:textFill>
              </w:rPr>
              <w:t xml:space="preserve">　</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95A18E" w14:textId="77777777" w:rsidR="00AC2298" w:rsidRPr="00271560" w:rsidRDefault="00AC2298" w:rsidP="00353F8F">
            <w:pPr>
              <w:pStyle w:val="Tabletext"/>
              <w:keepNext/>
              <w:keepLines/>
              <w:jc w:val="center"/>
            </w:pPr>
            <w:r w:rsidRPr="00271560">
              <w:t>0.4619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F63C550" w14:textId="358B49F2" w:rsidR="00AC2298" w:rsidRPr="00A7669D" w:rsidRDefault="00AC2298" w:rsidP="00353F8F">
            <w:pPr>
              <w:pStyle w:val="Tabletext"/>
              <w:keepNext/>
              <w:keepLines/>
              <w:jc w:val="center"/>
              <w:rPr>
                <w:vertAlign w:val="superscript"/>
              </w:rPr>
            </w:pPr>
            <w:r w:rsidRPr="00271560">
              <w:t>$</w:t>
            </w:r>
            <w:r w:rsidR="00546AD5" w:rsidRPr="00546AD5">
              <w:rPr>
                <w:color w:val="000000"/>
                <w:spacing w:val="47"/>
                <w:shd w:val="solid" w:color="000000" w:fill="000000"/>
                <w:fitText w:val="222" w:id="-1167898623"/>
                <w14:textFill>
                  <w14:solidFill>
                    <w14:srgbClr w14:val="000000">
                      <w14:alpha w14:val="100000"/>
                    </w14:srgbClr>
                  </w14:solidFill>
                </w14:textFill>
              </w:rPr>
              <w:t>||</w:t>
            </w:r>
            <w:r w:rsidR="00546AD5" w:rsidRPr="00546AD5">
              <w:rPr>
                <w:color w:val="000000"/>
                <w:spacing w:val="1"/>
                <w:shd w:val="solid" w:color="000000" w:fill="000000"/>
                <w:fitText w:val="222" w:id="-1167898623"/>
                <w14:textFill>
                  <w14:solidFill>
                    <w14:srgbClr w14:val="000000">
                      <w14:alpha w14:val="100000"/>
                    </w14:srgbClr>
                  </w14:solidFill>
                </w14:textFill>
              </w:rPr>
              <w:t>|</w:t>
            </w:r>
            <w:r w:rsidR="00A7669D">
              <w:rPr>
                <w:vertAlign w:val="superscript"/>
              </w:rPr>
              <w:t>5</w:t>
            </w:r>
          </w:p>
        </w:tc>
        <w:tc>
          <w:tcPr>
            <w:tcW w:w="992" w:type="dxa"/>
            <w:tcBorders>
              <w:top w:val="single" w:sz="4" w:space="0" w:color="auto"/>
              <w:left w:val="nil"/>
              <w:bottom w:val="single" w:sz="4" w:space="0" w:color="auto"/>
              <w:right w:val="single" w:sz="4" w:space="0" w:color="auto"/>
            </w:tcBorders>
            <w:vAlign w:val="center"/>
          </w:tcPr>
          <w:p w14:paraId="41956A26" w14:textId="77777777" w:rsidR="00AC2298" w:rsidRPr="00271560" w:rsidRDefault="00AC2298" w:rsidP="00353F8F">
            <w:pPr>
              <w:pStyle w:val="Tabletext"/>
              <w:keepNext/>
              <w:keepLines/>
              <w:jc w:val="center"/>
            </w:pPr>
            <w:r w:rsidRPr="00271560">
              <w:t>+323.4%</w:t>
            </w:r>
          </w:p>
        </w:tc>
      </w:tr>
      <w:tr w:rsidR="00AC2298" w:rsidRPr="00271560" w14:paraId="1498400D"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67214F8" w14:textId="77777777" w:rsidR="00AC2298" w:rsidRPr="00271560" w:rsidRDefault="00AC2298" w:rsidP="00353F8F">
            <w:pPr>
              <w:pStyle w:val="Tabletext"/>
              <w:keepNext/>
              <w:keepLines/>
              <w:tabs>
                <w:tab w:val="right" w:pos="4741"/>
              </w:tabs>
            </w:pPr>
            <w:r w:rsidRPr="00271560">
              <w:t>10 years</w:t>
            </w:r>
          </w:p>
        </w:tc>
        <w:tc>
          <w:tcPr>
            <w:tcW w:w="1276" w:type="dxa"/>
            <w:tcBorders>
              <w:top w:val="nil"/>
              <w:left w:val="nil"/>
              <w:bottom w:val="single" w:sz="4" w:space="0" w:color="auto"/>
              <w:right w:val="single" w:sz="4" w:space="0" w:color="auto"/>
            </w:tcBorders>
            <w:shd w:val="clear" w:color="auto" w:fill="auto"/>
            <w:noWrap/>
            <w:vAlign w:val="center"/>
            <w:hideMark/>
          </w:tcPr>
          <w:p w14:paraId="319B2132" w14:textId="20FB8816"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22"/>
                <w14:textFill>
                  <w14:solidFill>
                    <w14:srgbClr w14:val="000000">
                      <w14:alpha w14:val="100000"/>
                    </w14:srgbClr>
                  </w14:solidFill>
                </w14:textFill>
              </w:rPr>
              <w:t xml:space="preserve">　</w:t>
            </w:r>
            <w:r w:rsidR="00546AD5" w:rsidRPr="00546AD5">
              <w:rPr>
                <w:color w:val="000000"/>
                <w:w w:val="15"/>
                <w:shd w:val="solid" w:color="000000" w:fill="000000"/>
                <w:fitText w:val="67" w:id="-1167898622"/>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22"/>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2755505C" w14:textId="77777777" w:rsidR="00AC2298" w:rsidRPr="00271560" w:rsidRDefault="00AC2298" w:rsidP="00353F8F">
            <w:pPr>
              <w:pStyle w:val="Tabletext"/>
              <w:keepNext/>
              <w:keepLines/>
              <w:jc w:val="center"/>
            </w:pPr>
            <w:r w:rsidRPr="00271560">
              <w:t>0.8254</w:t>
            </w:r>
          </w:p>
        </w:tc>
        <w:tc>
          <w:tcPr>
            <w:tcW w:w="993" w:type="dxa"/>
            <w:tcBorders>
              <w:top w:val="nil"/>
              <w:left w:val="nil"/>
              <w:bottom w:val="single" w:sz="4" w:space="0" w:color="auto"/>
              <w:right w:val="single" w:sz="4" w:space="0" w:color="auto"/>
            </w:tcBorders>
            <w:shd w:val="clear" w:color="auto" w:fill="auto"/>
            <w:noWrap/>
            <w:vAlign w:val="center"/>
            <w:hideMark/>
          </w:tcPr>
          <w:p w14:paraId="0EF8A10F" w14:textId="2114E678" w:rsidR="00AC2298" w:rsidRPr="00271560" w:rsidRDefault="00AC2298" w:rsidP="00353F8F">
            <w:pPr>
              <w:pStyle w:val="Tabletext"/>
              <w:keepNext/>
              <w:keepLines/>
              <w:jc w:val="center"/>
            </w:pPr>
            <w:r w:rsidRPr="00271560">
              <w:t>$</w:t>
            </w:r>
            <w:r w:rsidR="00546AD5" w:rsidRPr="00546AD5">
              <w:rPr>
                <w:color w:val="000000"/>
                <w:spacing w:val="47"/>
                <w:shd w:val="solid" w:color="000000" w:fill="000000"/>
                <w:fitText w:val="222" w:id="-1167898621"/>
                <w14:textFill>
                  <w14:solidFill>
                    <w14:srgbClr w14:val="000000">
                      <w14:alpha w14:val="100000"/>
                    </w14:srgbClr>
                  </w14:solidFill>
                </w14:textFill>
              </w:rPr>
              <w:t>||</w:t>
            </w:r>
            <w:r w:rsidR="00546AD5" w:rsidRPr="00546AD5">
              <w:rPr>
                <w:color w:val="000000"/>
                <w:spacing w:val="1"/>
                <w:shd w:val="solid" w:color="000000" w:fill="000000"/>
                <w:fitText w:val="222" w:id="-1167898621"/>
                <w14:textFill>
                  <w14:solidFill>
                    <w14:srgbClr w14:val="000000">
                      <w14:alpha w14:val="100000"/>
                    </w14:srgbClr>
                  </w14:solidFill>
                </w14:textFill>
              </w:rPr>
              <w:t>|</w:t>
            </w:r>
            <w:r w:rsidR="00A7669D">
              <w:rPr>
                <w:vertAlign w:val="superscript"/>
              </w:rPr>
              <w:t>3</w:t>
            </w:r>
          </w:p>
        </w:tc>
        <w:tc>
          <w:tcPr>
            <w:tcW w:w="992" w:type="dxa"/>
            <w:tcBorders>
              <w:top w:val="nil"/>
              <w:left w:val="nil"/>
              <w:bottom w:val="single" w:sz="4" w:space="0" w:color="auto"/>
              <w:right w:val="single" w:sz="4" w:space="0" w:color="auto"/>
            </w:tcBorders>
            <w:vAlign w:val="center"/>
          </w:tcPr>
          <w:p w14:paraId="7347626F" w14:textId="77777777" w:rsidR="00AC2298" w:rsidRPr="00271560" w:rsidRDefault="00AC2298" w:rsidP="00353F8F">
            <w:pPr>
              <w:pStyle w:val="Tabletext"/>
              <w:keepNext/>
              <w:keepLines/>
              <w:jc w:val="center"/>
            </w:pPr>
            <w:r w:rsidRPr="00271560">
              <w:t>+109.8%</w:t>
            </w:r>
          </w:p>
        </w:tc>
      </w:tr>
      <w:tr w:rsidR="00AC2298" w:rsidRPr="00271560" w14:paraId="4E9AFEFC" w14:textId="77777777" w:rsidTr="00CB2C92">
        <w:trPr>
          <w:trHeight w:val="20"/>
        </w:trPr>
        <w:tc>
          <w:tcPr>
            <w:tcW w:w="93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15D74" w14:textId="6861D364" w:rsidR="00AC2298" w:rsidRPr="00271560" w:rsidRDefault="00AC2298" w:rsidP="00353F8F">
            <w:pPr>
              <w:pStyle w:val="Tabletext"/>
              <w:keepNext/>
              <w:keepLines/>
            </w:pPr>
            <w:r w:rsidRPr="00271560">
              <w:t>Mortality (no SMA-specific mortality)</w:t>
            </w:r>
          </w:p>
        </w:tc>
      </w:tr>
      <w:tr w:rsidR="00AC2298" w:rsidRPr="00271560" w14:paraId="70ED6866"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B34ED34" w14:textId="77777777" w:rsidR="00AC2298" w:rsidRPr="00271560" w:rsidRDefault="00AC2298" w:rsidP="00353F8F">
            <w:pPr>
              <w:pStyle w:val="Tabletext"/>
              <w:keepNext/>
              <w:keepLines/>
            </w:pPr>
            <w:r w:rsidRPr="00271560">
              <w:t xml:space="preserve">16% per annum for Type 1 SMA (for 12 months) </w:t>
            </w:r>
          </w:p>
        </w:tc>
        <w:tc>
          <w:tcPr>
            <w:tcW w:w="1276" w:type="dxa"/>
            <w:tcBorders>
              <w:top w:val="nil"/>
              <w:left w:val="nil"/>
              <w:bottom w:val="single" w:sz="4" w:space="0" w:color="auto"/>
              <w:right w:val="single" w:sz="4" w:space="0" w:color="auto"/>
            </w:tcBorders>
            <w:shd w:val="clear" w:color="auto" w:fill="auto"/>
            <w:noWrap/>
            <w:vAlign w:val="center"/>
            <w:hideMark/>
          </w:tcPr>
          <w:p w14:paraId="287CADB2" w14:textId="6FA02A30"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20"/>
                <w14:textFill>
                  <w14:solidFill>
                    <w14:srgbClr w14:val="000000">
                      <w14:alpha w14:val="100000"/>
                    </w14:srgbClr>
                  </w14:solidFill>
                </w14:textFill>
              </w:rPr>
              <w:t xml:space="preserve">　</w:t>
            </w:r>
            <w:r w:rsidR="00546AD5" w:rsidRPr="00546AD5">
              <w:rPr>
                <w:color w:val="000000"/>
                <w:w w:val="15"/>
                <w:shd w:val="solid" w:color="000000" w:fill="000000"/>
                <w:fitText w:val="67" w:id="-1167898620"/>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20"/>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52205C48" w14:textId="77777777" w:rsidR="00AC2298" w:rsidRPr="00271560" w:rsidRDefault="00AC2298" w:rsidP="00353F8F">
            <w:pPr>
              <w:pStyle w:val="Tabletext"/>
              <w:keepNext/>
              <w:keepLines/>
              <w:jc w:val="center"/>
            </w:pPr>
            <w:r w:rsidRPr="00271560">
              <w:t>1.3306</w:t>
            </w:r>
          </w:p>
        </w:tc>
        <w:tc>
          <w:tcPr>
            <w:tcW w:w="993" w:type="dxa"/>
            <w:tcBorders>
              <w:top w:val="nil"/>
              <w:left w:val="nil"/>
              <w:bottom w:val="single" w:sz="4" w:space="0" w:color="auto"/>
              <w:right w:val="single" w:sz="4" w:space="0" w:color="auto"/>
            </w:tcBorders>
            <w:shd w:val="clear" w:color="auto" w:fill="auto"/>
            <w:noWrap/>
            <w:vAlign w:val="center"/>
            <w:hideMark/>
          </w:tcPr>
          <w:p w14:paraId="3E810F19" w14:textId="46798427" w:rsidR="00AC2298" w:rsidRPr="00271560" w:rsidRDefault="00AC2298" w:rsidP="00353F8F">
            <w:pPr>
              <w:pStyle w:val="Tabletext"/>
              <w:keepNext/>
              <w:keepLines/>
              <w:jc w:val="center"/>
            </w:pPr>
            <w:r w:rsidRPr="00271560">
              <w:t>$</w:t>
            </w:r>
            <w:r w:rsidR="00546AD5" w:rsidRPr="00546AD5">
              <w:rPr>
                <w:color w:val="000000"/>
                <w:spacing w:val="47"/>
                <w:shd w:val="solid" w:color="000000" w:fill="000000"/>
                <w:fitText w:val="222" w:id="-1167898619"/>
                <w14:textFill>
                  <w14:solidFill>
                    <w14:srgbClr w14:val="000000">
                      <w14:alpha w14:val="100000"/>
                    </w14:srgbClr>
                  </w14:solidFill>
                </w14:textFill>
              </w:rPr>
              <w:t>||</w:t>
            </w:r>
            <w:r w:rsidR="00546AD5" w:rsidRPr="00546AD5">
              <w:rPr>
                <w:color w:val="000000"/>
                <w:spacing w:val="1"/>
                <w:shd w:val="solid" w:color="000000" w:fill="000000"/>
                <w:fitText w:val="222" w:id="-1167898619"/>
                <w14:textFill>
                  <w14:solidFill>
                    <w14:srgbClr w14:val="000000">
                      <w14:alpha w14:val="100000"/>
                    </w14:srgbClr>
                  </w14:solidFill>
                </w14:textFill>
              </w:rPr>
              <w:t>|</w:t>
            </w:r>
            <w:r w:rsidR="00A7669D">
              <w:rPr>
                <w:b/>
                <w:bCs/>
                <w:vertAlign w:val="superscript"/>
              </w:rPr>
              <w:t>1</w:t>
            </w:r>
          </w:p>
        </w:tc>
        <w:tc>
          <w:tcPr>
            <w:tcW w:w="992" w:type="dxa"/>
            <w:tcBorders>
              <w:top w:val="nil"/>
              <w:left w:val="nil"/>
              <w:bottom w:val="single" w:sz="4" w:space="0" w:color="auto"/>
              <w:right w:val="single" w:sz="4" w:space="0" w:color="auto"/>
            </w:tcBorders>
            <w:vAlign w:val="center"/>
          </w:tcPr>
          <w:p w14:paraId="782CFCDB" w14:textId="77777777" w:rsidR="00AC2298" w:rsidRPr="00271560" w:rsidRDefault="00AC2298" w:rsidP="00353F8F">
            <w:pPr>
              <w:pStyle w:val="Tabletext"/>
              <w:keepNext/>
              <w:keepLines/>
              <w:jc w:val="center"/>
            </w:pPr>
            <w:r w:rsidRPr="00271560">
              <w:t>+7.0%</w:t>
            </w:r>
          </w:p>
        </w:tc>
      </w:tr>
      <w:tr w:rsidR="00AC2298" w:rsidRPr="00271560" w14:paraId="3E08507F"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5ECB0139" w14:textId="77777777" w:rsidR="00AC2298" w:rsidRPr="00271560" w:rsidRDefault="00AC2298" w:rsidP="00353F8F">
            <w:pPr>
              <w:pStyle w:val="Tabletext"/>
              <w:keepNext/>
              <w:keepLines/>
            </w:pPr>
            <w:r w:rsidRPr="00271560">
              <w:t>16% per annum for Type 1 SMA (for life)</w:t>
            </w:r>
          </w:p>
        </w:tc>
        <w:tc>
          <w:tcPr>
            <w:tcW w:w="1276" w:type="dxa"/>
            <w:tcBorders>
              <w:top w:val="nil"/>
              <w:left w:val="nil"/>
              <w:bottom w:val="single" w:sz="4" w:space="0" w:color="auto"/>
              <w:right w:val="single" w:sz="4" w:space="0" w:color="auto"/>
            </w:tcBorders>
            <w:shd w:val="clear" w:color="auto" w:fill="auto"/>
            <w:noWrap/>
            <w:vAlign w:val="center"/>
          </w:tcPr>
          <w:p w14:paraId="2CFABE67" w14:textId="18BEFEBF"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18"/>
                <w14:textFill>
                  <w14:solidFill>
                    <w14:srgbClr w14:val="000000">
                      <w14:alpha w14:val="100000"/>
                    </w14:srgbClr>
                  </w14:solidFill>
                </w14:textFill>
              </w:rPr>
              <w:t xml:space="preserve">　</w:t>
            </w:r>
            <w:r w:rsidR="00546AD5" w:rsidRPr="00546AD5">
              <w:rPr>
                <w:color w:val="000000"/>
                <w:w w:val="15"/>
                <w:shd w:val="solid" w:color="000000" w:fill="000000"/>
                <w:fitText w:val="67" w:id="-1167898618"/>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18"/>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tcPr>
          <w:p w14:paraId="2A672EF7" w14:textId="77777777" w:rsidR="00AC2298" w:rsidRPr="00271560" w:rsidRDefault="00AC2298" w:rsidP="00353F8F">
            <w:pPr>
              <w:pStyle w:val="Tabletext"/>
              <w:keepNext/>
              <w:keepLines/>
              <w:jc w:val="center"/>
            </w:pPr>
            <w:r w:rsidRPr="00271560">
              <w:t>1.1904</w:t>
            </w:r>
          </w:p>
        </w:tc>
        <w:tc>
          <w:tcPr>
            <w:tcW w:w="993" w:type="dxa"/>
            <w:tcBorders>
              <w:top w:val="nil"/>
              <w:left w:val="nil"/>
              <w:bottom w:val="single" w:sz="4" w:space="0" w:color="auto"/>
              <w:right w:val="single" w:sz="4" w:space="0" w:color="auto"/>
            </w:tcBorders>
            <w:shd w:val="clear" w:color="auto" w:fill="auto"/>
            <w:noWrap/>
            <w:vAlign w:val="center"/>
          </w:tcPr>
          <w:p w14:paraId="53818063" w14:textId="7561CCF7" w:rsidR="00AC2298" w:rsidRPr="00A7669D" w:rsidRDefault="00AC2298" w:rsidP="00353F8F">
            <w:pPr>
              <w:pStyle w:val="Tabletext"/>
              <w:keepNext/>
              <w:keepLines/>
              <w:jc w:val="center"/>
              <w:rPr>
                <w:highlight w:val="darkGray"/>
              </w:rPr>
            </w:pPr>
            <w:r w:rsidRPr="00A7669D">
              <w:t>$</w:t>
            </w:r>
            <w:r w:rsidR="00546AD5" w:rsidRPr="00546AD5">
              <w:rPr>
                <w:color w:val="000000"/>
                <w:spacing w:val="47"/>
                <w:shd w:val="solid" w:color="000000" w:fill="000000"/>
                <w:fitText w:val="222" w:id="-1167898617"/>
                <w14:textFill>
                  <w14:solidFill>
                    <w14:srgbClr w14:val="000000">
                      <w14:alpha w14:val="100000"/>
                    </w14:srgbClr>
                  </w14:solidFill>
                </w14:textFill>
              </w:rPr>
              <w:t>||</w:t>
            </w:r>
            <w:r w:rsidR="00546AD5" w:rsidRPr="00546AD5">
              <w:rPr>
                <w:color w:val="000000"/>
                <w:spacing w:val="1"/>
                <w:shd w:val="solid" w:color="000000" w:fill="000000"/>
                <w:fitText w:val="222" w:id="-1167898617"/>
                <w14:textFill>
                  <w14:solidFill>
                    <w14:srgbClr w14:val="000000">
                      <w14:alpha w14:val="100000"/>
                    </w14:srgbClr>
                  </w14:solidFill>
                </w14:textFill>
              </w:rPr>
              <w:t>|</w:t>
            </w:r>
            <w:r w:rsidR="00A7669D" w:rsidRPr="00A7669D">
              <w:rPr>
                <w:b/>
                <w:bCs/>
                <w:vertAlign w:val="superscript"/>
              </w:rPr>
              <w:t>2</w:t>
            </w:r>
          </w:p>
        </w:tc>
        <w:tc>
          <w:tcPr>
            <w:tcW w:w="992" w:type="dxa"/>
            <w:tcBorders>
              <w:top w:val="nil"/>
              <w:left w:val="nil"/>
              <w:bottom w:val="single" w:sz="4" w:space="0" w:color="auto"/>
              <w:right w:val="single" w:sz="4" w:space="0" w:color="auto"/>
            </w:tcBorders>
            <w:vAlign w:val="center"/>
          </w:tcPr>
          <w:p w14:paraId="2A273AD2" w14:textId="77777777" w:rsidR="00AC2298" w:rsidRPr="00271560" w:rsidRDefault="00AC2298" w:rsidP="00353F8F">
            <w:pPr>
              <w:pStyle w:val="Tabletext"/>
              <w:keepNext/>
              <w:keepLines/>
              <w:jc w:val="center"/>
            </w:pPr>
            <w:r w:rsidRPr="00271560">
              <w:t>+26.9%</w:t>
            </w:r>
          </w:p>
        </w:tc>
      </w:tr>
      <w:tr w:rsidR="00AC2298" w:rsidRPr="00271560" w14:paraId="4DA9E31F" w14:textId="77777777" w:rsidTr="00222368">
        <w:trPr>
          <w:trHeight w:val="2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04F98B" w14:textId="3540F5FA" w:rsidR="00AC2298" w:rsidRPr="00271560" w:rsidRDefault="00AC2298" w:rsidP="00353F8F">
            <w:pPr>
              <w:pStyle w:val="Tabletext"/>
              <w:keepNext/>
              <w:keepLines/>
            </w:pPr>
            <w:r w:rsidRPr="00271560">
              <w:t>Time horizon (20 years in base case)</w:t>
            </w:r>
          </w:p>
        </w:tc>
        <w:tc>
          <w:tcPr>
            <w:tcW w:w="992" w:type="dxa"/>
            <w:tcBorders>
              <w:top w:val="single" w:sz="4" w:space="0" w:color="auto"/>
              <w:left w:val="single" w:sz="4" w:space="0" w:color="auto"/>
              <w:bottom w:val="single" w:sz="4" w:space="0" w:color="auto"/>
              <w:right w:val="single" w:sz="4" w:space="0" w:color="000000"/>
            </w:tcBorders>
            <w:vAlign w:val="center"/>
          </w:tcPr>
          <w:p w14:paraId="39E6286E" w14:textId="77777777" w:rsidR="00AC2298" w:rsidRPr="00271560" w:rsidRDefault="00AC2298" w:rsidP="00353F8F">
            <w:pPr>
              <w:pStyle w:val="Tabletext"/>
              <w:keepNext/>
              <w:keepLines/>
              <w:jc w:val="center"/>
            </w:pPr>
          </w:p>
        </w:tc>
      </w:tr>
      <w:tr w:rsidR="00AC2298" w:rsidRPr="00271560" w14:paraId="0BA47507" w14:textId="77777777" w:rsidTr="00222368">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12A97C4" w14:textId="77777777" w:rsidR="00AC2298" w:rsidRPr="00271560" w:rsidRDefault="00AC2298" w:rsidP="00353F8F">
            <w:pPr>
              <w:pStyle w:val="Tabletext"/>
              <w:keepNext/>
              <w:keepLines/>
            </w:pPr>
            <w:r w:rsidRPr="00271560">
              <w:t>10 years</w:t>
            </w:r>
          </w:p>
        </w:tc>
        <w:tc>
          <w:tcPr>
            <w:tcW w:w="1276" w:type="dxa"/>
            <w:tcBorders>
              <w:top w:val="nil"/>
              <w:left w:val="nil"/>
              <w:bottom w:val="single" w:sz="4" w:space="0" w:color="auto"/>
              <w:right w:val="single" w:sz="4" w:space="0" w:color="auto"/>
            </w:tcBorders>
            <w:shd w:val="clear" w:color="auto" w:fill="auto"/>
            <w:noWrap/>
            <w:vAlign w:val="center"/>
            <w:hideMark/>
          </w:tcPr>
          <w:p w14:paraId="4A0CF612" w14:textId="20A96837" w:rsidR="00AC2298" w:rsidRPr="00271560" w:rsidRDefault="00AC2298" w:rsidP="00353F8F">
            <w:pPr>
              <w:pStyle w:val="Tabletext"/>
              <w:keepNext/>
              <w:keepLines/>
              <w:jc w:val="center"/>
            </w:pPr>
            <w:r w:rsidRPr="00271560">
              <w:t>$</w:t>
            </w:r>
            <w:r w:rsidR="00546AD5" w:rsidRPr="00546AD5">
              <w:rPr>
                <w:rFonts w:hint="eastAsia"/>
                <w:color w:val="000000"/>
                <w:w w:val="15"/>
                <w:shd w:val="solid" w:color="000000" w:fill="000000"/>
                <w:fitText w:val="67" w:id="-1167898616"/>
                <w14:textFill>
                  <w14:solidFill>
                    <w14:srgbClr w14:val="000000">
                      <w14:alpha w14:val="100000"/>
                    </w14:srgbClr>
                  </w14:solidFill>
                </w14:textFill>
              </w:rPr>
              <w:t xml:space="preserve">　</w:t>
            </w:r>
            <w:r w:rsidR="00546AD5" w:rsidRPr="00546AD5">
              <w:rPr>
                <w:color w:val="000000"/>
                <w:w w:val="15"/>
                <w:shd w:val="solid" w:color="000000" w:fill="000000"/>
                <w:fitText w:val="67" w:id="-1167898616"/>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16"/>
                <w14:textFill>
                  <w14:solidFill>
                    <w14:srgbClr w14:val="000000">
                      <w14:alpha w14:val="100000"/>
                    </w14:srgbClr>
                  </w14:solidFill>
                </w14:textFill>
              </w:rPr>
              <w:t xml:space="preserve">　</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6E48EF65" w14:textId="77777777" w:rsidR="00AC2298" w:rsidRPr="00271560" w:rsidRDefault="00AC2298" w:rsidP="00353F8F">
            <w:pPr>
              <w:pStyle w:val="Tabletext"/>
              <w:keepNext/>
              <w:keepLines/>
              <w:jc w:val="center"/>
            </w:pPr>
            <w:r w:rsidRPr="00271560">
              <w:t>1.0284</w:t>
            </w:r>
          </w:p>
        </w:tc>
        <w:tc>
          <w:tcPr>
            <w:tcW w:w="993" w:type="dxa"/>
            <w:tcBorders>
              <w:top w:val="nil"/>
              <w:left w:val="nil"/>
              <w:bottom w:val="single" w:sz="4" w:space="0" w:color="auto"/>
              <w:right w:val="single" w:sz="4" w:space="0" w:color="auto"/>
            </w:tcBorders>
            <w:shd w:val="clear" w:color="auto" w:fill="auto"/>
            <w:noWrap/>
            <w:vAlign w:val="center"/>
            <w:hideMark/>
          </w:tcPr>
          <w:p w14:paraId="7F14F43E" w14:textId="54E8F1B5" w:rsidR="00AC2298" w:rsidRPr="00271560" w:rsidRDefault="00AC2298" w:rsidP="00353F8F">
            <w:pPr>
              <w:pStyle w:val="Tabletext"/>
              <w:keepNext/>
              <w:keepLines/>
              <w:jc w:val="center"/>
            </w:pPr>
            <w:r w:rsidRPr="00271560">
              <w:t>$</w:t>
            </w:r>
            <w:r w:rsidR="00546AD5" w:rsidRPr="00546AD5">
              <w:rPr>
                <w:color w:val="000000"/>
                <w:spacing w:val="47"/>
                <w:shd w:val="solid" w:color="000000" w:fill="000000"/>
                <w:fitText w:val="222" w:id="-1167898615"/>
                <w14:textFill>
                  <w14:solidFill>
                    <w14:srgbClr w14:val="000000">
                      <w14:alpha w14:val="100000"/>
                    </w14:srgbClr>
                  </w14:solidFill>
                </w14:textFill>
              </w:rPr>
              <w:t>||</w:t>
            </w:r>
            <w:r w:rsidR="00546AD5" w:rsidRPr="00546AD5">
              <w:rPr>
                <w:color w:val="000000"/>
                <w:spacing w:val="1"/>
                <w:shd w:val="solid" w:color="000000" w:fill="000000"/>
                <w:fitText w:val="222" w:id="-1167898615"/>
                <w14:textFill>
                  <w14:solidFill>
                    <w14:srgbClr w14:val="000000">
                      <w14:alpha w14:val="100000"/>
                    </w14:srgbClr>
                  </w14:solidFill>
                </w14:textFill>
              </w:rPr>
              <w:t>|</w:t>
            </w:r>
            <w:r w:rsidR="00A7669D">
              <w:rPr>
                <w:b/>
                <w:bCs/>
                <w:vertAlign w:val="superscript"/>
              </w:rPr>
              <w:t>2</w:t>
            </w:r>
          </w:p>
        </w:tc>
        <w:tc>
          <w:tcPr>
            <w:tcW w:w="992" w:type="dxa"/>
            <w:tcBorders>
              <w:top w:val="nil"/>
              <w:left w:val="nil"/>
              <w:bottom w:val="single" w:sz="4" w:space="0" w:color="auto"/>
              <w:right w:val="single" w:sz="4" w:space="0" w:color="auto"/>
            </w:tcBorders>
            <w:vAlign w:val="center"/>
          </w:tcPr>
          <w:p w14:paraId="61EAE6C8" w14:textId="77777777" w:rsidR="00AC2298" w:rsidRPr="00271560" w:rsidRDefault="00AC2298" w:rsidP="00353F8F">
            <w:pPr>
              <w:pStyle w:val="Tabletext"/>
              <w:keepNext/>
              <w:keepLines/>
              <w:jc w:val="center"/>
            </w:pPr>
            <w:r w:rsidRPr="00271560">
              <w:t>+41.1%</w:t>
            </w:r>
          </w:p>
        </w:tc>
      </w:tr>
      <w:tr w:rsidR="00AC2298" w:rsidRPr="00271560" w14:paraId="6F785D56" w14:textId="77777777" w:rsidTr="00EF7A55">
        <w:trPr>
          <w:trHeight w:val="20"/>
        </w:trPr>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2A5660" w14:textId="77777777" w:rsidR="00AC2298" w:rsidRPr="00271560" w:rsidRDefault="00AC2298" w:rsidP="00353F8F">
            <w:pPr>
              <w:pStyle w:val="Tabletext"/>
              <w:keepNext/>
              <w:keepLines/>
            </w:pPr>
            <w:r w:rsidRPr="00271560">
              <w:t>40 years</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564069A1" w14:textId="469836A6" w:rsidR="00AC2298" w:rsidRPr="00E971F7" w:rsidRDefault="00AC2298" w:rsidP="00353F8F">
            <w:pPr>
              <w:pStyle w:val="Tabletext"/>
              <w:keepNext/>
              <w:keepLines/>
              <w:jc w:val="center"/>
            </w:pPr>
            <w:r w:rsidRPr="00E971F7">
              <w:t>$</w:t>
            </w:r>
            <w:r w:rsidR="00546AD5" w:rsidRPr="00546AD5">
              <w:rPr>
                <w:rFonts w:hint="eastAsia"/>
                <w:color w:val="000000"/>
                <w:w w:val="15"/>
                <w:shd w:val="solid" w:color="000000" w:fill="000000"/>
                <w:fitText w:val="67" w:id="-1167898614"/>
                <w14:textFill>
                  <w14:solidFill>
                    <w14:srgbClr w14:val="000000">
                      <w14:alpha w14:val="100000"/>
                    </w14:srgbClr>
                  </w14:solidFill>
                </w14:textFill>
              </w:rPr>
              <w:t xml:space="preserve">　</w:t>
            </w:r>
            <w:r w:rsidR="00546AD5" w:rsidRPr="00546AD5">
              <w:rPr>
                <w:color w:val="000000"/>
                <w:w w:val="15"/>
                <w:shd w:val="solid" w:color="000000" w:fill="000000"/>
                <w:fitText w:val="67" w:id="-1167898614"/>
                <w14:textFill>
                  <w14:solidFill>
                    <w14:srgbClr w14:val="000000">
                      <w14:alpha w14:val="100000"/>
                    </w14:srgbClr>
                  </w14:solidFill>
                </w14:textFill>
              </w:rPr>
              <w:t>|</w:t>
            </w:r>
            <w:r w:rsidR="00546AD5" w:rsidRPr="00546AD5">
              <w:rPr>
                <w:rFonts w:hint="eastAsia"/>
                <w:color w:val="000000"/>
                <w:spacing w:val="1"/>
                <w:w w:val="15"/>
                <w:shd w:val="solid" w:color="000000" w:fill="000000"/>
                <w:fitText w:val="67" w:id="-1167898614"/>
                <w14:textFill>
                  <w14:solidFill>
                    <w14:srgbClr w14:val="000000">
                      <w14:alpha w14:val="100000"/>
                    </w14:srgbClr>
                  </w14:solidFill>
                </w14:textFill>
              </w:rPr>
              <w:t xml:space="preserve">　</w:t>
            </w:r>
          </w:p>
        </w:tc>
        <w:tc>
          <w:tcPr>
            <w:tcW w:w="127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0212DA5" w14:textId="77777777" w:rsidR="00AC2298" w:rsidRPr="00E971F7" w:rsidRDefault="00AC2298" w:rsidP="00353F8F">
            <w:pPr>
              <w:pStyle w:val="Tabletext"/>
              <w:keepNext/>
              <w:keepLines/>
              <w:jc w:val="center"/>
            </w:pPr>
            <w:r w:rsidRPr="00E971F7">
              <w:t>1.4035</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14:paraId="13E0B27D" w14:textId="79F56654" w:rsidR="00AC2298" w:rsidRPr="00E971F7" w:rsidRDefault="00AC2298" w:rsidP="00353F8F">
            <w:pPr>
              <w:pStyle w:val="Tabletext"/>
              <w:keepNext/>
              <w:keepLines/>
              <w:jc w:val="center"/>
            </w:pPr>
            <w:r w:rsidRPr="00E971F7">
              <w:t>$</w:t>
            </w:r>
            <w:r w:rsidR="00546AD5" w:rsidRPr="00546AD5">
              <w:rPr>
                <w:color w:val="000000"/>
                <w:spacing w:val="47"/>
                <w:shd w:val="solid" w:color="000000" w:fill="000000"/>
                <w:fitText w:val="222" w:id="-1167898613"/>
                <w14:textFill>
                  <w14:solidFill>
                    <w14:srgbClr w14:val="000000">
                      <w14:alpha w14:val="100000"/>
                    </w14:srgbClr>
                  </w14:solidFill>
                </w14:textFill>
              </w:rPr>
              <w:t>||</w:t>
            </w:r>
            <w:r w:rsidR="00546AD5" w:rsidRPr="00546AD5">
              <w:rPr>
                <w:color w:val="000000"/>
                <w:spacing w:val="1"/>
                <w:shd w:val="solid" w:color="000000" w:fill="000000"/>
                <w:fitText w:val="222" w:id="-1167898613"/>
                <w14:textFill>
                  <w14:solidFill>
                    <w14:srgbClr w14:val="000000">
                      <w14:alpha w14:val="100000"/>
                    </w14:srgbClr>
                  </w14:solidFill>
                </w14:textFill>
              </w:rPr>
              <w:t>|</w:t>
            </w:r>
            <w:r w:rsidR="00A7669D">
              <w:rPr>
                <w:b/>
                <w:bCs/>
                <w:vertAlign w:val="superscript"/>
              </w:rPr>
              <w:t>1</w:t>
            </w:r>
          </w:p>
        </w:tc>
        <w:tc>
          <w:tcPr>
            <w:tcW w:w="992" w:type="dxa"/>
            <w:tcBorders>
              <w:top w:val="single" w:sz="4" w:space="0" w:color="auto"/>
              <w:left w:val="single" w:sz="4" w:space="0" w:color="auto"/>
              <w:bottom w:val="single" w:sz="4" w:space="0" w:color="auto"/>
              <w:right w:val="single" w:sz="4" w:space="0" w:color="000000"/>
            </w:tcBorders>
            <w:vAlign w:val="center"/>
          </w:tcPr>
          <w:p w14:paraId="2E2C2AF2" w14:textId="77777777" w:rsidR="00AC2298" w:rsidRPr="0047421B" w:rsidRDefault="00AC2298" w:rsidP="00353F8F">
            <w:pPr>
              <w:pStyle w:val="Tabletext"/>
              <w:keepNext/>
              <w:keepLines/>
              <w:jc w:val="center"/>
            </w:pPr>
            <w:r w:rsidRPr="0047421B">
              <w:t>+9.4%</w:t>
            </w:r>
          </w:p>
        </w:tc>
      </w:tr>
      <w:tr w:rsidR="00EF7A55" w:rsidRPr="00271560" w14:paraId="7E3E12E9" w14:textId="77777777" w:rsidTr="00EF7A55">
        <w:trPr>
          <w:trHeight w:val="20"/>
        </w:trPr>
        <w:tc>
          <w:tcPr>
            <w:tcW w:w="6799" w:type="dxa"/>
            <w:gridSpan w:val="3"/>
            <w:tcBorders>
              <w:top w:val="single" w:sz="4" w:space="0" w:color="auto"/>
              <w:left w:val="single" w:sz="4" w:space="0" w:color="auto"/>
              <w:bottom w:val="single" w:sz="4" w:space="0" w:color="auto"/>
            </w:tcBorders>
            <w:shd w:val="clear" w:color="auto" w:fill="auto"/>
            <w:noWrap/>
            <w:vAlign w:val="center"/>
          </w:tcPr>
          <w:p w14:paraId="01BB6517" w14:textId="2E6863C4" w:rsidR="00EF7A55" w:rsidRPr="00271560" w:rsidRDefault="00EF7A55" w:rsidP="00353F8F">
            <w:pPr>
              <w:pStyle w:val="Tabletext"/>
              <w:keepNext/>
              <w:keepLines/>
            </w:pPr>
            <w:r>
              <w:t xml:space="preserve">Type IV SMA (base case assumes no patients with 3 </w:t>
            </w:r>
            <w:r w:rsidRPr="00C90081">
              <w:rPr>
                <w:i/>
                <w:iCs/>
              </w:rPr>
              <w:t>SMN2</w:t>
            </w:r>
            <w:r>
              <w:t xml:space="preserve"> copies develop type IV SMA)</w:t>
            </w:r>
          </w:p>
        </w:tc>
        <w:tc>
          <w:tcPr>
            <w:tcW w:w="284" w:type="dxa"/>
            <w:tcBorders>
              <w:top w:val="single" w:sz="4" w:space="0" w:color="auto"/>
              <w:bottom w:val="single" w:sz="4" w:space="0" w:color="auto"/>
            </w:tcBorders>
            <w:shd w:val="clear" w:color="auto" w:fill="auto"/>
            <w:vAlign w:val="center"/>
          </w:tcPr>
          <w:p w14:paraId="0D21D2CA" w14:textId="77777777" w:rsidR="00EF7A55" w:rsidRPr="00271560" w:rsidRDefault="00EF7A55" w:rsidP="00353F8F">
            <w:pPr>
              <w:pStyle w:val="Tabletext"/>
              <w:keepNext/>
              <w:keepLines/>
              <w:jc w:val="center"/>
              <w:rPr>
                <w:i/>
                <w:iCs/>
              </w:rPr>
            </w:pPr>
          </w:p>
        </w:tc>
        <w:tc>
          <w:tcPr>
            <w:tcW w:w="283" w:type="dxa"/>
            <w:tcBorders>
              <w:top w:val="single" w:sz="4" w:space="0" w:color="auto"/>
              <w:bottom w:val="single" w:sz="4" w:space="0" w:color="auto"/>
            </w:tcBorders>
            <w:shd w:val="clear" w:color="auto" w:fill="auto"/>
            <w:vAlign w:val="center"/>
          </w:tcPr>
          <w:p w14:paraId="65A04209" w14:textId="77777777" w:rsidR="00EF7A55" w:rsidRPr="00271560" w:rsidRDefault="00EF7A55" w:rsidP="00353F8F">
            <w:pPr>
              <w:pStyle w:val="Tabletext"/>
              <w:keepNext/>
              <w:keepLines/>
              <w:jc w:val="center"/>
            </w:pPr>
          </w:p>
        </w:tc>
        <w:tc>
          <w:tcPr>
            <w:tcW w:w="993" w:type="dxa"/>
            <w:tcBorders>
              <w:top w:val="single" w:sz="4" w:space="0" w:color="auto"/>
              <w:bottom w:val="single" w:sz="4" w:space="0" w:color="auto"/>
            </w:tcBorders>
            <w:shd w:val="clear" w:color="auto" w:fill="auto"/>
            <w:vAlign w:val="center"/>
          </w:tcPr>
          <w:p w14:paraId="50123C02" w14:textId="77777777" w:rsidR="00EF7A55" w:rsidRPr="00271560" w:rsidRDefault="00EF7A55" w:rsidP="00353F8F">
            <w:pPr>
              <w:pStyle w:val="Tabletext"/>
              <w:keepNext/>
              <w:keepLines/>
              <w:jc w:val="center"/>
              <w:rPr>
                <w:i/>
                <w:iCs/>
              </w:rPr>
            </w:pPr>
          </w:p>
        </w:tc>
        <w:tc>
          <w:tcPr>
            <w:tcW w:w="992" w:type="dxa"/>
            <w:tcBorders>
              <w:top w:val="single" w:sz="4" w:space="0" w:color="auto"/>
              <w:bottom w:val="single" w:sz="4" w:space="0" w:color="auto"/>
              <w:right w:val="single" w:sz="4" w:space="0" w:color="auto"/>
            </w:tcBorders>
            <w:vAlign w:val="center"/>
          </w:tcPr>
          <w:p w14:paraId="66950718" w14:textId="77777777" w:rsidR="00EF7A55" w:rsidRPr="0047421B" w:rsidRDefault="00EF7A55" w:rsidP="00353F8F">
            <w:pPr>
              <w:pStyle w:val="Tabletext"/>
              <w:keepNext/>
              <w:keepLines/>
              <w:jc w:val="center"/>
            </w:pPr>
          </w:p>
        </w:tc>
      </w:tr>
      <w:tr w:rsidR="00AC2298" w:rsidRPr="00271560" w14:paraId="6CC39235" w14:textId="77777777" w:rsidTr="00EF7A55">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238A8" w14:textId="69666C45" w:rsidR="00AC2298" w:rsidRPr="0067202A" w:rsidRDefault="00AC2298" w:rsidP="00353F8F">
            <w:pPr>
              <w:pStyle w:val="Tabletext"/>
              <w:keepNext/>
              <w:keepLines/>
              <w:rPr>
                <w:vertAlign w:val="superscript"/>
              </w:rPr>
            </w:pPr>
            <w:r w:rsidRPr="0067202A">
              <w:t xml:space="preserve">Assume 1% of patients with 3 copies </w:t>
            </w:r>
            <w:r w:rsidRPr="00EF7A55">
              <w:rPr>
                <w:i/>
                <w:iCs/>
              </w:rPr>
              <w:t>SMN2</w:t>
            </w:r>
            <w:r w:rsidRPr="0067202A">
              <w:t xml:space="preserve"> will develop Type IV SMA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743A02" w14:textId="095C6865" w:rsidR="00AC2298" w:rsidRPr="0067202A" w:rsidRDefault="00AC2298" w:rsidP="00353F8F">
            <w:pPr>
              <w:pStyle w:val="Tabletext"/>
              <w:keepNext/>
              <w:keepLines/>
              <w:jc w:val="center"/>
              <w:rPr>
                <w:szCs w:val="20"/>
              </w:rPr>
            </w:pPr>
            <w:r w:rsidRPr="0067202A">
              <w:rPr>
                <w:szCs w:val="20"/>
              </w:rPr>
              <w:t>$</w:t>
            </w:r>
            <w:r w:rsidR="00546AD5" w:rsidRPr="00546AD5">
              <w:rPr>
                <w:rFonts w:hint="eastAsia"/>
                <w:color w:val="000000"/>
                <w:w w:val="15"/>
                <w:szCs w:val="20"/>
                <w:shd w:val="solid" w:color="000000" w:fill="000000"/>
                <w:fitText w:val="67" w:id="-1167898612"/>
                <w14:textFill>
                  <w14:solidFill>
                    <w14:srgbClr w14:val="000000">
                      <w14:alpha w14:val="100000"/>
                    </w14:srgbClr>
                  </w14:solidFill>
                </w14:textFill>
              </w:rPr>
              <w:t xml:space="preserve">　</w:t>
            </w:r>
            <w:r w:rsidR="00546AD5" w:rsidRPr="00546AD5">
              <w:rPr>
                <w:color w:val="000000"/>
                <w:w w:val="15"/>
                <w:szCs w:val="20"/>
                <w:shd w:val="solid" w:color="000000" w:fill="000000"/>
                <w:fitText w:val="67" w:id="-1167898612"/>
                <w14:textFill>
                  <w14:solidFill>
                    <w14:srgbClr w14:val="000000">
                      <w14:alpha w14:val="100000"/>
                    </w14:srgbClr>
                  </w14:solidFill>
                </w14:textFill>
              </w:rPr>
              <w:t>|</w:t>
            </w:r>
            <w:r w:rsidR="00546AD5" w:rsidRPr="00546AD5">
              <w:rPr>
                <w:rFonts w:hint="eastAsia"/>
                <w:color w:val="000000"/>
                <w:spacing w:val="1"/>
                <w:w w:val="15"/>
                <w:szCs w:val="20"/>
                <w:shd w:val="solid" w:color="000000" w:fill="000000"/>
                <w:fitText w:val="67" w:id="-1167898612"/>
                <w14:textFill>
                  <w14:solidFill>
                    <w14:srgbClr w14:val="000000">
                      <w14:alpha w14:val="100000"/>
                    </w14:srgbClr>
                  </w14:solidFill>
                </w14:textFill>
              </w:rPr>
              <w:t xml:space="preserve">　</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tcPr>
          <w:p w14:paraId="26E22250" w14:textId="77777777" w:rsidR="00AC2298" w:rsidRPr="0067202A" w:rsidRDefault="00AC2298" w:rsidP="00353F8F">
            <w:pPr>
              <w:pStyle w:val="Tabletext"/>
              <w:keepNext/>
              <w:keepLines/>
              <w:jc w:val="center"/>
              <w:rPr>
                <w:szCs w:val="20"/>
              </w:rPr>
            </w:pPr>
            <w:r w:rsidRPr="0067202A">
              <w:rPr>
                <w:szCs w:val="20"/>
              </w:rPr>
              <w:t>1.3720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C4B2AC2" w14:textId="18D221C5" w:rsidR="00AC2298" w:rsidRPr="0067202A" w:rsidRDefault="00AC2298" w:rsidP="00353F8F">
            <w:pPr>
              <w:pStyle w:val="Tabletext"/>
              <w:keepNext/>
              <w:keepLines/>
              <w:jc w:val="center"/>
              <w:rPr>
                <w:szCs w:val="20"/>
              </w:rPr>
            </w:pPr>
            <w:r w:rsidRPr="0067202A">
              <w:rPr>
                <w:szCs w:val="20"/>
              </w:rPr>
              <w:t>$</w:t>
            </w:r>
            <w:r w:rsidR="00546AD5" w:rsidRPr="00546AD5">
              <w:rPr>
                <w:color w:val="000000"/>
                <w:spacing w:val="47"/>
                <w:szCs w:val="20"/>
                <w:shd w:val="solid" w:color="000000" w:fill="000000"/>
                <w:fitText w:val="222" w:id="-1167898611"/>
                <w14:textFill>
                  <w14:solidFill>
                    <w14:srgbClr w14:val="000000">
                      <w14:alpha w14:val="100000"/>
                    </w14:srgbClr>
                  </w14:solidFill>
                </w14:textFill>
              </w:rPr>
              <w:t>||</w:t>
            </w:r>
            <w:r w:rsidR="00546AD5" w:rsidRPr="00546AD5">
              <w:rPr>
                <w:color w:val="000000"/>
                <w:spacing w:val="1"/>
                <w:szCs w:val="20"/>
                <w:shd w:val="solid" w:color="000000" w:fill="000000"/>
                <w:fitText w:val="222" w:id="-1167898611"/>
                <w14:textFill>
                  <w14:solidFill>
                    <w14:srgbClr w14:val="000000">
                      <w14:alpha w14:val="100000"/>
                    </w14:srgbClr>
                  </w14:solidFill>
                </w14:textFill>
              </w:rPr>
              <w:t>|</w:t>
            </w:r>
            <w:r w:rsidR="00A7669D">
              <w:rPr>
                <w:b/>
                <w:bCs/>
                <w:vertAlign w:val="superscript"/>
              </w:rPr>
              <w:t>1</w:t>
            </w:r>
          </w:p>
        </w:tc>
        <w:tc>
          <w:tcPr>
            <w:tcW w:w="992" w:type="dxa"/>
            <w:tcBorders>
              <w:top w:val="single" w:sz="4" w:space="0" w:color="auto"/>
              <w:left w:val="nil"/>
              <w:bottom w:val="single" w:sz="4" w:space="0" w:color="auto"/>
              <w:right w:val="single" w:sz="4" w:space="0" w:color="auto"/>
            </w:tcBorders>
            <w:vAlign w:val="center"/>
          </w:tcPr>
          <w:p w14:paraId="7AB42A31" w14:textId="77777777" w:rsidR="00AC2298" w:rsidRPr="0067202A" w:rsidRDefault="00AC2298" w:rsidP="00353F8F">
            <w:pPr>
              <w:pStyle w:val="Tabletext"/>
              <w:keepNext/>
              <w:keepLines/>
              <w:jc w:val="center"/>
              <w:rPr>
                <w:szCs w:val="20"/>
              </w:rPr>
            </w:pPr>
            <w:r w:rsidRPr="0067202A">
              <w:rPr>
                <w:szCs w:val="20"/>
              </w:rPr>
              <w:t>+12.0%</w:t>
            </w:r>
          </w:p>
        </w:tc>
      </w:tr>
    </w:tbl>
    <w:p w14:paraId="25CCF790" w14:textId="77777777" w:rsidR="00AC2298" w:rsidRPr="00271560" w:rsidRDefault="00AC2298" w:rsidP="00353F8F">
      <w:pPr>
        <w:pStyle w:val="TableFooter"/>
        <w:keepNext/>
        <w:keepLines/>
      </w:pPr>
      <w:bookmarkStart w:id="70" w:name="_Hlk132559417"/>
      <w:r w:rsidRPr="00271560">
        <w:t>Source: Table 3.32, p162 of the resubmission; Cost utility analysis (CUA) workbook (Section 3).xlsx</w:t>
      </w:r>
    </w:p>
    <w:bookmarkEnd w:id="70"/>
    <w:p w14:paraId="43420FFA" w14:textId="77777777" w:rsidR="00AC2298" w:rsidRPr="00271560" w:rsidRDefault="00AC2298" w:rsidP="00353F8F">
      <w:pPr>
        <w:pStyle w:val="TableFooter"/>
        <w:keepNext/>
        <w:keepLines/>
      </w:pPr>
      <w:r w:rsidRPr="00271560">
        <w:t>AE = adverse events ICER = incremental cost-effectiveness ratio; QALY = quality adjusted life year; SMN = survival of motor neuron.</w:t>
      </w:r>
    </w:p>
    <w:p w14:paraId="586BBA4B" w14:textId="06B4441F" w:rsidR="00AC2298" w:rsidRDefault="00AC2298" w:rsidP="00A7669D">
      <w:pPr>
        <w:pStyle w:val="TableFooter"/>
        <w:keepLines/>
      </w:pPr>
      <w:r w:rsidRPr="00271560">
        <w:t>a SoC arm: pre-symptomatic = $0, symptomatic = $14,379.72. Treatment arm: pre-symptomatic = $0, symptomatic = $11,503.78 (linearly increasing to $14,379.72 over 20 years).</w:t>
      </w:r>
    </w:p>
    <w:p w14:paraId="1FE18808" w14:textId="77777777" w:rsidR="00A7669D" w:rsidRPr="009A6D58" w:rsidRDefault="00A7669D" w:rsidP="00A7669D">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A2C6037" w14:textId="06A38691" w:rsidR="00A7669D" w:rsidRPr="009A6D58" w:rsidRDefault="00A7669D" w:rsidP="00A7669D">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57332">
        <w:rPr>
          <w:rFonts w:ascii="Arial Narrow" w:hAnsi="Arial Narrow"/>
          <w:i/>
          <w:sz w:val="18"/>
          <w:szCs w:val="18"/>
        </w:rPr>
        <w:t>$155,000 to &lt; $255,000</w:t>
      </w:r>
      <w:r>
        <w:rPr>
          <w:rFonts w:ascii="Arial Narrow" w:hAnsi="Arial Narrow"/>
          <w:i/>
          <w:sz w:val="18"/>
          <w:szCs w:val="18"/>
        </w:rPr>
        <w:t xml:space="preserve"> </w:t>
      </w:r>
    </w:p>
    <w:p w14:paraId="0373F87F" w14:textId="3D581877" w:rsidR="00A7669D" w:rsidRPr="009A6D58" w:rsidRDefault="00A7669D" w:rsidP="00A7669D">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57332">
        <w:rPr>
          <w:rFonts w:ascii="Arial Narrow" w:hAnsi="Arial Narrow"/>
          <w:i/>
          <w:sz w:val="18"/>
          <w:szCs w:val="18"/>
        </w:rPr>
        <w:t>$255,000 to &lt; $355,000</w:t>
      </w:r>
    </w:p>
    <w:p w14:paraId="1310E3CD" w14:textId="352A8279" w:rsidR="00A7669D" w:rsidRDefault="00A7669D" w:rsidP="00A7669D">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57332">
        <w:rPr>
          <w:rFonts w:ascii="Arial Narrow" w:hAnsi="Arial Narrow"/>
          <w:i/>
          <w:sz w:val="18"/>
          <w:szCs w:val="18"/>
        </w:rPr>
        <w:t>$355,000 to &lt; $455,000</w:t>
      </w:r>
    </w:p>
    <w:p w14:paraId="09FFE3C7" w14:textId="542A9C93" w:rsidR="00A7669D" w:rsidRDefault="00A7669D" w:rsidP="00A7669D">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57332">
        <w:rPr>
          <w:rFonts w:ascii="Arial Narrow" w:hAnsi="Arial Narrow"/>
          <w:i/>
          <w:sz w:val="18"/>
          <w:szCs w:val="18"/>
        </w:rPr>
        <w:t>$95,000 to &lt; $115,000</w:t>
      </w:r>
    </w:p>
    <w:p w14:paraId="38D1F487" w14:textId="045C5254" w:rsidR="00A7669D" w:rsidRDefault="00A7669D" w:rsidP="00A7669D">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57332">
        <w:rPr>
          <w:rFonts w:ascii="Arial Narrow" w:hAnsi="Arial Narrow"/>
          <w:i/>
          <w:sz w:val="18"/>
          <w:szCs w:val="18"/>
        </w:rPr>
        <w:t>$855,000 to &lt; $955,000</w:t>
      </w:r>
    </w:p>
    <w:p w14:paraId="68BF8928" w14:textId="6D9E1019" w:rsidR="00AC2298" w:rsidRPr="00271560" w:rsidRDefault="00AC2298" w:rsidP="00AC2298">
      <w:pPr>
        <w:pStyle w:val="3-BodyText"/>
      </w:pPr>
      <w:r w:rsidRPr="00271560">
        <w:t xml:space="preserve">During the evaluation, additional sensitivity analyses were conducted </w:t>
      </w:r>
      <w:r w:rsidR="00E565E4">
        <w:t xml:space="preserve">around </w:t>
      </w:r>
      <w:r w:rsidRPr="00271560">
        <w:t xml:space="preserve">the revised base case in which the data from Sarv 2021 was incorporated in the distribution of SMA type and </w:t>
      </w:r>
      <w:r w:rsidRPr="006B15CA">
        <w:rPr>
          <w:i/>
          <w:iCs/>
        </w:rPr>
        <w:t>SMN2</w:t>
      </w:r>
      <w:r w:rsidRPr="00271560">
        <w:t xml:space="preserve"> copy number. This is presented in </w:t>
      </w:r>
      <w:r w:rsidRPr="00271560">
        <w:fldChar w:fldCharType="begin" w:fldLock="1"/>
      </w:r>
      <w:r w:rsidRPr="00271560">
        <w:instrText xml:space="preserve"> REF _Ref132570859 \h </w:instrText>
      </w:r>
      <w:r w:rsidRPr="00271560">
        <w:fldChar w:fldCharType="separate"/>
      </w:r>
      <w:r w:rsidR="000825A0" w:rsidRPr="00271560">
        <w:t xml:space="preserve">Table </w:t>
      </w:r>
      <w:r w:rsidR="000825A0">
        <w:rPr>
          <w:noProof/>
        </w:rPr>
        <w:t>18</w:t>
      </w:r>
      <w:r w:rsidRPr="00271560">
        <w:fldChar w:fldCharType="end"/>
      </w:r>
      <w:r w:rsidRPr="00271560">
        <w:t>.</w:t>
      </w:r>
    </w:p>
    <w:p w14:paraId="16FDA072" w14:textId="0B8946D1" w:rsidR="00AC2298" w:rsidRPr="00271560" w:rsidRDefault="00AC2298" w:rsidP="00D61604">
      <w:pPr>
        <w:pStyle w:val="Caption"/>
      </w:pPr>
      <w:bookmarkStart w:id="71" w:name="_Ref132570859"/>
      <w:r w:rsidRPr="00271560">
        <w:lastRenderedPageBreak/>
        <w:t xml:space="preserve">Table </w:t>
      </w:r>
      <w:fldSimple w:instr=" SEQ Table \* ARABIC " w:fldLock="1">
        <w:r w:rsidR="0038407B">
          <w:rPr>
            <w:noProof/>
          </w:rPr>
          <w:t>18</w:t>
        </w:r>
      </w:fldSimple>
      <w:bookmarkEnd w:id="71"/>
      <w:r w:rsidRPr="00271560">
        <w:t>: Sensitivity analyses results for revised base case</w:t>
      </w:r>
    </w:p>
    <w:tbl>
      <w:tblPr>
        <w:tblW w:w="5000" w:type="pct"/>
        <w:tblLayout w:type="fixed"/>
        <w:tblLook w:val="04A0" w:firstRow="1" w:lastRow="0" w:firstColumn="1" w:lastColumn="0" w:noHBand="0" w:noVBand="1"/>
        <w:tblCaption w:val="Table 18: Sensitivity analyses results for revised base case"/>
      </w:tblPr>
      <w:tblGrid>
        <w:gridCol w:w="4628"/>
        <w:gridCol w:w="1233"/>
        <w:gridCol w:w="1232"/>
        <w:gridCol w:w="962"/>
        <w:gridCol w:w="961"/>
      </w:tblGrid>
      <w:tr w:rsidR="00AC2298" w:rsidRPr="00271560" w14:paraId="27225CDC" w14:textId="77777777" w:rsidTr="007D2040">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0F1E2" w14:textId="77777777" w:rsidR="00AC2298" w:rsidRPr="00271560" w:rsidRDefault="00AC2298" w:rsidP="00D61604">
            <w:pPr>
              <w:pStyle w:val="In-tableHeading"/>
              <w:keepLines/>
              <w:rPr>
                <w:lang w:val="en-AU"/>
              </w:rPr>
            </w:pPr>
            <w:r w:rsidRPr="00271560">
              <w:rPr>
                <w:lang w:val="en-AU"/>
              </w:rPr>
              <w:t>Description of sensitivity analysis (base case)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4C34FC" w14:textId="77777777" w:rsidR="00AC2298" w:rsidRPr="00271560" w:rsidRDefault="00AC2298" w:rsidP="00D61604">
            <w:pPr>
              <w:pStyle w:val="In-tableHeading"/>
              <w:keepLines/>
              <w:jc w:val="center"/>
              <w:rPr>
                <w:lang w:val="en-AU"/>
              </w:rPr>
            </w:pPr>
            <w:r w:rsidRPr="00271560">
              <w:rPr>
                <w:lang w:val="en-AU"/>
              </w:rPr>
              <w:t>Incremental costs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C995EC6" w14:textId="77777777" w:rsidR="00AC2298" w:rsidRPr="00271560" w:rsidRDefault="00AC2298" w:rsidP="00D61604">
            <w:pPr>
              <w:pStyle w:val="In-tableHeading"/>
              <w:keepLines/>
              <w:jc w:val="center"/>
              <w:rPr>
                <w:lang w:val="en-AU"/>
              </w:rPr>
            </w:pPr>
            <w:r w:rsidRPr="00271560">
              <w:rPr>
                <w:lang w:val="en-AU"/>
              </w:rPr>
              <w:t>Incremental QALYs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2D58063" w14:textId="77777777" w:rsidR="00AC2298" w:rsidRPr="00271560" w:rsidRDefault="00AC2298" w:rsidP="00D61604">
            <w:pPr>
              <w:pStyle w:val="In-tableHeading"/>
              <w:keepLines/>
              <w:jc w:val="center"/>
              <w:rPr>
                <w:lang w:val="en-AU"/>
              </w:rPr>
            </w:pPr>
            <w:r w:rsidRPr="00271560">
              <w:rPr>
                <w:lang w:val="en-AU"/>
              </w:rPr>
              <w:t>ICER</w:t>
            </w:r>
          </w:p>
        </w:tc>
        <w:tc>
          <w:tcPr>
            <w:tcW w:w="992" w:type="dxa"/>
            <w:tcBorders>
              <w:top w:val="single" w:sz="4" w:space="0" w:color="auto"/>
              <w:left w:val="nil"/>
              <w:bottom w:val="single" w:sz="4" w:space="0" w:color="auto"/>
              <w:right w:val="single" w:sz="4" w:space="0" w:color="auto"/>
            </w:tcBorders>
            <w:vAlign w:val="center"/>
          </w:tcPr>
          <w:p w14:paraId="13AB211F" w14:textId="77777777" w:rsidR="00AC2298" w:rsidRPr="00271560" w:rsidRDefault="00AC2298" w:rsidP="00D61604">
            <w:pPr>
              <w:pStyle w:val="In-tableHeading"/>
              <w:keepLines/>
              <w:jc w:val="center"/>
              <w:rPr>
                <w:lang w:val="en-AU"/>
              </w:rPr>
            </w:pPr>
            <w:r w:rsidRPr="00271560">
              <w:rPr>
                <w:szCs w:val="20"/>
                <w:lang w:val="en-AU"/>
              </w:rPr>
              <w:t xml:space="preserve">%Δ </w:t>
            </w:r>
            <w:r w:rsidRPr="00271560">
              <w:rPr>
                <w:szCs w:val="20"/>
                <w:vertAlign w:val="superscript"/>
                <w:lang w:val="en-AU"/>
              </w:rPr>
              <w:t>a</w:t>
            </w:r>
          </w:p>
        </w:tc>
      </w:tr>
      <w:tr w:rsidR="00AC2298" w:rsidRPr="00271560" w14:paraId="2601B045" w14:textId="77777777" w:rsidTr="007D2040">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C51190B" w14:textId="77777777" w:rsidR="00AC2298" w:rsidRPr="00271560" w:rsidRDefault="00AC2298" w:rsidP="00D61604">
            <w:pPr>
              <w:pStyle w:val="Tabletext"/>
              <w:keepNext/>
              <w:keepLines/>
              <w:rPr>
                <w:b/>
                <w:bCs/>
              </w:rPr>
            </w:pPr>
            <w:r w:rsidRPr="00271560">
              <w:rPr>
                <w:b/>
                <w:bCs/>
              </w:rPr>
              <w:t>Base case (as presented in the resubmission)</w:t>
            </w:r>
          </w:p>
        </w:tc>
        <w:tc>
          <w:tcPr>
            <w:tcW w:w="1276" w:type="dxa"/>
            <w:tcBorders>
              <w:top w:val="nil"/>
              <w:left w:val="nil"/>
              <w:bottom w:val="single" w:sz="4" w:space="0" w:color="auto"/>
              <w:right w:val="single" w:sz="4" w:space="0" w:color="auto"/>
            </w:tcBorders>
            <w:shd w:val="clear" w:color="auto" w:fill="auto"/>
            <w:noWrap/>
            <w:vAlign w:val="center"/>
            <w:hideMark/>
          </w:tcPr>
          <w:p w14:paraId="7E3AB2E1" w14:textId="35FEC6AF" w:rsidR="00AC2298" w:rsidRPr="00271560" w:rsidRDefault="00AC2298" w:rsidP="00D61604">
            <w:pPr>
              <w:pStyle w:val="Tabletext"/>
              <w:keepNext/>
              <w:keepLines/>
              <w:jc w:val="center"/>
              <w:rPr>
                <w:b/>
                <w:bCs/>
              </w:rPr>
            </w:pPr>
            <w:r w:rsidRPr="00271560">
              <w:rPr>
                <w:b/>
                <w:bCs/>
              </w:rPr>
              <w:t>$</w:t>
            </w:r>
            <w:r w:rsidR="00546AD5" w:rsidRPr="00546AD5">
              <w:rPr>
                <w:rFonts w:hint="eastAsia"/>
                <w:b/>
                <w:bCs/>
                <w:color w:val="000000"/>
                <w:w w:val="29"/>
                <w:shd w:val="solid" w:color="000000" w:fill="000000"/>
                <w:fitText w:val="133" w:id="-1167898610"/>
                <w14:textFill>
                  <w14:solidFill>
                    <w14:srgbClr w14:val="000000">
                      <w14:alpha w14:val="100000"/>
                    </w14:srgbClr>
                  </w14:solidFill>
                </w14:textFill>
              </w:rPr>
              <w:t xml:space="preserve">　</w:t>
            </w:r>
            <w:r w:rsidR="00546AD5" w:rsidRPr="00546AD5">
              <w:rPr>
                <w:b/>
                <w:bCs/>
                <w:color w:val="000000"/>
                <w:w w:val="29"/>
                <w:shd w:val="solid" w:color="000000" w:fill="000000"/>
                <w:fitText w:val="133" w:id="-1167898610"/>
                <w14:textFill>
                  <w14:solidFill>
                    <w14:srgbClr w14:val="000000">
                      <w14:alpha w14:val="100000"/>
                    </w14:srgbClr>
                  </w14:solidFill>
                </w14:textFill>
              </w:rPr>
              <w:t>|</w:t>
            </w:r>
            <w:r w:rsidR="00546AD5" w:rsidRPr="00546AD5">
              <w:rPr>
                <w:rFonts w:hint="eastAsia"/>
                <w:b/>
                <w:bCs/>
                <w:color w:val="000000"/>
                <w:spacing w:val="4"/>
                <w:w w:val="29"/>
                <w:shd w:val="solid" w:color="000000" w:fill="000000"/>
                <w:fitText w:val="133" w:id="-1167898610"/>
                <w14:textFill>
                  <w14:solidFill>
                    <w14:srgbClr w14:val="000000">
                      <w14:alpha w14:val="100000"/>
                    </w14:srgbClr>
                  </w14:solidFill>
                </w14:textFill>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CED538E" w14:textId="77777777" w:rsidR="00AC2298" w:rsidRPr="00271560" w:rsidRDefault="00AC2298" w:rsidP="00D61604">
            <w:pPr>
              <w:pStyle w:val="Tabletext"/>
              <w:keepNext/>
              <w:keepLines/>
              <w:jc w:val="center"/>
              <w:rPr>
                <w:b/>
                <w:bCs/>
              </w:rPr>
            </w:pPr>
            <w:r w:rsidRPr="00271560">
              <w:rPr>
                <w:b/>
                <w:bCs/>
              </w:rPr>
              <w:t>1.3861</w:t>
            </w:r>
          </w:p>
        </w:tc>
        <w:tc>
          <w:tcPr>
            <w:tcW w:w="993" w:type="dxa"/>
            <w:tcBorders>
              <w:top w:val="nil"/>
              <w:left w:val="nil"/>
              <w:bottom w:val="single" w:sz="4" w:space="0" w:color="auto"/>
              <w:right w:val="single" w:sz="4" w:space="0" w:color="auto"/>
            </w:tcBorders>
            <w:shd w:val="clear" w:color="auto" w:fill="auto"/>
            <w:noWrap/>
            <w:vAlign w:val="center"/>
            <w:hideMark/>
          </w:tcPr>
          <w:p w14:paraId="27AB4521" w14:textId="63F1F9C7" w:rsidR="00AC2298" w:rsidRPr="00D61604" w:rsidRDefault="00AC2298" w:rsidP="00D61604">
            <w:pPr>
              <w:pStyle w:val="Tabletext"/>
              <w:keepNext/>
              <w:keepLines/>
              <w:jc w:val="center"/>
              <w:rPr>
                <w:b/>
                <w:bCs/>
                <w:vertAlign w:val="superscript"/>
              </w:rPr>
            </w:pPr>
            <w:r w:rsidRPr="00271560">
              <w:rPr>
                <w:b/>
                <w:bCs/>
              </w:rPr>
              <w:t>$</w:t>
            </w:r>
            <w:r w:rsidR="00546AD5" w:rsidRPr="00546AD5">
              <w:rPr>
                <w:b/>
                <w:bCs/>
                <w:color w:val="000000"/>
                <w:spacing w:val="196"/>
                <w:shd w:val="solid" w:color="000000" w:fill="000000"/>
                <w:fitText w:val="288" w:id="-1167898609"/>
                <w14:textFill>
                  <w14:solidFill>
                    <w14:srgbClr w14:val="000000">
                      <w14:alpha w14:val="100000"/>
                    </w14:srgbClr>
                  </w14:solidFill>
                </w14:textFill>
              </w:rPr>
              <w:t>|</w:t>
            </w:r>
            <w:r w:rsidR="00546AD5" w:rsidRPr="00546AD5">
              <w:rPr>
                <w:b/>
                <w:bCs/>
                <w:color w:val="000000"/>
                <w:spacing w:val="1"/>
                <w:shd w:val="solid" w:color="000000" w:fill="000000"/>
                <w:fitText w:val="288" w:id="-1167898609"/>
                <w14:textFill>
                  <w14:solidFill>
                    <w14:srgbClr w14:val="000000">
                      <w14:alpha w14:val="100000"/>
                    </w14:srgbClr>
                  </w14:solidFill>
                </w14:textFill>
              </w:rPr>
              <w:t>|</w:t>
            </w:r>
            <w:r w:rsidR="00D61604" w:rsidRPr="00D61604">
              <w:rPr>
                <w:b/>
                <w:bCs/>
                <w:vertAlign w:val="superscript"/>
              </w:rPr>
              <w:t>1</w:t>
            </w:r>
          </w:p>
        </w:tc>
        <w:tc>
          <w:tcPr>
            <w:tcW w:w="992" w:type="dxa"/>
            <w:tcBorders>
              <w:top w:val="nil"/>
              <w:left w:val="nil"/>
              <w:bottom w:val="single" w:sz="4" w:space="0" w:color="auto"/>
              <w:right w:val="single" w:sz="4" w:space="0" w:color="auto"/>
            </w:tcBorders>
            <w:vAlign w:val="center"/>
          </w:tcPr>
          <w:p w14:paraId="7087D4F5" w14:textId="77777777" w:rsidR="00AC2298" w:rsidRPr="00271560" w:rsidRDefault="00AC2298" w:rsidP="00D61604">
            <w:pPr>
              <w:pStyle w:val="Tabletext"/>
              <w:keepNext/>
              <w:keepLines/>
              <w:jc w:val="center"/>
              <w:rPr>
                <w:b/>
                <w:bCs/>
                <w:iCs/>
              </w:rPr>
            </w:pPr>
            <w:r w:rsidRPr="00271560">
              <w:rPr>
                <w:b/>
                <w:iCs/>
                <w:szCs w:val="20"/>
              </w:rPr>
              <w:t>0%</w:t>
            </w:r>
          </w:p>
        </w:tc>
      </w:tr>
      <w:tr w:rsidR="00AC2298" w:rsidRPr="00271560" w14:paraId="5F330CC7" w14:textId="77777777" w:rsidTr="007D2040">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9D404E2" w14:textId="77777777" w:rsidR="00AC2298" w:rsidRPr="00271560" w:rsidRDefault="00AC2298" w:rsidP="00D61604">
            <w:pPr>
              <w:pStyle w:val="Tabletext"/>
              <w:keepNext/>
              <w:keepLines/>
              <w:rPr>
                <w:b/>
                <w:bCs/>
              </w:rPr>
            </w:pPr>
            <w:r w:rsidRPr="00271560">
              <w:rPr>
                <w:b/>
                <w:bCs/>
              </w:rPr>
              <w:t xml:space="preserve">Data from Sarv 2021 incorporated into the SMA type and </w:t>
            </w:r>
            <w:r w:rsidRPr="00271560">
              <w:rPr>
                <w:b/>
                <w:bCs/>
                <w:i/>
                <w:iCs/>
              </w:rPr>
              <w:t>SMN2</w:t>
            </w:r>
            <w:r w:rsidRPr="00271560">
              <w:rPr>
                <w:b/>
                <w:bCs/>
              </w:rPr>
              <w:t xml:space="preserve"> copy number distribution (revised base case)</w:t>
            </w:r>
          </w:p>
        </w:tc>
        <w:tc>
          <w:tcPr>
            <w:tcW w:w="1276" w:type="dxa"/>
            <w:tcBorders>
              <w:top w:val="nil"/>
              <w:left w:val="nil"/>
              <w:bottom w:val="single" w:sz="4" w:space="0" w:color="auto"/>
              <w:right w:val="single" w:sz="4" w:space="0" w:color="auto"/>
            </w:tcBorders>
            <w:shd w:val="clear" w:color="auto" w:fill="auto"/>
            <w:noWrap/>
            <w:vAlign w:val="center"/>
            <w:hideMark/>
          </w:tcPr>
          <w:p w14:paraId="45CC2652" w14:textId="1745BCA3" w:rsidR="00AC2298" w:rsidRPr="00EF7A55" w:rsidRDefault="00AC2298" w:rsidP="00D61604">
            <w:pPr>
              <w:pStyle w:val="Tabletext"/>
              <w:keepNext/>
              <w:keepLines/>
              <w:jc w:val="center"/>
              <w:rPr>
                <w:b/>
                <w:bCs/>
              </w:rPr>
            </w:pPr>
            <w:r w:rsidRPr="00EF7A55">
              <w:rPr>
                <w:b/>
                <w:bCs/>
              </w:rPr>
              <w:t>$</w:t>
            </w:r>
            <w:r w:rsidR="00546AD5" w:rsidRPr="00546AD5">
              <w:rPr>
                <w:rFonts w:hint="eastAsia"/>
                <w:b/>
                <w:bCs/>
                <w:color w:val="000000"/>
                <w:w w:val="29"/>
                <w:shd w:val="solid" w:color="000000" w:fill="000000"/>
                <w:fitText w:val="133" w:id="-1167898608"/>
                <w14:textFill>
                  <w14:solidFill>
                    <w14:srgbClr w14:val="000000">
                      <w14:alpha w14:val="100000"/>
                    </w14:srgbClr>
                  </w14:solidFill>
                </w14:textFill>
              </w:rPr>
              <w:t xml:space="preserve">　</w:t>
            </w:r>
            <w:r w:rsidR="00546AD5" w:rsidRPr="00546AD5">
              <w:rPr>
                <w:b/>
                <w:bCs/>
                <w:color w:val="000000"/>
                <w:w w:val="29"/>
                <w:shd w:val="solid" w:color="000000" w:fill="000000"/>
                <w:fitText w:val="133" w:id="-1167898608"/>
                <w14:textFill>
                  <w14:solidFill>
                    <w14:srgbClr w14:val="000000">
                      <w14:alpha w14:val="100000"/>
                    </w14:srgbClr>
                  </w14:solidFill>
                </w14:textFill>
              </w:rPr>
              <w:t>|</w:t>
            </w:r>
            <w:r w:rsidR="00546AD5" w:rsidRPr="00546AD5">
              <w:rPr>
                <w:rFonts w:hint="eastAsia"/>
                <w:b/>
                <w:bCs/>
                <w:color w:val="000000"/>
                <w:spacing w:val="4"/>
                <w:w w:val="29"/>
                <w:shd w:val="solid" w:color="000000" w:fill="000000"/>
                <w:fitText w:val="133" w:id="-1167898608"/>
                <w14:textFill>
                  <w14:solidFill>
                    <w14:srgbClr w14:val="000000">
                      <w14:alpha w14:val="100000"/>
                    </w14:srgbClr>
                  </w14:solidFill>
                </w14:textFill>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3E6F7EC" w14:textId="77777777" w:rsidR="00AC2298" w:rsidRPr="00EF7A55" w:rsidRDefault="00AC2298" w:rsidP="00D61604">
            <w:pPr>
              <w:pStyle w:val="Tabletext"/>
              <w:keepNext/>
              <w:keepLines/>
              <w:jc w:val="center"/>
              <w:rPr>
                <w:b/>
                <w:bCs/>
              </w:rPr>
            </w:pPr>
            <w:r w:rsidRPr="00EF7A55">
              <w:rPr>
                <w:b/>
                <w:bCs/>
              </w:rPr>
              <w:t>1.3816</w:t>
            </w:r>
          </w:p>
        </w:tc>
        <w:tc>
          <w:tcPr>
            <w:tcW w:w="993" w:type="dxa"/>
            <w:tcBorders>
              <w:top w:val="nil"/>
              <w:left w:val="nil"/>
              <w:bottom w:val="single" w:sz="4" w:space="0" w:color="auto"/>
              <w:right w:val="single" w:sz="4" w:space="0" w:color="auto"/>
            </w:tcBorders>
            <w:shd w:val="clear" w:color="auto" w:fill="auto"/>
            <w:noWrap/>
            <w:vAlign w:val="center"/>
            <w:hideMark/>
          </w:tcPr>
          <w:p w14:paraId="0EC1F44D" w14:textId="63879435" w:rsidR="00AC2298" w:rsidRPr="00D61604" w:rsidRDefault="00AC2298" w:rsidP="00D61604">
            <w:pPr>
              <w:pStyle w:val="Tabletext"/>
              <w:keepNext/>
              <w:keepLines/>
              <w:jc w:val="center"/>
              <w:rPr>
                <w:b/>
                <w:bCs/>
                <w:highlight w:val="darkGray"/>
              </w:rPr>
            </w:pPr>
            <w:r w:rsidRPr="00D61604">
              <w:rPr>
                <w:b/>
                <w:bCs/>
              </w:rPr>
              <w:t>$</w:t>
            </w:r>
            <w:r w:rsidR="00546AD5" w:rsidRPr="00546AD5">
              <w:rPr>
                <w:b/>
                <w:bCs/>
                <w:color w:val="000000"/>
                <w:spacing w:val="196"/>
                <w:shd w:val="solid" w:color="000000" w:fill="000000"/>
                <w:fitText w:val="288" w:id="-1167898624"/>
                <w14:textFill>
                  <w14:solidFill>
                    <w14:srgbClr w14:val="000000">
                      <w14:alpha w14:val="100000"/>
                    </w14:srgbClr>
                  </w14:solidFill>
                </w14:textFill>
              </w:rPr>
              <w:t>|</w:t>
            </w:r>
            <w:r w:rsidR="00546AD5" w:rsidRPr="00546AD5">
              <w:rPr>
                <w:b/>
                <w:bCs/>
                <w:color w:val="000000"/>
                <w:spacing w:val="1"/>
                <w:shd w:val="solid" w:color="000000" w:fill="000000"/>
                <w:fitText w:val="288" w:id="-1167898624"/>
                <w14:textFill>
                  <w14:solidFill>
                    <w14:srgbClr w14:val="000000">
                      <w14:alpha w14:val="100000"/>
                    </w14:srgbClr>
                  </w14:solidFill>
                </w14:textFill>
              </w:rPr>
              <w:t>|</w:t>
            </w:r>
            <w:r w:rsidR="00D61604" w:rsidRPr="00D61604">
              <w:rPr>
                <w:b/>
                <w:bCs/>
                <w:vertAlign w:val="superscript"/>
              </w:rPr>
              <w:t>1</w:t>
            </w:r>
          </w:p>
        </w:tc>
        <w:tc>
          <w:tcPr>
            <w:tcW w:w="992" w:type="dxa"/>
            <w:tcBorders>
              <w:top w:val="nil"/>
              <w:left w:val="nil"/>
              <w:bottom w:val="single" w:sz="4" w:space="0" w:color="auto"/>
              <w:right w:val="single" w:sz="4" w:space="0" w:color="auto"/>
            </w:tcBorders>
            <w:vAlign w:val="center"/>
          </w:tcPr>
          <w:p w14:paraId="41C5E01A" w14:textId="77777777" w:rsidR="00AC2298" w:rsidRPr="00EF7A55" w:rsidRDefault="00AC2298" w:rsidP="00D61604">
            <w:pPr>
              <w:pStyle w:val="Tabletext"/>
              <w:keepNext/>
              <w:keepLines/>
              <w:jc w:val="center"/>
              <w:rPr>
                <w:b/>
                <w:bCs/>
              </w:rPr>
            </w:pPr>
            <w:r w:rsidRPr="00EF7A55">
              <w:rPr>
                <w:b/>
                <w:bCs/>
              </w:rPr>
              <w:t>+5.8%</w:t>
            </w:r>
          </w:p>
        </w:tc>
      </w:tr>
      <w:tr w:rsidR="00AC2298" w:rsidRPr="00271560" w14:paraId="2D24004D" w14:textId="77777777" w:rsidTr="007D2040">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447E0523" w14:textId="77777777" w:rsidR="00AC2298" w:rsidRPr="00271560" w:rsidRDefault="00AC2298" w:rsidP="00D61604">
            <w:pPr>
              <w:pStyle w:val="Tabletext"/>
              <w:keepNext/>
              <w:keepLines/>
            </w:pPr>
            <w:r w:rsidRPr="00271560">
              <w:t>Annual health care costs for patients as used in July 2020 model (pre-symptomatic = $0, symptomatic = $14,379.72) based on Klug 2016 (base: pre-symptomatic = $429.76, symptomatic = $26,107.92)</w:t>
            </w:r>
          </w:p>
        </w:tc>
        <w:tc>
          <w:tcPr>
            <w:tcW w:w="1276" w:type="dxa"/>
            <w:tcBorders>
              <w:top w:val="nil"/>
              <w:left w:val="nil"/>
              <w:bottom w:val="single" w:sz="4" w:space="0" w:color="auto"/>
              <w:right w:val="single" w:sz="4" w:space="0" w:color="auto"/>
            </w:tcBorders>
            <w:shd w:val="clear" w:color="auto" w:fill="auto"/>
            <w:noWrap/>
            <w:vAlign w:val="center"/>
            <w:hideMark/>
          </w:tcPr>
          <w:p w14:paraId="3197D733" w14:textId="39F081A2" w:rsidR="00AC2298" w:rsidRPr="0067202A" w:rsidRDefault="00AC2298" w:rsidP="00D61604">
            <w:pPr>
              <w:pStyle w:val="Tabletext"/>
              <w:keepNext/>
              <w:keepLines/>
              <w:jc w:val="center"/>
            </w:pPr>
            <w:r w:rsidRPr="0067202A">
              <w:t>$</w:t>
            </w:r>
            <w:r w:rsidR="00546AD5" w:rsidRPr="00546AD5">
              <w:rPr>
                <w:rFonts w:hint="eastAsia"/>
                <w:color w:val="000000"/>
                <w:w w:val="20"/>
                <w:shd w:val="solid" w:color="000000" w:fill="000000"/>
                <w:fitText w:val="89" w:id="-1167898623"/>
                <w14:textFill>
                  <w14:solidFill>
                    <w14:srgbClr w14:val="000000">
                      <w14:alpha w14:val="100000"/>
                    </w14:srgbClr>
                  </w14:solidFill>
                </w14:textFill>
              </w:rPr>
              <w:t xml:space="preserve">　</w:t>
            </w:r>
            <w:r w:rsidR="00546AD5" w:rsidRPr="00546AD5">
              <w:rPr>
                <w:color w:val="000000"/>
                <w:w w:val="20"/>
                <w:shd w:val="solid" w:color="000000" w:fill="000000"/>
                <w:fitText w:val="89" w:id="-1167898623"/>
                <w14:textFill>
                  <w14:solidFill>
                    <w14:srgbClr w14:val="000000">
                      <w14:alpha w14:val="100000"/>
                    </w14:srgbClr>
                  </w14:solidFill>
                </w14:textFill>
              </w:rPr>
              <w:t>|</w:t>
            </w:r>
            <w:r w:rsidR="00546AD5" w:rsidRPr="00546AD5">
              <w:rPr>
                <w:rFonts w:hint="eastAsia"/>
                <w:color w:val="000000"/>
                <w:spacing w:val="2"/>
                <w:w w:val="20"/>
                <w:shd w:val="solid" w:color="000000" w:fill="000000"/>
                <w:fitText w:val="89" w:id="-1167898623"/>
                <w14:textFill>
                  <w14:solidFill>
                    <w14:srgbClr w14:val="000000">
                      <w14:alpha w14:val="100000"/>
                    </w14:srgbClr>
                  </w14:solidFill>
                </w14:textFill>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9277DF2" w14:textId="77777777" w:rsidR="00AC2298" w:rsidRPr="0067202A" w:rsidRDefault="00AC2298" w:rsidP="00D61604">
            <w:pPr>
              <w:pStyle w:val="Tabletext"/>
              <w:keepNext/>
              <w:keepLines/>
              <w:jc w:val="center"/>
            </w:pPr>
            <w:r w:rsidRPr="0067202A">
              <w:t>1.3816</w:t>
            </w:r>
          </w:p>
        </w:tc>
        <w:tc>
          <w:tcPr>
            <w:tcW w:w="993" w:type="dxa"/>
            <w:tcBorders>
              <w:top w:val="nil"/>
              <w:left w:val="nil"/>
              <w:bottom w:val="single" w:sz="4" w:space="0" w:color="auto"/>
              <w:right w:val="single" w:sz="4" w:space="0" w:color="auto"/>
            </w:tcBorders>
            <w:shd w:val="clear" w:color="auto" w:fill="auto"/>
            <w:noWrap/>
            <w:vAlign w:val="center"/>
            <w:hideMark/>
          </w:tcPr>
          <w:p w14:paraId="6B176C27" w14:textId="2D9D4E38" w:rsidR="00AC2298" w:rsidRPr="00D61604" w:rsidRDefault="00AC2298" w:rsidP="00D61604">
            <w:pPr>
              <w:pStyle w:val="Tabletext"/>
              <w:keepNext/>
              <w:keepLines/>
              <w:jc w:val="center"/>
              <w:rPr>
                <w:vertAlign w:val="superscript"/>
              </w:rPr>
            </w:pPr>
            <w:r w:rsidRPr="0067202A">
              <w:t>$</w:t>
            </w:r>
            <w:r w:rsidR="00546AD5" w:rsidRPr="00546AD5">
              <w:rPr>
                <w:color w:val="000000"/>
                <w:spacing w:val="169"/>
                <w:shd w:val="solid" w:color="000000" w:fill="000000"/>
                <w:fitText w:val="255" w:id="-1167898622"/>
                <w14:textFill>
                  <w14:solidFill>
                    <w14:srgbClr w14:val="000000">
                      <w14:alpha w14:val="100000"/>
                    </w14:srgbClr>
                  </w14:solidFill>
                </w14:textFill>
              </w:rPr>
              <w:t>|</w:t>
            </w:r>
            <w:r w:rsidR="00546AD5" w:rsidRPr="00546AD5">
              <w:rPr>
                <w:color w:val="000000"/>
                <w:spacing w:val="1"/>
                <w:shd w:val="solid" w:color="000000" w:fill="000000"/>
                <w:fitText w:val="255" w:id="-1167898622"/>
                <w14:textFill>
                  <w14:solidFill>
                    <w14:srgbClr w14:val="000000">
                      <w14:alpha w14:val="100000"/>
                    </w14:srgbClr>
                  </w14:solidFill>
                </w14:textFill>
              </w:rPr>
              <w:t>|</w:t>
            </w:r>
            <w:r w:rsidR="00D61604">
              <w:rPr>
                <w:vertAlign w:val="superscript"/>
              </w:rPr>
              <w:t>2</w:t>
            </w:r>
          </w:p>
        </w:tc>
        <w:tc>
          <w:tcPr>
            <w:tcW w:w="992" w:type="dxa"/>
            <w:tcBorders>
              <w:top w:val="nil"/>
              <w:left w:val="nil"/>
              <w:bottom w:val="single" w:sz="4" w:space="0" w:color="auto"/>
              <w:right w:val="single" w:sz="4" w:space="0" w:color="auto"/>
            </w:tcBorders>
            <w:vAlign w:val="center"/>
          </w:tcPr>
          <w:p w14:paraId="7C9CF9B1" w14:textId="77777777" w:rsidR="00AC2298" w:rsidRPr="0067202A" w:rsidRDefault="00AC2298" w:rsidP="00D61604">
            <w:pPr>
              <w:pStyle w:val="Tabletext"/>
              <w:keepNext/>
              <w:keepLines/>
              <w:jc w:val="center"/>
            </w:pPr>
            <w:r w:rsidRPr="0067202A">
              <w:t>+33.1%</w:t>
            </w:r>
          </w:p>
        </w:tc>
      </w:tr>
      <w:tr w:rsidR="00AC2298" w:rsidRPr="00271560" w14:paraId="544AB4A2" w14:textId="77777777" w:rsidTr="007D2040">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592C4D55" w14:textId="77777777" w:rsidR="00AC2298" w:rsidRPr="00271560" w:rsidRDefault="00AC2298" w:rsidP="00D61604">
            <w:pPr>
              <w:pStyle w:val="Tabletext"/>
              <w:keepNext/>
              <w:keepLines/>
            </w:pPr>
            <w:r w:rsidRPr="00271560">
              <w:t>Incremental difference in utility = 0.1 (-50%)</w:t>
            </w:r>
          </w:p>
        </w:tc>
        <w:tc>
          <w:tcPr>
            <w:tcW w:w="1276" w:type="dxa"/>
            <w:tcBorders>
              <w:top w:val="nil"/>
              <w:left w:val="nil"/>
              <w:bottom w:val="single" w:sz="4" w:space="0" w:color="auto"/>
              <w:right w:val="single" w:sz="4" w:space="0" w:color="auto"/>
            </w:tcBorders>
            <w:shd w:val="clear" w:color="auto" w:fill="auto"/>
            <w:noWrap/>
            <w:vAlign w:val="center"/>
            <w:hideMark/>
          </w:tcPr>
          <w:p w14:paraId="139F9B09" w14:textId="71C75CDC" w:rsidR="00AC2298" w:rsidRPr="0067202A" w:rsidRDefault="00AC2298" w:rsidP="00D61604">
            <w:pPr>
              <w:pStyle w:val="Tabletext"/>
              <w:keepNext/>
              <w:keepLines/>
              <w:jc w:val="center"/>
            </w:pPr>
            <w:r w:rsidRPr="0067202A">
              <w:t>$</w:t>
            </w:r>
            <w:r w:rsidR="00546AD5" w:rsidRPr="00546AD5">
              <w:rPr>
                <w:rFonts w:hint="eastAsia"/>
                <w:color w:val="000000"/>
                <w:w w:val="20"/>
                <w:shd w:val="solid" w:color="000000" w:fill="000000"/>
                <w:fitText w:val="89" w:id="-1167898621"/>
                <w14:textFill>
                  <w14:solidFill>
                    <w14:srgbClr w14:val="000000">
                      <w14:alpha w14:val="100000"/>
                    </w14:srgbClr>
                  </w14:solidFill>
                </w14:textFill>
              </w:rPr>
              <w:t xml:space="preserve">　</w:t>
            </w:r>
            <w:r w:rsidR="00546AD5" w:rsidRPr="00546AD5">
              <w:rPr>
                <w:color w:val="000000"/>
                <w:w w:val="20"/>
                <w:shd w:val="solid" w:color="000000" w:fill="000000"/>
                <w:fitText w:val="89" w:id="-1167898621"/>
                <w14:textFill>
                  <w14:solidFill>
                    <w14:srgbClr w14:val="000000">
                      <w14:alpha w14:val="100000"/>
                    </w14:srgbClr>
                  </w14:solidFill>
                </w14:textFill>
              </w:rPr>
              <w:t>|</w:t>
            </w:r>
            <w:r w:rsidR="00546AD5" w:rsidRPr="00546AD5">
              <w:rPr>
                <w:rFonts w:hint="eastAsia"/>
                <w:color w:val="000000"/>
                <w:spacing w:val="2"/>
                <w:w w:val="20"/>
                <w:shd w:val="solid" w:color="000000" w:fill="000000"/>
                <w:fitText w:val="89" w:id="-1167898621"/>
                <w14:textFill>
                  <w14:solidFill>
                    <w14:srgbClr w14:val="000000">
                      <w14:alpha w14:val="100000"/>
                    </w14:srgbClr>
                  </w14:solidFill>
                </w14:textFill>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D0B63FC" w14:textId="77777777" w:rsidR="00AC2298" w:rsidRPr="0067202A" w:rsidRDefault="00AC2298" w:rsidP="00D61604">
            <w:pPr>
              <w:pStyle w:val="Tabletext"/>
              <w:keepNext/>
              <w:keepLines/>
              <w:jc w:val="center"/>
            </w:pPr>
            <w:r w:rsidRPr="0067202A">
              <w:t>0.6851</w:t>
            </w:r>
          </w:p>
        </w:tc>
        <w:tc>
          <w:tcPr>
            <w:tcW w:w="993" w:type="dxa"/>
            <w:tcBorders>
              <w:top w:val="nil"/>
              <w:left w:val="nil"/>
              <w:bottom w:val="single" w:sz="4" w:space="0" w:color="auto"/>
              <w:right w:val="single" w:sz="4" w:space="0" w:color="auto"/>
            </w:tcBorders>
            <w:shd w:val="clear" w:color="auto" w:fill="auto"/>
            <w:noWrap/>
            <w:vAlign w:val="center"/>
            <w:hideMark/>
          </w:tcPr>
          <w:p w14:paraId="6907B1D5" w14:textId="00C4C988" w:rsidR="00AC2298" w:rsidRPr="00D61604" w:rsidRDefault="00AC2298" w:rsidP="00D61604">
            <w:pPr>
              <w:pStyle w:val="Tabletext"/>
              <w:keepNext/>
              <w:keepLines/>
              <w:jc w:val="center"/>
              <w:rPr>
                <w:highlight w:val="darkGray"/>
                <w:vertAlign w:val="superscript"/>
              </w:rPr>
            </w:pPr>
            <w:r w:rsidRPr="00D61604">
              <w:t>$</w:t>
            </w:r>
            <w:r w:rsidR="00546AD5" w:rsidRPr="00546AD5">
              <w:rPr>
                <w:color w:val="000000"/>
                <w:spacing w:val="169"/>
                <w:shd w:val="solid" w:color="000000" w:fill="000000"/>
                <w:fitText w:val="255" w:id="-1167898620"/>
                <w14:textFill>
                  <w14:solidFill>
                    <w14:srgbClr w14:val="000000">
                      <w14:alpha w14:val="100000"/>
                    </w14:srgbClr>
                  </w14:solidFill>
                </w14:textFill>
              </w:rPr>
              <w:t>|</w:t>
            </w:r>
            <w:r w:rsidR="00546AD5" w:rsidRPr="00546AD5">
              <w:rPr>
                <w:color w:val="000000"/>
                <w:spacing w:val="1"/>
                <w:shd w:val="solid" w:color="000000" w:fill="000000"/>
                <w:fitText w:val="255" w:id="-1167898620"/>
                <w14:textFill>
                  <w14:solidFill>
                    <w14:srgbClr w14:val="000000">
                      <w14:alpha w14:val="100000"/>
                    </w14:srgbClr>
                  </w14:solidFill>
                </w14:textFill>
              </w:rPr>
              <w:t>|</w:t>
            </w:r>
            <w:r w:rsidR="00D61604" w:rsidRPr="00D61604">
              <w:rPr>
                <w:vertAlign w:val="superscript"/>
              </w:rPr>
              <w:t>3</w:t>
            </w:r>
          </w:p>
        </w:tc>
        <w:tc>
          <w:tcPr>
            <w:tcW w:w="992" w:type="dxa"/>
            <w:tcBorders>
              <w:top w:val="nil"/>
              <w:left w:val="nil"/>
              <w:bottom w:val="single" w:sz="4" w:space="0" w:color="auto"/>
              <w:right w:val="single" w:sz="4" w:space="0" w:color="auto"/>
            </w:tcBorders>
            <w:vAlign w:val="center"/>
          </w:tcPr>
          <w:p w14:paraId="673E18CF" w14:textId="77777777" w:rsidR="00AC2298" w:rsidRPr="0067202A" w:rsidRDefault="00AC2298" w:rsidP="00D61604">
            <w:pPr>
              <w:pStyle w:val="Tabletext"/>
              <w:keepNext/>
              <w:keepLines/>
              <w:jc w:val="center"/>
            </w:pPr>
            <w:r w:rsidRPr="0067202A">
              <w:t>+113.4%</w:t>
            </w:r>
          </w:p>
        </w:tc>
      </w:tr>
      <w:tr w:rsidR="00AC2298" w:rsidRPr="00271560" w14:paraId="5B0A653B" w14:textId="77777777" w:rsidTr="007D2040">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51009938" w14:textId="77777777" w:rsidR="00AC2298" w:rsidRPr="00271560" w:rsidRDefault="00AC2298" w:rsidP="00D61604">
            <w:pPr>
              <w:pStyle w:val="Tabletext"/>
              <w:keepNext/>
              <w:keepLines/>
              <w:rPr>
                <w:i/>
                <w:iCs/>
              </w:rPr>
            </w:pPr>
            <w:r w:rsidRPr="00271560">
              <w:t>Incremental difference in utility = 0.4 (+50%)</w:t>
            </w:r>
          </w:p>
        </w:tc>
        <w:tc>
          <w:tcPr>
            <w:tcW w:w="1276" w:type="dxa"/>
            <w:tcBorders>
              <w:top w:val="nil"/>
              <w:left w:val="nil"/>
              <w:bottom w:val="single" w:sz="4" w:space="0" w:color="auto"/>
              <w:right w:val="single" w:sz="4" w:space="0" w:color="auto"/>
            </w:tcBorders>
            <w:shd w:val="clear" w:color="auto" w:fill="auto"/>
            <w:noWrap/>
            <w:vAlign w:val="center"/>
          </w:tcPr>
          <w:p w14:paraId="1F02E88A" w14:textId="73EC8A39" w:rsidR="00AC2298" w:rsidRPr="0067202A" w:rsidRDefault="00AC2298" w:rsidP="00D61604">
            <w:pPr>
              <w:pStyle w:val="Tabletext"/>
              <w:keepNext/>
              <w:keepLines/>
              <w:jc w:val="center"/>
            </w:pPr>
            <w:r w:rsidRPr="0067202A">
              <w:rPr>
                <w:szCs w:val="20"/>
              </w:rPr>
              <w:t>$</w:t>
            </w:r>
            <w:r w:rsidR="00546AD5" w:rsidRPr="00546AD5">
              <w:rPr>
                <w:rFonts w:hint="eastAsia"/>
                <w:color w:val="000000"/>
                <w:w w:val="20"/>
                <w:szCs w:val="20"/>
                <w:shd w:val="solid" w:color="000000" w:fill="000000"/>
                <w:fitText w:val="89" w:id="-1167898619"/>
                <w14:textFill>
                  <w14:solidFill>
                    <w14:srgbClr w14:val="000000">
                      <w14:alpha w14:val="100000"/>
                    </w14:srgbClr>
                  </w14:solidFill>
                </w14:textFill>
              </w:rPr>
              <w:t xml:space="preserve">　</w:t>
            </w:r>
            <w:r w:rsidR="00546AD5" w:rsidRPr="00546AD5">
              <w:rPr>
                <w:color w:val="000000"/>
                <w:w w:val="20"/>
                <w:szCs w:val="20"/>
                <w:shd w:val="solid" w:color="000000" w:fill="000000"/>
                <w:fitText w:val="89" w:id="-1167898619"/>
                <w14:textFill>
                  <w14:solidFill>
                    <w14:srgbClr w14:val="000000">
                      <w14:alpha w14:val="100000"/>
                    </w14:srgbClr>
                  </w14:solidFill>
                </w14:textFill>
              </w:rPr>
              <w:t>|</w:t>
            </w:r>
            <w:r w:rsidR="00546AD5" w:rsidRPr="00546AD5">
              <w:rPr>
                <w:rFonts w:hint="eastAsia"/>
                <w:color w:val="000000"/>
                <w:spacing w:val="2"/>
                <w:w w:val="20"/>
                <w:szCs w:val="20"/>
                <w:shd w:val="solid" w:color="000000" w:fill="000000"/>
                <w:fitText w:val="89" w:id="-1167898619"/>
                <w14:textFill>
                  <w14:solidFill>
                    <w14:srgbClr w14:val="000000">
                      <w14:alpha w14:val="100000"/>
                    </w14:srgbClr>
                  </w14:solidFill>
                </w14:textFill>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4D9FBEE3" w14:textId="77777777" w:rsidR="00AC2298" w:rsidRPr="0067202A" w:rsidRDefault="00AC2298" w:rsidP="00D61604">
            <w:pPr>
              <w:pStyle w:val="Tabletext"/>
              <w:keepNext/>
              <w:keepLines/>
              <w:jc w:val="center"/>
            </w:pPr>
            <w:r w:rsidRPr="0067202A">
              <w:rPr>
                <w:szCs w:val="20"/>
              </w:rPr>
              <w:t>2.7746</w:t>
            </w:r>
          </w:p>
        </w:tc>
        <w:tc>
          <w:tcPr>
            <w:tcW w:w="993" w:type="dxa"/>
            <w:tcBorders>
              <w:top w:val="nil"/>
              <w:left w:val="nil"/>
              <w:bottom w:val="single" w:sz="4" w:space="0" w:color="auto"/>
              <w:right w:val="single" w:sz="4" w:space="0" w:color="auto"/>
            </w:tcBorders>
            <w:shd w:val="clear" w:color="auto" w:fill="auto"/>
            <w:noWrap/>
            <w:vAlign w:val="center"/>
          </w:tcPr>
          <w:p w14:paraId="046AF29E" w14:textId="75B7F44A" w:rsidR="00AC2298" w:rsidRPr="00D61604" w:rsidRDefault="00AC2298" w:rsidP="00D61604">
            <w:pPr>
              <w:pStyle w:val="Tabletext"/>
              <w:keepNext/>
              <w:keepLines/>
              <w:jc w:val="center"/>
              <w:rPr>
                <w:highlight w:val="darkGray"/>
                <w:vertAlign w:val="superscript"/>
              </w:rPr>
            </w:pPr>
            <w:r w:rsidRPr="00D61604">
              <w:rPr>
                <w:szCs w:val="20"/>
              </w:rPr>
              <w:t>$</w:t>
            </w:r>
            <w:r w:rsidR="00546AD5" w:rsidRPr="00546AD5">
              <w:rPr>
                <w:color w:val="000000"/>
                <w:spacing w:val="169"/>
                <w:szCs w:val="20"/>
                <w:shd w:val="solid" w:color="000000" w:fill="000000"/>
                <w:fitText w:val="255" w:id="-1167898618"/>
                <w14:textFill>
                  <w14:solidFill>
                    <w14:srgbClr w14:val="000000">
                      <w14:alpha w14:val="100000"/>
                    </w14:srgbClr>
                  </w14:solidFill>
                </w14:textFill>
              </w:rPr>
              <w:t>|</w:t>
            </w:r>
            <w:r w:rsidR="00546AD5" w:rsidRPr="00546AD5">
              <w:rPr>
                <w:color w:val="000000"/>
                <w:spacing w:val="1"/>
                <w:szCs w:val="20"/>
                <w:shd w:val="solid" w:color="000000" w:fill="000000"/>
                <w:fitText w:val="255" w:id="-1167898618"/>
                <w14:textFill>
                  <w14:solidFill>
                    <w14:srgbClr w14:val="000000">
                      <w14:alpha w14:val="100000"/>
                    </w14:srgbClr>
                  </w14:solidFill>
                </w14:textFill>
              </w:rPr>
              <w:t>|</w:t>
            </w:r>
            <w:r w:rsidR="00D61604" w:rsidRPr="00D61604">
              <w:rPr>
                <w:szCs w:val="20"/>
                <w:vertAlign w:val="superscript"/>
              </w:rPr>
              <w:t>4</w:t>
            </w:r>
          </w:p>
        </w:tc>
        <w:tc>
          <w:tcPr>
            <w:tcW w:w="992" w:type="dxa"/>
            <w:tcBorders>
              <w:top w:val="nil"/>
              <w:left w:val="nil"/>
              <w:bottom w:val="single" w:sz="4" w:space="0" w:color="auto"/>
              <w:right w:val="single" w:sz="4" w:space="0" w:color="auto"/>
            </w:tcBorders>
            <w:vAlign w:val="center"/>
          </w:tcPr>
          <w:p w14:paraId="15EA5D4F" w14:textId="77777777" w:rsidR="00AC2298" w:rsidRPr="0067202A" w:rsidRDefault="00AC2298" w:rsidP="00D61604">
            <w:pPr>
              <w:pStyle w:val="Tabletext"/>
              <w:keepNext/>
              <w:keepLines/>
              <w:jc w:val="center"/>
            </w:pPr>
            <w:r w:rsidRPr="0067202A">
              <w:rPr>
                <w:szCs w:val="20"/>
              </w:rPr>
              <w:t>-47.32%</w:t>
            </w:r>
          </w:p>
        </w:tc>
      </w:tr>
      <w:tr w:rsidR="00AC2298" w:rsidRPr="00271560" w14:paraId="64539CDD" w14:textId="77777777" w:rsidTr="007D2040">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38DA77DA" w14:textId="77777777" w:rsidR="00AC2298" w:rsidRPr="00271560" w:rsidRDefault="00AC2298" w:rsidP="00D61604">
            <w:pPr>
              <w:pStyle w:val="Tabletext"/>
              <w:keepNext/>
              <w:keepLines/>
            </w:pPr>
            <w:r w:rsidRPr="00271560">
              <w:t>Assumed duration of treatment effect = 5 years</w:t>
            </w:r>
          </w:p>
        </w:tc>
        <w:tc>
          <w:tcPr>
            <w:tcW w:w="1276" w:type="dxa"/>
            <w:tcBorders>
              <w:top w:val="nil"/>
              <w:left w:val="nil"/>
              <w:bottom w:val="single" w:sz="4" w:space="0" w:color="auto"/>
              <w:right w:val="single" w:sz="4" w:space="0" w:color="auto"/>
            </w:tcBorders>
            <w:shd w:val="clear" w:color="auto" w:fill="auto"/>
            <w:noWrap/>
            <w:vAlign w:val="center"/>
          </w:tcPr>
          <w:p w14:paraId="3034C3DB" w14:textId="63A4900E" w:rsidR="00AC2298" w:rsidRPr="0067202A" w:rsidRDefault="00AC2298" w:rsidP="00D61604">
            <w:pPr>
              <w:pStyle w:val="Tabletext"/>
              <w:keepNext/>
              <w:keepLines/>
              <w:jc w:val="center"/>
              <w:rPr>
                <w:szCs w:val="20"/>
              </w:rPr>
            </w:pPr>
            <w:r w:rsidRPr="0067202A">
              <w:t>$</w:t>
            </w:r>
            <w:r w:rsidR="00546AD5" w:rsidRPr="00546AD5">
              <w:rPr>
                <w:rFonts w:hint="eastAsia"/>
                <w:color w:val="000000"/>
                <w:w w:val="20"/>
                <w:shd w:val="solid" w:color="000000" w:fill="000000"/>
                <w:fitText w:val="89" w:id="-1167898617"/>
                <w14:textFill>
                  <w14:solidFill>
                    <w14:srgbClr w14:val="000000">
                      <w14:alpha w14:val="100000"/>
                    </w14:srgbClr>
                  </w14:solidFill>
                </w14:textFill>
              </w:rPr>
              <w:t xml:space="preserve">　</w:t>
            </w:r>
            <w:r w:rsidR="00546AD5" w:rsidRPr="00546AD5">
              <w:rPr>
                <w:color w:val="000000"/>
                <w:w w:val="20"/>
                <w:shd w:val="solid" w:color="000000" w:fill="000000"/>
                <w:fitText w:val="89" w:id="-1167898617"/>
                <w14:textFill>
                  <w14:solidFill>
                    <w14:srgbClr w14:val="000000">
                      <w14:alpha w14:val="100000"/>
                    </w14:srgbClr>
                  </w14:solidFill>
                </w14:textFill>
              </w:rPr>
              <w:t>|</w:t>
            </w:r>
            <w:r w:rsidR="00546AD5" w:rsidRPr="00546AD5">
              <w:rPr>
                <w:rFonts w:hint="eastAsia"/>
                <w:color w:val="000000"/>
                <w:spacing w:val="2"/>
                <w:w w:val="20"/>
                <w:shd w:val="solid" w:color="000000" w:fill="000000"/>
                <w:fitText w:val="89" w:id="-1167898617"/>
                <w14:textFill>
                  <w14:solidFill>
                    <w14:srgbClr w14:val="000000">
                      <w14:alpha w14:val="100000"/>
                    </w14:srgbClr>
                  </w14:solidFill>
                </w14:textFill>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734A8458" w14:textId="77777777" w:rsidR="00AC2298" w:rsidRPr="0067202A" w:rsidRDefault="00AC2298" w:rsidP="00D61604">
            <w:pPr>
              <w:pStyle w:val="Tabletext"/>
              <w:keepNext/>
              <w:keepLines/>
              <w:jc w:val="center"/>
              <w:rPr>
                <w:szCs w:val="20"/>
              </w:rPr>
            </w:pPr>
            <w:r w:rsidRPr="0067202A">
              <w:t>0.4606</w:t>
            </w:r>
          </w:p>
        </w:tc>
        <w:tc>
          <w:tcPr>
            <w:tcW w:w="993" w:type="dxa"/>
            <w:tcBorders>
              <w:top w:val="nil"/>
              <w:left w:val="nil"/>
              <w:bottom w:val="single" w:sz="4" w:space="0" w:color="auto"/>
              <w:right w:val="single" w:sz="4" w:space="0" w:color="auto"/>
            </w:tcBorders>
            <w:shd w:val="clear" w:color="auto" w:fill="auto"/>
            <w:noWrap/>
            <w:vAlign w:val="center"/>
          </w:tcPr>
          <w:p w14:paraId="0CC4115E" w14:textId="16F3E8BF" w:rsidR="00AC2298" w:rsidRPr="00D61604" w:rsidRDefault="00AC2298" w:rsidP="00D61604">
            <w:pPr>
              <w:pStyle w:val="Tabletext"/>
              <w:keepNext/>
              <w:keepLines/>
              <w:jc w:val="center"/>
              <w:rPr>
                <w:szCs w:val="20"/>
                <w:vertAlign w:val="superscript"/>
              </w:rPr>
            </w:pPr>
            <w:r w:rsidRPr="0067202A">
              <w:t>$</w:t>
            </w:r>
            <w:r w:rsidR="00546AD5" w:rsidRPr="00546AD5">
              <w:rPr>
                <w:color w:val="000000"/>
                <w:spacing w:val="169"/>
                <w:shd w:val="solid" w:color="000000" w:fill="000000"/>
                <w:fitText w:val="255" w:id="-1167898616"/>
                <w14:textFill>
                  <w14:solidFill>
                    <w14:srgbClr w14:val="000000">
                      <w14:alpha w14:val="100000"/>
                    </w14:srgbClr>
                  </w14:solidFill>
                </w14:textFill>
              </w:rPr>
              <w:t>|</w:t>
            </w:r>
            <w:r w:rsidR="00546AD5" w:rsidRPr="00546AD5">
              <w:rPr>
                <w:color w:val="000000"/>
                <w:spacing w:val="1"/>
                <w:shd w:val="solid" w:color="000000" w:fill="000000"/>
                <w:fitText w:val="255" w:id="-1167898616"/>
                <w14:textFill>
                  <w14:solidFill>
                    <w14:srgbClr w14:val="000000">
                      <w14:alpha w14:val="100000"/>
                    </w14:srgbClr>
                  </w14:solidFill>
                </w14:textFill>
              </w:rPr>
              <w:t>|</w:t>
            </w:r>
            <w:r w:rsidR="00D61604">
              <w:rPr>
                <w:vertAlign w:val="superscript"/>
              </w:rPr>
              <w:t>5</w:t>
            </w:r>
          </w:p>
        </w:tc>
        <w:tc>
          <w:tcPr>
            <w:tcW w:w="992" w:type="dxa"/>
            <w:tcBorders>
              <w:top w:val="nil"/>
              <w:left w:val="nil"/>
              <w:bottom w:val="single" w:sz="4" w:space="0" w:color="auto"/>
              <w:right w:val="single" w:sz="4" w:space="0" w:color="auto"/>
            </w:tcBorders>
            <w:vAlign w:val="center"/>
          </w:tcPr>
          <w:p w14:paraId="58DAFE1E" w14:textId="77777777" w:rsidR="00AC2298" w:rsidRPr="0067202A" w:rsidRDefault="00AC2298" w:rsidP="00D61604">
            <w:pPr>
              <w:pStyle w:val="Tabletext"/>
              <w:keepNext/>
              <w:keepLines/>
              <w:jc w:val="center"/>
              <w:rPr>
                <w:szCs w:val="20"/>
              </w:rPr>
            </w:pPr>
            <w:r w:rsidRPr="0067202A">
              <w:t>+340.6%</w:t>
            </w:r>
          </w:p>
        </w:tc>
      </w:tr>
      <w:tr w:rsidR="00AC2298" w:rsidRPr="00271560" w14:paraId="782714A8" w14:textId="77777777" w:rsidTr="007D2040">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5AD90" w14:textId="77777777" w:rsidR="00AC2298" w:rsidRPr="00271560" w:rsidRDefault="00AC2298" w:rsidP="00D61604">
            <w:pPr>
              <w:pStyle w:val="Tabletext"/>
              <w:keepNext/>
              <w:keepLines/>
            </w:pPr>
            <w:r w:rsidRPr="00271560">
              <w:t>Assumed duration of treatment effect = 10 years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D06101" w14:textId="74A52411" w:rsidR="00AC2298" w:rsidRPr="0067202A" w:rsidRDefault="00AC2298" w:rsidP="00D61604">
            <w:pPr>
              <w:pStyle w:val="Tabletext"/>
              <w:keepNext/>
              <w:keepLines/>
              <w:jc w:val="center"/>
            </w:pPr>
            <w:r w:rsidRPr="0067202A">
              <w:t>$</w:t>
            </w:r>
            <w:r w:rsidR="00546AD5" w:rsidRPr="00546AD5">
              <w:rPr>
                <w:rFonts w:hint="eastAsia"/>
                <w:color w:val="000000"/>
                <w:w w:val="20"/>
                <w:shd w:val="solid" w:color="000000" w:fill="000000"/>
                <w:fitText w:val="89" w:id="-1167898615"/>
                <w14:textFill>
                  <w14:solidFill>
                    <w14:srgbClr w14:val="000000">
                      <w14:alpha w14:val="100000"/>
                    </w14:srgbClr>
                  </w14:solidFill>
                </w14:textFill>
              </w:rPr>
              <w:t xml:space="preserve">　</w:t>
            </w:r>
            <w:r w:rsidR="00546AD5" w:rsidRPr="00546AD5">
              <w:rPr>
                <w:color w:val="000000"/>
                <w:w w:val="20"/>
                <w:shd w:val="solid" w:color="000000" w:fill="000000"/>
                <w:fitText w:val="89" w:id="-1167898615"/>
                <w14:textFill>
                  <w14:solidFill>
                    <w14:srgbClr w14:val="000000">
                      <w14:alpha w14:val="100000"/>
                    </w14:srgbClr>
                  </w14:solidFill>
                </w14:textFill>
              </w:rPr>
              <w:t>|</w:t>
            </w:r>
            <w:r w:rsidR="00546AD5" w:rsidRPr="00546AD5">
              <w:rPr>
                <w:rFonts w:hint="eastAsia"/>
                <w:color w:val="000000"/>
                <w:spacing w:val="2"/>
                <w:w w:val="20"/>
                <w:shd w:val="solid" w:color="000000" w:fill="000000"/>
                <w:fitText w:val="89" w:id="-1167898615"/>
                <w14:textFill>
                  <w14:solidFill>
                    <w14:srgbClr w14:val="000000">
                      <w14:alpha w14:val="100000"/>
                    </w14:srgbClr>
                  </w14:solidFill>
                </w14:textFill>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F262838" w14:textId="77777777" w:rsidR="00AC2298" w:rsidRPr="0067202A" w:rsidRDefault="00AC2298" w:rsidP="00D61604">
            <w:pPr>
              <w:pStyle w:val="Tabletext"/>
              <w:keepNext/>
              <w:keepLines/>
              <w:jc w:val="center"/>
            </w:pPr>
            <w:r w:rsidRPr="0067202A">
              <w:t>0.8232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E1E9C5" w14:textId="29A48A6B" w:rsidR="00AC2298" w:rsidRPr="00D61604" w:rsidRDefault="00AC2298" w:rsidP="00D61604">
            <w:pPr>
              <w:pStyle w:val="Tabletext"/>
              <w:keepNext/>
              <w:keepLines/>
              <w:jc w:val="center"/>
              <w:rPr>
                <w:vertAlign w:val="superscript"/>
              </w:rPr>
            </w:pPr>
            <w:r w:rsidRPr="0067202A">
              <w:t>$</w:t>
            </w:r>
            <w:r w:rsidR="00546AD5" w:rsidRPr="00546AD5">
              <w:rPr>
                <w:color w:val="000000"/>
                <w:spacing w:val="169"/>
                <w:shd w:val="solid" w:color="000000" w:fill="000000"/>
                <w:fitText w:val="255" w:id="-1167898614"/>
                <w14:textFill>
                  <w14:solidFill>
                    <w14:srgbClr w14:val="000000">
                      <w14:alpha w14:val="100000"/>
                    </w14:srgbClr>
                  </w14:solidFill>
                </w14:textFill>
              </w:rPr>
              <w:t>|</w:t>
            </w:r>
            <w:r w:rsidR="00546AD5" w:rsidRPr="00546AD5">
              <w:rPr>
                <w:color w:val="000000"/>
                <w:spacing w:val="1"/>
                <w:shd w:val="solid" w:color="000000" w:fill="000000"/>
                <w:fitText w:val="255" w:id="-1167898614"/>
                <w14:textFill>
                  <w14:solidFill>
                    <w14:srgbClr w14:val="000000">
                      <w14:alpha w14:val="100000"/>
                    </w14:srgbClr>
                  </w14:solidFill>
                </w14:textFill>
              </w:rPr>
              <w:t>|</w:t>
            </w:r>
            <w:r w:rsidR="00D61604">
              <w:rPr>
                <w:vertAlign w:val="superscript"/>
              </w:rPr>
              <w:t>6</w:t>
            </w:r>
          </w:p>
        </w:tc>
        <w:tc>
          <w:tcPr>
            <w:tcW w:w="992" w:type="dxa"/>
            <w:tcBorders>
              <w:top w:val="single" w:sz="4" w:space="0" w:color="auto"/>
              <w:left w:val="nil"/>
              <w:bottom w:val="single" w:sz="4" w:space="0" w:color="auto"/>
              <w:right w:val="single" w:sz="4" w:space="0" w:color="auto"/>
            </w:tcBorders>
            <w:vAlign w:val="center"/>
          </w:tcPr>
          <w:p w14:paraId="76D22D77" w14:textId="77777777" w:rsidR="00AC2298" w:rsidRPr="0067202A" w:rsidRDefault="00AC2298" w:rsidP="00D61604">
            <w:pPr>
              <w:pStyle w:val="Tabletext"/>
              <w:keepNext/>
              <w:keepLines/>
              <w:jc w:val="center"/>
            </w:pPr>
            <w:r w:rsidRPr="0067202A">
              <w:t>+119.4%</w:t>
            </w:r>
          </w:p>
        </w:tc>
      </w:tr>
      <w:tr w:rsidR="00AC2298" w:rsidRPr="00271560" w14:paraId="3C30A63A" w14:textId="77777777" w:rsidTr="007D2040">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05690" w14:textId="77777777" w:rsidR="00AC2298" w:rsidRPr="00271560" w:rsidRDefault="00AC2298" w:rsidP="00D61604">
            <w:pPr>
              <w:pStyle w:val="Tabletext"/>
              <w:keepNext/>
              <w:keepLines/>
            </w:pPr>
            <w:r w:rsidRPr="00271560">
              <w:t>Assumed duration of treatment effect = 15 years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158A96" w14:textId="0EA78B91" w:rsidR="00AC2298" w:rsidRPr="0067202A" w:rsidRDefault="00AC2298" w:rsidP="00D61604">
            <w:pPr>
              <w:pStyle w:val="Tabletext"/>
              <w:keepNext/>
              <w:keepLines/>
              <w:jc w:val="center"/>
            </w:pPr>
            <w:r w:rsidRPr="0067202A">
              <w:t>$</w:t>
            </w:r>
            <w:r w:rsidR="00546AD5" w:rsidRPr="00546AD5">
              <w:rPr>
                <w:rFonts w:hint="eastAsia"/>
                <w:color w:val="000000"/>
                <w:w w:val="20"/>
                <w:shd w:val="solid" w:color="000000" w:fill="000000"/>
                <w:fitText w:val="89" w:id="-1167898613"/>
                <w14:textFill>
                  <w14:solidFill>
                    <w14:srgbClr w14:val="000000">
                      <w14:alpha w14:val="100000"/>
                    </w14:srgbClr>
                  </w14:solidFill>
                </w14:textFill>
              </w:rPr>
              <w:t xml:space="preserve">　</w:t>
            </w:r>
            <w:r w:rsidR="00546AD5" w:rsidRPr="00546AD5">
              <w:rPr>
                <w:color w:val="000000"/>
                <w:w w:val="20"/>
                <w:shd w:val="solid" w:color="000000" w:fill="000000"/>
                <w:fitText w:val="89" w:id="-1167898613"/>
                <w14:textFill>
                  <w14:solidFill>
                    <w14:srgbClr w14:val="000000">
                      <w14:alpha w14:val="100000"/>
                    </w14:srgbClr>
                  </w14:solidFill>
                </w14:textFill>
              </w:rPr>
              <w:t>|</w:t>
            </w:r>
            <w:r w:rsidR="00546AD5" w:rsidRPr="00546AD5">
              <w:rPr>
                <w:rFonts w:hint="eastAsia"/>
                <w:color w:val="000000"/>
                <w:spacing w:val="2"/>
                <w:w w:val="20"/>
                <w:shd w:val="solid" w:color="000000" w:fill="000000"/>
                <w:fitText w:val="89" w:id="-1167898613"/>
                <w14:textFill>
                  <w14:solidFill>
                    <w14:srgbClr w14:val="000000">
                      <w14:alpha w14:val="100000"/>
                    </w14:srgbClr>
                  </w14:solidFill>
                </w14:textFill>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725FC7" w14:textId="77777777" w:rsidR="00AC2298" w:rsidRPr="0067202A" w:rsidRDefault="00AC2298" w:rsidP="00D61604">
            <w:pPr>
              <w:pStyle w:val="Tabletext"/>
              <w:keepNext/>
              <w:keepLines/>
              <w:jc w:val="center"/>
            </w:pPr>
            <w:r w:rsidRPr="0067202A">
              <w:t>1.1277</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2D1337A" w14:textId="77436D5B" w:rsidR="00AC2298" w:rsidRPr="0067202A" w:rsidRDefault="00AC2298" w:rsidP="00D61604">
            <w:pPr>
              <w:pStyle w:val="Tabletext"/>
              <w:keepNext/>
              <w:keepLines/>
              <w:jc w:val="center"/>
            </w:pPr>
            <w:r w:rsidRPr="0067202A">
              <w:t>$</w:t>
            </w:r>
            <w:r w:rsidR="00546AD5" w:rsidRPr="00546AD5">
              <w:rPr>
                <w:color w:val="000000"/>
                <w:spacing w:val="169"/>
                <w:shd w:val="solid" w:color="000000" w:fill="000000"/>
                <w:fitText w:val="255" w:id="-1167898612"/>
                <w14:textFill>
                  <w14:solidFill>
                    <w14:srgbClr w14:val="000000">
                      <w14:alpha w14:val="100000"/>
                    </w14:srgbClr>
                  </w14:solidFill>
                </w14:textFill>
              </w:rPr>
              <w:t>|</w:t>
            </w:r>
            <w:r w:rsidR="00546AD5" w:rsidRPr="00546AD5">
              <w:rPr>
                <w:color w:val="000000"/>
                <w:spacing w:val="1"/>
                <w:shd w:val="solid" w:color="000000" w:fill="000000"/>
                <w:fitText w:val="255" w:id="-1167898612"/>
                <w14:textFill>
                  <w14:solidFill>
                    <w14:srgbClr w14:val="000000">
                      <w14:alpha w14:val="100000"/>
                    </w14:srgbClr>
                  </w14:solidFill>
                </w14:textFill>
              </w:rPr>
              <w:t>|</w:t>
            </w:r>
            <w:r w:rsidR="00D61604">
              <w:rPr>
                <w:vertAlign w:val="superscript"/>
              </w:rPr>
              <w:t>2</w:t>
            </w:r>
          </w:p>
        </w:tc>
        <w:tc>
          <w:tcPr>
            <w:tcW w:w="992" w:type="dxa"/>
            <w:tcBorders>
              <w:top w:val="single" w:sz="4" w:space="0" w:color="auto"/>
              <w:left w:val="nil"/>
              <w:bottom w:val="single" w:sz="4" w:space="0" w:color="auto"/>
              <w:right w:val="single" w:sz="4" w:space="0" w:color="auto"/>
            </w:tcBorders>
            <w:vAlign w:val="center"/>
          </w:tcPr>
          <w:p w14:paraId="5EB0B585" w14:textId="77777777" w:rsidR="00AC2298" w:rsidRPr="0067202A" w:rsidRDefault="00AC2298" w:rsidP="00D61604">
            <w:pPr>
              <w:pStyle w:val="Tabletext"/>
              <w:keepNext/>
              <w:keepLines/>
              <w:jc w:val="center"/>
            </w:pPr>
            <w:r w:rsidRPr="0067202A">
              <w:t>+43.5%</w:t>
            </w:r>
          </w:p>
        </w:tc>
      </w:tr>
      <w:tr w:rsidR="00AC2298" w:rsidRPr="00271560" w14:paraId="293C2915" w14:textId="77777777" w:rsidTr="007D2040">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5E307" w14:textId="77777777" w:rsidR="00AC2298" w:rsidRPr="00271560" w:rsidRDefault="00AC2298" w:rsidP="00D61604">
            <w:pPr>
              <w:pStyle w:val="Tabletext"/>
              <w:keepNext/>
              <w:keepLines/>
            </w:pPr>
            <w:r w:rsidRPr="00271560">
              <w:t>Time horizon = 10 years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C342DC" w14:textId="30531D43" w:rsidR="00AC2298" w:rsidRPr="0067202A" w:rsidRDefault="00AC2298" w:rsidP="00D61604">
            <w:pPr>
              <w:pStyle w:val="Tabletext"/>
              <w:keepNext/>
              <w:keepLines/>
              <w:jc w:val="center"/>
            </w:pPr>
            <w:r w:rsidRPr="0067202A">
              <w:t>$</w:t>
            </w:r>
            <w:r w:rsidR="00546AD5" w:rsidRPr="00546AD5">
              <w:rPr>
                <w:rFonts w:hint="eastAsia"/>
                <w:color w:val="000000"/>
                <w:w w:val="20"/>
                <w:shd w:val="solid" w:color="000000" w:fill="000000"/>
                <w:fitText w:val="89" w:id="-1167898611"/>
                <w14:textFill>
                  <w14:solidFill>
                    <w14:srgbClr w14:val="000000">
                      <w14:alpha w14:val="100000"/>
                    </w14:srgbClr>
                  </w14:solidFill>
                </w14:textFill>
              </w:rPr>
              <w:t xml:space="preserve">　</w:t>
            </w:r>
            <w:r w:rsidR="00546AD5" w:rsidRPr="00546AD5">
              <w:rPr>
                <w:color w:val="000000"/>
                <w:w w:val="20"/>
                <w:shd w:val="solid" w:color="000000" w:fill="000000"/>
                <w:fitText w:val="89" w:id="-1167898611"/>
                <w14:textFill>
                  <w14:solidFill>
                    <w14:srgbClr w14:val="000000">
                      <w14:alpha w14:val="100000"/>
                    </w14:srgbClr>
                  </w14:solidFill>
                </w14:textFill>
              </w:rPr>
              <w:t>|</w:t>
            </w:r>
            <w:r w:rsidR="00546AD5" w:rsidRPr="00546AD5">
              <w:rPr>
                <w:rFonts w:hint="eastAsia"/>
                <w:color w:val="000000"/>
                <w:spacing w:val="2"/>
                <w:w w:val="20"/>
                <w:shd w:val="solid" w:color="000000" w:fill="000000"/>
                <w:fitText w:val="89" w:id="-1167898611"/>
                <w14:textFill>
                  <w14:solidFill>
                    <w14:srgbClr w14:val="000000">
                      <w14:alpha w14:val="100000"/>
                    </w14:srgbClr>
                  </w14:solidFill>
                </w14:textFill>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E8B80E" w14:textId="77777777" w:rsidR="00AC2298" w:rsidRPr="0067202A" w:rsidRDefault="00AC2298" w:rsidP="00D61604">
            <w:pPr>
              <w:pStyle w:val="Tabletext"/>
              <w:keepNext/>
              <w:keepLines/>
              <w:jc w:val="center"/>
            </w:pPr>
            <w:r w:rsidRPr="0067202A">
              <w:t>1.0212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FE9CB86" w14:textId="2B0F6DA8" w:rsidR="00AC2298" w:rsidRPr="00D61604" w:rsidRDefault="00AC2298" w:rsidP="00D61604">
            <w:pPr>
              <w:pStyle w:val="Tabletext"/>
              <w:keepNext/>
              <w:keepLines/>
              <w:jc w:val="center"/>
              <w:rPr>
                <w:highlight w:val="darkGray"/>
              </w:rPr>
            </w:pPr>
            <w:r w:rsidRPr="00D61604">
              <w:t>$</w:t>
            </w:r>
            <w:r w:rsidR="00546AD5" w:rsidRPr="00546AD5">
              <w:rPr>
                <w:color w:val="000000"/>
                <w:spacing w:val="169"/>
                <w:shd w:val="solid" w:color="000000" w:fill="000000"/>
                <w:fitText w:val="255" w:id="-1167898610"/>
                <w14:textFill>
                  <w14:solidFill>
                    <w14:srgbClr w14:val="000000">
                      <w14:alpha w14:val="100000"/>
                    </w14:srgbClr>
                  </w14:solidFill>
                </w14:textFill>
              </w:rPr>
              <w:t>|</w:t>
            </w:r>
            <w:r w:rsidR="00546AD5" w:rsidRPr="00546AD5">
              <w:rPr>
                <w:color w:val="000000"/>
                <w:spacing w:val="1"/>
                <w:shd w:val="solid" w:color="000000" w:fill="000000"/>
                <w:fitText w:val="255" w:id="-1167898610"/>
                <w14:textFill>
                  <w14:solidFill>
                    <w14:srgbClr w14:val="000000">
                      <w14:alpha w14:val="100000"/>
                    </w14:srgbClr>
                  </w14:solidFill>
                </w14:textFill>
              </w:rPr>
              <w:t>|</w:t>
            </w:r>
            <w:r w:rsidR="00D61604" w:rsidRPr="00D61604">
              <w:rPr>
                <w:vertAlign w:val="superscript"/>
              </w:rPr>
              <w:t>2</w:t>
            </w:r>
          </w:p>
        </w:tc>
        <w:tc>
          <w:tcPr>
            <w:tcW w:w="992" w:type="dxa"/>
            <w:tcBorders>
              <w:top w:val="single" w:sz="4" w:space="0" w:color="auto"/>
              <w:left w:val="nil"/>
              <w:bottom w:val="single" w:sz="4" w:space="0" w:color="auto"/>
              <w:right w:val="single" w:sz="4" w:space="0" w:color="auto"/>
            </w:tcBorders>
            <w:vAlign w:val="center"/>
          </w:tcPr>
          <w:p w14:paraId="5731B6BC" w14:textId="77777777" w:rsidR="00AC2298" w:rsidRPr="0067202A" w:rsidRDefault="00AC2298" w:rsidP="00D61604">
            <w:pPr>
              <w:pStyle w:val="Tabletext"/>
              <w:keepNext/>
              <w:keepLines/>
              <w:jc w:val="center"/>
            </w:pPr>
            <w:r w:rsidRPr="0067202A">
              <w:t>+48.6%</w:t>
            </w:r>
          </w:p>
        </w:tc>
      </w:tr>
      <w:tr w:rsidR="00AC2298" w:rsidRPr="00271560" w14:paraId="759789DB" w14:textId="77777777" w:rsidTr="007D2040">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0DBDB" w14:textId="77777777" w:rsidR="00AC2298" w:rsidRPr="00271560" w:rsidRDefault="00AC2298" w:rsidP="00D61604">
            <w:pPr>
              <w:pStyle w:val="Tabletext"/>
              <w:keepNext/>
              <w:keepLines/>
            </w:pPr>
            <w:r w:rsidRPr="00271560">
              <w:t>Time horizon = 40 years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FF1024" w14:textId="320FA09E" w:rsidR="00AC2298" w:rsidRPr="0067202A" w:rsidRDefault="00AC2298" w:rsidP="00D61604">
            <w:pPr>
              <w:pStyle w:val="Tabletext"/>
              <w:keepNext/>
              <w:keepLines/>
              <w:jc w:val="center"/>
            </w:pPr>
            <w:r w:rsidRPr="0067202A">
              <w:t>$</w:t>
            </w:r>
            <w:r w:rsidR="00546AD5" w:rsidRPr="00546AD5">
              <w:rPr>
                <w:rFonts w:hint="eastAsia"/>
                <w:color w:val="000000"/>
                <w:w w:val="20"/>
                <w:shd w:val="solid" w:color="000000" w:fill="000000"/>
                <w:fitText w:val="89" w:id="-1167898609"/>
                <w14:textFill>
                  <w14:solidFill>
                    <w14:srgbClr w14:val="000000">
                      <w14:alpha w14:val="100000"/>
                    </w14:srgbClr>
                  </w14:solidFill>
                </w14:textFill>
              </w:rPr>
              <w:t xml:space="preserve">　</w:t>
            </w:r>
            <w:r w:rsidR="00546AD5" w:rsidRPr="00546AD5">
              <w:rPr>
                <w:color w:val="000000"/>
                <w:w w:val="20"/>
                <w:shd w:val="solid" w:color="000000" w:fill="000000"/>
                <w:fitText w:val="89" w:id="-1167898609"/>
                <w14:textFill>
                  <w14:solidFill>
                    <w14:srgbClr w14:val="000000">
                      <w14:alpha w14:val="100000"/>
                    </w14:srgbClr>
                  </w14:solidFill>
                </w14:textFill>
              </w:rPr>
              <w:t>|</w:t>
            </w:r>
            <w:r w:rsidR="00546AD5" w:rsidRPr="00546AD5">
              <w:rPr>
                <w:rFonts w:hint="eastAsia"/>
                <w:color w:val="000000"/>
                <w:spacing w:val="2"/>
                <w:w w:val="20"/>
                <w:shd w:val="solid" w:color="000000" w:fill="000000"/>
                <w:fitText w:val="89" w:id="-1167898609"/>
                <w14:textFill>
                  <w14:solidFill>
                    <w14:srgbClr w14:val="000000">
                      <w14:alpha w14:val="100000"/>
                    </w14:srgbClr>
                  </w14:solidFill>
                </w14:textFill>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1AF5AA" w14:textId="77777777" w:rsidR="00AC2298" w:rsidRPr="0067202A" w:rsidRDefault="00AC2298" w:rsidP="00D61604">
            <w:pPr>
              <w:pStyle w:val="Tabletext"/>
              <w:keepNext/>
              <w:keepLines/>
              <w:jc w:val="center"/>
            </w:pPr>
            <w:r w:rsidRPr="0067202A">
              <w:t>1.3399</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04F6AA1" w14:textId="6F2537C3" w:rsidR="00AC2298" w:rsidRPr="00D61604" w:rsidRDefault="00AC2298" w:rsidP="00D61604">
            <w:pPr>
              <w:pStyle w:val="Tabletext"/>
              <w:keepNext/>
              <w:keepLines/>
              <w:jc w:val="center"/>
              <w:rPr>
                <w:highlight w:val="darkGray"/>
              </w:rPr>
            </w:pPr>
            <w:r w:rsidRPr="00D61604">
              <w:t>$</w:t>
            </w:r>
            <w:r w:rsidR="00546AD5" w:rsidRPr="00546AD5">
              <w:rPr>
                <w:color w:val="000000"/>
                <w:spacing w:val="169"/>
                <w:shd w:val="solid" w:color="000000" w:fill="000000"/>
                <w:fitText w:val="255" w:id="-1167898608"/>
                <w14:textFill>
                  <w14:solidFill>
                    <w14:srgbClr w14:val="000000">
                      <w14:alpha w14:val="100000"/>
                    </w14:srgbClr>
                  </w14:solidFill>
                </w14:textFill>
              </w:rPr>
              <w:t>|</w:t>
            </w:r>
            <w:r w:rsidR="00546AD5" w:rsidRPr="00546AD5">
              <w:rPr>
                <w:color w:val="000000"/>
                <w:spacing w:val="1"/>
                <w:shd w:val="solid" w:color="000000" w:fill="000000"/>
                <w:fitText w:val="255" w:id="-1167898608"/>
                <w14:textFill>
                  <w14:solidFill>
                    <w14:srgbClr w14:val="000000">
                      <w14:alpha w14:val="100000"/>
                    </w14:srgbClr>
                  </w14:solidFill>
                </w14:textFill>
              </w:rPr>
              <w:t>|</w:t>
            </w:r>
            <w:r w:rsidR="00D61604" w:rsidRPr="00D61604">
              <w:rPr>
                <w:vertAlign w:val="superscript"/>
              </w:rPr>
              <w:t>1</w:t>
            </w:r>
          </w:p>
        </w:tc>
        <w:tc>
          <w:tcPr>
            <w:tcW w:w="992" w:type="dxa"/>
            <w:tcBorders>
              <w:top w:val="single" w:sz="4" w:space="0" w:color="auto"/>
              <w:left w:val="nil"/>
              <w:bottom w:val="single" w:sz="4" w:space="0" w:color="auto"/>
              <w:right w:val="single" w:sz="4" w:space="0" w:color="auto"/>
            </w:tcBorders>
            <w:vAlign w:val="center"/>
          </w:tcPr>
          <w:p w14:paraId="51BA5D3B" w14:textId="77777777" w:rsidR="00AC2298" w:rsidRPr="0067202A" w:rsidRDefault="00AC2298" w:rsidP="00D61604">
            <w:pPr>
              <w:pStyle w:val="Tabletext"/>
              <w:keepNext/>
              <w:keepLines/>
              <w:jc w:val="center"/>
            </w:pPr>
            <w:r w:rsidRPr="0067202A">
              <w:t>+15.8%</w:t>
            </w:r>
          </w:p>
        </w:tc>
      </w:tr>
    </w:tbl>
    <w:p w14:paraId="51908633" w14:textId="77777777" w:rsidR="00AC2298" w:rsidRPr="00271560" w:rsidRDefault="00AC2298" w:rsidP="00D61604">
      <w:pPr>
        <w:pStyle w:val="TableFooter"/>
        <w:keepNext/>
        <w:keepLines/>
      </w:pPr>
      <w:r w:rsidRPr="00271560">
        <w:t>Source: Constructed during evaluation using Cost utility analysis (CUA) workbook (Section 3).xlsx</w:t>
      </w:r>
    </w:p>
    <w:p w14:paraId="3079453E" w14:textId="77777777" w:rsidR="00AC2298" w:rsidRPr="00271560" w:rsidRDefault="00AC2298" w:rsidP="00D61604">
      <w:pPr>
        <w:pStyle w:val="TableFooter"/>
        <w:keepNext/>
        <w:keepLines/>
      </w:pPr>
      <w:r w:rsidRPr="00271560">
        <w:t>AE = adverse events; ICER = incremental cost-effectiveness ratio; QALY = quality adjusted life year; SMN = survival of motor neuron.</w:t>
      </w:r>
    </w:p>
    <w:p w14:paraId="4E2D1C61" w14:textId="40B19F25" w:rsidR="00AC2298" w:rsidRDefault="00AC2298" w:rsidP="00D61604">
      <w:pPr>
        <w:pStyle w:val="TableFooter"/>
        <w:keepNext/>
        <w:keepLines/>
      </w:pPr>
      <w:r w:rsidRPr="00271560">
        <w:rPr>
          <w:vertAlign w:val="superscript"/>
        </w:rPr>
        <w:t>a</w:t>
      </w:r>
      <w:r w:rsidRPr="00271560">
        <w:t xml:space="preserve"> Percentage change from base case presented in the resubmission.</w:t>
      </w:r>
    </w:p>
    <w:p w14:paraId="3C9CCF13" w14:textId="77777777" w:rsidR="00D61604" w:rsidRPr="009A6D58" w:rsidRDefault="00D61604" w:rsidP="00D61604">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6C0E3B7" w14:textId="77777777" w:rsidR="00D61604" w:rsidRPr="009A6D58" w:rsidRDefault="00D61604" w:rsidP="00D61604">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57332">
        <w:rPr>
          <w:rFonts w:ascii="Arial Narrow" w:hAnsi="Arial Narrow"/>
          <w:i/>
          <w:sz w:val="18"/>
          <w:szCs w:val="18"/>
        </w:rPr>
        <w:t>$155,000 to &lt; $255,000</w:t>
      </w:r>
      <w:r>
        <w:rPr>
          <w:rFonts w:ascii="Arial Narrow" w:hAnsi="Arial Narrow"/>
          <w:i/>
          <w:sz w:val="18"/>
          <w:szCs w:val="18"/>
        </w:rPr>
        <w:t xml:space="preserve"> </w:t>
      </w:r>
    </w:p>
    <w:p w14:paraId="10ECDF31" w14:textId="77777777" w:rsidR="00D61604" w:rsidRPr="009A6D58" w:rsidRDefault="00D61604" w:rsidP="00D61604">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57332">
        <w:rPr>
          <w:rFonts w:ascii="Arial Narrow" w:hAnsi="Arial Narrow"/>
          <w:i/>
          <w:sz w:val="18"/>
          <w:szCs w:val="18"/>
        </w:rPr>
        <w:t>$255,000 to &lt; $355,000</w:t>
      </w:r>
    </w:p>
    <w:p w14:paraId="6A3B0A01" w14:textId="77777777" w:rsidR="00D61604" w:rsidRDefault="00D61604" w:rsidP="00D61604">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57332">
        <w:rPr>
          <w:rFonts w:ascii="Arial Narrow" w:hAnsi="Arial Narrow"/>
          <w:i/>
          <w:sz w:val="18"/>
          <w:szCs w:val="18"/>
        </w:rPr>
        <w:t>$355,000 to &lt; $455,000</w:t>
      </w:r>
    </w:p>
    <w:p w14:paraId="75FBB2D5" w14:textId="77777777" w:rsidR="00D61604" w:rsidRDefault="00D61604" w:rsidP="00D61604">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57332">
        <w:rPr>
          <w:rFonts w:ascii="Arial Narrow" w:hAnsi="Arial Narrow"/>
          <w:i/>
          <w:sz w:val="18"/>
          <w:szCs w:val="18"/>
        </w:rPr>
        <w:t>$95,000 to &lt; $115,000</w:t>
      </w:r>
    </w:p>
    <w:p w14:paraId="540899DA" w14:textId="175A57C1" w:rsidR="00D61604" w:rsidRDefault="00D61604" w:rsidP="00D61604">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57332">
        <w:rPr>
          <w:rFonts w:ascii="Arial Narrow" w:hAnsi="Arial Narrow"/>
          <w:i/>
          <w:sz w:val="18"/>
          <w:szCs w:val="18"/>
        </w:rPr>
        <w:t>$855,000 to &lt; $955,000</w:t>
      </w:r>
    </w:p>
    <w:p w14:paraId="160CEE2A" w14:textId="69B3CB61" w:rsidR="00D61604" w:rsidRDefault="00D61604" w:rsidP="00D61604">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557332">
        <w:rPr>
          <w:rFonts w:ascii="Arial Narrow" w:hAnsi="Arial Narrow"/>
          <w:i/>
          <w:sz w:val="18"/>
          <w:szCs w:val="18"/>
        </w:rPr>
        <w:t>$</w:t>
      </w:r>
      <w:r>
        <w:rPr>
          <w:rFonts w:ascii="Arial Narrow" w:hAnsi="Arial Narrow"/>
          <w:i/>
          <w:sz w:val="18"/>
          <w:szCs w:val="18"/>
        </w:rPr>
        <w:t>4</w:t>
      </w:r>
      <w:r w:rsidRPr="00557332">
        <w:rPr>
          <w:rFonts w:ascii="Arial Narrow" w:hAnsi="Arial Narrow"/>
          <w:i/>
          <w:sz w:val="18"/>
          <w:szCs w:val="18"/>
        </w:rPr>
        <w:t>55,000 to &lt; $</w:t>
      </w:r>
      <w:r>
        <w:rPr>
          <w:rFonts w:ascii="Arial Narrow" w:hAnsi="Arial Narrow"/>
          <w:i/>
          <w:sz w:val="18"/>
          <w:szCs w:val="18"/>
        </w:rPr>
        <w:t>5</w:t>
      </w:r>
      <w:r w:rsidRPr="00557332">
        <w:rPr>
          <w:rFonts w:ascii="Arial Narrow" w:hAnsi="Arial Narrow"/>
          <w:i/>
          <w:sz w:val="18"/>
          <w:szCs w:val="18"/>
        </w:rPr>
        <w:t>55,000</w:t>
      </w:r>
    </w:p>
    <w:p w14:paraId="0B451A6E" w14:textId="0295A5BA" w:rsidR="00007321" w:rsidRPr="00452F48" w:rsidRDefault="00007321" w:rsidP="00720F0A">
      <w:pPr>
        <w:pStyle w:val="3-BodyText"/>
      </w:pPr>
      <w:r w:rsidRPr="00452F48">
        <w:t>The ESC noted that the revised base case ICER was particularly sensitive to changes in the assumed duration of treatment effect and incremental difference in utility.</w:t>
      </w:r>
    </w:p>
    <w:p w14:paraId="57DC10B5" w14:textId="77777777" w:rsidR="00AC2298" w:rsidRPr="0067202A" w:rsidRDefault="00AC2298" w:rsidP="00AC2298">
      <w:pPr>
        <w:pStyle w:val="3-BodyText"/>
      </w:pPr>
      <w:r w:rsidRPr="0067202A">
        <w:t>Overall, the ICER may be underestimated as:</w:t>
      </w:r>
    </w:p>
    <w:p w14:paraId="3079E265" w14:textId="51A696C6" w:rsidR="00AC2298" w:rsidRDefault="00AC2298" w:rsidP="00106AA4">
      <w:pPr>
        <w:pStyle w:val="3-BodyText"/>
        <w:numPr>
          <w:ilvl w:val="1"/>
          <w:numId w:val="11"/>
        </w:numPr>
        <w:ind w:left="993" w:hanging="219"/>
      </w:pPr>
      <w:r w:rsidRPr="0067202A">
        <w:t>The assum</w:t>
      </w:r>
      <w:r w:rsidR="00A5334B" w:rsidRPr="0067202A">
        <w:t xml:space="preserve">ption that the clinical benefit in </w:t>
      </w:r>
      <w:r w:rsidRPr="0067202A">
        <w:t xml:space="preserve">patients with 3 </w:t>
      </w:r>
      <w:r w:rsidRPr="0067202A">
        <w:rPr>
          <w:i/>
          <w:iCs/>
        </w:rPr>
        <w:t>SMN2</w:t>
      </w:r>
      <w:r w:rsidRPr="0067202A">
        <w:t xml:space="preserve"> copies was identical to that in patients with 2 </w:t>
      </w:r>
      <w:r w:rsidRPr="0067202A">
        <w:rPr>
          <w:i/>
          <w:iCs/>
        </w:rPr>
        <w:t>SMN2</w:t>
      </w:r>
      <w:r w:rsidRPr="0067202A">
        <w:t xml:space="preserve"> copies was inconsistent with PBAC’s opinion that the incremental benefit of pre</w:t>
      </w:r>
      <w:r w:rsidRPr="0067202A">
        <w:noBreakHyphen/>
        <w:t xml:space="preserve">symptomatic treatment </w:t>
      </w:r>
      <w:r w:rsidR="008859FE" w:rsidRPr="0067202A">
        <w:t>(</w:t>
      </w:r>
      <w:r w:rsidRPr="0067202A">
        <w:t>with onasemnogene abeparvovec</w:t>
      </w:r>
      <w:r w:rsidR="008859FE" w:rsidRPr="0067202A">
        <w:t>)</w:t>
      </w:r>
      <w:r w:rsidRPr="0067202A">
        <w:t xml:space="preserve"> compared to symptomatic treatment with disease modifying therapies for patients with 3 </w:t>
      </w:r>
      <w:r w:rsidRPr="0067202A">
        <w:rPr>
          <w:i/>
          <w:iCs/>
        </w:rPr>
        <w:t>SMN2</w:t>
      </w:r>
      <w:r w:rsidRPr="0067202A">
        <w:t xml:space="preserve"> copies would be less than that for patients with 1-2 </w:t>
      </w:r>
      <w:r w:rsidRPr="007D6B9A">
        <w:rPr>
          <w:i/>
          <w:iCs/>
        </w:rPr>
        <w:t>SMN2</w:t>
      </w:r>
      <w:r w:rsidRPr="0067202A">
        <w:t xml:space="preserve"> copies due to patients with 3 </w:t>
      </w:r>
      <w:r w:rsidRPr="0067202A">
        <w:rPr>
          <w:i/>
          <w:iCs/>
        </w:rPr>
        <w:t>SMN2</w:t>
      </w:r>
      <w:r w:rsidRPr="0067202A">
        <w:t xml:space="preserve"> copies likely having better outcomes in the absence of pre-symptomatic treatment (paragraph 7.6, onasemnogene abeparvovec PSD, November 2022 PBAC meeting)</w:t>
      </w:r>
      <w:r w:rsidR="00FC1DF5">
        <w:t xml:space="preserve">. </w:t>
      </w:r>
      <w:r w:rsidR="00FC1DF5" w:rsidRPr="00452F48">
        <w:t xml:space="preserve">The ESC considered this assumption </w:t>
      </w:r>
      <w:r w:rsidR="00B54E0C" w:rsidRPr="00452F48">
        <w:t xml:space="preserve">of identical treatment benefit </w:t>
      </w:r>
      <w:r w:rsidR="00FC1DF5" w:rsidRPr="00452F48">
        <w:t>was optimistic</w:t>
      </w:r>
      <w:r w:rsidR="00A5334B" w:rsidRPr="00452F48">
        <w:t>;</w:t>
      </w:r>
    </w:p>
    <w:p w14:paraId="4EEF1315" w14:textId="0C56B67D" w:rsidR="00AC2298" w:rsidRPr="0067202A" w:rsidRDefault="00782B3C" w:rsidP="00106AA4">
      <w:pPr>
        <w:pStyle w:val="3-BodyText"/>
        <w:numPr>
          <w:ilvl w:val="1"/>
          <w:numId w:val="11"/>
        </w:numPr>
        <w:ind w:left="993" w:hanging="219"/>
      </w:pPr>
      <w:r>
        <w:t>H</w:t>
      </w:r>
      <w:r w:rsidR="00AC2298" w:rsidRPr="0067202A">
        <w:t xml:space="preserve">ealth state costs in patients with 3 </w:t>
      </w:r>
      <w:r w:rsidR="00AC2298" w:rsidRPr="0067202A">
        <w:rPr>
          <w:i/>
          <w:iCs/>
        </w:rPr>
        <w:t>SMN2</w:t>
      </w:r>
      <w:r w:rsidR="00AC2298" w:rsidRPr="0067202A">
        <w:t xml:space="preserve"> copies </w:t>
      </w:r>
      <w:r>
        <w:t>may be overestimated</w:t>
      </w:r>
      <w:r w:rsidR="00AC2298" w:rsidRPr="0067202A">
        <w:t>;</w:t>
      </w:r>
    </w:p>
    <w:p w14:paraId="44BBF707" w14:textId="03E12F88" w:rsidR="00AC2298" w:rsidRPr="0067202A" w:rsidRDefault="00782B3C" w:rsidP="00106AA4">
      <w:pPr>
        <w:pStyle w:val="3-BodyText"/>
        <w:numPr>
          <w:ilvl w:val="1"/>
          <w:numId w:val="11"/>
        </w:numPr>
        <w:ind w:left="993" w:hanging="219"/>
      </w:pPr>
      <w:r>
        <w:t>The a</w:t>
      </w:r>
      <w:r w:rsidRPr="0067202A">
        <w:t>ssumption of a fixed age of onset and distribution of SMA types may favour pre symptomatic treatment</w:t>
      </w:r>
      <w:r w:rsidR="00AC2298" w:rsidRPr="0067202A">
        <w:t>;</w:t>
      </w:r>
    </w:p>
    <w:p w14:paraId="7A009EAE" w14:textId="39199864" w:rsidR="00AC2298" w:rsidRPr="0067202A" w:rsidRDefault="00AC2298" w:rsidP="00106AA4">
      <w:pPr>
        <w:pStyle w:val="3-BodyText"/>
        <w:numPr>
          <w:ilvl w:val="1"/>
          <w:numId w:val="11"/>
        </w:numPr>
        <w:ind w:left="993" w:hanging="219"/>
      </w:pPr>
      <w:r w:rsidRPr="0067202A">
        <w:t xml:space="preserve">It was assumed that no patients with 3 </w:t>
      </w:r>
      <w:r w:rsidRPr="00A54B95">
        <w:rPr>
          <w:i/>
          <w:iCs/>
        </w:rPr>
        <w:t>SMN2</w:t>
      </w:r>
      <w:r w:rsidRPr="0067202A">
        <w:t xml:space="preserve"> copies would have developed SMA Type IV; and</w:t>
      </w:r>
    </w:p>
    <w:p w14:paraId="04D482EF" w14:textId="15E0BA03" w:rsidR="00AC2298" w:rsidRPr="00A54B95" w:rsidRDefault="00AC2298" w:rsidP="00106AA4">
      <w:pPr>
        <w:pStyle w:val="3-BodyText"/>
        <w:numPr>
          <w:ilvl w:val="1"/>
          <w:numId w:val="11"/>
        </w:numPr>
        <w:ind w:left="993" w:hanging="219"/>
      </w:pPr>
      <w:r w:rsidRPr="00A54B95">
        <w:t>The assumption that patients in the S</w:t>
      </w:r>
      <w:r w:rsidR="00BA47A9">
        <w:t>o</w:t>
      </w:r>
      <w:r w:rsidRPr="00A54B95">
        <w:t xml:space="preserve">C arm will experience an immediate decrement of 0.2 utility as soon as they become symptomatic (irrespective of SMA </w:t>
      </w:r>
      <w:r w:rsidRPr="00A54B95">
        <w:lastRenderedPageBreak/>
        <w:t xml:space="preserve">type) whereas patients treated </w:t>
      </w:r>
      <w:r w:rsidR="009522B9" w:rsidRPr="00A54B95">
        <w:t xml:space="preserve">when </w:t>
      </w:r>
      <w:r w:rsidRPr="00A54B95">
        <w:t>pre-symptomatic will slowly experience utility decline over 20 years from the time of symptom onset (irrespective of SMA type) favoured pre-symptomatic treatment</w:t>
      </w:r>
      <w:r w:rsidR="008C4E21">
        <w:t>.</w:t>
      </w:r>
    </w:p>
    <w:p w14:paraId="67AFB8E7" w14:textId="25D65274" w:rsidR="00AC2298" w:rsidRPr="00A54B95" w:rsidRDefault="00AC2298" w:rsidP="00AC2298">
      <w:pPr>
        <w:pStyle w:val="3-BodyText"/>
      </w:pPr>
      <w:r w:rsidRPr="00A54B95">
        <w:t>Additionally, the economic evaluation contained the following sources of uncertainty</w:t>
      </w:r>
      <w:r w:rsidR="00D84834">
        <w:t>,</w:t>
      </w:r>
      <w:r w:rsidRPr="00A54B95">
        <w:t xml:space="preserve"> which could not be quantified during the evaluation:</w:t>
      </w:r>
    </w:p>
    <w:p w14:paraId="5B556AF4" w14:textId="32A42BF1" w:rsidR="00AC2298" w:rsidRPr="00A54B95" w:rsidRDefault="00AC2298" w:rsidP="00106AA4">
      <w:pPr>
        <w:pStyle w:val="3-BodyText"/>
        <w:numPr>
          <w:ilvl w:val="1"/>
          <w:numId w:val="11"/>
        </w:numPr>
        <w:ind w:left="993" w:hanging="219"/>
      </w:pPr>
      <w:r w:rsidRPr="00A54B95">
        <w:t xml:space="preserve">The assumption of no mortality in SMA Type I patients with 3 </w:t>
      </w:r>
      <w:r w:rsidRPr="00A54B95">
        <w:rPr>
          <w:i/>
          <w:iCs/>
        </w:rPr>
        <w:t>SMN2</w:t>
      </w:r>
      <w:r w:rsidRPr="00A54B95">
        <w:t xml:space="preserve"> copies may favour pre</w:t>
      </w:r>
      <w:r w:rsidRPr="00A54B95">
        <w:noBreakHyphen/>
        <w:t>symptomatic treatment;</w:t>
      </w:r>
    </w:p>
    <w:p w14:paraId="76F50833" w14:textId="77777777" w:rsidR="00AC2298" w:rsidRPr="00A54B95" w:rsidRDefault="00AC2298" w:rsidP="00106AA4">
      <w:pPr>
        <w:pStyle w:val="3-BodyText"/>
        <w:numPr>
          <w:ilvl w:val="1"/>
          <w:numId w:val="11"/>
        </w:numPr>
        <w:ind w:left="993" w:hanging="219"/>
      </w:pPr>
      <w:r w:rsidRPr="00A54B95">
        <w:t>The model did not consider discontinuation of treatment. It was unclear whether this favoured pre-symptomatic treatment or SoC as there are complex effects such as unclear disease progression after cessation of treatment and potential for treatment switching to risdiplam in clinical practice;</w:t>
      </w:r>
    </w:p>
    <w:p w14:paraId="31488C82" w14:textId="77777777" w:rsidR="00AC2298" w:rsidRPr="00A54B95" w:rsidRDefault="00AC2298" w:rsidP="00106AA4">
      <w:pPr>
        <w:pStyle w:val="3-BodyText"/>
        <w:numPr>
          <w:ilvl w:val="1"/>
          <w:numId w:val="11"/>
        </w:numPr>
        <w:ind w:left="993" w:hanging="219"/>
      </w:pPr>
      <w:r w:rsidRPr="00A54B95">
        <w:t xml:space="preserve">There was no reliable estimate of the incremental benefit of pre-symptomatic treatment compared to SoC in patients with 3 </w:t>
      </w:r>
      <w:r w:rsidRPr="00A54B95">
        <w:rPr>
          <w:i/>
          <w:iCs/>
        </w:rPr>
        <w:t>SMN2</w:t>
      </w:r>
      <w:r w:rsidRPr="00A54B95">
        <w:t xml:space="preserve"> copies;</w:t>
      </w:r>
    </w:p>
    <w:p w14:paraId="474313FE" w14:textId="4857D0C1" w:rsidR="00AC2298" w:rsidRPr="00A54B95" w:rsidRDefault="00AC2298" w:rsidP="00106AA4">
      <w:pPr>
        <w:pStyle w:val="3-BodyText"/>
        <w:numPr>
          <w:ilvl w:val="1"/>
          <w:numId w:val="11"/>
        </w:numPr>
        <w:ind w:left="993" w:hanging="219"/>
      </w:pPr>
      <w:r w:rsidRPr="00A54B95">
        <w:t>The distribution of SMA types (</w:t>
      </w:r>
      <w:r w:rsidR="0001364A">
        <w:t>i.e.,</w:t>
      </w:r>
      <w:r w:rsidRPr="00A54B95">
        <w:t xml:space="preserve"> the phenotype of patients in the absence of pre</w:t>
      </w:r>
      <w:r w:rsidRPr="00A54B95">
        <w:noBreakHyphen/>
        <w:t xml:space="preserve">symptomatic treatment) among patients with 3 </w:t>
      </w:r>
      <w:r w:rsidRPr="00A54B95">
        <w:rPr>
          <w:i/>
          <w:iCs/>
        </w:rPr>
        <w:t>SMN2</w:t>
      </w:r>
      <w:r w:rsidRPr="00A54B95">
        <w:t xml:space="preserve"> copies </w:t>
      </w:r>
      <w:r w:rsidR="008C4E21">
        <w:t>is uncertain</w:t>
      </w:r>
      <w:r w:rsidRPr="00A54B95">
        <w:t>.</w:t>
      </w:r>
    </w:p>
    <w:p w14:paraId="77DA77F5" w14:textId="035BCECC" w:rsidR="00A5334B" w:rsidRDefault="008C4E21" w:rsidP="00A5334B">
      <w:pPr>
        <w:pStyle w:val="3-BodyText"/>
      </w:pPr>
      <w:r>
        <w:t>In relation to onasemnogene abeparvovec t</w:t>
      </w:r>
      <w:r w:rsidR="00A5334B" w:rsidRPr="00BE66A6">
        <w:t xml:space="preserve">he PBAC has </w:t>
      </w:r>
      <w:r w:rsidR="008859FE" w:rsidRPr="00BE66A6">
        <w:t xml:space="preserve">previously </w:t>
      </w:r>
      <w:r>
        <w:t>advised</w:t>
      </w:r>
      <w:r w:rsidRPr="00BE66A6">
        <w:t xml:space="preserve"> </w:t>
      </w:r>
      <w:r w:rsidR="00A5334B" w:rsidRPr="00BE66A6">
        <w:t xml:space="preserve">that a lower price for pre-symptomatic treatment in </w:t>
      </w:r>
      <w:r w:rsidR="0023060B" w:rsidRPr="00BE66A6">
        <w:t xml:space="preserve">individuals with </w:t>
      </w:r>
      <w:r w:rsidR="00A5334B" w:rsidRPr="00BE66A6">
        <w:t xml:space="preserve">3 </w:t>
      </w:r>
      <w:r w:rsidR="00A5334B" w:rsidRPr="00BE66A6">
        <w:rPr>
          <w:i/>
          <w:iCs/>
        </w:rPr>
        <w:t>SMN2</w:t>
      </w:r>
      <w:r w:rsidR="00A5334B" w:rsidRPr="00BE66A6">
        <w:t xml:space="preserve"> copies would be required to achieve a similar cost</w:t>
      </w:r>
      <w:r w:rsidR="0023060B" w:rsidRPr="00BE66A6">
        <w:t>-</w:t>
      </w:r>
      <w:r w:rsidR="00A5334B" w:rsidRPr="00BE66A6">
        <w:t xml:space="preserve">effectiveness to pre-symptomatic treatment in </w:t>
      </w:r>
      <w:r w:rsidR="0023060B" w:rsidRPr="00BE66A6">
        <w:t xml:space="preserve">those with </w:t>
      </w:r>
      <w:r w:rsidR="00A5334B" w:rsidRPr="00BE66A6">
        <w:t xml:space="preserve">1-2 </w:t>
      </w:r>
      <w:r w:rsidR="00A5334B" w:rsidRPr="00BE66A6">
        <w:rPr>
          <w:i/>
          <w:iCs/>
        </w:rPr>
        <w:t>SMN2</w:t>
      </w:r>
      <w:r w:rsidR="00A5334B" w:rsidRPr="00BE66A6">
        <w:t xml:space="preserve"> copies</w:t>
      </w:r>
      <w:r w:rsidR="003F122E" w:rsidRPr="00BE66A6">
        <w:t xml:space="preserve"> </w:t>
      </w:r>
      <w:r w:rsidR="00A5334B" w:rsidRPr="00BE66A6">
        <w:t>(paragraph 7.10 onasemnogene abeparvovec PSD, November 2022 PBAC meeting).</w:t>
      </w:r>
      <w:r w:rsidR="003F122E" w:rsidRPr="00BE66A6">
        <w:t xml:space="preserve"> </w:t>
      </w:r>
    </w:p>
    <w:p w14:paraId="427BEC4E" w14:textId="039D0D92" w:rsidR="00CD3F40" w:rsidRPr="00452F48" w:rsidRDefault="00CD3F40" w:rsidP="00CD3F40">
      <w:pPr>
        <w:pStyle w:val="3-BodyText"/>
      </w:pPr>
      <w:r w:rsidRPr="00452F48">
        <w:t xml:space="preserve">The ESC considered that there were substantial limitations to the data available to inform </w:t>
      </w:r>
      <w:r w:rsidR="00C26C49" w:rsidRPr="00452F48">
        <w:t>the</w:t>
      </w:r>
      <w:r w:rsidRPr="00452F48">
        <w:t xml:space="preserve"> economic model, </w:t>
      </w:r>
      <w:r w:rsidR="00C26C49" w:rsidRPr="00452F48">
        <w:t>leading to significant uncertainty regarding the modelled outcomes. H</w:t>
      </w:r>
      <w:r w:rsidRPr="00452F48">
        <w:t>owever</w:t>
      </w:r>
      <w:r w:rsidR="0016461C" w:rsidRPr="00452F48">
        <w:t>,</w:t>
      </w:r>
      <w:r w:rsidRPr="00452F48">
        <w:t xml:space="preserve"> there is unlikely to be a</w:t>
      </w:r>
      <w:r w:rsidR="00C26C49" w:rsidRPr="00452F48">
        <w:t xml:space="preserve">lternative data or approaches to economic analysis that </w:t>
      </w:r>
      <w:r w:rsidR="001D1383" w:rsidRPr="00452F48">
        <w:t xml:space="preserve">would </w:t>
      </w:r>
      <w:r w:rsidR="00C26C49" w:rsidRPr="00452F48">
        <w:t>provide more robust estimates of the cost-effectiveness. The ESC considered</w:t>
      </w:r>
      <w:r w:rsidRPr="00452F48">
        <w:t xml:space="preserve"> the request for the same price in patients with </w:t>
      </w:r>
      <w:r w:rsidR="007D6B9A" w:rsidRPr="00452F48">
        <w:t>3</w:t>
      </w:r>
      <w:r w:rsidR="007D6B9A">
        <w:t> </w:t>
      </w:r>
      <w:r w:rsidRPr="00452F48">
        <w:t>copies</w:t>
      </w:r>
      <w:r w:rsidR="00452F48" w:rsidRPr="00452F48">
        <w:t xml:space="preserve"> of</w:t>
      </w:r>
      <w:r w:rsidRPr="00C26C49">
        <w:rPr>
          <w:i/>
          <w:iCs/>
        </w:rPr>
        <w:t xml:space="preserve"> SMN2 </w:t>
      </w:r>
      <w:r w:rsidRPr="00452F48">
        <w:t>as for patients with 1-2 copies</w:t>
      </w:r>
      <w:r w:rsidR="00452F48">
        <w:rPr>
          <w:i/>
          <w:iCs/>
        </w:rPr>
        <w:t xml:space="preserve"> </w:t>
      </w:r>
      <w:r w:rsidR="00452F48" w:rsidRPr="00452F48">
        <w:t>of</w:t>
      </w:r>
      <w:r w:rsidRPr="00452F48">
        <w:t xml:space="preserve"> </w:t>
      </w:r>
      <w:r w:rsidRPr="00452F48">
        <w:rPr>
          <w:i/>
          <w:iCs/>
        </w:rPr>
        <w:t>SMN2</w:t>
      </w:r>
      <w:r w:rsidRPr="00452F48">
        <w:t xml:space="preserve"> was not justified given</w:t>
      </w:r>
      <w:r w:rsidR="00C26C49" w:rsidRPr="00452F48">
        <w:t xml:space="preserve"> the</w:t>
      </w:r>
      <w:r w:rsidRPr="00452F48">
        <w:t xml:space="preserve"> PBAC’s previous advice</w:t>
      </w:r>
      <w:r w:rsidR="00C26C49" w:rsidRPr="00452F48">
        <w:t>,</w:t>
      </w:r>
      <w:r w:rsidRPr="00452F48">
        <w:t xml:space="preserve"> and further because some pre-symptomatic patients may have otherwise been treated under the symptomatic Type </w:t>
      </w:r>
      <w:r w:rsidR="008E7389">
        <w:t>IIIb</w:t>
      </w:r>
      <w:r w:rsidRPr="00452F48">
        <w:t>/</w:t>
      </w:r>
      <w:r w:rsidR="008E7389">
        <w:t>c</w:t>
      </w:r>
      <w:r w:rsidRPr="00452F48">
        <w:t xml:space="preserve"> listings where there is a lower price. The ESC considered that </w:t>
      </w:r>
      <w:r w:rsidR="00E40E09" w:rsidRPr="00452F48">
        <w:t xml:space="preserve">even if the PBAC accepts that there is comparable benefit in patients with 3 copies </w:t>
      </w:r>
      <w:r w:rsidR="00452F48">
        <w:t xml:space="preserve">of </w:t>
      </w:r>
      <w:r w:rsidR="00E40E09" w:rsidRPr="00452F48">
        <w:rPr>
          <w:i/>
          <w:iCs/>
        </w:rPr>
        <w:t>SMN2</w:t>
      </w:r>
      <w:r w:rsidR="00E40E09" w:rsidRPr="00452F48">
        <w:t xml:space="preserve">, </w:t>
      </w:r>
      <w:r w:rsidRPr="00452F48">
        <w:t xml:space="preserve">the price of nusinersen for pre-symptomatic patients with 3 copies of </w:t>
      </w:r>
      <w:r w:rsidRPr="00452F48">
        <w:rPr>
          <w:i/>
          <w:iCs/>
        </w:rPr>
        <w:t>SMN2</w:t>
      </w:r>
      <w:r w:rsidRPr="00452F48">
        <w:t xml:space="preserve"> </w:t>
      </w:r>
      <w:r w:rsidR="00B61EF3" w:rsidRPr="00452F48">
        <w:t>should</w:t>
      </w:r>
      <w:r w:rsidRPr="00452F48">
        <w:t xml:space="preserve"> be no more than the weighted mean price based on expected SMA type (i.e.</w:t>
      </w:r>
      <w:r w:rsidR="00452F48">
        <w:t>,</w:t>
      </w:r>
      <w:r w:rsidRPr="00452F48">
        <w:t xml:space="preserve"> accounting for the lower price in </w:t>
      </w:r>
      <w:r w:rsidR="007D6B9A" w:rsidRPr="00452F48">
        <w:t>Type</w:t>
      </w:r>
      <w:r w:rsidR="007D6B9A">
        <w:t> </w:t>
      </w:r>
      <w:r w:rsidRPr="00452F48">
        <w:t xml:space="preserve">3B/C symptomatic patients). </w:t>
      </w:r>
      <w:r w:rsidR="00C26C49" w:rsidRPr="00452F48">
        <w:t xml:space="preserve">Assuming 8.34% of patients with 3 copies of </w:t>
      </w:r>
      <w:r w:rsidR="00C26C49" w:rsidRPr="00452F48">
        <w:rPr>
          <w:i/>
          <w:iCs/>
        </w:rPr>
        <w:t xml:space="preserve">SMN2 </w:t>
      </w:r>
      <w:r w:rsidR="00C26C49" w:rsidRPr="00452F48">
        <w:t xml:space="preserve">would be Type </w:t>
      </w:r>
      <w:r w:rsidR="008E7389">
        <w:t>III</w:t>
      </w:r>
      <w:r w:rsidR="008E7389" w:rsidRPr="00452F48">
        <w:t>b</w:t>
      </w:r>
      <w:r w:rsidR="00C26C49" w:rsidRPr="00452F48">
        <w:t xml:space="preserve">/c and the remainder Type </w:t>
      </w:r>
      <w:r w:rsidR="008E7389">
        <w:t>I-II</w:t>
      </w:r>
      <w:r w:rsidR="00C26C49" w:rsidRPr="00452F48">
        <w:t>, the weighted price per dose would be reduced from $</w:t>
      </w:r>
      <w:r w:rsidR="00546AD5" w:rsidRPr="007020B8">
        <w:rPr>
          <w:color w:val="000000"/>
          <w:w w:val="15"/>
          <w:shd w:val="solid" w:color="000000" w:fill="000000"/>
          <w:fitText w:val="-20" w:id="-116789862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624"/>
          <w14:textFill>
            <w14:solidFill>
              <w14:srgbClr w14:val="000000">
                <w14:alpha w14:val="100000"/>
              </w14:srgbClr>
            </w14:solidFill>
          </w14:textFill>
        </w:rPr>
        <w:t>|</w:t>
      </w:r>
      <w:r w:rsidR="00C26C49" w:rsidRPr="00452F48">
        <w:t xml:space="preserve"> to $</w:t>
      </w:r>
      <w:r w:rsidR="00546AD5" w:rsidRPr="007020B8">
        <w:rPr>
          <w:color w:val="000000"/>
          <w:w w:val="15"/>
          <w:shd w:val="solid" w:color="000000" w:fill="000000"/>
          <w:fitText w:val="-20" w:id="-116789862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623"/>
          <w14:textFill>
            <w14:solidFill>
              <w14:srgbClr w14:val="000000">
                <w14:alpha w14:val="100000"/>
              </w14:srgbClr>
            </w14:solidFill>
          </w14:textFill>
        </w:rPr>
        <w:t>|</w:t>
      </w:r>
      <w:r w:rsidR="00C26C49" w:rsidRPr="00452F48">
        <w:t>.</w:t>
      </w:r>
      <w:r w:rsidR="00B61EF3" w:rsidRPr="00452F48">
        <w:t xml:space="preserve"> The ESC noted the PBAC’s previous advice that the cost-effective price is likely to be lower in patients with 3 copies</w:t>
      </w:r>
      <w:r w:rsidR="00933757">
        <w:t xml:space="preserve"> of</w:t>
      </w:r>
      <w:r w:rsidR="00B61EF3" w:rsidRPr="00452F48">
        <w:t xml:space="preserve"> </w:t>
      </w:r>
      <w:r w:rsidR="00B61EF3" w:rsidRPr="00933757">
        <w:rPr>
          <w:i/>
          <w:iCs/>
        </w:rPr>
        <w:t>SMN2</w:t>
      </w:r>
      <w:r w:rsidR="00E40E09" w:rsidRPr="00452F48">
        <w:t xml:space="preserve"> and suggested that, if there is uncertainty regarding comparable benefit in patients with </w:t>
      </w:r>
      <w:r w:rsidR="007D6B9A" w:rsidRPr="00452F48">
        <w:t>3</w:t>
      </w:r>
      <w:r w:rsidR="007D6B9A">
        <w:t> </w:t>
      </w:r>
      <w:r w:rsidR="00E40E09" w:rsidRPr="00452F48">
        <w:t xml:space="preserve">copies of </w:t>
      </w:r>
      <w:r w:rsidR="00E40E09" w:rsidRPr="00452F48">
        <w:rPr>
          <w:i/>
          <w:iCs/>
        </w:rPr>
        <w:t>SMN2</w:t>
      </w:r>
      <w:r w:rsidR="00E40E09" w:rsidRPr="00452F48">
        <w:t>, an acceptable price should reflect that difference.</w:t>
      </w:r>
      <w:r w:rsidR="0010258D">
        <w:t xml:space="preserve"> The pre-PBAC response stated that while this approach seemed to oversimplify and overcompensate for the uncertainties in the underlying evidence base, that the approach resulted in a minimal </w:t>
      </w:r>
      <w:r w:rsidR="0010258D">
        <w:lastRenderedPageBreak/>
        <w:t xml:space="preserve">difference in overall price for individuals with pre-symptomatic SMA with </w:t>
      </w:r>
      <w:r w:rsidR="007D6B9A">
        <w:t>3 </w:t>
      </w:r>
      <w:r w:rsidR="0010258D" w:rsidRPr="0010258D">
        <w:rPr>
          <w:i/>
          <w:iCs/>
        </w:rPr>
        <w:t>SMN2</w:t>
      </w:r>
      <w:r w:rsidR="0010258D">
        <w:t xml:space="preserve"> copies.</w:t>
      </w:r>
      <w:r w:rsidR="005B6FA8">
        <w:t xml:space="preserve"> The PBAC noted the pre-PBAC response stated that the sponsor would not be able to progress if the listing required a price reduction.</w:t>
      </w:r>
    </w:p>
    <w:p w14:paraId="7362DD06" w14:textId="77777777" w:rsidR="00AC2298" w:rsidRPr="00271560" w:rsidRDefault="00AC2298" w:rsidP="00AC2298">
      <w:pPr>
        <w:pStyle w:val="4-SubsectionHeading"/>
      </w:pPr>
      <w:bookmarkStart w:id="72" w:name="_Toc22897646"/>
      <w:bookmarkStart w:id="73" w:name="_Toc132629063"/>
      <w:bookmarkStart w:id="74" w:name="_Toc135214668"/>
      <w:r w:rsidRPr="00271560">
        <w:t>Drug cost/patient /year</w:t>
      </w:r>
      <w:bookmarkEnd w:id="72"/>
      <w:bookmarkEnd w:id="73"/>
      <w:bookmarkEnd w:id="74"/>
    </w:p>
    <w:p w14:paraId="32C622A5" w14:textId="57B5E20D" w:rsidR="00AC2298" w:rsidRPr="00271560" w:rsidRDefault="00AC2298" w:rsidP="00AC2298">
      <w:pPr>
        <w:pStyle w:val="Caption"/>
        <w:rPr>
          <w:rStyle w:val="CommentReference"/>
          <w:b/>
          <w:szCs w:val="24"/>
        </w:rPr>
      </w:pPr>
      <w:r w:rsidRPr="00271560">
        <w:t xml:space="preserve">Table </w:t>
      </w:r>
      <w:fldSimple w:instr=" SEQ Table \* ARABIC " w:fldLock="1">
        <w:r w:rsidR="0038407B">
          <w:rPr>
            <w:noProof/>
          </w:rPr>
          <w:t>19</w:t>
        </w:r>
      </w:fldSimple>
      <w:r w:rsidRPr="00271560">
        <w:t>:</w:t>
      </w:r>
      <w:r w:rsidRPr="00271560">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Drug cost per patient for proposed and comparator drugs"/>
      </w:tblPr>
      <w:tblGrid>
        <w:gridCol w:w="1470"/>
        <w:gridCol w:w="1257"/>
        <w:gridCol w:w="1255"/>
        <w:gridCol w:w="1260"/>
        <w:gridCol w:w="1255"/>
        <w:gridCol w:w="1260"/>
        <w:gridCol w:w="1259"/>
      </w:tblGrid>
      <w:tr w:rsidR="00AC2298" w:rsidRPr="00271560" w14:paraId="3AEEB72E" w14:textId="77777777" w:rsidTr="00CB2C92">
        <w:trPr>
          <w:cantSplit/>
          <w:tblHeader/>
          <w:jc w:val="center"/>
        </w:trPr>
        <w:tc>
          <w:tcPr>
            <w:tcW w:w="815" w:type="pct"/>
            <w:shd w:val="clear" w:color="auto" w:fill="auto"/>
            <w:vAlign w:val="center"/>
          </w:tcPr>
          <w:p w14:paraId="762BEA55" w14:textId="77777777" w:rsidR="00AC2298" w:rsidRPr="00271560" w:rsidRDefault="00AC2298" w:rsidP="00CB2C92">
            <w:pPr>
              <w:pStyle w:val="In-tableHeading"/>
              <w:jc w:val="center"/>
              <w:rPr>
                <w:lang w:val="en-AU"/>
              </w:rPr>
            </w:pPr>
          </w:p>
        </w:tc>
        <w:tc>
          <w:tcPr>
            <w:tcW w:w="2091" w:type="pct"/>
            <w:gridSpan w:val="3"/>
            <w:shd w:val="clear" w:color="auto" w:fill="auto"/>
            <w:vAlign w:val="center"/>
          </w:tcPr>
          <w:p w14:paraId="0DC9A948" w14:textId="77777777" w:rsidR="00AC2298" w:rsidRPr="00271560" w:rsidRDefault="00AC2298" w:rsidP="00CB2C92">
            <w:pPr>
              <w:pStyle w:val="In-tableHeading"/>
              <w:jc w:val="center"/>
              <w:rPr>
                <w:lang w:val="en-AU"/>
              </w:rPr>
            </w:pPr>
            <w:r w:rsidRPr="00271560">
              <w:rPr>
                <w:lang w:val="en-AU"/>
              </w:rPr>
              <w:t>Pre-symptomatic initiation</w:t>
            </w:r>
          </w:p>
        </w:tc>
        <w:tc>
          <w:tcPr>
            <w:tcW w:w="2094" w:type="pct"/>
            <w:gridSpan w:val="3"/>
            <w:shd w:val="clear" w:color="auto" w:fill="auto"/>
            <w:vAlign w:val="center"/>
          </w:tcPr>
          <w:p w14:paraId="0C6FDFF0" w14:textId="77777777" w:rsidR="00AC2298" w:rsidRPr="00271560" w:rsidRDefault="00AC2298" w:rsidP="00CB2C92">
            <w:pPr>
              <w:pStyle w:val="In-tableHeading"/>
              <w:jc w:val="center"/>
              <w:rPr>
                <w:lang w:val="en-AU"/>
              </w:rPr>
            </w:pPr>
            <w:r w:rsidRPr="00271560">
              <w:rPr>
                <w:lang w:val="en-AU"/>
              </w:rPr>
              <w:t>Symptomatic initiation</w:t>
            </w:r>
          </w:p>
        </w:tc>
      </w:tr>
      <w:tr w:rsidR="00AC2298" w:rsidRPr="00271560" w14:paraId="1EBB652C" w14:textId="77777777" w:rsidTr="00CB2C92">
        <w:trPr>
          <w:cantSplit/>
          <w:tblHeader/>
          <w:jc w:val="center"/>
        </w:trPr>
        <w:tc>
          <w:tcPr>
            <w:tcW w:w="815" w:type="pct"/>
            <w:shd w:val="clear" w:color="auto" w:fill="auto"/>
            <w:vAlign w:val="center"/>
          </w:tcPr>
          <w:p w14:paraId="72F63401" w14:textId="77777777" w:rsidR="00AC2298" w:rsidRPr="00271560" w:rsidRDefault="00AC2298" w:rsidP="00CB2C92">
            <w:pPr>
              <w:pStyle w:val="In-tableHeading"/>
              <w:jc w:val="center"/>
              <w:rPr>
                <w:lang w:val="en-AU"/>
              </w:rPr>
            </w:pPr>
          </w:p>
        </w:tc>
        <w:tc>
          <w:tcPr>
            <w:tcW w:w="697" w:type="pct"/>
            <w:shd w:val="clear" w:color="auto" w:fill="auto"/>
            <w:vAlign w:val="center"/>
          </w:tcPr>
          <w:p w14:paraId="6A35F176" w14:textId="77777777" w:rsidR="00AC2298" w:rsidRPr="00271560" w:rsidRDefault="00AC2298" w:rsidP="00CB2C92">
            <w:pPr>
              <w:pStyle w:val="In-tableHeading"/>
              <w:jc w:val="center"/>
              <w:rPr>
                <w:lang w:val="en-AU"/>
              </w:rPr>
            </w:pPr>
            <w:r w:rsidRPr="00271560">
              <w:rPr>
                <w:lang w:val="en-AU"/>
              </w:rPr>
              <w:t>Proposed drug</w:t>
            </w:r>
          </w:p>
          <w:p w14:paraId="327D39AC" w14:textId="77777777" w:rsidR="00AC2298" w:rsidRPr="00271560" w:rsidRDefault="00AC2298" w:rsidP="00CB2C92">
            <w:pPr>
              <w:pStyle w:val="In-tableHeading"/>
              <w:jc w:val="center"/>
              <w:rPr>
                <w:lang w:val="en-AU"/>
              </w:rPr>
            </w:pPr>
            <w:r w:rsidRPr="00271560">
              <w:rPr>
                <w:lang w:val="en-AU"/>
              </w:rPr>
              <w:t>Trial dose and duration</w:t>
            </w:r>
          </w:p>
        </w:tc>
        <w:tc>
          <w:tcPr>
            <w:tcW w:w="696" w:type="pct"/>
            <w:shd w:val="clear" w:color="auto" w:fill="auto"/>
            <w:vAlign w:val="center"/>
          </w:tcPr>
          <w:p w14:paraId="091A545A" w14:textId="77777777" w:rsidR="00AC2298" w:rsidRPr="00271560" w:rsidRDefault="00AC2298" w:rsidP="00CB2C92">
            <w:pPr>
              <w:pStyle w:val="In-tableHeading"/>
              <w:jc w:val="center"/>
              <w:rPr>
                <w:lang w:val="en-AU"/>
              </w:rPr>
            </w:pPr>
            <w:r w:rsidRPr="00271560">
              <w:rPr>
                <w:lang w:val="en-AU"/>
              </w:rPr>
              <w:t>Proposed drug</w:t>
            </w:r>
          </w:p>
          <w:p w14:paraId="5222C481" w14:textId="1BA5DAF7" w:rsidR="00AC2298" w:rsidRPr="00271560" w:rsidRDefault="00AC2298" w:rsidP="00CB2C92">
            <w:pPr>
              <w:pStyle w:val="In-tableHeading"/>
              <w:jc w:val="center"/>
              <w:rPr>
                <w:lang w:val="en-AU"/>
              </w:rPr>
            </w:pPr>
            <w:r w:rsidRPr="00271560">
              <w:rPr>
                <w:lang w:val="en-AU"/>
              </w:rPr>
              <w:t>Model</w:t>
            </w:r>
            <w:r w:rsidR="00753A68" w:rsidRPr="00753A68">
              <w:rPr>
                <w:vertAlign w:val="superscript"/>
                <w:lang w:val="en-AU"/>
              </w:rPr>
              <w:t xml:space="preserve"> b</w:t>
            </w:r>
          </w:p>
        </w:tc>
        <w:tc>
          <w:tcPr>
            <w:tcW w:w="698" w:type="pct"/>
            <w:shd w:val="clear" w:color="auto" w:fill="auto"/>
            <w:vAlign w:val="center"/>
          </w:tcPr>
          <w:p w14:paraId="1AD97177" w14:textId="77777777" w:rsidR="00AC2298" w:rsidRPr="00271560" w:rsidRDefault="00AC2298" w:rsidP="00CB2C92">
            <w:pPr>
              <w:pStyle w:val="In-tableHeading"/>
              <w:jc w:val="center"/>
              <w:rPr>
                <w:lang w:val="en-AU"/>
              </w:rPr>
            </w:pPr>
            <w:r w:rsidRPr="00271560">
              <w:rPr>
                <w:lang w:val="en-AU"/>
              </w:rPr>
              <w:t>Proposed drug</w:t>
            </w:r>
          </w:p>
          <w:p w14:paraId="22E2AB96" w14:textId="3148F18F" w:rsidR="00AC2298" w:rsidRPr="00271560" w:rsidRDefault="00AC2298" w:rsidP="00CB2C92">
            <w:pPr>
              <w:pStyle w:val="In-tableHeading"/>
              <w:jc w:val="center"/>
              <w:rPr>
                <w:lang w:val="en-AU"/>
              </w:rPr>
            </w:pPr>
            <w:r w:rsidRPr="00271560">
              <w:rPr>
                <w:lang w:val="en-AU"/>
              </w:rPr>
              <w:t>Financial estimates</w:t>
            </w:r>
            <w:r w:rsidR="00753A68" w:rsidRPr="00753A68">
              <w:rPr>
                <w:vertAlign w:val="superscript"/>
                <w:lang w:val="en-AU"/>
              </w:rPr>
              <w:t xml:space="preserve"> c</w:t>
            </w:r>
          </w:p>
        </w:tc>
        <w:tc>
          <w:tcPr>
            <w:tcW w:w="696" w:type="pct"/>
            <w:shd w:val="clear" w:color="auto" w:fill="auto"/>
            <w:vAlign w:val="center"/>
          </w:tcPr>
          <w:p w14:paraId="6CDD6CA9" w14:textId="77777777" w:rsidR="00AC2298" w:rsidRPr="00271560" w:rsidRDefault="00AC2298" w:rsidP="00CB2C92">
            <w:pPr>
              <w:pStyle w:val="In-tableHeading"/>
              <w:jc w:val="center"/>
              <w:rPr>
                <w:lang w:val="en-AU"/>
              </w:rPr>
            </w:pPr>
            <w:r w:rsidRPr="00271560">
              <w:rPr>
                <w:lang w:val="en-AU"/>
              </w:rPr>
              <w:t>Comparator</w:t>
            </w:r>
          </w:p>
          <w:p w14:paraId="059E8111" w14:textId="77777777" w:rsidR="00AC2298" w:rsidRPr="00271560" w:rsidRDefault="00AC2298" w:rsidP="00CB2C92">
            <w:pPr>
              <w:pStyle w:val="In-tableHeading"/>
              <w:jc w:val="center"/>
              <w:rPr>
                <w:lang w:val="en-AU"/>
              </w:rPr>
            </w:pPr>
            <w:r w:rsidRPr="00271560">
              <w:rPr>
                <w:lang w:val="en-AU"/>
              </w:rPr>
              <w:t>Trial dose and duration</w:t>
            </w:r>
          </w:p>
        </w:tc>
        <w:tc>
          <w:tcPr>
            <w:tcW w:w="699" w:type="pct"/>
            <w:shd w:val="clear" w:color="auto" w:fill="auto"/>
            <w:vAlign w:val="center"/>
          </w:tcPr>
          <w:p w14:paraId="2CCA0B6B" w14:textId="77777777" w:rsidR="00AC2298" w:rsidRPr="00271560" w:rsidRDefault="00AC2298" w:rsidP="00CB2C92">
            <w:pPr>
              <w:pStyle w:val="In-tableHeading"/>
              <w:jc w:val="center"/>
              <w:rPr>
                <w:lang w:val="en-AU"/>
              </w:rPr>
            </w:pPr>
            <w:r w:rsidRPr="00271560">
              <w:rPr>
                <w:lang w:val="en-AU"/>
              </w:rPr>
              <w:t>Comparator</w:t>
            </w:r>
          </w:p>
          <w:p w14:paraId="5E24E215" w14:textId="77777777" w:rsidR="00AC2298" w:rsidRPr="00271560" w:rsidRDefault="00AC2298" w:rsidP="00CB2C92">
            <w:pPr>
              <w:pStyle w:val="In-tableHeading"/>
              <w:jc w:val="center"/>
              <w:rPr>
                <w:lang w:val="en-AU"/>
              </w:rPr>
            </w:pPr>
            <w:r w:rsidRPr="00271560">
              <w:rPr>
                <w:lang w:val="en-AU"/>
              </w:rPr>
              <w:t>Model</w:t>
            </w:r>
          </w:p>
        </w:tc>
        <w:tc>
          <w:tcPr>
            <w:tcW w:w="699" w:type="pct"/>
          </w:tcPr>
          <w:p w14:paraId="48023424" w14:textId="77777777" w:rsidR="00AC2298" w:rsidRPr="00271560" w:rsidRDefault="00AC2298" w:rsidP="00CB2C92">
            <w:pPr>
              <w:pStyle w:val="In-tableHeading"/>
              <w:jc w:val="center"/>
              <w:rPr>
                <w:lang w:val="en-AU"/>
              </w:rPr>
            </w:pPr>
            <w:r w:rsidRPr="00271560">
              <w:rPr>
                <w:lang w:val="en-AU"/>
              </w:rPr>
              <w:t>Comparator</w:t>
            </w:r>
          </w:p>
          <w:p w14:paraId="1797343A" w14:textId="77777777" w:rsidR="00AC2298" w:rsidRPr="00271560" w:rsidRDefault="00AC2298" w:rsidP="00CB2C92">
            <w:pPr>
              <w:pStyle w:val="In-tableHeading"/>
              <w:jc w:val="center"/>
              <w:rPr>
                <w:lang w:val="en-AU"/>
              </w:rPr>
            </w:pPr>
            <w:r w:rsidRPr="00271560">
              <w:rPr>
                <w:lang w:val="en-AU"/>
              </w:rPr>
              <w:t>Financial estimates</w:t>
            </w:r>
          </w:p>
        </w:tc>
      </w:tr>
      <w:tr w:rsidR="00AC2298" w:rsidRPr="00271560" w14:paraId="6CEC3BF3" w14:textId="77777777" w:rsidTr="00CB2C92">
        <w:trPr>
          <w:cantSplit/>
          <w:jc w:val="center"/>
        </w:trPr>
        <w:tc>
          <w:tcPr>
            <w:tcW w:w="815" w:type="pct"/>
            <w:shd w:val="clear" w:color="auto" w:fill="auto"/>
            <w:vAlign w:val="center"/>
          </w:tcPr>
          <w:p w14:paraId="16250322" w14:textId="77777777" w:rsidR="00AC2298" w:rsidRPr="00271560" w:rsidRDefault="00AC2298" w:rsidP="00CB2C92">
            <w:pPr>
              <w:pStyle w:val="TableText0"/>
            </w:pPr>
            <w:r w:rsidRPr="00271560">
              <w:t>Mean dose</w:t>
            </w:r>
          </w:p>
        </w:tc>
        <w:tc>
          <w:tcPr>
            <w:tcW w:w="2091" w:type="pct"/>
            <w:gridSpan w:val="3"/>
            <w:shd w:val="clear" w:color="auto" w:fill="auto"/>
            <w:vAlign w:val="center"/>
          </w:tcPr>
          <w:p w14:paraId="24F5E108" w14:textId="3A4A032D" w:rsidR="00AC2298" w:rsidRPr="00271560" w:rsidRDefault="00AC2298" w:rsidP="00CB2C92">
            <w:pPr>
              <w:pStyle w:val="TableText0"/>
              <w:jc w:val="center"/>
              <w:rPr>
                <w:bCs w:val="0"/>
              </w:rPr>
            </w:pPr>
            <w:r w:rsidRPr="00271560">
              <w:t>12</w:t>
            </w:r>
            <w:r w:rsidR="008E60F3">
              <w:t xml:space="preserve"> </w:t>
            </w:r>
            <w:r w:rsidRPr="00271560">
              <w:t xml:space="preserve">mg at days 0, 14, 28 and 63, then every 4 months after confirmed </w:t>
            </w:r>
            <w:r w:rsidRPr="00271560">
              <w:rPr>
                <w:i/>
              </w:rPr>
              <w:t>SMN1</w:t>
            </w:r>
            <w:r w:rsidRPr="00271560">
              <w:t xml:space="preserve"> deletion/mutation</w:t>
            </w:r>
          </w:p>
        </w:tc>
        <w:tc>
          <w:tcPr>
            <w:tcW w:w="2094" w:type="pct"/>
            <w:gridSpan w:val="3"/>
            <w:shd w:val="clear" w:color="auto" w:fill="auto"/>
            <w:vAlign w:val="center"/>
          </w:tcPr>
          <w:p w14:paraId="07C6B3CC" w14:textId="07B80950" w:rsidR="00AC2298" w:rsidRPr="00271560" w:rsidRDefault="00AC2298" w:rsidP="00CB2C92">
            <w:pPr>
              <w:pStyle w:val="TableText0"/>
              <w:jc w:val="center"/>
              <w:rPr>
                <w:bCs w:val="0"/>
              </w:rPr>
            </w:pPr>
            <w:r w:rsidRPr="00271560">
              <w:t>12</w:t>
            </w:r>
            <w:r w:rsidR="008E60F3">
              <w:t xml:space="preserve"> </w:t>
            </w:r>
            <w:r w:rsidRPr="00271560">
              <w:t xml:space="preserve">mg at days 0, 14, 28 and 63, then every 4 months after symptom onset </w:t>
            </w:r>
          </w:p>
        </w:tc>
      </w:tr>
      <w:tr w:rsidR="00AC2298" w:rsidRPr="00271560" w14:paraId="5E145D84" w14:textId="77777777" w:rsidTr="00CB2C92">
        <w:trPr>
          <w:cantSplit/>
          <w:jc w:val="center"/>
        </w:trPr>
        <w:tc>
          <w:tcPr>
            <w:tcW w:w="815" w:type="pct"/>
            <w:shd w:val="clear" w:color="auto" w:fill="auto"/>
            <w:vAlign w:val="center"/>
          </w:tcPr>
          <w:p w14:paraId="3DC4C4E0" w14:textId="77777777" w:rsidR="00AC2298" w:rsidRPr="00271560" w:rsidRDefault="00AC2298" w:rsidP="00CB2C92">
            <w:pPr>
              <w:pStyle w:val="TableText0"/>
            </w:pPr>
            <w:r w:rsidRPr="00271560">
              <w:t>Mean duration</w:t>
            </w:r>
          </w:p>
        </w:tc>
        <w:tc>
          <w:tcPr>
            <w:tcW w:w="4185" w:type="pct"/>
            <w:gridSpan w:val="6"/>
            <w:shd w:val="clear" w:color="auto" w:fill="auto"/>
            <w:vAlign w:val="center"/>
          </w:tcPr>
          <w:p w14:paraId="40C198EC" w14:textId="30212658" w:rsidR="00AC2298" w:rsidRPr="00271560" w:rsidRDefault="00AC2298" w:rsidP="00CB2C92">
            <w:pPr>
              <w:pStyle w:val="TableText0"/>
              <w:jc w:val="center"/>
              <w:rPr>
                <w:b/>
              </w:rPr>
            </w:pPr>
            <w:r w:rsidRPr="00271560">
              <w:t>Life</w:t>
            </w:r>
            <w:r w:rsidR="00897B6E">
              <w:t>-</w:t>
            </w:r>
            <w:r w:rsidRPr="00271560">
              <w:t>long</w:t>
            </w:r>
          </w:p>
        </w:tc>
      </w:tr>
      <w:tr w:rsidR="002A4FE8" w:rsidRPr="00271560" w14:paraId="630FC09A" w14:textId="77777777" w:rsidTr="002A4FE8">
        <w:trPr>
          <w:cantSplit/>
          <w:jc w:val="center"/>
        </w:trPr>
        <w:tc>
          <w:tcPr>
            <w:tcW w:w="815" w:type="pct"/>
            <w:shd w:val="clear" w:color="auto" w:fill="auto"/>
            <w:vAlign w:val="center"/>
          </w:tcPr>
          <w:p w14:paraId="4E546B3E" w14:textId="77777777" w:rsidR="002A4FE8" w:rsidRPr="00271560" w:rsidRDefault="002A4FE8" w:rsidP="00CB2C92">
            <w:pPr>
              <w:pStyle w:val="TableText0"/>
            </w:pPr>
            <w:r w:rsidRPr="00271560">
              <w:t>Cost/patient/dose</w:t>
            </w:r>
          </w:p>
        </w:tc>
        <w:tc>
          <w:tcPr>
            <w:tcW w:w="2092" w:type="pct"/>
            <w:gridSpan w:val="3"/>
            <w:shd w:val="clear" w:color="auto" w:fill="auto"/>
            <w:vAlign w:val="center"/>
          </w:tcPr>
          <w:p w14:paraId="6A0C9B2E" w14:textId="5BD9199E" w:rsidR="002A4FE8" w:rsidRPr="00271560" w:rsidRDefault="002A4FE8" w:rsidP="00CB2C92">
            <w:pPr>
              <w:pStyle w:val="TableText0"/>
              <w:jc w:val="center"/>
            </w:pPr>
            <w:r w:rsidRPr="00271560">
              <w:t>$</w:t>
            </w:r>
            <w:r w:rsidR="00546AD5" w:rsidRPr="00546AD5">
              <w:rPr>
                <w:color w:val="000000"/>
                <w:shd w:val="solid" w:color="000000" w:fill="000000"/>
                <w14:textFill>
                  <w14:solidFill>
                    <w14:srgbClr w14:val="000000">
                      <w14:alpha w14:val="100000"/>
                    </w14:srgbClr>
                  </w14:solidFill>
                </w14:textFill>
              </w:rPr>
              <w:t>|</w:t>
            </w:r>
          </w:p>
        </w:tc>
        <w:tc>
          <w:tcPr>
            <w:tcW w:w="2092" w:type="pct"/>
            <w:gridSpan w:val="3"/>
            <w:shd w:val="clear" w:color="auto" w:fill="auto"/>
            <w:vAlign w:val="center"/>
          </w:tcPr>
          <w:p w14:paraId="3AD27BFD" w14:textId="0E4339D3" w:rsidR="002A4FE8" w:rsidRPr="00452F48" w:rsidRDefault="002A4FE8" w:rsidP="00CB2C92">
            <w:pPr>
              <w:pStyle w:val="TableText0"/>
              <w:jc w:val="center"/>
            </w:pPr>
            <w:r w:rsidRPr="00452F48">
              <w:t>Type 1: $</w:t>
            </w:r>
            <w:r w:rsidR="00546AD5" w:rsidRPr="00546AD5">
              <w:rPr>
                <w:color w:val="000000"/>
                <w:shd w:val="solid" w:color="000000" w:fill="000000"/>
                <w14:textFill>
                  <w14:solidFill>
                    <w14:srgbClr w14:val="000000">
                      <w14:alpha w14:val="100000"/>
                    </w14:srgbClr>
                  </w14:solidFill>
                </w14:textFill>
              </w:rPr>
              <w:t>|</w:t>
            </w:r>
          </w:p>
          <w:p w14:paraId="51E01FD0" w14:textId="41C4DE10" w:rsidR="002A4FE8" w:rsidRPr="00452F48" w:rsidRDefault="002A4FE8" w:rsidP="00CB2C92">
            <w:pPr>
              <w:pStyle w:val="TableText0"/>
              <w:jc w:val="center"/>
            </w:pPr>
            <w:r w:rsidRPr="00452F48">
              <w:t xml:space="preserve">Type </w:t>
            </w:r>
            <w:r w:rsidR="008E7389">
              <w:t>II-III</w:t>
            </w:r>
            <w:r w:rsidRPr="00452F48">
              <w:t>a: $</w:t>
            </w:r>
            <w:r w:rsidR="00546AD5" w:rsidRPr="00546AD5">
              <w:rPr>
                <w:color w:val="000000"/>
                <w:spacing w:val="168"/>
                <w:shd w:val="solid" w:color="000000" w:fill="000000"/>
                <w:fitText w:val="254" w:id="-1167898622"/>
                <w14:textFill>
                  <w14:solidFill>
                    <w14:srgbClr w14:val="000000">
                      <w14:alpha w14:val="100000"/>
                    </w14:srgbClr>
                  </w14:solidFill>
                </w14:textFill>
              </w:rPr>
              <w:t>|</w:t>
            </w:r>
            <w:r w:rsidR="00546AD5" w:rsidRPr="00546AD5">
              <w:rPr>
                <w:color w:val="000000"/>
                <w:spacing w:val="1"/>
                <w:shd w:val="solid" w:color="000000" w:fill="000000"/>
                <w:fitText w:val="254" w:id="-1167898622"/>
                <w14:textFill>
                  <w14:solidFill>
                    <w14:srgbClr w14:val="000000">
                      <w14:alpha w14:val="100000"/>
                    </w14:srgbClr>
                  </w14:solidFill>
                </w14:textFill>
              </w:rPr>
              <w:t>|</w:t>
            </w:r>
            <w:r w:rsidRPr="00452F48">
              <w:t xml:space="preserve"> (</w:t>
            </w:r>
            <w:r w:rsidR="00546AD5" w:rsidRPr="00546AD5">
              <w:rPr>
                <w:color w:val="000000"/>
                <w:spacing w:val="80"/>
                <w:shd w:val="solid" w:color="000000" w:fill="000000"/>
                <w:fitText w:val="166" w:id="-1167898621"/>
                <w14:textFill>
                  <w14:solidFill>
                    <w14:srgbClr w14:val="000000">
                      <w14:alpha w14:val="100000"/>
                    </w14:srgbClr>
                  </w14:solidFill>
                </w14:textFill>
              </w:rPr>
              <w:t>|</w:t>
            </w:r>
            <w:r w:rsidR="00546AD5" w:rsidRPr="00546AD5">
              <w:rPr>
                <w:color w:val="000000"/>
                <w:spacing w:val="1"/>
                <w:shd w:val="solid" w:color="000000" w:fill="000000"/>
                <w:fitText w:val="166" w:id="-1167898621"/>
                <w14:textFill>
                  <w14:solidFill>
                    <w14:srgbClr w14:val="000000">
                      <w14:alpha w14:val="100000"/>
                    </w14:srgbClr>
                  </w14:solidFill>
                </w14:textFill>
              </w:rPr>
              <w:t>|</w:t>
            </w:r>
            <w:r w:rsidRPr="00452F48">
              <w:t xml:space="preserve"> </w:t>
            </w:r>
            <w:r w:rsidR="00546AD5" w:rsidRPr="007020B8">
              <w:rPr>
                <w:rFonts w:hint="eastAsia"/>
                <w:color w:val="000000"/>
                <w:w w:val="15"/>
                <w:shd w:val="solid" w:color="000000" w:fill="000000"/>
                <w:fitText w:val="22" w:id="-1167898620"/>
                <w14:textFill>
                  <w14:solidFill>
                    <w14:srgbClr w14:val="000000">
                      <w14:alpha w14:val="100000"/>
                    </w14:srgbClr>
                  </w14:solidFill>
                </w14:textFill>
              </w:rPr>
              <w:t xml:space="preserve">　</w:t>
            </w:r>
            <w:r w:rsidR="00546AD5" w:rsidRPr="007020B8">
              <w:rPr>
                <w:color w:val="000000"/>
                <w:w w:val="15"/>
                <w:shd w:val="solid" w:color="000000" w:fill="000000"/>
                <w:fitText w:val="22" w:id="-1167898620"/>
                <w14:textFill>
                  <w14:solidFill>
                    <w14:srgbClr w14:val="000000">
                      <w14:alpha w14:val="100000"/>
                    </w14:srgbClr>
                  </w14:solidFill>
                </w14:textFill>
              </w:rPr>
              <w:t>|</w:t>
            </w:r>
            <w:r w:rsidR="00546AD5" w:rsidRPr="007020B8">
              <w:rPr>
                <w:rFonts w:hint="eastAsia"/>
                <w:color w:val="000000"/>
                <w:spacing w:val="-43"/>
                <w:w w:val="15"/>
                <w:shd w:val="solid" w:color="000000" w:fill="000000"/>
                <w:fitText w:val="22" w:id="-1167898620"/>
                <w14:textFill>
                  <w14:solidFill>
                    <w14:srgbClr w14:val="000000">
                      <w14:alpha w14:val="100000"/>
                    </w14:srgbClr>
                  </w14:solidFill>
                </w14:textFill>
              </w:rPr>
              <w:t xml:space="preserve">　</w:t>
            </w:r>
            <w:r w:rsidR="00523ABB" w:rsidRPr="00523ABB">
              <w:t xml:space="preserve"> </w:t>
            </w:r>
            <w:r w:rsidR="00546AD5" w:rsidRPr="00546AD5">
              <w:rPr>
                <w:color w:val="000000"/>
                <w:shd w:val="solid" w:color="000000" w:fill="000000"/>
                <w14:textFill>
                  <w14:solidFill>
                    <w14:srgbClr w14:val="000000">
                      <w14:alpha w14:val="100000"/>
                    </w14:srgbClr>
                  </w14:solidFill>
                </w14:textFill>
              </w:rPr>
              <w:t>|</w:t>
            </w:r>
            <w:r w:rsidRPr="00452F48">
              <w:t xml:space="preserve"> rebated)</w:t>
            </w:r>
          </w:p>
          <w:p w14:paraId="17A2FEA5" w14:textId="770C94F0" w:rsidR="002A4FE8" w:rsidRPr="00271560" w:rsidRDefault="002A4FE8" w:rsidP="00CB2C92">
            <w:pPr>
              <w:pStyle w:val="TableText0"/>
              <w:jc w:val="center"/>
            </w:pPr>
            <w:r w:rsidRPr="00452F48">
              <w:t xml:space="preserve">Type </w:t>
            </w:r>
            <w:r w:rsidR="008E7389">
              <w:t>III</w:t>
            </w:r>
            <w:r w:rsidRPr="00452F48">
              <w:t>b/c: $</w:t>
            </w:r>
            <w:r w:rsidR="00546AD5" w:rsidRPr="00546AD5">
              <w:rPr>
                <w:color w:val="000000"/>
                <w:spacing w:val="157"/>
                <w:shd w:val="solid" w:color="000000" w:fill="000000"/>
                <w:fitText w:val="243" w:id="-1167898619"/>
                <w14:textFill>
                  <w14:solidFill>
                    <w14:srgbClr w14:val="000000">
                      <w14:alpha w14:val="100000"/>
                    </w14:srgbClr>
                  </w14:solidFill>
                </w14:textFill>
              </w:rPr>
              <w:t>|</w:t>
            </w:r>
            <w:r w:rsidR="00546AD5" w:rsidRPr="00546AD5">
              <w:rPr>
                <w:color w:val="000000"/>
                <w:spacing w:val="1"/>
                <w:shd w:val="solid" w:color="000000" w:fill="000000"/>
                <w:fitText w:val="243" w:id="-1167898619"/>
                <w14:textFill>
                  <w14:solidFill>
                    <w14:srgbClr w14:val="000000">
                      <w14:alpha w14:val="100000"/>
                    </w14:srgbClr>
                  </w14:solidFill>
                </w14:textFill>
              </w:rPr>
              <w:t>|</w:t>
            </w:r>
            <w:r w:rsidRPr="00452F48">
              <w:t xml:space="preserve"> (</w:t>
            </w:r>
            <w:r w:rsidR="00546AD5" w:rsidRPr="00546AD5">
              <w:rPr>
                <w:rFonts w:hint="eastAsia"/>
                <w:color w:val="000000"/>
                <w:w w:val="32"/>
                <w:shd w:val="solid" w:color="000000" w:fill="000000"/>
                <w:fitText w:val="144" w:id="-1167898618"/>
                <w14:textFill>
                  <w14:solidFill>
                    <w14:srgbClr w14:val="000000">
                      <w14:alpha w14:val="100000"/>
                    </w14:srgbClr>
                  </w14:solidFill>
                </w14:textFill>
              </w:rPr>
              <w:t xml:space="preserve">　</w:t>
            </w:r>
            <w:r w:rsidR="00546AD5" w:rsidRPr="00546AD5">
              <w:rPr>
                <w:color w:val="000000"/>
                <w:w w:val="32"/>
                <w:shd w:val="solid" w:color="000000" w:fill="000000"/>
                <w:fitText w:val="144" w:id="-1167898618"/>
                <w14:textFill>
                  <w14:solidFill>
                    <w14:srgbClr w14:val="000000">
                      <w14:alpha w14:val="100000"/>
                    </w14:srgbClr>
                  </w14:solidFill>
                </w14:textFill>
              </w:rPr>
              <w:t>|</w:t>
            </w:r>
            <w:r w:rsidR="00546AD5" w:rsidRPr="00546AD5">
              <w:rPr>
                <w:rFonts w:hint="eastAsia"/>
                <w:color w:val="000000"/>
                <w:spacing w:val="5"/>
                <w:w w:val="32"/>
                <w:shd w:val="solid" w:color="000000" w:fill="000000"/>
                <w:fitText w:val="144" w:id="-1167898618"/>
                <w14:textFill>
                  <w14:solidFill>
                    <w14:srgbClr w14:val="000000">
                      <w14:alpha w14:val="100000"/>
                    </w14:srgbClr>
                  </w14:solidFill>
                </w14:textFill>
              </w:rPr>
              <w:t xml:space="preserve">　</w:t>
            </w:r>
            <w:r w:rsidRPr="00452F48">
              <w:t xml:space="preserve"> </w:t>
            </w:r>
            <w:r w:rsidR="00546AD5" w:rsidRPr="00546AD5">
              <w:rPr>
                <w:color w:val="000000"/>
                <w:shd w:val="solid" w:color="000000" w:fill="000000"/>
                <w14:textFill>
                  <w14:solidFill>
                    <w14:srgbClr w14:val="000000">
                      <w14:alpha w14:val="100000"/>
                    </w14:srgbClr>
                  </w14:solidFill>
                </w14:textFill>
              </w:rPr>
              <w:t>|</w:t>
            </w:r>
            <w:r w:rsidR="00523ABB" w:rsidRPr="00523ABB">
              <w:t xml:space="preserve"> </w:t>
            </w:r>
            <w:r w:rsidR="00546AD5" w:rsidRPr="00546AD5">
              <w:rPr>
                <w:color w:val="000000"/>
                <w:shd w:val="solid" w:color="000000" w:fill="000000"/>
                <w14:textFill>
                  <w14:solidFill>
                    <w14:srgbClr w14:val="000000">
                      <w14:alpha w14:val="100000"/>
                    </w14:srgbClr>
                  </w14:solidFill>
                </w14:textFill>
              </w:rPr>
              <w:t>|</w:t>
            </w:r>
            <w:r w:rsidRPr="00452F48">
              <w:t xml:space="preserve"> rebated)</w:t>
            </w:r>
          </w:p>
        </w:tc>
      </w:tr>
      <w:tr w:rsidR="00AC2298" w:rsidRPr="00271560" w14:paraId="249052FA" w14:textId="77777777" w:rsidTr="00CB2C92">
        <w:trPr>
          <w:cantSplit/>
          <w:jc w:val="center"/>
        </w:trPr>
        <w:tc>
          <w:tcPr>
            <w:tcW w:w="815" w:type="pct"/>
            <w:shd w:val="clear" w:color="auto" w:fill="auto"/>
            <w:vAlign w:val="center"/>
          </w:tcPr>
          <w:p w14:paraId="6E5CCAC7" w14:textId="77777777" w:rsidR="00AC2298" w:rsidRPr="00271560" w:rsidRDefault="00AC2298" w:rsidP="00CB2C92">
            <w:pPr>
              <w:pStyle w:val="TableText0"/>
            </w:pPr>
            <w:r w:rsidRPr="00271560">
              <w:t xml:space="preserve">Cost/patient/year </w:t>
            </w:r>
            <w:r w:rsidRPr="00271560">
              <w:rPr>
                <w:vertAlign w:val="superscript"/>
              </w:rPr>
              <w:t>a</w:t>
            </w:r>
          </w:p>
        </w:tc>
        <w:tc>
          <w:tcPr>
            <w:tcW w:w="2091" w:type="pct"/>
            <w:gridSpan w:val="3"/>
            <w:shd w:val="clear" w:color="auto" w:fill="auto"/>
            <w:vAlign w:val="center"/>
          </w:tcPr>
          <w:p w14:paraId="78DC37A4" w14:textId="7A65ABDA" w:rsidR="00AC2298" w:rsidRPr="00271560" w:rsidRDefault="00AC2298" w:rsidP="00CB2C92">
            <w:pPr>
              <w:pStyle w:val="TableText0"/>
              <w:jc w:val="center"/>
            </w:pPr>
            <w:r w:rsidRPr="00271560">
              <w:t>Initiation year: $</w:t>
            </w:r>
            <w:r w:rsidR="00546AD5" w:rsidRPr="00546AD5">
              <w:rPr>
                <w:color w:val="000000"/>
                <w:shd w:val="solid" w:color="000000" w:fill="000000"/>
                <w14:textFill>
                  <w14:solidFill>
                    <w14:srgbClr w14:val="000000">
                      <w14:alpha w14:val="100000"/>
                    </w14:srgbClr>
                  </w14:solidFill>
                </w14:textFill>
              </w:rPr>
              <w:t>|</w:t>
            </w:r>
          </w:p>
          <w:p w14:paraId="334F7874" w14:textId="71F84326" w:rsidR="00AC2298" w:rsidRPr="00271560" w:rsidRDefault="00AC2298" w:rsidP="00CB2C92">
            <w:pPr>
              <w:pStyle w:val="TableText0"/>
              <w:jc w:val="center"/>
            </w:pPr>
            <w:r w:rsidRPr="00271560">
              <w:t>Subsequent years: $</w:t>
            </w:r>
            <w:r w:rsidR="00546AD5" w:rsidRPr="00546AD5">
              <w:rPr>
                <w:color w:val="000000"/>
                <w:shd w:val="solid" w:color="000000" w:fill="000000"/>
                <w14:textFill>
                  <w14:solidFill>
                    <w14:srgbClr w14:val="000000">
                      <w14:alpha w14:val="100000"/>
                    </w14:srgbClr>
                  </w14:solidFill>
                </w14:textFill>
              </w:rPr>
              <w:t>|</w:t>
            </w:r>
          </w:p>
        </w:tc>
        <w:tc>
          <w:tcPr>
            <w:tcW w:w="2094" w:type="pct"/>
            <w:gridSpan w:val="3"/>
            <w:shd w:val="clear" w:color="auto" w:fill="auto"/>
            <w:vAlign w:val="center"/>
          </w:tcPr>
          <w:p w14:paraId="0ACCC6F2" w14:textId="2B6FC64A" w:rsidR="00AC2298" w:rsidRPr="00271560" w:rsidRDefault="00AC2298" w:rsidP="00CB2C92">
            <w:pPr>
              <w:pStyle w:val="TableText0"/>
              <w:jc w:val="center"/>
            </w:pPr>
            <w:r w:rsidRPr="00271560">
              <w:t>Initiation year: $</w:t>
            </w:r>
            <w:r w:rsidR="00546AD5" w:rsidRPr="00546AD5">
              <w:rPr>
                <w:color w:val="000000"/>
                <w:shd w:val="solid" w:color="000000" w:fill="000000"/>
                <w14:textFill>
                  <w14:solidFill>
                    <w14:srgbClr w14:val="000000">
                      <w14:alpha w14:val="100000"/>
                    </w14:srgbClr>
                  </w14:solidFill>
                </w14:textFill>
              </w:rPr>
              <w:t>|</w:t>
            </w:r>
          </w:p>
          <w:p w14:paraId="6CF8EC5B" w14:textId="60A52063" w:rsidR="00AC2298" w:rsidRPr="00271560" w:rsidRDefault="00AC2298" w:rsidP="00CB2C92">
            <w:pPr>
              <w:pStyle w:val="TableText0"/>
              <w:jc w:val="center"/>
            </w:pPr>
            <w:r w:rsidRPr="00271560">
              <w:t>Subsequent years: $</w:t>
            </w:r>
            <w:r w:rsidR="00546AD5" w:rsidRPr="00546AD5">
              <w:rPr>
                <w:color w:val="000000"/>
                <w:shd w:val="solid" w:color="000000" w:fill="000000"/>
                <w14:textFill>
                  <w14:solidFill>
                    <w14:srgbClr w14:val="000000">
                      <w14:alpha w14:val="100000"/>
                    </w14:srgbClr>
                  </w14:solidFill>
                </w14:textFill>
              </w:rPr>
              <w:t>|</w:t>
            </w:r>
          </w:p>
        </w:tc>
      </w:tr>
    </w:tbl>
    <w:p w14:paraId="4FCBF44C" w14:textId="5D55DCD2" w:rsidR="00AC2298" w:rsidRPr="00271560" w:rsidRDefault="00AC2298" w:rsidP="00AC2298">
      <w:pPr>
        <w:pStyle w:val="TableFigureFooter"/>
      </w:pPr>
      <w:r w:rsidRPr="00271560">
        <w:t xml:space="preserve">Source: Constructed during </w:t>
      </w:r>
      <w:r w:rsidR="00F53734">
        <w:t xml:space="preserve">the </w:t>
      </w:r>
      <w:r w:rsidRPr="00271560">
        <w:t>evaluation using Section 1.4 of the resubmission.</w:t>
      </w:r>
    </w:p>
    <w:p w14:paraId="5E67D948" w14:textId="61684010" w:rsidR="00AC2298" w:rsidRDefault="00AC2298" w:rsidP="00AC2298">
      <w:pPr>
        <w:pStyle w:val="TableFigureFooter"/>
        <w:tabs>
          <w:tab w:val="left" w:pos="0"/>
        </w:tabs>
      </w:pPr>
      <w:r w:rsidRPr="00271560">
        <w:rPr>
          <w:vertAlign w:val="superscript"/>
        </w:rPr>
        <w:t>a</w:t>
      </w:r>
      <w:r w:rsidRPr="00271560">
        <w:t xml:space="preserve"> The first year of treatment includes 6 doses of nusinersen (4 loading doses plus 2 maintenance doses) but calculations include a rebate for </w:t>
      </w:r>
      <w:r w:rsidR="00546AD5" w:rsidRPr="00550E22">
        <w:rPr>
          <w:color w:val="000000"/>
          <w:spacing w:val="40"/>
          <w:shd w:val="solid" w:color="000000" w:fill="000000"/>
          <w:fitText w:val="279" w:id="-1167898617"/>
          <w14:textFill>
            <w14:solidFill>
              <w14:srgbClr w14:val="000000">
                <w14:alpha w14:val="100000"/>
              </w14:srgbClr>
            </w14:solidFill>
          </w14:textFill>
        </w:rPr>
        <w:t xml:space="preserve">|  </w:t>
      </w:r>
      <w:r w:rsidR="00546AD5" w:rsidRPr="00550E22">
        <w:rPr>
          <w:color w:val="000000"/>
          <w:spacing w:val="1"/>
          <w:shd w:val="solid" w:color="000000" w:fill="000000"/>
          <w:fitText w:val="279" w:id="-1167898617"/>
          <w14:textFill>
            <w14:solidFill>
              <w14:srgbClr w14:val="000000">
                <w14:alpha w14:val="100000"/>
              </w14:srgbClr>
            </w14:solidFill>
          </w14:textFill>
        </w:rPr>
        <w:t>|</w:t>
      </w:r>
      <w:r w:rsidRPr="00271560">
        <w:t xml:space="preserve"> </w:t>
      </w:r>
      <w:r w:rsidR="00546AD5" w:rsidRPr="00550E22">
        <w:rPr>
          <w:color w:val="000000"/>
          <w:spacing w:val="40"/>
          <w:shd w:val="solid" w:color="000000" w:fill="000000"/>
          <w:fitText w:val="279" w:id="-1167898616"/>
          <w14:textFill>
            <w14:solidFill>
              <w14:srgbClr w14:val="000000">
                <w14:alpha w14:val="100000"/>
              </w14:srgbClr>
            </w14:solidFill>
          </w14:textFill>
        </w:rPr>
        <w:t xml:space="preserve">|  </w:t>
      </w:r>
      <w:r w:rsidR="00546AD5" w:rsidRPr="00550E22">
        <w:rPr>
          <w:color w:val="000000"/>
          <w:spacing w:val="1"/>
          <w:shd w:val="solid" w:color="000000" w:fill="000000"/>
          <w:fitText w:val="279" w:id="-1167898616"/>
          <w14:textFill>
            <w14:solidFill>
              <w14:srgbClr w14:val="000000">
                <w14:alpha w14:val="100000"/>
              </w14:srgbClr>
            </w14:solidFill>
          </w14:textFill>
        </w:rPr>
        <w:t>|</w:t>
      </w:r>
      <w:r w:rsidRPr="00271560">
        <w:t xml:space="preserve"> in patients with SMA and 3 copies of </w:t>
      </w:r>
      <w:r w:rsidRPr="00271560">
        <w:rPr>
          <w:i/>
          <w:iCs/>
        </w:rPr>
        <w:t xml:space="preserve">SMN2 </w:t>
      </w:r>
      <w:r w:rsidRPr="00271560">
        <w:t>commencing pre-symptomatic treatment. Subsequent years (maintenance) require 3 doses per year.</w:t>
      </w:r>
      <w:r w:rsidR="00FD1102">
        <w:t xml:space="preserve"> </w:t>
      </w:r>
    </w:p>
    <w:p w14:paraId="4D119E59" w14:textId="2D25EAAC" w:rsidR="00FD1102" w:rsidRPr="00753A68" w:rsidRDefault="00753A68" w:rsidP="00AC2298">
      <w:pPr>
        <w:pStyle w:val="TableFigureFooter"/>
        <w:tabs>
          <w:tab w:val="left" w:pos="0"/>
        </w:tabs>
      </w:pPr>
      <w:r w:rsidRPr="00753A68">
        <w:rPr>
          <w:vertAlign w:val="superscript"/>
        </w:rPr>
        <w:t>b</w:t>
      </w:r>
      <w:r>
        <w:t xml:space="preserve"> The economic model base case assumed </w:t>
      </w:r>
      <w:r w:rsidR="00A97C99">
        <w:t xml:space="preserve">a </w:t>
      </w:r>
      <w:r>
        <w:t xml:space="preserve">100% uptake </w:t>
      </w:r>
      <w:r w:rsidR="00A97C99">
        <w:t xml:space="preserve">rate </w:t>
      </w:r>
      <w:r>
        <w:t xml:space="preserve">of nusinersen for pre-symptomatic treatment in paediatric patients diagnosed with SMA with 3 copies of </w:t>
      </w:r>
      <w:r w:rsidRPr="00753A68">
        <w:rPr>
          <w:i/>
          <w:iCs/>
        </w:rPr>
        <w:t>SMN2</w:t>
      </w:r>
      <w:r>
        <w:t>.</w:t>
      </w:r>
    </w:p>
    <w:p w14:paraId="551AA588" w14:textId="731B023B" w:rsidR="00753A68" w:rsidRDefault="00753A68" w:rsidP="00AC2298">
      <w:pPr>
        <w:pStyle w:val="TableFigureFooter"/>
        <w:tabs>
          <w:tab w:val="left" w:pos="0"/>
        </w:tabs>
      </w:pPr>
      <w:r w:rsidRPr="00753A68">
        <w:rPr>
          <w:vertAlign w:val="superscript"/>
        </w:rPr>
        <w:t>c</w:t>
      </w:r>
      <w:r>
        <w:t xml:space="preserve"> The resubmission’s financial estimates assumed a nusinersen uptake rate of 97% in year 1, increasing to 99% in year 4, with 99% uptake maintained over years 5 and 6.</w:t>
      </w:r>
    </w:p>
    <w:p w14:paraId="5107788C" w14:textId="77777777" w:rsidR="00AC2298" w:rsidRPr="00271560" w:rsidRDefault="00AC2298" w:rsidP="00AC2298">
      <w:pPr>
        <w:pStyle w:val="4-SubsectionHeading"/>
      </w:pPr>
      <w:bookmarkStart w:id="75" w:name="_Toc22897647"/>
      <w:bookmarkStart w:id="76" w:name="_Toc132629064"/>
      <w:bookmarkStart w:id="77" w:name="_Toc135214669"/>
      <w:r w:rsidRPr="00271560">
        <w:t>Estimated PBS usage &amp; financial implications</w:t>
      </w:r>
      <w:bookmarkEnd w:id="75"/>
      <w:bookmarkEnd w:id="76"/>
      <w:bookmarkEnd w:id="77"/>
    </w:p>
    <w:p w14:paraId="26A86116" w14:textId="79CD3B17" w:rsidR="00AC2298" w:rsidRPr="00271560" w:rsidRDefault="00AC2298" w:rsidP="00AC2298">
      <w:pPr>
        <w:pStyle w:val="3-BodyText"/>
      </w:pPr>
      <w:r w:rsidRPr="00271560">
        <w:t xml:space="preserve">This submission </w:t>
      </w:r>
      <w:r w:rsidR="00BE66A6">
        <w:t>was</w:t>
      </w:r>
      <w:r w:rsidRPr="00271560">
        <w:t xml:space="preserve"> not considered by DUSC. The resubmission used an epidemiological approach for the financial estimates for the listing of nusinersen for pre-symptomatic initiation.</w:t>
      </w:r>
    </w:p>
    <w:p w14:paraId="24A154BF" w14:textId="36CD3E64" w:rsidR="00AC2298" w:rsidRPr="00271560" w:rsidRDefault="00AC2298" w:rsidP="00AC2298">
      <w:pPr>
        <w:pStyle w:val="3-BodyText"/>
      </w:pPr>
      <w:r w:rsidRPr="00271560">
        <w:t xml:space="preserve">The inputs used for the financial estimates are described in </w:t>
      </w:r>
      <w:r w:rsidRPr="00271560">
        <w:fldChar w:fldCharType="begin" w:fldLock="1"/>
      </w:r>
      <w:r w:rsidRPr="00271560">
        <w:instrText xml:space="preserve"> REF _Ref132577188 \h </w:instrText>
      </w:r>
      <w:r w:rsidRPr="00271560">
        <w:fldChar w:fldCharType="separate"/>
      </w:r>
      <w:r w:rsidR="000825A0" w:rsidRPr="00271560">
        <w:t xml:space="preserve">Table </w:t>
      </w:r>
      <w:r w:rsidR="000825A0">
        <w:rPr>
          <w:noProof/>
        </w:rPr>
        <w:t>20</w:t>
      </w:r>
      <w:r w:rsidRPr="00271560">
        <w:fldChar w:fldCharType="end"/>
      </w:r>
      <w:r w:rsidRPr="00271560">
        <w:t>.</w:t>
      </w:r>
    </w:p>
    <w:p w14:paraId="5C3CEF5D" w14:textId="1EACF96E" w:rsidR="00AC2298" w:rsidRPr="00271560" w:rsidRDefault="00AC2298" w:rsidP="003B091B">
      <w:pPr>
        <w:pStyle w:val="Caption"/>
        <w:rPr>
          <w:rStyle w:val="CommentReference"/>
          <w:b/>
          <w:szCs w:val="24"/>
        </w:rPr>
      </w:pPr>
      <w:bookmarkStart w:id="78" w:name="_Ref132577188"/>
      <w:r w:rsidRPr="00271560">
        <w:lastRenderedPageBreak/>
        <w:t xml:space="preserve">Table </w:t>
      </w:r>
      <w:fldSimple w:instr=" SEQ Table \* ARABIC " w:fldLock="1">
        <w:r w:rsidR="0038407B">
          <w:rPr>
            <w:noProof/>
          </w:rPr>
          <w:t>20</w:t>
        </w:r>
      </w:fldSimple>
      <w:bookmarkEnd w:id="78"/>
      <w:r w:rsidRPr="00271560">
        <w:t xml:space="preserve">: </w:t>
      </w:r>
      <w:r w:rsidRPr="00271560">
        <w:rPr>
          <w:rStyle w:val="CommentReference"/>
          <w:b/>
          <w:szCs w:val="24"/>
        </w:rPr>
        <w:t>Key inputs for financial estimates</w:t>
      </w:r>
    </w:p>
    <w:tbl>
      <w:tblPr>
        <w:tblStyle w:val="TableGrid"/>
        <w:tblW w:w="0" w:type="auto"/>
        <w:tblCellMar>
          <w:left w:w="28" w:type="dxa"/>
          <w:right w:w="28" w:type="dxa"/>
        </w:tblCellMar>
        <w:tblLook w:val="04A0" w:firstRow="1" w:lastRow="0" w:firstColumn="1" w:lastColumn="0" w:noHBand="0" w:noVBand="1"/>
        <w:tblCaption w:val="Table 20: Key inputs for financial estimates"/>
      </w:tblPr>
      <w:tblGrid>
        <w:gridCol w:w="1670"/>
        <w:gridCol w:w="4279"/>
        <w:gridCol w:w="3067"/>
      </w:tblGrid>
      <w:tr w:rsidR="00AC2298" w:rsidRPr="00271560" w14:paraId="6205BDC9" w14:textId="77777777" w:rsidTr="00CB2C92">
        <w:trPr>
          <w:cantSplit/>
          <w:tblHeader/>
        </w:trPr>
        <w:tc>
          <w:tcPr>
            <w:tcW w:w="1670" w:type="dxa"/>
            <w:vAlign w:val="center"/>
          </w:tcPr>
          <w:p w14:paraId="28B7A3AB" w14:textId="77777777" w:rsidR="00AC2298" w:rsidRPr="00271560" w:rsidRDefault="00AC2298" w:rsidP="003B091B">
            <w:pPr>
              <w:pStyle w:val="In-tableHeading"/>
              <w:keepLines/>
              <w:rPr>
                <w:lang w:val="en-AU"/>
              </w:rPr>
            </w:pPr>
            <w:r w:rsidRPr="00271560">
              <w:rPr>
                <w:lang w:val="en-AU"/>
              </w:rPr>
              <w:t>Parameter</w:t>
            </w:r>
          </w:p>
        </w:tc>
        <w:tc>
          <w:tcPr>
            <w:tcW w:w="4279" w:type="dxa"/>
            <w:vAlign w:val="center"/>
          </w:tcPr>
          <w:p w14:paraId="280EABA4" w14:textId="77777777" w:rsidR="00AC2298" w:rsidRPr="00271560" w:rsidRDefault="00AC2298" w:rsidP="003B091B">
            <w:pPr>
              <w:pStyle w:val="In-tableHeading"/>
              <w:keepLines/>
              <w:jc w:val="center"/>
              <w:rPr>
                <w:lang w:val="en-AU"/>
              </w:rPr>
            </w:pPr>
            <w:r w:rsidRPr="00271560">
              <w:rPr>
                <w:lang w:val="en-AU"/>
              </w:rPr>
              <w:t>Value and source</w:t>
            </w:r>
          </w:p>
        </w:tc>
        <w:tc>
          <w:tcPr>
            <w:tcW w:w="3067" w:type="dxa"/>
            <w:vAlign w:val="center"/>
          </w:tcPr>
          <w:p w14:paraId="55DB8838" w14:textId="77777777" w:rsidR="00AC2298" w:rsidRPr="00271560" w:rsidRDefault="00AC2298" w:rsidP="003B091B">
            <w:pPr>
              <w:pStyle w:val="In-tableHeading"/>
              <w:keepLines/>
              <w:rPr>
                <w:lang w:val="en-AU"/>
              </w:rPr>
            </w:pPr>
            <w:r w:rsidRPr="00271560">
              <w:rPr>
                <w:lang w:val="en-AU"/>
              </w:rPr>
              <w:t>Comment</w:t>
            </w:r>
          </w:p>
        </w:tc>
      </w:tr>
      <w:tr w:rsidR="00AC2298" w:rsidRPr="00271560" w14:paraId="4975B24C" w14:textId="77777777" w:rsidTr="00CB2C92">
        <w:trPr>
          <w:cantSplit/>
        </w:trPr>
        <w:tc>
          <w:tcPr>
            <w:tcW w:w="1670" w:type="dxa"/>
            <w:vAlign w:val="center"/>
          </w:tcPr>
          <w:p w14:paraId="3B67A60C" w14:textId="77777777" w:rsidR="00AC2298" w:rsidRPr="00271560" w:rsidRDefault="00AC2298" w:rsidP="003B091B">
            <w:pPr>
              <w:pStyle w:val="TableText0"/>
              <w:keepLines/>
              <w:widowControl w:val="0"/>
            </w:pPr>
            <w:r w:rsidRPr="00271560">
              <w:t xml:space="preserve">Incidence of SMA </w:t>
            </w:r>
          </w:p>
        </w:tc>
        <w:tc>
          <w:tcPr>
            <w:tcW w:w="4279" w:type="dxa"/>
            <w:vAlign w:val="center"/>
          </w:tcPr>
          <w:p w14:paraId="1259E37E" w14:textId="77777777" w:rsidR="00AC2298" w:rsidRPr="00271560" w:rsidRDefault="00AC2298" w:rsidP="003B091B">
            <w:pPr>
              <w:pStyle w:val="TableText0"/>
              <w:keepLines/>
              <w:widowControl w:val="0"/>
              <w:jc w:val="both"/>
            </w:pPr>
            <w:r w:rsidRPr="00271560">
              <w:rPr>
                <w:iCs/>
              </w:rPr>
              <w:t>SMA rate 8.66 per 100,000 live births, reported by Kariyawasam 2020. This study reported 9 patients with SMA in 103,903 newborns screened in the first year of screening in the NSW/ACT pilot program.</w:t>
            </w:r>
          </w:p>
        </w:tc>
        <w:tc>
          <w:tcPr>
            <w:tcW w:w="3067" w:type="dxa"/>
            <w:vAlign w:val="center"/>
          </w:tcPr>
          <w:p w14:paraId="1D79170B" w14:textId="45DA63D5" w:rsidR="00AC2298" w:rsidRPr="00F53734" w:rsidRDefault="008718E4" w:rsidP="003B091B">
            <w:pPr>
              <w:pStyle w:val="TableText0"/>
              <w:keepLines/>
              <w:widowControl w:val="0"/>
            </w:pPr>
            <w:r>
              <w:t>PBAC considered this was reasonable.</w:t>
            </w:r>
          </w:p>
        </w:tc>
      </w:tr>
      <w:tr w:rsidR="00AC2298" w:rsidRPr="00271560" w14:paraId="7F88309B" w14:textId="77777777" w:rsidTr="001C406A">
        <w:trPr>
          <w:cantSplit/>
          <w:trHeight w:val="219"/>
        </w:trPr>
        <w:tc>
          <w:tcPr>
            <w:tcW w:w="1670" w:type="dxa"/>
            <w:vAlign w:val="center"/>
          </w:tcPr>
          <w:p w14:paraId="4345FB61" w14:textId="77777777" w:rsidR="00AC2298" w:rsidRPr="00271560" w:rsidRDefault="00AC2298" w:rsidP="003B091B">
            <w:pPr>
              <w:pStyle w:val="TableText0"/>
              <w:keepLines/>
              <w:widowControl w:val="0"/>
            </w:pPr>
            <w:r w:rsidRPr="00271560">
              <w:t xml:space="preserve">Proportion of patients with SMA that have 3 copies of </w:t>
            </w:r>
            <w:r w:rsidRPr="00271560">
              <w:rPr>
                <w:i/>
                <w:iCs/>
              </w:rPr>
              <w:t>SMN2</w:t>
            </w:r>
            <w:r w:rsidRPr="00271560">
              <w:t>.</w:t>
            </w:r>
          </w:p>
        </w:tc>
        <w:tc>
          <w:tcPr>
            <w:tcW w:w="4279" w:type="dxa"/>
            <w:shd w:val="clear" w:color="auto" w:fill="auto"/>
            <w:vAlign w:val="center"/>
          </w:tcPr>
          <w:p w14:paraId="6EC9960C" w14:textId="7AEC9597" w:rsidR="00AC2298" w:rsidRPr="00271560" w:rsidRDefault="00AC2298" w:rsidP="003B091B">
            <w:pPr>
              <w:pStyle w:val="TableText0"/>
              <w:keepLines/>
              <w:widowControl w:val="0"/>
              <w:jc w:val="both"/>
              <w:rPr>
                <w:iCs/>
              </w:rPr>
            </w:pPr>
            <w:r w:rsidRPr="00271560">
              <w:rPr>
                <w:iCs/>
              </w:rPr>
              <w:t>45.81%.</w:t>
            </w:r>
          </w:p>
        </w:tc>
        <w:tc>
          <w:tcPr>
            <w:tcW w:w="3067" w:type="dxa"/>
            <w:vAlign w:val="center"/>
          </w:tcPr>
          <w:p w14:paraId="5870EEDB" w14:textId="6133CA60" w:rsidR="00AC2298" w:rsidRPr="00F53734" w:rsidRDefault="008E7389" w:rsidP="003B091B">
            <w:pPr>
              <w:pStyle w:val="TableText0"/>
              <w:keepLines/>
              <w:widowControl w:val="0"/>
            </w:pPr>
            <w:r>
              <w:rPr>
                <w:iCs/>
              </w:rPr>
              <w:t>B</w:t>
            </w:r>
            <w:r w:rsidRPr="00271560">
              <w:rPr>
                <w:iCs/>
              </w:rPr>
              <w:t>ased on Section 3.3 of the resubmission.</w:t>
            </w:r>
          </w:p>
        </w:tc>
      </w:tr>
      <w:tr w:rsidR="00AC2298" w:rsidRPr="00271560" w14:paraId="40B1A3D1" w14:textId="77777777" w:rsidTr="001C406A">
        <w:trPr>
          <w:cantSplit/>
          <w:trHeight w:val="938"/>
        </w:trPr>
        <w:tc>
          <w:tcPr>
            <w:tcW w:w="1670" w:type="dxa"/>
            <w:vAlign w:val="center"/>
          </w:tcPr>
          <w:p w14:paraId="26BD9D7A" w14:textId="110B27E1" w:rsidR="00AC2298" w:rsidRPr="00271560" w:rsidRDefault="00AC2298" w:rsidP="003B091B">
            <w:pPr>
              <w:pStyle w:val="TableText0"/>
              <w:keepLines/>
              <w:widowControl w:val="0"/>
            </w:pPr>
            <w:r w:rsidRPr="00271560">
              <w:t>Distribution of SMA type</w:t>
            </w:r>
            <w:r w:rsidRPr="00271560">
              <w:rPr>
                <w:i/>
              </w:rPr>
              <w:t xml:space="preserve"> </w:t>
            </w:r>
            <w:r w:rsidRPr="00271560">
              <w:rPr>
                <w:iCs/>
              </w:rPr>
              <w:t>for</w:t>
            </w:r>
            <w:r w:rsidRPr="00F53734">
              <w:t xml:space="preserve"> </w:t>
            </w:r>
            <w:r w:rsidRPr="00E95474">
              <w:rPr>
                <w:i/>
                <w:iCs/>
              </w:rPr>
              <w:t>SMN2</w:t>
            </w:r>
            <w:r w:rsidRPr="00271560">
              <w:t xml:space="preserve"> </w:t>
            </w:r>
            <w:r w:rsidR="005B4337">
              <w:t xml:space="preserve">3 </w:t>
            </w:r>
            <w:r w:rsidRPr="00271560">
              <w:t>cop</w:t>
            </w:r>
            <w:r w:rsidR="005B4337">
              <w:t>ies</w:t>
            </w:r>
          </w:p>
        </w:tc>
        <w:tc>
          <w:tcPr>
            <w:tcW w:w="4279" w:type="dxa"/>
            <w:shd w:val="clear" w:color="auto" w:fill="auto"/>
            <w:vAlign w:val="center"/>
          </w:tcPr>
          <w:tbl>
            <w:tblPr>
              <w:tblStyle w:val="TableGrid"/>
              <w:tblW w:w="0" w:type="auto"/>
              <w:tblCellMar>
                <w:left w:w="28" w:type="dxa"/>
                <w:right w:w="28" w:type="dxa"/>
              </w:tblCellMar>
              <w:tblLook w:val="04A0" w:firstRow="1" w:lastRow="0" w:firstColumn="1" w:lastColumn="0" w:noHBand="0" w:noVBand="1"/>
            </w:tblPr>
            <w:tblGrid>
              <w:gridCol w:w="930"/>
              <w:gridCol w:w="709"/>
              <w:gridCol w:w="627"/>
              <w:gridCol w:w="709"/>
              <w:gridCol w:w="567"/>
              <w:gridCol w:w="653"/>
            </w:tblGrid>
            <w:tr w:rsidR="00AC2298" w:rsidRPr="0028520B" w14:paraId="2378CEC5" w14:textId="77777777" w:rsidTr="00CB2C92">
              <w:tc>
                <w:tcPr>
                  <w:tcW w:w="930" w:type="dxa"/>
                </w:tcPr>
                <w:p w14:paraId="534F0BD7" w14:textId="77777777" w:rsidR="00AC2298" w:rsidRPr="0028520B" w:rsidRDefault="00AC2298" w:rsidP="003B091B">
                  <w:pPr>
                    <w:pStyle w:val="TableText0"/>
                    <w:keepLines/>
                    <w:widowControl w:val="0"/>
                    <w:jc w:val="both"/>
                    <w:rPr>
                      <w:szCs w:val="20"/>
                    </w:rPr>
                  </w:pPr>
                </w:p>
              </w:tc>
              <w:tc>
                <w:tcPr>
                  <w:tcW w:w="3265" w:type="dxa"/>
                  <w:gridSpan w:val="5"/>
                  <w:vAlign w:val="center"/>
                </w:tcPr>
                <w:p w14:paraId="1A860BA1" w14:textId="77777777" w:rsidR="00AC2298" w:rsidRPr="0028520B" w:rsidRDefault="00AC2298" w:rsidP="003B091B">
                  <w:pPr>
                    <w:pStyle w:val="TableText0"/>
                    <w:keepLines/>
                    <w:widowControl w:val="0"/>
                    <w:jc w:val="both"/>
                    <w:rPr>
                      <w:szCs w:val="20"/>
                    </w:rPr>
                  </w:pPr>
                  <w:r w:rsidRPr="0028520B">
                    <w:rPr>
                      <w:szCs w:val="20"/>
                    </w:rPr>
                    <w:t>SMA type</w:t>
                  </w:r>
                </w:p>
              </w:tc>
            </w:tr>
            <w:tr w:rsidR="00AC2298" w:rsidRPr="0028520B" w14:paraId="34F3088C" w14:textId="77777777" w:rsidTr="00CB2C92">
              <w:tc>
                <w:tcPr>
                  <w:tcW w:w="930" w:type="dxa"/>
                </w:tcPr>
                <w:p w14:paraId="6CA126A4" w14:textId="77777777" w:rsidR="00AC2298" w:rsidRPr="0028520B" w:rsidRDefault="00AC2298" w:rsidP="003B091B">
                  <w:pPr>
                    <w:pStyle w:val="TableText0"/>
                    <w:keepLines/>
                    <w:widowControl w:val="0"/>
                    <w:jc w:val="both"/>
                    <w:rPr>
                      <w:szCs w:val="20"/>
                    </w:rPr>
                  </w:pPr>
                  <w:r w:rsidRPr="0028520B">
                    <w:rPr>
                      <w:i/>
                      <w:szCs w:val="20"/>
                    </w:rPr>
                    <w:t>SMN2</w:t>
                  </w:r>
                  <w:r w:rsidRPr="0028520B">
                    <w:rPr>
                      <w:szCs w:val="20"/>
                    </w:rPr>
                    <w:t xml:space="preserve"> copy</w:t>
                  </w:r>
                </w:p>
              </w:tc>
              <w:tc>
                <w:tcPr>
                  <w:tcW w:w="709" w:type="dxa"/>
                  <w:vAlign w:val="center"/>
                </w:tcPr>
                <w:p w14:paraId="7D5461ED" w14:textId="77777777" w:rsidR="00AC2298" w:rsidRPr="0028520B" w:rsidRDefault="00AC2298" w:rsidP="003B091B">
                  <w:pPr>
                    <w:pStyle w:val="TableText0"/>
                    <w:keepLines/>
                    <w:widowControl w:val="0"/>
                    <w:jc w:val="center"/>
                    <w:rPr>
                      <w:szCs w:val="20"/>
                    </w:rPr>
                  </w:pPr>
                  <w:r w:rsidRPr="0028520B">
                    <w:rPr>
                      <w:szCs w:val="20"/>
                    </w:rPr>
                    <w:t>I</w:t>
                  </w:r>
                </w:p>
              </w:tc>
              <w:tc>
                <w:tcPr>
                  <w:tcW w:w="627" w:type="dxa"/>
                  <w:vAlign w:val="center"/>
                </w:tcPr>
                <w:p w14:paraId="293DC725" w14:textId="77777777" w:rsidR="00AC2298" w:rsidRPr="0028520B" w:rsidRDefault="00AC2298" w:rsidP="003B091B">
                  <w:pPr>
                    <w:pStyle w:val="TableText0"/>
                    <w:keepLines/>
                    <w:widowControl w:val="0"/>
                    <w:jc w:val="center"/>
                    <w:rPr>
                      <w:szCs w:val="20"/>
                    </w:rPr>
                  </w:pPr>
                  <w:r w:rsidRPr="0028520B">
                    <w:rPr>
                      <w:szCs w:val="20"/>
                    </w:rPr>
                    <w:t>II</w:t>
                  </w:r>
                </w:p>
              </w:tc>
              <w:tc>
                <w:tcPr>
                  <w:tcW w:w="709" w:type="dxa"/>
                  <w:vAlign w:val="center"/>
                </w:tcPr>
                <w:p w14:paraId="420DAEA2" w14:textId="77777777" w:rsidR="00AC2298" w:rsidRPr="0028520B" w:rsidRDefault="00AC2298" w:rsidP="003B091B">
                  <w:pPr>
                    <w:pStyle w:val="TableText0"/>
                    <w:keepLines/>
                    <w:widowControl w:val="0"/>
                    <w:jc w:val="center"/>
                    <w:rPr>
                      <w:szCs w:val="20"/>
                    </w:rPr>
                  </w:pPr>
                  <w:r w:rsidRPr="0028520B">
                    <w:rPr>
                      <w:szCs w:val="20"/>
                    </w:rPr>
                    <w:t>IIIa</w:t>
                  </w:r>
                </w:p>
              </w:tc>
              <w:tc>
                <w:tcPr>
                  <w:tcW w:w="567" w:type="dxa"/>
                  <w:vAlign w:val="center"/>
                </w:tcPr>
                <w:p w14:paraId="21F14EAD" w14:textId="77777777" w:rsidR="00AC2298" w:rsidRPr="0028520B" w:rsidRDefault="00AC2298" w:rsidP="003B091B">
                  <w:pPr>
                    <w:pStyle w:val="TableText0"/>
                    <w:keepLines/>
                    <w:widowControl w:val="0"/>
                    <w:jc w:val="center"/>
                    <w:rPr>
                      <w:szCs w:val="20"/>
                    </w:rPr>
                  </w:pPr>
                  <w:r w:rsidRPr="0028520B">
                    <w:rPr>
                      <w:szCs w:val="20"/>
                    </w:rPr>
                    <w:t>IIIb</w:t>
                  </w:r>
                </w:p>
              </w:tc>
              <w:tc>
                <w:tcPr>
                  <w:tcW w:w="653" w:type="dxa"/>
                  <w:vAlign w:val="center"/>
                </w:tcPr>
                <w:p w14:paraId="416403D0" w14:textId="77777777" w:rsidR="00AC2298" w:rsidRPr="0028520B" w:rsidRDefault="00AC2298" w:rsidP="003B091B">
                  <w:pPr>
                    <w:pStyle w:val="TableText0"/>
                    <w:keepLines/>
                    <w:widowControl w:val="0"/>
                    <w:jc w:val="center"/>
                    <w:rPr>
                      <w:szCs w:val="20"/>
                    </w:rPr>
                  </w:pPr>
                  <w:r w:rsidRPr="0028520B">
                    <w:rPr>
                      <w:szCs w:val="20"/>
                    </w:rPr>
                    <w:t>IV</w:t>
                  </w:r>
                </w:p>
              </w:tc>
            </w:tr>
            <w:tr w:rsidR="00AC2298" w:rsidRPr="0028520B" w14:paraId="3A379A83" w14:textId="77777777" w:rsidTr="00CB2C92">
              <w:tc>
                <w:tcPr>
                  <w:tcW w:w="930" w:type="dxa"/>
                </w:tcPr>
                <w:p w14:paraId="6A9BAF5C" w14:textId="77777777" w:rsidR="00AC2298" w:rsidRPr="0028520B" w:rsidRDefault="00AC2298" w:rsidP="003B091B">
                  <w:pPr>
                    <w:pStyle w:val="TableText0"/>
                    <w:keepLines/>
                    <w:widowControl w:val="0"/>
                    <w:jc w:val="both"/>
                    <w:rPr>
                      <w:szCs w:val="20"/>
                    </w:rPr>
                  </w:pPr>
                  <w:r w:rsidRPr="0028520B">
                    <w:rPr>
                      <w:szCs w:val="20"/>
                    </w:rPr>
                    <w:t>3</w:t>
                  </w:r>
                </w:p>
              </w:tc>
              <w:tc>
                <w:tcPr>
                  <w:tcW w:w="709" w:type="dxa"/>
                  <w:vAlign w:val="center"/>
                </w:tcPr>
                <w:p w14:paraId="71A347B7" w14:textId="77777777" w:rsidR="00AC2298" w:rsidRPr="0028520B" w:rsidRDefault="00AC2298" w:rsidP="003B091B">
                  <w:pPr>
                    <w:pStyle w:val="TableText0"/>
                    <w:keepLines/>
                    <w:widowControl w:val="0"/>
                    <w:jc w:val="center"/>
                    <w:rPr>
                      <w:szCs w:val="20"/>
                    </w:rPr>
                  </w:pPr>
                  <w:r w:rsidRPr="0028520B">
                    <w:rPr>
                      <w:color w:val="000000"/>
                      <w:szCs w:val="20"/>
                    </w:rPr>
                    <w:t>25.4%</w:t>
                  </w:r>
                </w:p>
              </w:tc>
              <w:tc>
                <w:tcPr>
                  <w:tcW w:w="627" w:type="dxa"/>
                  <w:vAlign w:val="center"/>
                </w:tcPr>
                <w:p w14:paraId="20033BE2" w14:textId="77777777" w:rsidR="00AC2298" w:rsidRPr="0028520B" w:rsidRDefault="00AC2298" w:rsidP="003B091B">
                  <w:pPr>
                    <w:pStyle w:val="TableText0"/>
                    <w:keepLines/>
                    <w:widowControl w:val="0"/>
                    <w:jc w:val="center"/>
                    <w:rPr>
                      <w:szCs w:val="20"/>
                    </w:rPr>
                  </w:pPr>
                  <w:r w:rsidRPr="0028520B">
                    <w:rPr>
                      <w:color w:val="000000"/>
                      <w:szCs w:val="20"/>
                    </w:rPr>
                    <w:t>44.4%</w:t>
                  </w:r>
                </w:p>
              </w:tc>
              <w:tc>
                <w:tcPr>
                  <w:tcW w:w="709" w:type="dxa"/>
                  <w:vAlign w:val="center"/>
                </w:tcPr>
                <w:p w14:paraId="371CFF14" w14:textId="77777777" w:rsidR="00AC2298" w:rsidRPr="0028520B" w:rsidRDefault="00AC2298" w:rsidP="003B091B">
                  <w:pPr>
                    <w:pStyle w:val="TableText0"/>
                    <w:keepLines/>
                    <w:widowControl w:val="0"/>
                    <w:jc w:val="center"/>
                    <w:rPr>
                      <w:szCs w:val="20"/>
                    </w:rPr>
                  </w:pPr>
                  <w:r w:rsidRPr="0028520B">
                    <w:rPr>
                      <w:color w:val="000000"/>
                      <w:szCs w:val="20"/>
                    </w:rPr>
                    <w:t>22.4%</w:t>
                  </w:r>
                </w:p>
              </w:tc>
              <w:tc>
                <w:tcPr>
                  <w:tcW w:w="567" w:type="dxa"/>
                  <w:vAlign w:val="center"/>
                </w:tcPr>
                <w:p w14:paraId="6E728205" w14:textId="77777777" w:rsidR="00AC2298" w:rsidRPr="0028520B" w:rsidRDefault="00AC2298" w:rsidP="003B091B">
                  <w:pPr>
                    <w:pStyle w:val="TableText0"/>
                    <w:keepLines/>
                    <w:widowControl w:val="0"/>
                    <w:jc w:val="center"/>
                    <w:rPr>
                      <w:szCs w:val="20"/>
                    </w:rPr>
                  </w:pPr>
                  <w:r w:rsidRPr="0028520B">
                    <w:rPr>
                      <w:color w:val="000000"/>
                      <w:szCs w:val="20"/>
                    </w:rPr>
                    <w:t>7.8%</w:t>
                  </w:r>
                </w:p>
              </w:tc>
              <w:tc>
                <w:tcPr>
                  <w:tcW w:w="653" w:type="dxa"/>
                  <w:vAlign w:val="center"/>
                </w:tcPr>
                <w:p w14:paraId="39F2FF44" w14:textId="77777777" w:rsidR="00AC2298" w:rsidRPr="0028520B" w:rsidRDefault="00AC2298" w:rsidP="003B091B">
                  <w:pPr>
                    <w:pStyle w:val="TableText0"/>
                    <w:keepLines/>
                    <w:widowControl w:val="0"/>
                    <w:jc w:val="center"/>
                    <w:rPr>
                      <w:szCs w:val="20"/>
                    </w:rPr>
                  </w:pPr>
                  <w:r w:rsidRPr="0028520B">
                    <w:rPr>
                      <w:color w:val="000000"/>
                      <w:szCs w:val="20"/>
                    </w:rPr>
                    <w:t>0.0%</w:t>
                  </w:r>
                </w:p>
              </w:tc>
            </w:tr>
          </w:tbl>
          <w:p w14:paraId="022F6005" w14:textId="396B37AF" w:rsidR="00AC2298" w:rsidRPr="0028520B" w:rsidRDefault="00AC2298" w:rsidP="003B091B">
            <w:pPr>
              <w:pStyle w:val="TableText0"/>
              <w:keepLines/>
              <w:widowControl w:val="0"/>
              <w:jc w:val="both"/>
            </w:pPr>
            <w:r w:rsidRPr="0028520B">
              <w:rPr>
                <w:sz w:val="18"/>
              </w:rPr>
              <w:t>Source: Table 4.3, p169 of the resubmission</w:t>
            </w:r>
            <w:r w:rsidR="00995653">
              <w:rPr>
                <w:sz w:val="18"/>
              </w:rPr>
              <w:t>, Sarv 2021</w:t>
            </w:r>
          </w:p>
        </w:tc>
        <w:tc>
          <w:tcPr>
            <w:tcW w:w="3067" w:type="dxa"/>
            <w:vAlign w:val="center"/>
          </w:tcPr>
          <w:p w14:paraId="6E835DC8" w14:textId="7101A1E0" w:rsidR="00AC2298" w:rsidRPr="00F53734" w:rsidRDefault="00720BAB" w:rsidP="003B091B">
            <w:pPr>
              <w:pStyle w:val="TableText0"/>
              <w:keepLines/>
              <w:widowControl w:val="0"/>
              <w:rPr>
                <w:iCs/>
              </w:rPr>
            </w:pPr>
            <w:r w:rsidRPr="00F53734">
              <w:rPr>
                <w:iCs/>
              </w:rPr>
              <w:t xml:space="preserve">There was uncertainty regarding the distribution of SMA type and </w:t>
            </w:r>
            <w:r w:rsidRPr="00046873">
              <w:rPr>
                <w:i/>
              </w:rPr>
              <w:t>SMN2</w:t>
            </w:r>
            <w:r w:rsidRPr="00F53734">
              <w:rPr>
                <w:iCs/>
              </w:rPr>
              <w:t xml:space="preserve"> copy numbers used in the resubmission due to the exclusion of Sarv 2021. Also may not be appropriate to assume no Type IV patients.</w:t>
            </w:r>
          </w:p>
        </w:tc>
      </w:tr>
      <w:tr w:rsidR="00AC2298" w:rsidRPr="00271560" w14:paraId="79983269" w14:textId="77777777" w:rsidTr="00CB2C92">
        <w:trPr>
          <w:cantSplit/>
        </w:trPr>
        <w:tc>
          <w:tcPr>
            <w:tcW w:w="1670" w:type="dxa"/>
            <w:vAlign w:val="center"/>
          </w:tcPr>
          <w:p w14:paraId="79E65187" w14:textId="77777777" w:rsidR="00AC2298" w:rsidRPr="00271560" w:rsidRDefault="00AC2298" w:rsidP="003B091B">
            <w:pPr>
              <w:pStyle w:val="TableText0"/>
              <w:keepLines/>
              <w:widowControl w:val="0"/>
            </w:pPr>
            <w:r w:rsidRPr="00271560">
              <w:t>Nusinersen uptake rate from birth</w:t>
            </w:r>
          </w:p>
        </w:tc>
        <w:tc>
          <w:tcPr>
            <w:tcW w:w="4279" w:type="dxa"/>
            <w:vAlign w:val="center"/>
          </w:tcPr>
          <w:tbl>
            <w:tblPr>
              <w:tblStyle w:val="TableGrid"/>
              <w:tblW w:w="0" w:type="auto"/>
              <w:tblCellMar>
                <w:left w:w="28" w:type="dxa"/>
                <w:right w:w="28" w:type="dxa"/>
              </w:tblCellMar>
              <w:tblLook w:val="04A0" w:firstRow="1" w:lastRow="0" w:firstColumn="1" w:lastColumn="0" w:noHBand="0" w:noVBand="1"/>
            </w:tblPr>
            <w:tblGrid>
              <w:gridCol w:w="807"/>
              <w:gridCol w:w="746"/>
              <w:gridCol w:w="745"/>
              <w:gridCol w:w="638"/>
              <w:gridCol w:w="671"/>
              <w:gridCol w:w="606"/>
            </w:tblGrid>
            <w:tr w:rsidR="00AC2298" w:rsidRPr="0028520B" w14:paraId="139BA9EA" w14:textId="77777777" w:rsidTr="00CB2C92">
              <w:tc>
                <w:tcPr>
                  <w:tcW w:w="4251" w:type="dxa"/>
                  <w:gridSpan w:val="6"/>
                </w:tcPr>
                <w:p w14:paraId="13D2A89F" w14:textId="77777777" w:rsidR="00AC2298" w:rsidRPr="0028520B" w:rsidRDefault="00AC2298" w:rsidP="003B091B">
                  <w:pPr>
                    <w:pStyle w:val="TableText0"/>
                    <w:keepLines/>
                    <w:widowControl w:val="0"/>
                    <w:jc w:val="both"/>
                    <w:rPr>
                      <w:szCs w:val="20"/>
                    </w:rPr>
                  </w:pPr>
                  <w:r w:rsidRPr="0028520B">
                    <w:rPr>
                      <w:szCs w:val="20"/>
                    </w:rPr>
                    <w:t>Uptake rate</w:t>
                  </w:r>
                </w:p>
              </w:tc>
            </w:tr>
            <w:tr w:rsidR="00AC2298" w:rsidRPr="0028520B" w14:paraId="3C333909" w14:textId="77777777" w:rsidTr="00CB2C92">
              <w:tc>
                <w:tcPr>
                  <w:tcW w:w="816" w:type="dxa"/>
                </w:tcPr>
                <w:p w14:paraId="55D23ACA" w14:textId="77777777" w:rsidR="00AC2298" w:rsidRPr="0028520B" w:rsidRDefault="00AC2298" w:rsidP="003B091B">
                  <w:pPr>
                    <w:pStyle w:val="TableText0"/>
                    <w:keepLines/>
                    <w:widowControl w:val="0"/>
                    <w:jc w:val="center"/>
                  </w:pPr>
                  <w:r w:rsidRPr="0028520B">
                    <w:t>2023</w:t>
                  </w:r>
                </w:p>
              </w:tc>
              <w:tc>
                <w:tcPr>
                  <w:tcW w:w="753" w:type="dxa"/>
                </w:tcPr>
                <w:p w14:paraId="7D264DD7" w14:textId="77777777" w:rsidR="00AC2298" w:rsidRPr="0028520B" w:rsidRDefault="00AC2298" w:rsidP="003B091B">
                  <w:pPr>
                    <w:pStyle w:val="TableText0"/>
                    <w:keepLines/>
                    <w:widowControl w:val="0"/>
                    <w:jc w:val="center"/>
                  </w:pPr>
                  <w:r w:rsidRPr="0028520B">
                    <w:t>2024</w:t>
                  </w:r>
                </w:p>
              </w:tc>
              <w:tc>
                <w:tcPr>
                  <w:tcW w:w="752" w:type="dxa"/>
                </w:tcPr>
                <w:p w14:paraId="418537FA" w14:textId="77777777" w:rsidR="00AC2298" w:rsidRPr="0028520B" w:rsidRDefault="00AC2298" w:rsidP="003B091B">
                  <w:pPr>
                    <w:pStyle w:val="TableText0"/>
                    <w:keepLines/>
                    <w:widowControl w:val="0"/>
                    <w:jc w:val="center"/>
                  </w:pPr>
                  <w:r w:rsidRPr="0028520B">
                    <w:t>2025</w:t>
                  </w:r>
                </w:p>
              </w:tc>
              <w:tc>
                <w:tcPr>
                  <w:tcW w:w="643" w:type="dxa"/>
                </w:tcPr>
                <w:p w14:paraId="2EC149DD" w14:textId="77777777" w:rsidR="00AC2298" w:rsidRPr="0028520B" w:rsidRDefault="00AC2298" w:rsidP="003B091B">
                  <w:pPr>
                    <w:pStyle w:val="TableText0"/>
                    <w:keepLines/>
                    <w:widowControl w:val="0"/>
                    <w:jc w:val="center"/>
                  </w:pPr>
                  <w:r w:rsidRPr="0028520B">
                    <w:t>2026</w:t>
                  </w:r>
                </w:p>
              </w:tc>
              <w:tc>
                <w:tcPr>
                  <w:tcW w:w="677" w:type="dxa"/>
                </w:tcPr>
                <w:p w14:paraId="483B672C" w14:textId="77777777" w:rsidR="00AC2298" w:rsidRPr="0028520B" w:rsidRDefault="00AC2298" w:rsidP="003B091B">
                  <w:pPr>
                    <w:pStyle w:val="TableText0"/>
                    <w:keepLines/>
                    <w:widowControl w:val="0"/>
                    <w:jc w:val="center"/>
                  </w:pPr>
                  <w:r w:rsidRPr="0028520B">
                    <w:t>2027</w:t>
                  </w:r>
                </w:p>
              </w:tc>
              <w:tc>
                <w:tcPr>
                  <w:tcW w:w="610" w:type="dxa"/>
                </w:tcPr>
                <w:p w14:paraId="29F1CC31" w14:textId="77777777" w:rsidR="00AC2298" w:rsidRPr="0028520B" w:rsidRDefault="00AC2298" w:rsidP="003B091B">
                  <w:pPr>
                    <w:pStyle w:val="TableText0"/>
                    <w:keepLines/>
                    <w:widowControl w:val="0"/>
                    <w:jc w:val="center"/>
                  </w:pPr>
                  <w:r w:rsidRPr="0028520B">
                    <w:t>2028</w:t>
                  </w:r>
                </w:p>
              </w:tc>
            </w:tr>
            <w:tr w:rsidR="00AC2298" w:rsidRPr="0028520B" w14:paraId="13446602" w14:textId="77777777" w:rsidTr="00CB2C92">
              <w:tc>
                <w:tcPr>
                  <w:tcW w:w="816" w:type="dxa"/>
                </w:tcPr>
                <w:p w14:paraId="141FE1D1" w14:textId="77777777" w:rsidR="00AC2298" w:rsidRPr="0028520B" w:rsidRDefault="00AC2298" w:rsidP="003B091B">
                  <w:pPr>
                    <w:pStyle w:val="TableText0"/>
                    <w:keepLines/>
                    <w:widowControl w:val="0"/>
                    <w:jc w:val="center"/>
                  </w:pPr>
                  <w:r w:rsidRPr="0028520B">
                    <w:t>95%</w:t>
                  </w:r>
                </w:p>
              </w:tc>
              <w:tc>
                <w:tcPr>
                  <w:tcW w:w="753" w:type="dxa"/>
                </w:tcPr>
                <w:p w14:paraId="2626D6B6" w14:textId="77777777" w:rsidR="00AC2298" w:rsidRPr="0028520B" w:rsidRDefault="00AC2298" w:rsidP="003B091B">
                  <w:pPr>
                    <w:pStyle w:val="TableText0"/>
                    <w:keepLines/>
                    <w:widowControl w:val="0"/>
                    <w:jc w:val="center"/>
                  </w:pPr>
                  <w:r w:rsidRPr="0028520B">
                    <w:t>97%</w:t>
                  </w:r>
                </w:p>
              </w:tc>
              <w:tc>
                <w:tcPr>
                  <w:tcW w:w="752" w:type="dxa"/>
                </w:tcPr>
                <w:p w14:paraId="3B07B80B" w14:textId="77777777" w:rsidR="00AC2298" w:rsidRPr="0028520B" w:rsidRDefault="00AC2298" w:rsidP="003B091B">
                  <w:pPr>
                    <w:pStyle w:val="TableText0"/>
                    <w:keepLines/>
                    <w:widowControl w:val="0"/>
                    <w:jc w:val="center"/>
                  </w:pPr>
                  <w:r w:rsidRPr="0028520B">
                    <w:t>98%</w:t>
                  </w:r>
                </w:p>
              </w:tc>
              <w:tc>
                <w:tcPr>
                  <w:tcW w:w="643" w:type="dxa"/>
                </w:tcPr>
                <w:p w14:paraId="322C531E" w14:textId="77777777" w:rsidR="00AC2298" w:rsidRPr="0028520B" w:rsidRDefault="00AC2298" w:rsidP="003B091B">
                  <w:pPr>
                    <w:pStyle w:val="TableText0"/>
                    <w:keepLines/>
                    <w:widowControl w:val="0"/>
                    <w:jc w:val="center"/>
                  </w:pPr>
                  <w:r w:rsidRPr="0028520B">
                    <w:t>99%</w:t>
                  </w:r>
                </w:p>
              </w:tc>
              <w:tc>
                <w:tcPr>
                  <w:tcW w:w="677" w:type="dxa"/>
                </w:tcPr>
                <w:p w14:paraId="697D668F" w14:textId="77777777" w:rsidR="00AC2298" w:rsidRPr="0028520B" w:rsidRDefault="00AC2298" w:rsidP="003B091B">
                  <w:pPr>
                    <w:pStyle w:val="TableText0"/>
                    <w:keepLines/>
                    <w:widowControl w:val="0"/>
                    <w:jc w:val="center"/>
                  </w:pPr>
                  <w:r w:rsidRPr="0028520B">
                    <w:t>99%</w:t>
                  </w:r>
                </w:p>
              </w:tc>
              <w:tc>
                <w:tcPr>
                  <w:tcW w:w="610" w:type="dxa"/>
                </w:tcPr>
                <w:p w14:paraId="0AD472CA" w14:textId="77777777" w:rsidR="00AC2298" w:rsidRPr="0028520B" w:rsidRDefault="00AC2298" w:rsidP="003B091B">
                  <w:pPr>
                    <w:pStyle w:val="TableText0"/>
                    <w:keepLines/>
                    <w:widowControl w:val="0"/>
                    <w:jc w:val="center"/>
                  </w:pPr>
                  <w:r w:rsidRPr="0028520B">
                    <w:t>99%</w:t>
                  </w:r>
                </w:p>
              </w:tc>
            </w:tr>
          </w:tbl>
          <w:p w14:paraId="420A1E2A" w14:textId="77777777" w:rsidR="00AC2298" w:rsidRPr="0028520B" w:rsidRDefault="00AC2298" w:rsidP="003B091B">
            <w:pPr>
              <w:pStyle w:val="TableText0"/>
              <w:keepLines/>
              <w:widowControl w:val="0"/>
              <w:jc w:val="both"/>
              <w:rPr>
                <w:sz w:val="18"/>
                <w:szCs w:val="18"/>
              </w:rPr>
            </w:pPr>
            <w:r w:rsidRPr="0028520B">
              <w:rPr>
                <w:sz w:val="18"/>
              </w:rPr>
              <w:t>Source: Table 4.6, p171 of the resubmission</w:t>
            </w:r>
          </w:p>
        </w:tc>
        <w:tc>
          <w:tcPr>
            <w:tcW w:w="3067" w:type="dxa"/>
            <w:vAlign w:val="center"/>
          </w:tcPr>
          <w:p w14:paraId="1933F705" w14:textId="05F47D09" w:rsidR="00AC2298" w:rsidRPr="00F53734" w:rsidRDefault="00AC2298" w:rsidP="003B091B">
            <w:pPr>
              <w:pStyle w:val="TableText0"/>
              <w:keepLines/>
              <w:widowControl w:val="0"/>
              <w:rPr>
                <w:iCs/>
              </w:rPr>
            </w:pPr>
            <w:r w:rsidRPr="00F53734">
              <w:rPr>
                <w:iCs/>
              </w:rPr>
              <w:t xml:space="preserve">This was inconsistent with </w:t>
            </w:r>
            <w:r w:rsidR="00046873">
              <w:rPr>
                <w:iCs/>
              </w:rPr>
              <w:t xml:space="preserve">the </w:t>
            </w:r>
            <w:r w:rsidR="00F63EAD" w:rsidRPr="00F53734">
              <w:rPr>
                <w:iCs/>
              </w:rPr>
              <w:t xml:space="preserve">economic model </w:t>
            </w:r>
            <w:r w:rsidRPr="00F53734">
              <w:rPr>
                <w:iCs/>
              </w:rPr>
              <w:t>where 100% uptake was assumed. Alternate uptake rates were explored in the sensitivity analyses.</w:t>
            </w:r>
          </w:p>
        </w:tc>
      </w:tr>
      <w:tr w:rsidR="00AC2298" w:rsidRPr="00271560" w14:paraId="55BD79D7" w14:textId="77777777" w:rsidTr="00CB2C92">
        <w:trPr>
          <w:cantSplit/>
        </w:trPr>
        <w:tc>
          <w:tcPr>
            <w:tcW w:w="1670" w:type="dxa"/>
            <w:vAlign w:val="center"/>
          </w:tcPr>
          <w:p w14:paraId="5ED2DDCE" w14:textId="77777777" w:rsidR="00AC2298" w:rsidRPr="00271560" w:rsidRDefault="00AC2298" w:rsidP="003B091B">
            <w:pPr>
              <w:pStyle w:val="TableText0"/>
              <w:keepLines/>
              <w:widowControl w:val="0"/>
            </w:pPr>
            <w:r w:rsidRPr="00271560">
              <w:t>Assumed onset of SMA symptoms/Substituted therapies</w:t>
            </w:r>
          </w:p>
        </w:tc>
        <w:tc>
          <w:tcPr>
            <w:tcW w:w="4279" w:type="dxa"/>
            <w:vAlign w:val="center"/>
          </w:tcPr>
          <w:p w14:paraId="5A9404D2" w14:textId="5FB1E8A8" w:rsidR="00AC2298" w:rsidRPr="00271560" w:rsidRDefault="00AC2298" w:rsidP="003B091B">
            <w:pPr>
              <w:pStyle w:val="TableText0"/>
              <w:keepLines/>
              <w:widowControl w:val="0"/>
              <w:jc w:val="both"/>
            </w:pPr>
          </w:p>
          <w:tbl>
            <w:tblPr>
              <w:tblStyle w:val="ASDTable2"/>
              <w:tblpPr w:leftFromText="180" w:rightFromText="180" w:vertAnchor="text" w:horzAnchor="margin" w:tblpY="172"/>
              <w:tblOverlap w:val="never"/>
              <w:tblW w:w="4213" w:type="dxa"/>
              <w:tblLook w:val="04A0" w:firstRow="1" w:lastRow="0" w:firstColumn="1" w:lastColumn="0" w:noHBand="0" w:noVBand="1"/>
            </w:tblPr>
            <w:tblGrid>
              <w:gridCol w:w="1555"/>
              <w:gridCol w:w="2658"/>
            </w:tblGrid>
            <w:tr w:rsidR="00AC2298" w:rsidRPr="00271560" w14:paraId="447C9492" w14:textId="77777777" w:rsidTr="00CB2C92">
              <w:trPr>
                <w:trHeight w:val="227"/>
              </w:trPr>
              <w:tc>
                <w:tcPr>
                  <w:tcW w:w="1555" w:type="dxa"/>
                  <w:shd w:val="clear" w:color="auto" w:fill="auto"/>
                  <w:noWrap/>
                  <w:vAlign w:val="center"/>
                  <w:hideMark/>
                </w:tcPr>
                <w:p w14:paraId="7B89D616" w14:textId="77777777" w:rsidR="00AC2298" w:rsidRPr="00271560" w:rsidRDefault="00AC2298" w:rsidP="003B091B">
                  <w:pPr>
                    <w:pStyle w:val="Tabletext"/>
                    <w:keepNext/>
                    <w:keepLines/>
                    <w:rPr>
                      <w:b/>
                      <w:bCs/>
                      <w:lang w:eastAsia="en-AU"/>
                    </w:rPr>
                  </w:pPr>
                  <w:r w:rsidRPr="00271560">
                    <w:rPr>
                      <w:b/>
                      <w:bCs/>
                      <w:lang w:eastAsia="en-AU"/>
                    </w:rPr>
                    <w:t>SMA Type</w:t>
                  </w:r>
                </w:p>
              </w:tc>
              <w:tc>
                <w:tcPr>
                  <w:tcW w:w="2658" w:type="dxa"/>
                  <w:shd w:val="clear" w:color="auto" w:fill="auto"/>
                  <w:noWrap/>
                  <w:vAlign w:val="center"/>
                  <w:hideMark/>
                </w:tcPr>
                <w:p w14:paraId="71E6F61C" w14:textId="0167B6A4" w:rsidR="00AC2298" w:rsidRPr="00271560" w:rsidRDefault="00AC2298" w:rsidP="003B091B">
                  <w:pPr>
                    <w:pStyle w:val="Tabletext"/>
                    <w:keepNext/>
                    <w:keepLines/>
                    <w:rPr>
                      <w:b/>
                      <w:bCs/>
                      <w:lang w:eastAsia="en-AU"/>
                    </w:rPr>
                  </w:pPr>
                  <w:r w:rsidRPr="00271560">
                    <w:rPr>
                      <w:b/>
                      <w:bCs/>
                      <w:lang w:eastAsia="en-AU"/>
                    </w:rPr>
                    <w:t>Age at treatment start (S</w:t>
                  </w:r>
                  <w:r w:rsidR="00BA47A9">
                    <w:rPr>
                      <w:b/>
                      <w:bCs/>
                      <w:lang w:eastAsia="en-AU"/>
                    </w:rPr>
                    <w:t>o</w:t>
                  </w:r>
                  <w:r w:rsidRPr="00271560">
                    <w:rPr>
                      <w:b/>
                      <w:bCs/>
                      <w:lang w:eastAsia="en-AU"/>
                    </w:rPr>
                    <w:t>C)</w:t>
                  </w:r>
                </w:p>
              </w:tc>
            </w:tr>
            <w:tr w:rsidR="00AC2298" w:rsidRPr="00271560" w14:paraId="237F02DF" w14:textId="77777777" w:rsidTr="00CB2C92">
              <w:trPr>
                <w:trHeight w:val="227"/>
              </w:trPr>
              <w:tc>
                <w:tcPr>
                  <w:tcW w:w="1555" w:type="dxa"/>
                  <w:noWrap/>
                  <w:vAlign w:val="center"/>
                  <w:hideMark/>
                </w:tcPr>
                <w:p w14:paraId="7A5C7D60" w14:textId="77777777" w:rsidR="00AC2298" w:rsidRPr="00271560" w:rsidRDefault="00AC2298" w:rsidP="003B091B">
                  <w:pPr>
                    <w:pStyle w:val="Tabletext"/>
                    <w:keepNext/>
                    <w:keepLines/>
                    <w:rPr>
                      <w:lang w:eastAsia="en-AU"/>
                    </w:rPr>
                  </w:pPr>
                  <w:r w:rsidRPr="00271560">
                    <w:rPr>
                      <w:lang w:eastAsia="en-AU"/>
                    </w:rPr>
                    <w:t>Type I</w:t>
                  </w:r>
                </w:p>
              </w:tc>
              <w:tc>
                <w:tcPr>
                  <w:tcW w:w="2658" w:type="dxa"/>
                  <w:noWrap/>
                  <w:vAlign w:val="center"/>
                  <w:hideMark/>
                </w:tcPr>
                <w:p w14:paraId="4942D1FF" w14:textId="77777777" w:rsidR="00AC2298" w:rsidRPr="00271560" w:rsidRDefault="00AC2298" w:rsidP="003B091B">
                  <w:pPr>
                    <w:pStyle w:val="Tabletext"/>
                    <w:keepNext/>
                    <w:keepLines/>
                    <w:rPr>
                      <w:lang w:eastAsia="en-AU"/>
                    </w:rPr>
                  </w:pPr>
                  <w:r w:rsidRPr="00271560">
                    <w:rPr>
                      <w:lang w:eastAsia="en-AU"/>
                    </w:rPr>
                    <w:t>0.5 years</w:t>
                  </w:r>
                </w:p>
              </w:tc>
            </w:tr>
            <w:tr w:rsidR="00AC2298" w:rsidRPr="00271560" w14:paraId="4EB40D95" w14:textId="77777777" w:rsidTr="00CB2C92">
              <w:trPr>
                <w:trHeight w:val="227"/>
              </w:trPr>
              <w:tc>
                <w:tcPr>
                  <w:tcW w:w="1555" w:type="dxa"/>
                  <w:noWrap/>
                  <w:vAlign w:val="center"/>
                  <w:hideMark/>
                </w:tcPr>
                <w:p w14:paraId="5A9DF9AE" w14:textId="77777777" w:rsidR="00AC2298" w:rsidRPr="00271560" w:rsidRDefault="00AC2298" w:rsidP="003B091B">
                  <w:pPr>
                    <w:pStyle w:val="Tabletext"/>
                    <w:keepNext/>
                    <w:keepLines/>
                    <w:rPr>
                      <w:lang w:eastAsia="en-AU"/>
                    </w:rPr>
                  </w:pPr>
                  <w:r w:rsidRPr="00271560">
                    <w:rPr>
                      <w:lang w:eastAsia="en-AU"/>
                    </w:rPr>
                    <w:t>Type II</w:t>
                  </w:r>
                </w:p>
              </w:tc>
              <w:tc>
                <w:tcPr>
                  <w:tcW w:w="2658" w:type="dxa"/>
                  <w:noWrap/>
                  <w:vAlign w:val="center"/>
                  <w:hideMark/>
                </w:tcPr>
                <w:p w14:paraId="79806BCA" w14:textId="77777777" w:rsidR="00AC2298" w:rsidRPr="00271560" w:rsidRDefault="00AC2298" w:rsidP="003B091B">
                  <w:pPr>
                    <w:pStyle w:val="Tabletext"/>
                    <w:keepNext/>
                    <w:keepLines/>
                    <w:rPr>
                      <w:lang w:eastAsia="en-AU"/>
                    </w:rPr>
                  </w:pPr>
                  <w:r w:rsidRPr="00271560">
                    <w:rPr>
                      <w:lang w:eastAsia="en-AU"/>
                    </w:rPr>
                    <w:t>1 years</w:t>
                  </w:r>
                </w:p>
              </w:tc>
            </w:tr>
            <w:tr w:rsidR="00AC2298" w:rsidRPr="00271560" w14:paraId="5764F46E" w14:textId="77777777" w:rsidTr="00CB2C92">
              <w:trPr>
                <w:trHeight w:val="227"/>
              </w:trPr>
              <w:tc>
                <w:tcPr>
                  <w:tcW w:w="1555" w:type="dxa"/>
                  <w:noWrap/>
                  <w:vAlign w:val="center"/>
                  <w:hideMark/>
                </w:tcPr>
                <w:p w14:paraId="6C79E7DD" w14:textId="77777777" w:rsidR="00AC2298" w:rsidRPr="00271560" w:rsidRDefault="00AC2298" w:rsidP="003B091B">
                  <w:pPr>
                    <w:pStyle w:val="Tabletext"/>
                    <w:keepNext/>
                    <w:keepLines/>
                    <w:rPr>
                      <w:lang w:eastAsia="en-AU"/>
                    </w:rPr>
                  </w:pPr>
                  <w:r w:rsidRPr="00271560">
                    <w:rPr>
                      <w:lang w:eastAsia="en-AU"/>
                    </w:rPr>
                    <w:t>Type IIIa</w:t>
                  </w:r>
                </w:p>
              </w:tc>
              <w:tc>
                <w:tcPr>
                  <w:tcW w:w="2658" w:type="dxa"/>
                  <w:noWrap/>
                  <w:vAlign w:val="center"/>
                  <w:hideMark/>
                </w:tcPr>
                <w:p w14:paraId="1BC10837" w14:textId="77777777" w:rsidR="00AC2298" w:rsidRPr="00271560" w:rsidRDefault="00AC2298" w:rsidP="003B091B">
                  <w:pPr>
                    <w:pStyle w:val="Tabletext"/>
                    <w:keepNext/>
                    <w:keepLines/>
                    <w:rPr>
                      <w:lang w:eastAsia="en-AU"/>
                    </w:rPr>
                  </w:pPr>
                  <w:r w:rsidRPr="00271560">
                    <w:rPr>
                      <w:lang w:eastAsia="en-AU"/>
                    </w:rPr>
                    <w:t>2.25 years</w:t>
                  </w:r>
                </w:p>
              </w:tc>
            </w:tr>
            <w:tr w:rsidR="00AC2298" w:rsidRPr="00271560" w14:paraId="2FC8ABE2" w14:textId="77777777" w:rsidTr="00CB2C92">
              <w:trPr>
                <w:trHeight w:val="227"/>
              </w:trPr>
              <w:tc>
                <w:tcPr>
                  <w:tcW w:w="1555" w:type="dxa"/>
                  <w:noWrap/>
                  <w:vAlign w:val="center"/>
                  <w:hideMark/>
                </w:tcPr>
                <w:p w14:paraId="5702009E" w14:textId="77777777" w:rsidR="00AC2298" w:rsidRPr="00271560" w:rsidRDefault="00AC2298" w:rsidP="003B091B">
                  <w:pPr>
                    <w:pStyle w:val="Tabletext"/>
                    <w:keepNext/>
                    <w:keepLines/>
                    <w:rPr>
                      <w:lang w:eastAsia="en-AU"/>
                    </w:rPr>
                  </w:pPr>
                  <w:r w:rsidRPr="00271560">
                    <w:rPr>
                      <w:lang w:eastAsia="en-AU"/>
                    </w:rPr>
                    <w:t>Type IIIb/c</w:t>
                  </w:r>
                </w:p>
              </w:tc>
              <w:tc>
                <w:tcPr>
                  <w:tcW w:w="2658" w:type="dxa"/>
                  <w:noWrap/>
                  <w:vAlign w:val="center"/>
                  <w:hideMark/>
                </w:tcPr>
                <w:p w14:paraId="02DE9361" w14:textId="02AE8173" w:rsidR="00AC2298" w:rsidRPr="00271560" w:rsidRDefault="00AC2298" w:rsidP="003B091B">
                  <w:pPr>
                    <w:pStyle w:val="Tabletext"/>
                    <w:keepNext/>
                    <w:keepLines/>
                    <w:rPr>
                      <w:lang w:eastAsia="en-AU"/>
                    </w:rPr>
                  </w:pPr>
                  <w:r w:rsidRPr="00271560">
                    <w:rPr>
                      <w:lang w:eastAsia="en-AU"/>
                    </w:rPr>
                    <w:t xml:space="preserve">10.5 years (beyond 6-year </w:t>
                  </w:r>
                  <w:r w:rsidR="00F63EAD">
                    <w:rPr>
                      <w:lang w:eastAsia="en-AU"/>
                    </w:rPr>
                    <w:t>estimate</w:t>
                  </w:r>
                  <w:r w:rsidRPr="00271560">
                    <w:rPr>
                      <w:lang w:eastAsia="en-AU"/>
                    </w:rPr>
                    <w:t>)</w:t>
                  </w:r>
                </w:p>
              </w:tc>
            </w:tr>
            <w:tr w:rsidR="00AC2298" w:rsidRPr="00271560" w14:paraId="73C50492" w14:textId="77777777" w:rsidTr="00CB2C92">
              <w:trPr>
                <w:trHeight w:val="227"/>
              </w:trPr>
              <w:tc>
                <w:tcPr>
                  <w:tcW w:w="1555" w:type="dxa"/>
                  <w:noWrap/>
                  <w:vAlign w:val="center"/>
                  <w:hideMark/>
                </w:tcPr>
                <w:p w14:paraId="4076C70F" w14:textId="7405B036" w:rsidR="00AC2298" w:rsidRPr="00271560" w:rsidRDefault="00AC2298" w:rsidP="003B091B">
                  <w:pPr>
                    <w:pStyle w:val="Tabletext"/>
                    <w:keepNext/>
                    <w:keepLines/>
                    <w:rPr>
                      <w:lang w:eastAsia="en-AU"/>
                    </w:rPr>
                  </w:pPr>
                  <w:r w:rsidRPr="00271560">
                    <w:rPr>
                      <w:lang w:eastAsia="en-AU"/>
                    </w:rPr>
                    <w:t>Type IV</w:t>
                  </w:r>
                </w:p>
              </w:tc>
              <w:tc>
                <w:tcPr>
                  <w:tcW w:w="2658" w:type="dxa"/>
                  <w:noWrap/>
                  <w:vAlign w:val="center"/>
                  <w:hideMark/>
                </w:tcPr>
                <w:p w14:paraId="27BF5FA5" w14:textId="1EADC872" w:rsidR="00AC2298" w:rsidRPr="00271560" w:rsidRDefault="00AC2298" w:rsidP="003B091B">
                  <w:pPr>
                    <w:pStyle w:val="Tabletext"/>
                    <w:keepNext/>
                    <w:keepLines/>
                    <w:rPr>
                      <w:lang w:eastAsia="en-AU"/>
                    </w:rPr>
                  </w:pPr>
                  <w:r w:rsidRPr="00271560">
                    <w:rPr>
                      <w:lang w:eastAsia="en-AU"/>
                    </w:rPr>
                    <w:t xml:space="preserve">Beyond 6-year </w:t>
                  </w:r>
                  <w:r w:rsidR="00F63EAD">
                    <w:rPr>
                      <w:lang w:eastAsia="en-AU"/>
                    </w:rPr>
                    <w:t>estimate</w:t>
                  </w:r>
                </w:p>
              </w:tc>
            </w:tr>
          </w:tbl>
          <w:p w14:paraId="684D47C1" w14:textId="77777777" w:rsidR="00AC2298" w:rsidRPr="00271560" w:rsidRDefault="00AC2298" w:rsidP="003B091B">
            <w:pPr>
              <w:pStyle w:val="TableText0"/>
              <w:keepLines/>
              <w:widowControl w:val="0"/>
              <w:jc w:val="both"/>
            </w:pPr>
            <w:r w:rsidRPr="00271560">
              <w:rPr>
                <w:sz w:val="18"/>
              </w:rPr>
              <w:t>Source: Table 4.5, p170 of the resubmission</w:t>
            </w:r>
          </w:p>
        </w:tc>
        <w:tc>
          <w:tcPr>
            <w:tcW w:w="3067" w:type="dxa"/>
            <w:vAlign w:val="center"/>
          </w:tcPr>
          <w:p w14:paraId="77C6948C" w14:textId="77777777" w:rsidR="00AC2298" w:rsidRPr="00F53734" w:rsidRDefault="00AC2298" w:rsidP="003B091B">
            <w:pPr>
              <w:pStyle w:val="TableText0"/>
              <w:keepLines/>
              <w:widowControl w:val="0"/>
            </w:pPr>
            <w:r w:rsidRPr="00F53734">
              <w:t xml:space="preserve">Consistent with the mean ages for expected symptom onset by SMA type and with the economic evaluation. </w:t>
            </w:r>
          </w:p>
          <w:p w14:paraId="11005B5B" w14:textId="5AA4E215" w:rsidR="00AC2298" w:rsidRPr="00F53734" w:rsidRDefault="00AC2298" w:rsidP="0091529B">
            <w:pPr>
              <w:pStyle w:val="TableText0"/>
              <w:keepLines/>
              <w:rPr>
                <w:szCs w:val="20"/>
              </w:rPr>
            </w:pPr>
            <w:r w:rsidRPr="00F53734">
              <w:rPr>
                <w:szCs w:val="20"/>
              </w:rPr>
              <w:t xml:space="preserve">The assumption that patients begin treatment at symptom onset may </w:t>
            </w:r>
            <w:r w:rsidR="006A75F6" w:rsidRPr="00F53734">
              <w:rPr>
                <w:szCs w:val="20"/>
              </w:rPr>
              <w:t xml:space="preserve">slightly </w:t>
            </w:r>
            <w:r w:rsidRPr="00F53734">
              <w:rPr>
                <w:szCs w:val="20"/>
              </w:rPr>
              <w:t>overestimate cost offsets for SoC with costs assumed to be incurred earlier than in clinical practice due to a delay between initial symptom onset and the patient receiving their first dose of nusinersen</w:t>
            </w:r>
            <w:r w:rsidR="0091529B" w:rsidRPr="00F53734">
              <w:rPr>
                <w:szCs w:val="20"/>
              </w:rPr>
              <w:t xml:space="preserve"> (but expected to be shorter than reported in literature due to screening)</w:t>
            </w:r>
            <w:r w:rsidRPr="00F53734">
              <w:rPr>
                <w:szCs w:val="20"/>
              </w:rPr>
              <w:t>.</w:t>
            </w:r>
          </w:p>
        </w:tc>
      </w:tr>
      <w:tr w:rsidR="00392105" w:rsidRPr="00271560" w14:paraId="0C0E3A07" w14:textId="77777777" w:rsidTr="00CB2C92">
        <w:trPr>
          <w:cantSplit/>
        </w:trPr>
        <w:tc>
          <w:tcPr>
            <w:tcW w:w="1670" w:type="dxa"/>
            <w:vAlign w:val="center"/>
          </w:tcPr>
          <w:p w14:paraId="5A3678F9" w14:textId="36153C83" w:rsidR="00392105" w:rsidRPr="00271560" w:rsidRDefault="00392105" w:rsidP="00392105">
            <w:pPr>
              <w:pStyle w:val="TableText0"/>
              <w:keepLines/>
              <w:widowControl w:val="0"/>
            </w:pPr>
            <w:r w:rsidRPr="00271560">
              <w:t>Beneficiary type</w:t>
            </w:r>
          </w:p>
        </w:tc>
        <w:tc>
          <w:tcPr>
            <w:tcW w:w="4279" w:type="dxa"/>
            <w:vAlign w:val="center"/>
          </w:tcPr>
          <w:p w14:paraId="76CBDCBE" w14:textId="58094D94" w:rsidR="00392105" w:rsidRPr="00271560" w:rsidRDefault="00392105" w:rsidP="00392105">
            <w:pPr>
              <w:pStyle w:val="TableText0"/>
              <w:keepLines/>
              <w:widowControl w:val="0"/>
              <w:jc w:val="both"/>
            </w:pPr>
            <w:r w:rsidRPr="00271560">
              <w:t xml:space="preserve">Based on the current nusinersen paediatric listings, it was assumed 44% of use was by general patients and 56% of use was in the concession category. </w:t>
            </w:r>
            <w:r>
              <w:t>No RPBS assumed.</w:t>
            </w:r>
          </w:p>
        </w:tc>
        <w:tc>
          <w:tcPr>
            <w:tcW w:w="3067" w:type="dxa"/>
            <w:vAlign w:val="center"/>
          </w:tcPr>
          <w:p w14:paraId="05E061A2" w14:textId="1AE79CEB" w:rsidR="00392105" w:rsidRPr="00F53734" w:rsidRDefault="00392105" w:rsidP="00392105">
            <w:pPr>
              <w:pStyle w:val="TableText0"/>
              <w:keepLines/>
              <w:widowControl w:val="0"/>
            </w:pPr>
            <w:r w:rsidRPr="00F53734">
              <w:t>During the evaluation the PBS general benefit co-payment was changed to $30, resulting in an updated weighted mean PBS co-payment of $16.89. This figure was used in the financial estimates base case and recalculated during the evaluation.</w:t>
            </w:r>
          </w:p>
        </w:tc>
      </w:tr>
      <w:tr w:rsidR="00392105" w:rsidRPr="00271560" w14:paraId="661C2CBB" w14:textId="77777777" w:rsidTr="00CB2C92">
        <w:trPr>
          <w:cantSplit/>
        </w:trPr>
        <w:tc>
          <w:tcPr>
            <w:tcW w:w="1670" w:type="dxa"/>
            <w:vAlign w:val="center"/>
          </w:tcPr>
          <w:p w14:paraId="2B20C6BE" w14:textId="77777777" w:rsidR="00392105" w:rsidRPr="00271560" w:rsidRDefault="00392105" w:rsidP="00392105">
            <w:pPr>
              <w:pStyle w:val="TableText0"/>
              <w:keepLines/>
              <w:widowControl w:val="0"/>
            </w:pPr>
            <w:r w:rsidRPr="00271560">
              <w:t>Adverse events</w:t>
            </w:r>
          </w:p>
        </w:tc>
        <w:tc>
          <w:tcPr>
            <w:tcW w:w="4279" w:type="dxa"/>
            <w:vAlign w:val="center"/>
          </w:tcPr>
          <w:p w14:paraId="237537B9" w14:textId="77777777" w:rsidR="00392105" w:rsidRPr="00271560" w:rsidRDefault="00392105" w:rsidP="00392105">
            <w:pPr>
              <w:pStyle w:val="TableText0"/>
              <w:keepLines/>
              <w:widowControl w:val="0"/>
              <w:jc w:val="both"/>
            </w:pPr>
            <w:r w:rsidRPr="00271560">
              <w:t>The costs and resource utilisation associated with AEs were not included in the financial estimates.</w:t>
            </w:r>
          </w:p>
        </w:tc>
        <w:tc>
          <w:tcPr>
            <w:tcW w:w="3067" w:type="dxa"/>
            <w:vAlign w:val="center"/>
          </w:tcPr>
          <w:p w14:paraId="62E77FBC" w14:textId="427BA742" w:rsidR="00392105" w:rsidRPr="00F53734" w:rsidRDefault="00392105" w:rsidP="00392105">
            <w:pPr>
              <w:pStyle w:val="TableText0"/>
              <w:keepLines/>
              <w:widowControl w:val="0"/>
            </w:pPr>
            <w:r w:rsidRPr="00F53734">
              <w:t xml:space="preserve">The exclusion of AE-related costs was inconsistent with the economic evaluation where an AE cost per lumbar puncture and costs for hospitalisation due to PLPs were applied. Underestimates financial </w:t>
            </w:r>
            <w:r w:rsidR="008E7389">
              <w:t>impact.</w:t>
            </w:r>
            <w:r w:rsidRPr="00F53734">
              <w:t xml:space="preserve"> </w:t>
            </w:r>
          </w:p>
        </w:tc>
      </w:tr>
      <w:tr w:rsidR="00392105" w:rsidRPr="00271560" w14:paraId="1684970A" w14:textId="77777777" w:rsidTr="00CB2C92">
        <w:trPr>
          <w:cantSplit/>
        </w:trPr>
        <w:tc>
          <w:tcPr>
            <w:tcW w:w="1670" w:type="dxa"/>
            <w:vAlign w:val="center"/>
          </w:tcPr>
          <w:p w14:paraId="61ECEF2D" w14:textId="77777777" w:rsidR="00392105" w:rsidRPr="00271560" w:rsidRDefault="00392105" w:rsidP="00392105">
            <w:pPr>
              <w:pStyle w:val="TableText0"/>
              <w:keepLines/>
              <w:widowControl w:val="0"/>
            </w:pPr>
            <w:r w:rsidRPr="00271560">
              <w:t>Nusinersen administration</w:t>
            </w:r>
          </w:p>
        </w:tc>
        <w:tc>
          <w:tcPr>
            <w:tcW w:w="4279" w:type="dxa"/>
            <w:vAlign w:val="center"/>
          </w:tcPr>
          <w:p w14:paraId="3E9C1001" w14:textId="37755D07" w:rsidR="00392105" w:rsidRPr="00271560" w:rsidRDefault="00392105" w:rsidP="00392105">
            <w:pPr>
              <w:pStyle w:val="TableText0"/>
              <w:keepLines/>
              <w:widowControl w:val="0"/>
            </w:pPr>
            <w:r w:rsidRPr="00F63EAD">
              <w:t>MBS items 105, 17610, 21945, 23010 and 18216 for a total of $418.75 per nusinersen administration. The 80% MBS benefit was applied.</w:t>
            </w:r>
          </w:p>
        </w:tc>
        <w:tc>
          <w:tcPr>
            <w:tcW w:w="3067" w:type="dxa"/>
            <w:vAlign w:val="center"/>
          </w:tcPr>
          <w:p w14:paraId="2F45741F" w14:textId="1CCC582F" w:rsidR="00392105" w:rsidRPr="00F53734" w:rsidRDefault="008E7389" w:rsidP="00392105">
            <w:pPr>
              <w:pStyle w:val="TableText0"/>
              <w:keepLines/>
              <w:widowControl w:val="0"/>
            </w:pPr>
            <w:r>
              <w:t>C</w:t>
            </w:r>
            <w:r w:rsidR="00392105" w:rsidRPr="00F53734">
              <w:t>onsistent with current MBS costs and the resource costs used in the economic model.</w:t>
            </w:r>
          </w:p>
        </w:tc>
      </w:tr>
    </w:tbl>
    <w:p w14:paraId="77A322EF" w14:textId="77777777" w:rsidR="00AC2298" w:rsidRPr="00271560" w:rsidRDefault="00AC2298" w:rsidP="003B091B">
      <w:pPr>
        <w:pStyle w:val="FooterTableFigure"/>
        <w:keepNext/>
        <w:keepLines/>
      </w:pPr>
      <w:r w:rsidRPr="00271560">
        <w:t xml:space="preserve">Source: constructed during evaluation using information from Nusinersen Economic Model_March2020, p165-176 of the resubmission. </w:t>
      </w:r>
    </w:p>
    <w:p w14:paraId="488035E4" w14:textId="77777777" w:rsidR="00AC2298" w:rsidRPr="00271560" w:rsidRDefault="00AC2298" w:rsidP="00A12894">
      <w:pPr>
        <w:pStyle w:val="FooterTableFigure"/>
        <w:keepLines/>
        <w:contextualSpacing w:val="0"/>
      </w:pPr>
      <w:r w:rsidRPr="00271560">
        <w:t>ABS = Australian Bureau of Statistics; AE = adverse events; NBS = newborn bloodspot screening; PLPS = post lumbar puncture syndrome; SMA = spinal muscular atrophy; SMN = survival of motor neuron; SoC = standard of care; SPA = special pricing arrangement.</w:t>
      </w:r>
    </w:p>
    <w:p w14:paraId="0C254500" w14:textId="194600C7" w:rsidR="00A40E60" w:rsidRPr="00271560" w:rsidRDefault="00A40E60" w:rsidP="00A40E60">
      <w:pPr>
        <w:pStyle w:val="3-BodyText"/>
      </w:pPr>
      <w:r w:rsidRPr="00271560">
        <w:t xml:space="preserve">The resubmission </w:t>
      </w:r>
      <w:r w:rsidRPr="00F53734">
        <w:rPr>
          <w:iCs/>
        </w:rPr>
        <w:t>reasonably</w:t>
      </w:r>
      <w:r w:rsidRPr="00271560">
        <w:t xml:space="preserve"> claimed that while no therapies would be directly substituted by the proposed listing, pre-symptomatic treatment would bring forward </w:t>
      </w:r>
      <w:r w:rsidRPr="00271560">
        <w:lastRenderedPageBreak/>
        <w:t xml:space="preserve">the treatment of patients who would currently receive nusinersen initiated after the onset of symptoms. </w:t>
      </w:r>
    </w:p>
    <w:p w14:paraId="3F12E995" w14:textId="65EE618A" w:rsidR="00A40E60" w:rsidRDefault="00A40E60" w:rsidP="00A40E60">
      <w:pPr>
        <w:pStyle w:val="3-BodyText"/>
      </w:pPr>
      <w:r w:rsidRPr="00271560">
        <w:t xml:space="preserve">The total cost to the PBS/RPBS of extending the listing of nusinersen to include pre-symptomatic initiation of treatment for patients with SMA with 3 copies of </w:t>
      </w:r>
      <w:r w:rsidRPr="00271560">
        <w:rPr>
          <w:i/>
          <w:iCs/>
        </w:rPr>
        <w:t>SMN2</w:t>
      </w:r>
      <w:r w:rsidRPr="00271560">
        <w:t xml:space="preserve"> was estimated to be </w:t>
      </w:r>
      <w:r w:rsidR="00A12894" w:rsidRPr="00A12894">
        <w:t>$0 to &lt; $10 million</w:t>
      </w:r>
      <w:r w:rsidR="00A12894" w:rsidRPr="00A12894" w:rsidDel="00A12894">
        <w:t xml:space="preserve"> </w:t>
      </w:r>
      <w:r w:rsidRPr="00271560">
        <w:t xml:space="preserve">in Year 1 and </w:t>
      </w:r>
      <w:r w:rsidR="00A12894" w:rsidRPr="00A12894">
        <w:t>$0 to &lt; $10 million</w:t>
      </w:r>
      <w:r w:rsidR="00A12894" w:rsidRPr="00A12894" w:rsidDel="00A12894">
        <w:t xml:space="preserve"> </w:t>
      </w:r>
      <w:r w:rsidRPr="00271560">
        <w:t xml:space="preserve">in Year 6, with a total of </w:t>
      </w:r>
      <w:r w:rsidR="00A12894" w:rsidRPr="00A12894">
        <w:t>$20 million to &lt; $30 million</w:t>
      </w:r>
      <w:r w:rsidR="00A12894" w:rsidRPr="00A12894" w:rsidDel="00A12894">
        <w:t xml:space="preserve"> </w:t>
      </w:r>
      <w:r w:rsidRPr="00271560">
        <w:t xml:space="preserve">over the first 6 years of listing as presented in </w:t>
      </w:r>
      <w:r>
        <w:fldChar w:fldCharType="begin" w:fldLock="1"/>
      </w:r>
      <w:r>
        <w:instrText xml:space="preserve"> REF _Ref132577951 \h </w:instrText>
      </w:r>
      <w:r>
        <w:fldChar w:fldCharType="separate"/>
      </w:r>
      <w:r w:rsidR="000825A0" w:rsidRPr="00271560">
        <w:t xml:space="preserve">Table </w:t>
      </w:r>
      <w:r w:rsidR="000825A0">
        <w:rPr>
          <w:noProof/>
        </w:rPr>
        <w:t>21</w:t>
      </w:r>
      <w:r>
        <w:fldChar w:fldCharType="end"/>
      </w:r>
      <w:r>
        <w:t xml:space="preserve">. </w:t>
      </w:r>
    </w:p>
    <w:p w14:paraId="15557A85" w14:textId="3114B805" w:rsidR="00AC2298" w:rsidRPr="00271560" w:rsidRDefault="00AC2298" w:rsidP="00DD7992">
      <w:pPr>
        <w:pStyle w:val="Caption"/>
      </w:pPr>
      <w:bookmarkStart w:id="79" w:name="_Ref132577951"/>
      <w:r w:rsidRPr="00271560">
        <w:lastRenderedPageBreak/>
        <w:t xml:space="preserve">Table </w:t>
      </w:r>
      <w:fldSimple w:instr=" SEQ Table \* ARABIC " w:fldLock="1">
        <w:r w:rsidR="0038407B">
          <w:rPr>
            <w:noProof/>
          </w:rPr>
          <w:t>21</w:t>
        </w:r>
      </w:fldSimple>
      <w:bookmarkEnd w:id="79"/>
      <w:r w:rsidRPr="00271560">
        <w:t xml:space="preserve">: Estimated utilisation and cost of pre-symptomatic initiation of nusinersen for SMA with 3 </w:t>
      </w:r>
      <w:r w:rsidRPr="00271560">
        <w:rPr>
          <w:i/>
        </w:rPr>
        <w:t>SMN2</w:t>
      </w:r>
      <w:r w:rsidRPr="00271560">
        <w:t xml:space="preserve"> copies</w:t>
      </w:r>
    </w:p>
    <w:tbl>
      <w:tblPr>
        <w:tblStyle w:val="TableGrid"/>
        <w:tblW w:w="5001" w:type="pct"/>
        <w:tblCellMar>
          <w:left w:w="28" w:type="dxa"/>
          <w:right w:w="28" w:type="dxa"/>
        </w:tblCellMar>
        <w:tblLook w:val="04A0" w:firstRow="1" w:lastRow="0" w:firstColumn="1" w:lastColumn="0" w:noHBand="0" w:noVBand="1"/>
        <w:tblCaption w:val="Table 21: Estimated utilisation and cost of pre-symptomatic initiation of nusinersen for SMA with 3 SMN2 copies"/>
      </w:tblPr>
      <w:tblGrid>
        <w:gridCol w:w="2689"/>
        <w:gridCol w:w="992"/>
        <w:gridCol w:w="996"/>
        <w:gridCol w:w="994"/>
        <w:gridCol w:w="1134"/>
        <w:gridCol w:w="1134"/>
        <w:gridCol w:w="1079"/>
      </w:tblGrid>
      <w:tr w:rsidR="0006693E" w:rsidRPr="00271560" w14:paraId="19695972" w14:textId="77777777" w:rsidTr="0006693E">
        <w:tc>
          <w:tcPr>
            <w:tcW w:w="1491" w:type="pct"/>
            <w:vAlign w:val="center"/>
          </w:tcPr>
          <w:p w14:paraId="0B49F84B" w14:textId="77777777" w:rsidR="00AC2298" w:rsidRPr="00271560" w:rsidRDefault="00AC2298" w:rsidP="00DD7992">
            <w:pPr>
              <w:keepNext/>
              <w:keepLines/>
              <w:jc w:val="left"/>
              <w:rPr>
                <w:rFonts w:ascii="Arial Narrow" w:hAnsi="Arial Narrow"/>
                <w:b/>
                <w:sz w:val="20"/>
                <w:szCs w:val="20"/>
              </w:rPr>
            </w:pPr>
          </w:p>
        </w:tc>
        <w:tc>
          <w:tcPr>
            <w:tcW w:w="550" w:type="pct"/>
            <w:vAlign w:val="center"/>
          </w:tcPr>
          <w:p w14:paraId="2FC6FCA9" w14:textId="77777777" w:rsidR="00AC2298" w:rsidRPr="00271560" w:rsidRDefault="00AC2298" w:rsidP="00DD7992">
            <w:pPr>
              <w:keepNext/>
              <w:keepLines/>
              <w:jc w:val="center"/>
              <w:rPr>
                <w:rFonts w:ascii="Arial Narrow" w:hAnsi="Arial Narrow"/>
                <w:b/>
                <w:sz w:val="20"/>
                <w:szCs w:val="20"/>
              </w:rPr>
            </w:pPr>
            <w:r w:rsidRPr="00271560">
              <w:rPr>
                <w:rFonts w:ascii="Arial Narrow" w:hAnsi="Arial Narrow"/>
                <w:b/>
                <w:sz w:val="20"/>
                <w:szCs w:val="20"/>
              </w:rPr>
              <w:t>2023</w:t>
            </w:r>
          </w:p>
        </w:tc>
        <w:tc>
          <w:tcPr>
            <w:tcW w:w="552" w:type="pct"/>
            <w:vAlign w:val="center"/>
          </w:tcPr>
          <w:p w14:paraId="7FD7A7B2" w14:textId="77777777" w:rsidR="00AC2298" w:rsidRPr="00271560" w:rsidRDefault="00AC2298" w:rsidP="00DD7992">
            <w:pPr>
              <w:keepNext/>
              <w:keepLines/>
              <w:jc w:val="center"/>
              <w:rPr>
                <w:rFonts w:ascii="Arial Narrow" w:hAnsi="Arial Narrow"/>
                <w:b/>
                <w:sz w:val="20"/>
                <w:szCs w:val="20"/>
              </w:rPr>
            </w:pPr>
            <w:r w:rsidRPr="00271560">
              <w:rPr>
                <w:rFonts w:ascii="Arial Narrow" w:hAnsi="Arial Narrow"/>
                <w:b/>
                <w:sz w:val="20"/>
                <w:szCs w:val="20"/>
              </w:rPr>
              <w:t>2024</w:t>
            </w:r>
          </w:p>
        </w:tc>
        <w:tc>
          <w:tcPr>
            <w:tcW w:w="551" w:type="pct"/>
            <w:vAlign w:val="center"/>
          </w:tcPr>
          <w:p w14:paraId="0F4962BC" w14:textId="77777777" w:rsidR="00AC2298" w:rsidRPr="00271560" w:rsidRDefault="00AC2298" w:rsidP="00DD7992">
            <w:pPr>
              <w:keepNext/>
              <w:keepLines/>
              <w:jc w:val="center"/>
              <w:rPr>
                <w:rFonts w:ascii="Arial Narrow" w:hAnsi="Arial Narrow"/>
                <w:b/>
                <w:sz w:val="20"/>
                <w:szCs w:val="20"/>
              </w:rPr>
            </w:pPr>
            <w:r w:rsidRPr="00271560">
              <w:rPr>
                <w:rFonts w:ascii="Arial Narrow" w:hAnsi="Arial Narrow"/>
                <w:b/>
                <w:sz w:val="20"/>
                <w:szCs w:val="20"/>
              </w:rPr>
              <w:t>2025</w:t>
            </w:r>
          </w:p>
        </w:tc>
        <w:tc>
          <w:tcPr>
            <w:tcW w:w="629" w:type="pct"/>
            <w:vAlign w:val="center"/>
          </w:tcPr>
          <w:p w14:paraId="0D5D7E92" w14:textId="77777777" w:rsidR="00AC2298" w:rsidRPr="00271560" w:rsidRDefault="00AC2298" w:rsidP="00DD7992">
            <w:pPr>
              <w:keepNext/>
              <w:keepLines/>
              <w:jc w:val="center"/>
              <w:rPr>
                <w:rFonts w:ascii="Arial Narrow" w:hAnsi="Arial Narrow"/>
                <w:b/>
                <w:sz w:val="20"/>
                <w:szCs w:val="20"/>
              </w:rPr>
            </w:pPr>
            <w:r w:rsidRPr="00271560">
              <w:rPr>
                <w:rFonts w:ascii="Arial Narrow" w:hAnsi="Arial Narrow"/>
                <w:b/>
                <w:sz w:val="20"/>
                <w:szCs w:val="20"/>
              </w:rPr>
              <w:t>2026</w:t>
            </w:r>
          </w:p>
        </w:tc>
        <w:tc>
          <w:tcPr>
            <w:tcW w:w="629" w:type="pct"/>
            <w:vAlign w:val="center"/>
          </w:tcPr>
          <w:p w14:paraId="56CD6A53" w14:textId="77777777" w:rsidR="00AC2298" w:rsidRPr="00271560" w:rsidRDefault="00AC2298" w:rsidP="00DD7992">
            <w:pPr>
              <w:keepNext/>
              <w:keepLines/>
              <w:jc w:val="center"/>
              <w:rPr>
                <w:rFonts w:ascii="Arial Narrow" w:hAnsi="Arial Narrow"/>
                <w:b/>
                <w:sz w:val="20"/>
                <w:szCs w:val="20"/>
              </w:rPr>
            </w:pPr>
            <w:r w:rsidRPr="00271560">
              <w:rPr>
                <w:rFonts w:ascii="Arial Narrow" w:hAnsi="Arial Narrow"/>
                <w:b/>
                <w:sz w:val="20"/>
                <w:szCs w:val="20"/>
              </w:rPr>
              <w:t>2027</w:t>
            </w:r>
          </w:p>
        </w:tc>
        <w:tc>
          <w:tcPr>
            <w:tcW w:w="598" w:type="pct"/>
            <w:vAlign w:val="center"/>
          </w:tcPr>
          <w:p w14:paraId="2174D057" w14:textId="77777777" w:rsidR="00AC2298" w:rsidRPr="00271560" w:rsidRDefault="00AC2298" w:rsidP="00DD7992">
            <w:pPr>
              <w:keepNext/>
              <w:keepLines/>
              <w:jc w:val="center"/>
              <w:rPr>
                <w:rFonts w:ascii="Arial Narrow" w:hAnsi="Arial Narrow"/>
                <w:b/>
                <w:sz w:val="20"/>
                <w:szCs w:val="20"/>
              </w:rPr>
            </w:pPr>
            <w:r w:rsidRPr="00271560">
              <w:rPr>
                <w:rFonts w:ascii="Arial Narrow" w:hAnsi="Arial Narrow"/>
                <w:b/>
                <w:sz w:val="20"/>
                <w:szCs w:val="20"/>
              </w:rPr>
              <w:t>2028</w:t>
            </w:r>
          </w:p>
        </w:tc>
      </w:tr>
      <w:tr w:rsidR="00AC2298" w:rsidRPr="00271560" w14:paraId="0677D353" w14:textId="77777777" w:rsidTr="00CB2C92">
        <w:tc>
          <w:tcPr>
            <w:tcW w:w="5000" w:type="pct"/>
            <w:gridSpan w:val="7"/>
            <w:vAlign w:val="center"/>
          </w:tcPr>
          <w:p w14:paraId="79993AF5" w14:textId="77777777" w:rsidR="00AC2298" w:rsidRPr="00271560" w:rsidRDefault="00AC2298" w:rsidP="00DD7992">
            <w:pPr>
              <w:pStyle w:val="TableText0"/>
              <w:keepLines/>
              <w:rPr>
                <w:rFonts w:cs="Arial"/>
                <w:b/>
                <w:szCs w:val="20"/>
              </w:rPr>
            </w:pPr>
            <w:r w:rsidRPr="00271560">
              <w:rPr>
                <w:rFonts w:cs="Arial"/>
                <w:b/>
                <w:szCs w:val="20"/>
              </w:rPr>
              <w:t>Estimation of use and financial impact of pre-symptomatic nusinersen (PBS and RPBS)</w:t>
            </w:r>
          </w:p>
        </w:tc>
      </w:tr>
      <w:tr w:rsidR="0006693E" w:rsidRPr="00271560" w14:paraId="5EAE8F4F" w14:textId="77777777" w:rsidTr="0006693E">
        <w:tc>
          <w:tcPr>
            <w:tcW w:w="1491" w:type="pct"/>
            <w:vAlign w:val="center"/>
          </w:tcPr>
          <w:p w14:paraId="3DF2D69E" w14:textId="77777777" w:rsidR="00AC2298" w:rsidRPr="00271560" w:rsidRDefault="00AC2298" w:rsidP="00DD7992">
            <w:pPr>
              <w:keepNext/>
              <w:keepLines/>
              <w:jc w:val="left"/>
              <w:rPr>
                <w:rFonts w:ascii="Arial Narrow" w:hAnsi="Arial Narrow"/>
                <w:sz w:val="20"/>
                <w:szCs w:val="20"/>
              </w:rPr>
            </w:pPr>
            <w:r w:rsidRPr="00271560">
              <w:rPr>
                <w:rFonts w:ascii="Arial Narrow" w:hAnsi="Arial Narrow"/>
                <w:sz w:val="20"/>
                <w:szCs w:val="20"/>
              </w:rPr>
              <w:t>Live births</w:t>
            </w:r>
          </w:p>
        </w:tc>
        <w:tc>
          <w:tcPr>
            <w:tcW w:w="550" w:type="pct"/>
            <w:vAlign w:val="center"/>
          </w:tcPr>
          <w:p w14:paraId="28203F78" w14:textId="377AAB3F" w:rsidR="00AC2298" w:rsidRPr="00A12894" w:rsidRDefault="00546AD5" w:rsidP="00DD7992">
            <w:pPr>
              <w:keepNext/>
              <w:keepLines/>
              <w:jc w:val="center"/>
              <w:rPr>
                <w:rFonts w:ascii="Arial Narrow" w:hAnsi="Arial Narrow"/>
                <w:sz w:val="20"/>
                <w:szCs w:val="20"/>
                <w:vertAlign w:val="superscript"/>
              </w:rPr>
            </w:pPr>
            <w:r w:rsidRPr="00546AD5">
              <w:rPr>
                <w:rFonts w:ascii="Arial Narrow" w:eastAsia="TimesNewRoman" w:hAnsi="Arial Narrow" w:hint="eastAsia"/>
                <w:color w:val="000000"/>
                <w:w w:val="30"/>
                <w:sz w:val="20"/>
                <w:szCs w:val="20"/>
                <w:shd w:val="solid" w:color="000000" w:fill="000000"/>
                <w:fitText w:val="133" w:id="-1167898615"/>
                <w14:textFill>
                  <w14:solidFill>
                    <w14:srgbClr w14:val="000000">
                      <w14:alpha w14:val="100000"/>
                    </w14:srgbClr>
                  </w14:solidFill>
                </w14:textFill>
              </w:rPr>
              <w:t xml:space="preserve">　</w:t>
            </w:r>
            <w:r w:rsidRPr="00546AD5">
              <w:rPr>
                <w:rFonts w:ascii="Arial Narrow" w:eastAsia="TimesNewRoman" w:hAnsi="Arial Narrow"/>
                <w:color w:val="000000"/>
                <w:w w:val="30"/>
                <w:sz w:val="20"/>
                <w:szCs w:val="20"/>
                <w:shd w:val="solid" w:color="000000" w:fill="000000"/>
                <w:fitText w:val="133" w:id="-1167898615"/>
                <w14:textFill>
                  <w14:solidFill>
                    <w14:srgbClr w14:val="000000">
                      <w14:alpha w14:val="100000"/>
                    </w14:srgbClr>
                  </w14:solidFill>
                </w14:textFill>
              </w:rPr>
              <w:t>|</w:t>
            </w:r>
            <w:r w:rsidRPr="00546AD5">
              <w:rPr>
                <w:rFonts w:ascii="Arial Narrow" w:eastAsia="TimesNewRoman" w:hAnsi="Arial Narrow" w:hint="eastAsia"/>
                <w:color w:val="000000"/>
                <w:spacing w:val="1"/>
                <w:w w:val="30"/>
                <w:sz w:val="20"/>
                <w:szCs w:val="20"/>
                <w:shd w:val="solid" w:color="000000" w:fill="000000"/>
                <w:fitText w:val="133" w:id="-1167898615"/>
                <w14:textFill>
                  <w14:solidFill>
                    <w14:srgbClr w14:val="000000">
                      <w14:alpha w14:val="100000"/>
                    </w14:srgbClr>
                  </w14:solidFill>
                </w14:textFill>
              </w:rPr>
              <w:t xml:space="preserve">　</w:t>
            </w:r>
            <w:r w:rsidR="00A12894">
              <w:rPr>
                <w:rFonts w:ascii="Arial Narrow" w:eastAsia="TimesNewRoman" w:hAnsi="Arial Narrow"/>
                <w:color w:val="000000"/>
                <w:sz w:val="20"/>
                <w:szCs w:val="20"/>
                <w:vertAlign w:val="superscript"/>
              </w:rPr>
              <w:t xml:space="preserve"> 1</w:t>
            </w:r>
          </w:p>
        </w:tc>
        <w:tc>
          <w:tcPr>
            <w:tcW w:w="552" w:type="pct"/>
            <w:vAlign w:val="center"/>
          </w:tcPr>
          <w:p w14:paraId="782FB0C9" w14:textId="54C06114"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14"/>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14"/>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14"/>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1</w:t>
            </w:r>
          </w:p>
        </w:tc>
        <w:tc>
          <w:tcPr>
            <w:tcW w:w="551" w:type="pct"/>
            <w:vAlign w:val="center"/>
          </w:tcPr>
          <w:p w14:paraId="589E1930" w14:textId="5CAA1753"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13"/>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13"/>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13"/>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1</w:t>
            </w:r>
          </w:p>
        </w:tc>
        <w:tc>
          <w:tcPr>
            <w:tcW w:w="629" w:type="pct"/>
            <w:vAlign w:val="center"/>
          </w:tcPr>
          <w:p w14:paraId="44391E2E" w14:textId="0B39AFA3"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5"/>
                <w:sz w:val="20"/>
                <w:szCs w:val="20"/>
                <w:shd w:val="solid" w:color="000000" w:fill="000000"/>
                <w:fitText w:val="67" w:id="-1167898612"/>
                <w14:textFill>
                  <w14:solidFill>
                    <w14:srgbClr w14:val="000000">
                      <w14:alpha w14:val="100000"/>
                    </w14:srgbClr>
                  </w14:solidFill>
                </w14:textFill>
              </w:rPr>
              <w:t xml:space="preserve">　</w:t>
            </w:r>
            <w:r w:rsidRPr="00546AD5">
              <w:rPr>
                <w:rFonts w:ascii="Arial Narrow" w:eastAsia="TimesNewRoman" w:hAnsi="Arial Narrow"/>
                <w:color w:val="000000"/>
                <w:w w:val="15"/>
                <w:sz w:val="20"/>
                <w:szCs w:val="20"/>
                <w:shd w:val="solid" w:color="000000" w:fill="000000"/>
                <w:fitText w:val="67" w:id="-1167898612"/>
                <w14:textFill>
                  <w14:solidFill>
                    <w14:srgbClr w14:val="000000">
                      <w14:alpha w14:val="100000"/>
                    </w14:srgbClr>
                  </w14:solidFill>
                </w14:textFill>
              </w:rPr>
              <w:t>|</w:t>
            </w:r>
            <w:r w:rsidRPr="00546AD5">
              <w:rPr>
                <w:rFonts w:ascii="Arial Narrow" w:eastAsia="TimesNewRoman" w:hAnsi="Arial Narrow" w:hint="eastAsia"/>
                <w:color w:val="000000"/>
                <w:spacing w:val="1"/>
                <w:w w:val="15"/>
                <w:sz w:val="20"/>
                <w:szCs w:val="20"/>
                <w:shd w:val="solid" w:color="000000" w:fill="000000"/>
                <w:fitText w:val="67" w:id="-1167898612"/>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1</w:t>
            </w:r>
          </w:p>
        </w:tc>
        <w:tc>
          <w:tcPr>
            <w:tcW w:w="629" w:type="pct"/>
            <w:vAlign w:val="center"/>
          </w:tcPr>
          <w:p w14:paraId="5E479916" w14:textId="57CCC9DC"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5"/>
                <w:sz w:val="20"/>
                <w:szCs w:val="20"/>
                <w:shd w:val="solid" w:color="000000" w:fill="000000"/>
                <w:fitText w:val="67" w:id="-1167898611"/>
                <w14:textFill>
                  <w14:solidFill>
                    <w14:srgbClr w14:val="000000">
                      <w14:alpha w14:val="100000"/>
                    </w14:srgbClr>
                  </w14:solidFill>
                </w14:textFill>
              </w:rPr>
              <w:t xml:space="preserve">　</w:t>
            </w:r>
            <w:r w:rsidRPr="00546AD5">
              <w:rPr>
                <w:rFonts w:ascii="Arial Narrow" w:eastAsia="TimesNewRoman" w:hAnsi="Arial Narrow"/>
                <w:color w:val="000000"/>
                <w:w w:val="15"/>
                <w:sz w:val="20"/>
                <w:szCs w:val="20"/>
                <w:shd w:val="solid" w:color="000000" w:fill="000000"/>
                <w:fitText w:val="67" w:id="-1167898611"/>
                <w14:textFill>
                  <w14:solidFill>
                    <w14:srgbClr w14:val="000000">
                      <w14:alpha w14:val="100000"/>
                    </w14:srgbClr>
                  </w14:solidFill>
                </w14:textFill>
              </w:rPr>
              <w:t>|</w:t>
            </w:r>
            <w:r w:rsidRPr="00546AD5">
              <w:rPr>
                <w:rFonts w:ascii="Arial Narrow" w:eastAsia="TimesNewRoman" w:hAnsi="Arial Narrow" w:hint="eastAsia"/>
                <w:color w:val="000000"/>
                <w:spacing w:val="1"/>
                <w:w w:val="15"/>
                <w:sz w:val="20"/>
                <w:szCs w:val="20"/>
                <w:shd w:val="solid" w:color="000000" w:fill="000000"/>
                <w:fitText w:val="67" w:id="-1167898611"/>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1</w:t>
            </w:r>
          </w:p>
        </w:tc>
        <w:tc>
          <w:tcPr>
            <w:tcW w:w="598" w:type="pct"/>
            <w:vAlign w:val="center"/>
          </w:tcPr>
          <w:p w14:paraId="7BC8BAAE" w14:textId="1EC847CA"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7"/>
                <w:sz w:val="20"/>
                <w:szCs w:val="20"/>
                <w:shd w:val="solid" w:color="000000" w:fill="000000"/>
                <w:fitText w:val="77" w:id="-1167898610"/>
                <w14:textFill>
                  <w14:solidFill>
                    <w14:srgbClr w14:val="000000">
                      <w14:alpha w14:val="100000"/>
                    </w14:srgbClr>
                  </w14:solidFill>
                </w14:textFill>
              </w:rPr>
              <w:t xml:space="preserve">　</w:t>
            </w:r>
            <w:r w:rsidRPr="00546AD5">
              <w:rPr>
                <w:rFonts w:ascii="Arial Narrow" w:eastAsia="TimesNewRoman" w:hAnsi="Arial Narrow"/>
                <w:color w:val="000000"/>
                <w:w w:val="17"/>
                <w:sz w:val="20"/>
                <w:szCs w:val="20"/>
                <w:shd w:val="solid" w:color="000000" w:fill="000000"/>
                <w:fitText w:val="77" w:id="-1167898610"/>
                <w14:textFill>
                  <w14:solidFill>
                    <w14:srgbClr w14:val="000000">
                      <w14:alpha w14:val="100000"/>
                    </w14:srgbClr>
                  </w14:solidFill>
                </w14:textFill>
              </w:rPr>
              <w:t>|</w:t>
            </w:r>
            <w:r w:rsidRPr="00546AD5">
              <w:rPr>
                <w:rFonts w:ascii="Arial Narrow" w:eastAsia="TimesNewRoman" w:hAnsi="Arial Narrow" w:hint="eastAsia"/>
                <w:color w:val="000000"/>
                <w:spacing w:val="4"/>
                <w:w w:val="17"/>
                <w:sz w:val="20"/>
                <w:szCs w:val="20"/>
                <w:shd w:val="solid" w:color="000000" w:fill="000000"/>
                <w:fitText w:val="77" w:id="-1167898610"/>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1</w:t>
            </w:r>
          </w:p>
        </w:tc>
      </w:tr>
      <w:tr w:rsidR="0006693E" w:rsidRPr="00271560" w14:paraId="1A3F6DBB" w14:textId="77777777" w:rsidTr="0006693E">
        <w:tc>
          <w:tcPr>
            <w:tcW w:w="1491" w:type="pct"/>
            <w:vAlign w:val="center"/>
          </w:tcPr>
          <w:p w14:paraId="69BCAB54" w14:textId="77777777" w:rsidR="00AC2298" w:rsidRPr="00271560" w:rsidRDefault="00AC2298" w:rsidP="00DD7992">
            <w:pPr>
              <w:keepNext/>
              <w:keepLines/>
              <w:jc w:val="left"/>
              <w:rPr>
                <w:rFonts w:ascii="Arial Narrow" w:hAnsi="Arial Narrow"/>
                <w:sz w:val="20"/>
                <w:szCs w:val="20"/>
              </w:rPr>
            </w:pPr>
            <w:r w:rsidRPr="00271560">
              <w:rPr>
                <w:rFonts w:ascii="Arial Narrow" w:hAnsi="Arial Narrow"/>
                <w:sz w:val="20"/>
                <w:szCs w:val="20"/>
              </w:rPr>
              <w:t>SMA incidence</w:t>
            </w:r>
          </w:p>
        </w:tc>
        <w:tc>
          <w:tcPr>
            <w:tcW w:w="550" w:type="pct"/>
            <w:vAlign w:val="center"/>
          </w:tcPr>
          <w:p w14:paraId="0605A95C" w14:textId="48B24B27"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09"/>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09"/>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09"/>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2" w:type="pct"/>
            <w:vAlign w:val="center"/>
          </w:tcPr>
          <w:p w14:paraId="223EDADB" w14:textId="7B4C4918"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08"/>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08"/>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08"/>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1" w:type="pct"/>
            <w:vAlign w:val="center"/>
          </w:tcPr>
          <w:p w14:paraId="605ED262" w14:textId="29492EED"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24"/>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24"/>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24"/>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30B9D6BD" w14:textId="57D4E382"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5"/>
                <w:sz w:val="20"/>
                <w:szCs w:val="20"/>
                <w:shd w:val="solid" w:color="000000" w:fill="000000"/>
                <w:fitText w:val="67" w:id="-1167898623"/>
                <w14:textFill>
                  <w14:solidFill>
                    <w14:srgbClr w14:val="000000">
                      <w14:alpha w14:val="100000"/>
                    </w14:srgbClr>
                  </w14:solidFill>
                </w14:textFill>
              </w:rPr>
              <w:t xml:space="preserve">　</w:t>
            </w:r>
            <w:r w:rsidRPr="00546AD5">
              <w:rPr>
                <w:rFonts w:ascii="Arial Narrow" w:eastAsia="TimesNewRoman" w:hAnsi="Arial Narrow"/>
                <w:color w:val="000000"/>
                <w:w w:val="15"/>
                <w:sz w:val="20"/>
                <w:szCs w:val="20"/>
                <w:shd w:val="solid" w:color="000000" w:fill="000000"/>
                <w:fitText w:val="67" w:id="-1167898623"/>
                <w14:textFill>
                  <w14:solidFill>
                    <w14:srgbClr w14:val="000000">
                      <w14:alpha w14:val="100000"/>
                    </w14:srgbClr>
                  </w14:solidFill>
                </w14:textFill>
              </w:rPr>
              <w:t>|</w:t>
            </w:r>
            <w:r w:rsidRPr="00546AD5">
              <w:rPr>
                <w:rFonts w:ascii="Arial Narrow" w:eastAsia="TimesNewRoman" w:hAnsi="Arial Narrow" w:hint="eastAsia"/>
                <w:color w:val="000000"/>
                <w:spacing w:val="1"/>
                <w:w w:val="15"/>
                <w:sz w:val="20"/>
                <w:szCs w:val="20"/>
                <w:shd w:val="solid" w:color="000000" w:fill="000000"/>
                <w:fitText w:val="67" w:id="-1167898623"/>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646FE208" w14:textId="1857CA8C"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5"/>
                <w:sz w:val="20"/>
                <w:szCs w:val="20"/>
                <w:shd w:val="solid" w:color="000000" w:fill="000000"/>
                <w:fitText w:val="67" w:id="-1167898622"/>
                <w14:textFill>
                  <w14:solidFill>
                    <w14:srgbClr w14:val="000000">
                      <w14:alpha w14:val="100000"/>
                    </w14:srgbClr>
                  </w14:solidFill>
                </w14:textFill>
              </w:rPr>
              <w:t xml:space="preserve">　</w:t>
            </w:r>
            <w:r w:rsidRPr="00546AD5">
              <w:rPr>
                <w:rFonts w:ascii="Arial Narrow" w:eastAsia="TimesNewRoman" w:hAnsi="Arial Narrow"/>
                <w:color w:val="000000"/>
                <w:w w:val="15"/>
                <w:sz w:val="20"/>
                <w:szCs w:val="20"/>
                <w:shd w:val="solid" w:color="000000" w:fill="000000"/>
                <w:fitText w:val="67" w:id="-1167898622"/>
                <w14:textFill>
                  <w14:solidFill>
                    <w14:srgbClr w14:val="000000">
                      <w14:alpha w14:val="100000"/>
                    </w14:srgbClr>
                  </w14:solidFill>
                </w14:textFill>
              </w:rPr>
              <w:t>|</w:t>
            </w:r>
            <w:r w:rsidRPr="00546AD5">
              <w:rPr>
                <w:rFonts w:ascii="Arial Narrow" w:eastAsia="TimesNewRoman" w:hAnsi="Arial Narrow" w:hint="eastAsia"/>
                <w:color w:val="000000"/>
                <w:spacing w:val="1"/>
                <w:w w:val="15"/>
                <w:sz w:val="20"/>
                <w:szCs w:val="20"/>
                <w:shd w:val="solid" w:color="000000" w:fill="000000"/>
                <w:fitText w:val="67" w:id="-1167898622"/>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98" w:type="pct"/>
            <w:vAlign w:val="center"/>
          </w:tcPr>
          <w:p w14:paraId="333F30C9" w14:textId="2FD794B0"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7"/>
                <w:sz w:val="20"/>
                <w:szCs w:val="20"/>
                <w:shd w:val="solid" w:color="000000" w:fill="000000"/>
                <w:fitText w:val="77" w:id="-1167898621"/>
                <w14:textFill>
                  <w14:solidFill>
                    <w14:srgbClr w14:val="000000">
                      <w14:alpha w14:val="100000"/>
                    </w14:srgbClr>
                  </w14:solidFill>
                </w14:textFill>
              </w:rPr>
              <w:t xml:space="preserve">　</w:t>
            </w:r>
            <w:r w:rsidRPr="00546AD5">
              <w:rPr>
                <w:rFonts w:ascii="Arial Narrow" w:eastAsia="TimesNewRoman" w:hAnsi="Arial Narrow"/>
                <w:color w:val="000000"/>
                <w:w w:val="17"/>
                <w:sz w:val="20"/>
                <w:szCs w:val="20"/>
                <w:shd w:val="solid" w:color="000000" w:fill="000000"/>
                <w:fitText w:val="77" w:id="-1167898621"/>
                <w14:textFill>
                  <w14:solidFill>
                    <w14:srgbClr w14:val="000000">
                      <w14:alpha w14:val="100000"/>
                    </w14:srgbClr>
                  </w14:solidFill>
                </w14:textFill>
              </w:rPr>
              <w:t>|</w:t>
            </w:r>
            <w:r w:rsidRPr="00546AD5">
              <w:rPr>
                <w:rFonts w:ascii="Arial Narrow" w:eastAsia="TimesNewRoman" w:hAnsi="Arial Narrow" w:hint="eastAsia"/>
                <w:color w:val="000000"/>
                <w:spacing w:val="4"/>
                <w:w w:val="17"/>
                <w:sz w:val="20"/>
                <w:szCs w:val="20"/>
                <w:shd w:val="solid" w:color="000000" w:fill="000000"/>
                <w:fitText w:val="77" w:id="-1167898621"/>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r>
      <w:tr w:rsidR="0006693E" w:rsidRPr="00271560" w14:paraId="3877AFA5" w14:textId="77777777" w:rsidTr="0006693E">
        <w:tc>
          <w:tcPr>
            <w:tcW w:w="1491" w:type="pct"/>
            <w:vAlign w:val="center"/>
          </w:tcPr>
          <w:p w14:paraId="0E616931" w14:textId="77777777" w:rsidR="00AC2298" w:rsidRPr="00271560" w:rsidRDefault="00AC2298" w:rsidP="00DD7992">
            <w:pPr>
              <w:keepNext/>
              <w:keepLines/>
              <w:jc w:val="left"/>
              <w:rPr>
                <w:rFonts w:ascii="Arial Narrow" w:hAnsi="Arial Narrow"/>
                <w:sz w:val="20"/>
                <w:szCs w:val="20"/>
              </w:rPr>
            </w:pPr>
            <w:r w:rsidRPr="00271560">
              <w:rPr>
                <w:rFonts w:ascii="Arial Narrow" w:hAnsi="Arial Narrow"/>
                <w:sz w:val="20"/>
                <w:szCs w:val="20"/>
              </w:rPr>
              <w:t xml:space="preserve">Total eligible patients with 3 copies of </w:t>
            </w:r>
            <w:r w:rsidRPr="00271560">
              <w:rPr>
                <w:rFonts w:ascii="Arial Narrow" w:hAnsi="Arial Narrow"/>
                <w:i/>
                <w:iCs/>
                <w:sz w:val="20"/>
                <w:szCs w:val="20"/>
              </w:rPr>
              <w:t>SMN2</w:t>
            </w:r>
          </w:p>
        </w:tc>
        <w:tc>
          <w:tcPr>
            <w:tcW w:w="550" w:type="pct"/>
            <w:vAlign w:val="center"/>
          </w:tcPr>
          <w:p w14:paraId="4A0D3080" w14:textId="77D84163"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20"/>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20"/>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20"/>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2" w:type="pct"/>
            <w:vAlign w:val="center"/>
          </w:tcPr>
          <w:p w14:paraId="770A8513" w14:textId="565AB6C8"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19"/>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19"/>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19"/>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1" w:type="pct"/>
            <w:vAlign w:val="center"/>
          </w:tcPr>
          <w:p w14:paraId="69A01D4A" w14:textId="0424F781"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27"/>
                <w:sz w:val="20"/>
                <w:szCs w:val="20"/>
                <w:shd w:val="solid" w:color="000000" w:fill="000000"/>
                <w:fitText w:val="122" w:id="-1167898618"/>
                <w14:textFill>
                  <w14:solidFill>
                    <w14:srgbClr w14:val="000000">
                      <w14:alpha w14:val="100000"/>
                    </w14:srgbClr>
                  </w14:solidFill>
                </w14:textFill>
              </w:rPr>
              <w:t xml:space="preserve">　</w:t>
            </w:r>
            <w:r w:rsidRPr="00546AD5">
              <w:rPr>
                <w:rFonts w:ascii="Arial Narrow" w:eastAsia="TimesNewRoman" w:hAnsi="Arial Narrow"/>
                <w:color w:val="000000"/>
                <w:w w:val="27"/>
                <w:sz w:val="20"/>
                <w:szCs w:val="20"/>
                <w:shd w:val="solid" w:color="000000" w:fill="000000"/>
                <w:fitText w:val="122" w:id="-1167898618"/>
                <w14:textFill>
                  <w14:solidFill>
                    <w14:srgbClr w14:val="000000">
                      <w14:alpha w14:val="100000"/>
                    </w14:srgbClr>
                  </w14:solidFill>
                </w14:textFill>
              </w:rPr>
              <w:t>|</w:t>
            </w:r>
            <w:r w:rsidRPr="00546AD5">
              <w:rPr>
                <w:rFonts w:ascii="Arial Narrow" w:eastAsia="TimesNewRoman" w:hAnsi="Arial Narrow" w:hint="eastAsia"/>
                <w:color w:val="000000"/>
                <w:spacing w:val="4"/>
                <w:w w:val="27"/>
                <w:sz w:val="20"/>
                <w:szCs w:val="20"/>
                <w:shd w:val="solid" w:color="000000" w:fill="000000"/>
                <w:fitText w:val="122" w:id="-1167898618"/>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3E909598" w14:textId="41A8FE9D"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5"/>
                <w:sz w:val="20"/>
                <w:szCs w:val="20"/>
                <w:shd w:val="solid" w:color="000000" w:fill="000000"/>
                <w:fitText w:val="67" w:id="-1167898617"/>
                <w14:textFill>
                  <w14:solidFill>
                    <w14:srgbClr w14:val="000000">
                      <w14:alpha w14:val="100000"/>
                    </w14:srgbClr>
                  </w14:solidFill>
                </w14:textFill>
              </w:rPr>
              <w:t xml:space="preserve">　</w:t>
            </w:r>
            <w:r w:rsidRPr="00546AD5">
              <w:rPr>
                <w:rFonts w:ascii="Arial Narrow" w:eastAsia="TimesNewRoman" w:hAnsi="Arial Narrow"/>
                <w:color w:val="000000"/>
                <w:w w:val="15"/>
                <w:sz w:val="20"/>
                <w:szCs w:val="20"/>
                <w:shd w:val="solid" w:color="000000" w:fill="000000"/>
                <w:fitText w:val="67" w:id="-1167898617"/>
                <w14:textFill>
                  <w14:solidFill>
                    <w14:srgbClr w14:val="000000">
                      <w14:alpha w14:val="100000"/>
                    </w14:srgbClr>
                  </w14:solidFill>
                </w14:textFill>
              </w:rPr>
              <w:t>|</w:t>
            </w:r>
            <w:r w:rsidRPr="00546AD5">
              <w:rPr>
                <w:rFonts w:ascii="Arial Narrow" w:eastAsia="TimesNewRoman" w:hAnsi="Arial Narrow" w:hint="eastAsia"/>
                <w:color w:val="000000"/>
                <w:spacing w:val="1"/>
                <w:w w:val="15"/>
                <w:sz w:val="20"/>
                <w:szCs w:val="20"/>
                <w:shd w:val="solid" w:color="000000" w:fill="000000"/>
                <w:fitText w:val="67" w:id="-1167898617"/>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4BC7CFC5" w14:textId="7C849DAA"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5"/>
                <w:sz w:val="20"/>
                <w:szCs w:val="20"/>
                <w:shd w:val="solid" w:color="000000" w:fill="000000"/>
                <w:fitText w:val="67" w:id="-1167898616"/>
                <w14:textFill>
                  <w14:solidFill>
                    <w14:srgbClr w14:val="000000">
                      <w14:alpha w14:val="100000"/>
                    </w14:srgbClr>
                  </w14:solidFill>
                </w14:textFill>
              </w:rPr>
              <w:t xml:space="preserve">　</w:t>
            </w:r>
            <w:r w:rsidRPr="00546AD5">
              <w:rPr>
                <w:rFonts w:ascii="Arial Narrow" w:eastAsia="TimesNewRoman" w:hAnsi="Arial Narrow"/>
                <w:color w:val="000000"/>
                <w:w w:val="15"/>
                <w:sz w:val="20"/>
                <w:szCs w:val="20"/>
                <w:shd w:val="solid" w:color="000000" w:fill="000000"/>
                <w:fitText w:val="67" w:id="-1167898616"/>
                <w14:textFill>
                  <w14:solidFill>
                    <w14:srgbClr w14:val="000000">
                      <w14:alpha w14:val="100000"/>
                    </w14:srgbClr>
                  </w14:solidFill>
                </w14:textFill>
              </w:rPr>
              <w:t>|</w:t>
            </w:r>
            <w:r w:rsidRPr="00546AD5">
              <w:rPr>
                <w:rFonts w:ascii="Arial Narrow" w:eastAsia="TimesNewRoman" w:hAnsi="Arial Narrow" w:hint="eastAsia"/>
                <w:color w:val="000000"/>
                <w:spacing w:val="1"/>
                <w:w w:val="15"/>
                <w:sz w:val="20"/>
                <w:szCs w:val="20"/>
                <w:shd w:val="solid" w:color="000000" w:fill="000000"/>
                <w:fitText w:val="67" w:id="-1167898616"/>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98" w:type="pct"/>
            <w:vAlign w:val="center"/>
          </w:tcPr>
          <w:p w14:paraId="4B7A9374" w14:textId="434EA27B" w:rsidR="00AC2298" w:rsidRPr="00271560" w:rsidRDefault="00546AD5" w:rsidP="00DD7992">
            <w:pPr>
              <w:keepNext/>
              <w:keepLines/>
              <w:jc w:val="center"/>
              <w:rPr>
                <w:rFonts w:ascii="Arial Narrow" w:hAnsi="Arial Narrow"/>
                <w:sz w:val="20"/>
                <w:szCs w:val="20"/>
              </w:rPr>
            </w:pPr>
            <w:r w:rsidRPr="00546AD5">
              <w:rPr>
                <w:rFonts w:ascii="Arial Narrow" w:eastAsia="TimesNewRoman" w:hAnsi="Arial Narrow" w:hint="eastAsia"/>
                <w:color w:val="000000"/>
                <w:w w:val="17"/>
                <w:sz w:val="20"/>
                <w:szCs w:val="20"/>
                <w:shd w:val="solid" w:color="000000" w:fill="000000"/>
                <w:fitText w:val="77" w:id="-1167898615"/>
                <w14:textFill>
                  <w14:solidFill>
                    <w14:srgbClr w14:val="000000">
                      <w14:alpha w14:val="100000"/>
                    </w14:srgbClr>
                  </w14:solidFill>
                </w14:textFill>
              </w:rPr>
              <w:t xml:space="preserve">　</w:t>
            </w:r>
            <w:r w:rsidRPr="00546AD5">
              <w:rPr>
                <w:rFonts w:ascii="Arial Narrow" w:eastAsia="TimesNewRoman" w:hAnsi="Arial Narrow"/>
                <w:color w:val="000000"/>
                <w:w w:val="17"/>
                <w:sz w:val="20"/>
                <w:szCs w:val="20"/>
                <w:shd w:val="solid" w:color="000000" w:fill="000000"/>
                <w:fitText w:val="77" w:id="-1167898615"/>
                <w14:textFill>
                  <w14:solidFill>
                    <w14:srgbClr w14:val="000000">
                      <w14:alpha w14:val="100000"/>
                    </w14:srgbClr>
                  </w14:solidFill>
                </w14:textFill>
              </w:rPr>
              <w:t>|</w:t>
            </w:r>
            <w:r w:rsidRPr="00546AD5">
              <w:rPr>
                <w:rFonts w:ascii="Arial Narrow" w:eastAsia="TimesNewRoman" w:hAnsi="Arial Narrow" w:hint="eastAsia"/>
                <w:color w:val="000000"/>
                <w:spacing w:val="4"/>
                <w:w w:val="17"/>
                <w:sz w:val="20"/>
                <w:szCs w:val="20"/>
                <w:shd w:val="solid" w:color="000000" w:fill="000000"/>
                <w:fitText w:val="77" w:id="-1167898615"/>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r>
      <w:tr w:rsidR="0006693E" w:rsidRPr="00271560" w14:paraId="0662C01E" w14:textId="77777777" w:rsidTr="0006693E">
        <w:tc>
          <w:tcPr>
            <w:tcW w:w="1491" w:type="pct"/>
            <w:vAlign w:val="center"/>
          </w:tcPr>
          <w:p w14:paraId="629A12FF" w14:textId="77777777" w:rsidR="00AC2298" w:rsidRPr="00271560" w:rsidRDefault="00AC2298" w:rsidP="00DD7992">
            <w:pPr>
              <w:keepNext/>
              <w:keepLines/>
              <w:jc w:val="left"/>
              <w:rPr>
                <w:rFonts w:ascii="Arial Narrow" w:hAnsi="Arial Narrow"/>
                <w:sz w:val="20"/>
                <w:szCs w:val="20"/>
              </w:rPr>
            </w:pPr>
            <w:r w:rsidRPr="00271560">
              <w:rPr>
                <w:rFonts w:ascii="Arial Narrow" w:hAnsi="Arial Narrow"/>
                <w:sz w:val="20"/>
                <w:szCs w:val="20"/>
              </w:rPr>
              <w:t xml:space="preserve">Total incident patients with 3 copies of </w:t>
            </w:r>
            <w:r w:rsidRPr="00271560">
              <w:rPr>
                <w:rFonts w:ascii="Arial Narrow" w:hAnsi="Arial Narrow"/>
                <w:i/>
                <w:iCs/>
                <w:sz w:val="20"/>
                <w:szCs w:val="20"/>
              </w:rPr>
              <w:t>SMN2</w:t>
            </w:r>
          </w:p>
        </w:tc>
        <w:tc>
          <w:tcPr>
            <w:tcW w:w="550" w:type="pct"/>
            <w:vAlign w:val="center"/>
          </w:tcPr>
          <w:p w14:paraId="4BD7BA78" w14:textId="20E6D017"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14"/>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14"/>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14"/>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2" w:type="pct"/>
            <w:vAlign w:val="center"/>
          </w:tcPr>
          <w:p w14:paraId="2E1974C5" w14:textId="6E7FD1C7"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13"/>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13"/>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13"/>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1" w:type="pct"/>
            <w:vAlign w:val="center"/>
          </w:tcPr>
          <w:p w14:paraId="21A187FA" w14:textId="63C1B383"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12"/>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12"/>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12"/>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4CEA5690" w14:textId="745EAB9A"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611"/>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611"/>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611"/>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5507BCDC" w14:textId="78F8FA27"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610"/>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610"/>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610"/>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98" w:type="pct"/>
            <w:vAlign w:val="center"/>
          </w:tcPr>
          <w:p w14:paraId="24E52901" w14:textId="7A384D67"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609"/>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609"/>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609"/>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r>
      <w:tr w:rsidR="0006693E" w:rsidRPr="00271560" w14:paraId="315ADE18" w14:textId="77777777" w:rsidTr="0006693E">
        <w:tc>
          <w:tcPr>
            <w:tcW w:w="1491" w:type="pct"/>
            <w:vAlign w:val="center"/>
          </w:tcPr>
          <w:p w14:paraId="1570ED95" w14:textId="0520E2CC" w:rsidR="00AC2298" w:rsidRPr="00271560" w:rsidRDefault="00AC2298" w:rsidP="00DD7992">
            <w:pPr>
              <w:keepNext/>
              <w:keepLines/>
              <w:jc w:val="left"/>
              <w:rPr>
                <w:rFonts w:ascii="Arial Narrow" w:hAnsi="Arial Narrow"/>
                <w:sz w:val="20"/>
                <w:szCs w:val="20"/>
              </w:rPr>
            </w:pPr>
            <w:r w:rsidRPr="00271560">
              <w:rPr>
                <w:rFonts w:ascii="Arial Narrow" w:hAnsi="Arial Narrow"/>
                <w:sz w:val="20"/>
                <w:szCs w:val="20"/>
              </w:rPr>
              <w:t xml:space="preserve">Total prevalent patients with </w:t>
            </w:r>
            <w:r w:rsidR="00DD7992" w:rsidRPr="00271560">
              <w:rPr>
                <w:rFonts w:ascii="Arial Narrow" w:hAnsi="Arial Narrow"/>
                <w:sz w:val="20"/>
                <w:szCs w:val="20"/>
              </w:rPr>
              <w:t>3</w:t>
            </w:r>
            <w:r w:rsidR="00DD7992">
              <w:rPr>
                <w:rFonts w:ascii="Arial Narrow" w:hAnsi="Arial Narrow"/>
                <w:sz w:val="20"/>
                <w:szCs w:val="20"/>
              </w:rPr>
              <w:t> </w:t>
            </w:r>
            <w:r w:rsidRPr="00271560">
              <w:rPr>
                <w:rFonts w:ascii="Arial Narrow" w:hAnsi="Arial Narrow"/>
                <w:sz w:val="20"/>
                <w:szCs w:val="20"/>
              </w:rPr>
              <w:t xml:space="preserve">copies of </w:t>
            </w:r>
            <w:r w:rsidRPr="00271560">
              <w:rPr>
                <w:rFonts w:ascii="Arial Narrow" w:hAnsi="Arial Narrow"/>
                <w:i/>
                <w:iCs/>
                <w:sz w:val="20"/>
                <w:szCs w:val="20"/>
              </w:rPr>
              <w:t>SMN2</w:t>
            </w:r>
          </w:p>
        </w:tc>
        <w:tc>
          <w:tcPr>
            <w:tcW w:w="550" w:type="pct"/>
            <w:vAlign w:val="center"/>
          </w:tcPr>
          <w:p w14:paraId="285726D3" w14:textId="3D33F885"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08"/>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08"/>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08"/>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2" w:type="pct"/>
            <w:vAlign w:val="center"/>
          </w:tcPr>
          <w:p w14:paraId="3279413F" w14:textId="0F3A0BC5"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24"/>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24"/>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24"/>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1" w:type="pct"/>
            <w:vAlign w:val="center"/>
          </w:tcPr>
          <w:p w14:paraId="70C8EA7F" w14:textId="158E8E65"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23"/>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23"/>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23"/>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66D8F774" w14:textId="173D08B5"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622"/>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622"/>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622"/>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2C9A1DF2" w14:textId="6067B688"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621"/>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621"/>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621"/>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98" w:type="pct"/>
            <w:vAlign w:val="center"/>
          </w:tcPr>
          <w:p w14:paraId="2F7B899B" w14:textId="69D3FEBC" w:rsidR="00AC2298" w:rsidRPr="00271560"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620"/>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620"/>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620"/>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r>
      <w:tr w:rsidR="0006693E" w:rsidRPr="00271560" w14:paraId="7F8EA3FA" w14:textId="77777777" w:rsidTr="0006693E">
        <w:tc>
          <w:tcPr>
            <w:tcW w:w="1491" w:type="pct"/>
            <w:vAlign w:val="center"/>
          </w:tcPr>
          <w:p w14:paraId="06070FF2" w14:textId="77777777" w:rsidR="00AC2298" w:rsidRPr="00475785" w:rsidRDefault="00AC2298" w:rsidP="00DD7992">
            <w:pPr>
              <w:keepNext/>
              <w:keepLines/>
              <w:jc w:val="left"/>
              <w:rPr>
                <w:rFonts w:ascii="Arial Narrow" w:hAnsi="Arial Narrow"/>
                <w:sz w:val="20"/>
                <w:szCs w:val="20"/>
              </w:rPr>
            </w:pPr>
            <w:r w:rsidRPr="00475785">
              <w:rPr>
                <w:rFonts w:ascii="Arial Narrow" w:hAnsi="Arial Narrow"/>
                <w:sz w:val="20"/>
                <w:szCs w:val="20"/>
              </w:rPr>
              <w:t>Total incident + prevalent patients</w:t>
            </w:r>
          </w:p>
        </w:tc>
        <w:tc>
          <w:tcPr>
            <w:tcW w:w="550" w:type="pct"/>
            <w:vAlign w:val="center"/>
          </w:tcPr>
          <w:p w14:paraId="57FB667E" w14:textId="68A0E82B"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19"/>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19"/>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19"/>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2" w:type="pct"/>
            <w:vAlign w:val="center"/>
          </w:tcPr>
          <w:p w14:paraId="6297D6B9" w14:textId="0939BD4A"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18"/>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18"/>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18"/>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51" w:type="pct"/>
            <w:vAlign w:val="center"/>
          </w:tcPr>
          <w:p w14:paraId="76156712" w14:textId="49DC7589"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17"/>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17"/>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17"/>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2E202503" w14:textId="63973DBC"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616"/>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616"/>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616"/>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629" w:type="pct"/>
            <w:vAlign w:val="center"/>
          </w:tcPr>
          <w:p w14:paraId="2238A727" w14:textId="20386924"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615"/>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615"/>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615"/>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c>
          <w:tcPr>
            <w:tcW w:w="598" w:type="pct"/>
            <w:vAlign w:val="center"/>
          </w:tcPr>
          <w:p w14:paraId="72714C72" w14:textId="0C65D05E"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614"/>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614"/>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614"/>
                <w14:textFill>
                  <w14:solidFill>
                    <w14:srgbClr w14:val="000000">
                      <w14:alpha w14:val="100000"/>
                    </w14:srgbClr>
                  </w14:solidFill>
                </w14:textFill>
              </w:rPr>
              <w:t xml:space="preserve">　</w:t>
            </w:r>
            <w:r w:rsidR="00A12894">
              <w:rPr>
                <w:rFonts w:ascii="Arial Narrow" w:eastAsia="TimesNewRoman" w:hAnsi="Arial Narrow"/>
                <w:color w:val="000000"/>
                <w:sz w:val="20"/>
                <w:szCs w:val="20"/>
              </w:rPr>
              <w:t xml:space="preserve"> </w:t>
            </w:r>
            <w:r w:rsidR="00A12894">
              <w:rPr>
                <w:rFonts w:ascii="Arial Narrow" w:eastAsia="TimesNewRoman" w:hAnsi="Arial Narrow"/>
                <w:color w:val="000000"/>
                <w:sz w:val="20"/>
                <w:szCs w:val="20"/>
                <w:vertAlign w:val="superscript"/>
              </w:rPr>
              <w:t>2</w:t>
            </w:r>
          </w:p>
        </w:tc>
      </w:tr>
      <w:tr w:rsidR="00AC2298" w:rsidRPr="00271560" w14:paraId="0AD53FC7" w14:textId="77777777" w:rsidTr="00CB2C92">
        <w:tc>
          <w:tcPr>
            <w:tcW w:w="5000" w:type="pct"/>
            <w:gridSpan w:val="7"/>
            <w:vAlign w:val="center"/>
          </w:tcPr>
          <w:p w14:paraId="1E35A3AF" w14:textId="6F1199F8" w:rsidR="00AC2298" w:rsidRPr="00475785" w:rsidRDefault="00AC2298" w:rsidP="00DD7992">
            <w:pPr>
              <w:keepNext/>
              <w:keepLines/>
              <w:jc w:val="left"/>
              <w:rPr>
                <w:rFonts w:ascii="Arial Narrow" w:hAnsi="Arial Narrow"/>
                <w:sz w:val="20"/>
                <w:szCs w:val="20"/>
              </w:rPr>
            </w:pPr>
            <w:r w:rsidRPr="00475785">
              <w:rPr>
                <w:rFonts w:ascii="Arial Narrow" w:hAnsi="Arial Narrow"/>
                <w:sz w:val="20"/>
                <w:szCs w:val="20"/>
              </w:rPr>
              <w:t xml:space="preserve">Nusinersen vials (excluding </w:t>
            </w:r>
            <w:r w:rsidR="00546AD5" w:rsidRPr="00546AD5">
              <w:rPr>
                <w:rFonts w:ascii="Arial Narrow" w:hAnsi="Arial Narrow"/>
                <w:color w:val="000000"/>
                <w:spacing w:val="53"/>
                <w:sz w:val="20"/>
                <w:szCs w:val="20"/>
                <w:shd w:val="solid" w:color="000000" w:fill="000000"/>
                <w:fitText w:val="332" w:id="-1167898613"/>
                <w14:textFill>
                  <w14:solidFill>
                    <w14:srgbClr w14:val="000000">
                      <w14:alpha w14:val="100000"/>
                    </w14:srgbClr>
                  </w14:solidFill>
                </w14:textFill>
              </w:rPr>
              <w:t>|||</w:t>
            </w:r>
            <w:r w:rsidR="00546AD5" w:rsidRPr="00546AD5">
              <w:rPr>
                <w:rFonts w:ascii="Arial Narrow" w:hAnsi="Arial Narrow"/>
                <w:color w:val="000000"/>
                <w:spacing w:val="3"/>
                <w:sz w:val="20"/>
                <w:szCs w:val="20"/>
                <w:shd w:val="solid" w:color="000000" w:fill="000000"/>
                <w:fitText w:val="332" w:id="-1167898613"/>
                <w14:textFill>
                  <w14:solidFill>
                    <w14:srgbClr w14:val="000000">
                      <w14:alpha w14:val="100000"/>
                    </w14:srgbClr>
                  </w14:solidFill>
                </w14:textFill>
              </w:rPr>
              <w:t>|</w:t>
            </w:r>
            <w:r w:rsidRPr="00475785">
              <w:rPr>
                <w:rFonts w:ascii="Arial Narrow" w:hAnsi="Arial Narrow"/>
                <w:sz w:val="20"/>
                <w:szCs w:val="20"/>
              </w:rPr>
              <w:t xml:space="preserve"> </w:t>
            </w:r>
            <w:r w:rsidR="00546AD5" w:rsidRPr="00546AD5">
              <w:rPr>
                <w:rFonts w:ascii="Arial Narrow" w:hAnsi="Arial Narrow"/>
                <w:color w:val="000000"/>
                <w:spacing w:val="53"/>
                <w:sz w:val="20"/>
                <w:szCs w:val="20"/>
                <w:shd w:val="solid" w:color="000000" w:fill="000000"/>
                <w:fitText w:val="332" w:id="-1167898612"/>
                <w14:textFill>
                  <w14:solidFill>
                    <w14:srgbClr w14:val="000000">
                      <w14:alpha w14:val="100000"/>
                    </w14:srgbClr>
                  </w14:solidFill>
                </w14:textFill>
              </w:rPr>
              <w:t>|||</w:t>
            </w:r>
            <w:r w:rsidR="00546AD5" w:rsidRPr="00546AD5">
              <w:rPr>
                <w:rFonts w:ascii="Arial Narrow" w:hAnsi="Arial Narrow"/>
                <w:color w:val="000000"/>
                <w:spacing w:val="3"/>
                <w:sz w:val="20"/>
                <w:szCs w:val="20"/>
                <w:shd w:val="solid" w:color="000000" w:fill="000000"/>
                <w:fitText w:val="332" w:id="-1167898612"/>
                <w14:textFill>
                  <w14:solidFill>
                    <w14:srgbClr w14:val="000000">
                      <w14:alpha w14:val="100000"/>
                    </w14:srgbClr>
                  </w14:solidFill>
                </w14:textFill>
              </w:rPr>
              <w:t>|</w:t>
            </w:r>
            <w:r w:rsidR="00523ABB" w:rsidRPr="00523ABB">
              <w:rPr>
                <w:rFonts w:ascii="Arial Narrow" w:hAnsi="Arial Narrow"/>
                <w:sz w:val="20"/>
                <w:szCs w:val="20"/>
              </w:rPr>
              <w:t xml:space="preserve"> </w:t>
            </w:r>
            <w:r w:rsidR="00546AD5" w:rsidRPr="00546AD5">
              <w:rPr>
                <w:rFonts w:ascii="Arial Narrow" w:hAnsi="Arial Narrow"/>
                <w:color w:val="000000"/>
                <w:spacing w:val="54"/>
                <w:sz w:val="20"/>
                <w:szCs w:val="20"/>
                <w:shd w:val="solid" w:color="000000" w:fill="000000"/>
                <w:fitText w:val="333" w:id="-1167898611"/>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333" w:id="-1167898611"/>
                <w14:textFill>
                  <w14:solidFill>
                    <w14:srgbClr w14:val="000000">
                      <w14:alpha w14:val="100000"/>
                    </w14:srgbClr>
                  </w14:solidFill>
                </w14:textFill>
              </w:rPr>
              <w:t>|</w:t>
            </w:r>
            <w:r w:rsidRPr="00475785">
              <w:rPr>
                <w:rFonts w:ascii="Arial Narrow" w:hAnsi="Arial Narrow"/>
                <w:sz w:val="20"/>
                <w:szCs w:val="20"/>
              </w:rPr>
              <w:t>)</w:t>
            </w:r>
          </w:p>
        </w:tc>
      </w:tr>
      <w:tr w:rsidR="0006693E" w:rsidRPr="00271560" w14:paraId="664A89CB" w14:textId="77777777" w:rsidTr="0006693E">
        <w:tc>
          <w:tcPr>
            <w:tcW w:w="1491" w:type="pct"/>
            <w:shd w:val="clear" w:color="auto" w:fill="auto"/>
            <w:vAlign w:val="center"/>
          </w:tcPr>
          <w:p w14:paraId="31FC688C" w14:textId="77777777" w:rsidR="00AC2298" w:rsidRPr="00475785" w:rsidRDefault="00AC2298" w:rsidP="00DD7992">
            <w:pPr>
              <w:keepNext/>
              <w:keepLines/>
              <w:jc w:val="left"/>
              <w:rPr>
                <w:rFonts w:ascii="Arial Narrow" w:hAnsi="Arial Narrow"/>
                <w:sz w:val="20"/>
                <w:szCs w:val="20"/>
              </w:rPr>
            </w:pPr>
            <w:r w:rsidRPr="00475785">
              <w:rPr>
                <w:rFonts w:ascii="Arial Narrow" w:hAnsi="Arial Narrow"/>
                <w:color w:val="000000"/>
                <w:sz w:val="20"/>
                <w:szCs w:val="20"/>
              </w:rPr>
              <w:t>Incident patients</w:t>
            </w:r>
          </w:p>
        </w:tc>
        <w:tc>
          <w:tcPr>
            <w:tcW w:w="550" w:type="pct"/>
            <w:shd w:val="clear" w:color="auto" w:fill="auto"/>
            <w:vAlign w:val="center"/>
          </w:tcPr>
          <w:p w14:paraId="3B437FA0" w14:textId="55685F8E"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10"/>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10"/>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10"/>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2" w:type="pct"/>
            <w:shd w:val="clear" w:color="auto" w:fill="auto"/>
            <w:vAlign w:val="center"/>
          </w:tcPr>
          <w:p w14:paraId="278402E1" w14:textId="3A5EFCBD"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09"/>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09"/>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09"/>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1" w:type="pct"/>
            <w:shd w:val="clear" w:color="auto" w:fill="auto"/>
            <w:vAlign w:val="center"/>
          </w:tcPr>
          <w:p w14:paraId="0E6F3ED8" w14:textId="0B4C3CB4"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608"/>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608"/>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608"/>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shd w:val="clear" w:color="auto" w:fill="auto"/>
            <w:vAlign w:val="center"/>
          </w:tcPr>
          <w:p w14:paraId="5CCA946C" w14:textId="7F8B8D59"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624"/>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624"/>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624"/>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shd w:val="clear" w:color="auto" w:fill="auto"/>
            <w:vAlign w:val="center"/>
          </w:tcPr>
          <w:p w14:paraId="62ACD6AA" w14:textId="6B5FA19C" w:rsidR="00AC2298" w:rsidRPr="005D440A" w:rsidRDefault="00546AD5" w:rsidP="00DD7992">
            <w:pPr>
              <w:keepNext/>
              <w:keepLines/>
              <w:jc w:val="center"/>
            </w:pPr>
            <w:r w:rsidRPr="00546AD5">
              <w:rPr>
                <w:rFonts w:ascii="Arial Narrow" w:hAnsi="Arial Narrow" w:hint="eastAsia"/>
                <w:color w:val="000000"/>
                <w:w w:val="15"/>
                <w:sz w:val="20"/>
                <w:szCs w:val="20"/>
                <w:shd w:val="solid" w:color="000000" w:fill="000000"/>
                <w:fitText w:val="67" w:id="-1167898368"/>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8"/>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8"/>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98" w:type="pct"/>
            <w:shd w:val="clear" w:color="auto" w:fill="auto"/>
            <w:vAlign w:val="center"/>
          </w:tcPr>
          <w:p w14:paraId="1BB41306" w14:textId="7EDFB25C"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367"/>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367"/>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367"/>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r>
      <w:tr w:rsidR="0006693E" w:rsidRPr="00271560" w14:paraId="37EF7416" w14:textId="77777777" w:rsidTr="0006693E">
        <w:tc>
          <w:tcPr>
            <w:tcW w:w="1491" w:type="pct"/>
            <w:shd w:val="clear" w:color="auto" w:fill="auto"/>
            <w:vAlign w:val="center"/>
          </w:tcPr>
          <w:p w14:paraId="54952EED" w14:textId="77777777" w:rsidR="00AC2298" w:rsidRPr="00475785" w:rsidRDefault="00AC2298" w:rsidP="00DD7992">
            <w:pPr>
              <w:keepNext/>
              <w:keepLines/>
              <w:jc w:val="left"/>
              <w:rPr>
                <w:rFonts w:ascii="Arial Narrow" w:hAnsi="Arial Narrow"/>
                <w:sz w:val="20"/>
                <w:szCs w:val="20"/>
              </w:rPr>
            </w:pPr>
            <w:r w:rsidRPr="00475785">
              <w:rPr>
                <w:rFonts w:ascii="Arial Narrow" w:hAnsi="Arial Narrow"/>
                <w:color w:val="000000"/>
                <w:sz w:val="20"/>
                <w:szCs w:val="20"/>
              </w:rPr>
              <w:t>Prevalent patients</w:t>
            </w:r>
          </w:p>
        </w:tc>
        <w:tc>
          <w:tcPr>
            <w:tcW w:w="550" w:type="pct"/>
            <w:shd w:val="clear" w:color="auto" w:fill="auto"/>
            <w:vAlign w:val="center"/>
          </w:tcPr>
          <w:p w14:paraId="7A360F70" w14:textId="0A8ABAF9"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6"/>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6"/>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6"/>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2" w:type="pct"/>
            <w:shd w:val="clear" w:color="auto" w:fill="auto"/>
            <w:vAlign w:val="center"/>
          </w:tcPr>
          <w:p w14:paraId="06FB379F" w14:textId="2D057E18"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5"/>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5"/>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5"/>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1" w:type="pct"/>
            <w:shd w:val="clear" w:color="auto" w:fill="auto"/>
            <w:vAlign w:val="center"/>
          </w:tcPr>
          <w:p w14:paraId="6E919305" w14:textId="0DD812E7"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4"/>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4"/>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4"/>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shd w:val="clear" w:color="auto" w:fill="auto"/>
            <w:vAlign w:val="center"/>
          </w:tcPr>
          <w:p w14:paraId="61C212DC" w14:textId="06B4FCAA"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3"/>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3"/>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3"/>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shd w:val="clear" w:color="auto" w:fill="auto"/>
            <w:vAlign w:val="center"/>
          </w:tcPr>
          <w:p w14:paraId="6D5A7F6D" w14:textId="6E45AB53"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2"/>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2"/>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2"/>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98" w:type="pct"/>
            <w:shd w:val="clear" w:color="auto" w:fill="auto"/>
            <w:vAlign w:val="center"/>
          </w:tcPr>
          <w:p w14:paraId="43D75BF4" w14:textId="7B869CD0"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361"/>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361"/>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361"/>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r>
      <w:tr w:rsidR="0006693E" w:rsidRPr="00271560" w14:paraId="392E943E" w14:textId="77777777" w:rsidTr="0006693E">
        <w:tc>
          <w:tcPr>
            <w:tcW w:w="1491" w:type="pct"/>
            <w:shd w:val="clear" w:color="auto" w:fill="auto"/>
            <w:vAlign w:val="center"/>
          </w:tcPr>
          <w:p w14:paraId="78453EAA" w14:textId="77777777" w:rsidR="00AC2298" w:rsidRPr="00475785" w:rsidRDefault="00AC2298" w:rsidP="00DD7992">
            <w:pPr>
              <w:keepNext/>
              <w:keepLines/>
              <w:jc w:val="left"/>
              <w:rPr>
                <w:rFonts w:ascii="Arial Narrow" w:hAnsi="Arial Narrow"/>
                <w:sz w:val="20"/>
                <w:szCs w:val="20"/>
              </w:rPr>
            </w:pPr>
            <w:r w:rsidRPr="00475785">
              <w:rPr>
                <w:rFonts w:ascii="Arial Narrow" w:hAnsi="Arial Narrow"/>
                <w:color w:val="000000"/>
                <w:sz w:val="20"/>
                <w:szCs w:val="20"/>
              </w:rPr>
              <w:t>Total nusinersen scripts</w:t>
            </w:r>
          </w:p>
        </w:tc>
        <w:tc>
          <w:tcPr>
            <w:tcW w:w="550" w:type="pct"/>
            <w:shd w:val="clear" w:color="auto" w:fill="auto"/>
            <w:vAlign w:val="center"/>
          </w:tcPr>
          <w:p w14:paraId="1381F553" w14:textId="12099A61"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0"/>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0"/>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0"/>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2" w:type="pct"/>
            <w:shd w:val="clear" w:color="auto" w:fill="auto"/>
            <w:vAlign w:val="center"/>
          </w:tcPr>
          <w:p w14:paraId="7BAD247A" w14:textId="5E2944A6"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9"/>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9"/>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9"/>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1" w:type="pct"/>
            <w:shd w:val="clear" w:color="auto" w:fill="auto"/>
            <w:vAlign w:val="center"/>
          </w:tcPr>
          <w:p w14:paraId="3C5D466B" w14:textId="22E108B7"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8"/>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8"/>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8"/>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shd w:val="clear" w:color="auto" w:fill="auto"/>
            <w:vAlign w:val="center"/>
          </w:tcPr>
          <w:p w14:paraId="61635880" w14:textId="31B39A1E"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57"/>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57"/>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57"/>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shd w:val="clear" w:color="auto" w:fill="auto"/>
            <w:vAlign w:val="center"/>
          </w:tcPr>
          <w:p w14:paraId="3B471A57" w14:textId="7F9FCDF2"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56"/>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56"/>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56"/>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98" w:type="pct"/>
            <w:shd w:val="clear" w:color="auto" w:fill="auto"/>
            <w:vAlign w:val="center"/>
          </w:tcPr>
          <w:p w14:paraId="31CA4E67" w14:textId="0B33D6B7" w:rsidR="00AC2298" w:rsidRPr="00475785"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355"/>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355"/>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355"/>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r>
      <w:tr w:rsidR="00AC2298" w:rsidRPr="00271560" w14:paraId="70D283C4" w14:textId="77777777" w:rsidTr="00CB2C92">
        <w:tc>
          <w:tcPr>
            <w:tcW w:w="5000" w:type="pct"/>
            <w:gridSpan w:val="7"/>
            <w:vAlign w:val="center"/>
          </w:tcPr>
          <w:p w14:paraId="4AF9EBA9" w14:textId="77777777" w:rsidR="00AC2298" w:rsidRPr="00475785" w:rsidRDefault="00AC2298" w:rsidP="00DD7992">
            <w:pPr>
              <w:keepNext/>
              <w:keepLines/>
              <w:jc w:val="left"/>
              <w:rPr>
                <w:rFonts w:ascii="Arial Narrow" w:hAnsi="Arial Narrow"/>
                <w:sz w:val="20"/>
                <w:szCs w:val="20"/>
              </w:rPr>
            </w:pPr>
            <w:r w:rsidRPr="00475785">
              <w:rPr>
                <w:rFonts w:ascii="Arial Narrow" w:hAnsi="Arial Narrow"/>
                <w:sz w:val="20"/>
                <w:szCs w:val="20"/>
              </w:rPr>
              <w:t>Total, cost of nusinersen (effective)</w:t>
            </w:r>
          </w:p>
        </w:tc>
      </w:tr>
      <w:tr w:rsidR="0006693E" w:rsidRPr="00271560" w14:paraId="509CD6C3" w14:textId="77777777" w:rsidTr="0006693E">
        <w:tc>
          <w:tcPr>
            <w:tcW w:w="1491" w:type="pct"/>
            <w:shd w:val="clear" w:color="auto" w:fill="auto"/>
            <w:vAlign w:val="center"/>
          </w:tcPr>
          <w:p w14:paraId="34E82B6F" w14:textId="77777777" w:rsidR="00AC2298" w:rsidRPr="00475785" w:rsidRDefault="00AC2298" w:rsidP="00DD7992">
            <w:pPr>
              <w:keepNext/>
              <w:keepLines/>
              <w:jc w:val="left"/>
              <w:rPr>
                <w:rFonts w:ascii="Arial Narrow" w:hAnsi="Arial Narrow"/>
                <w:sz w:val="20"/>
                <w:szCs w:val="20"/>
              </w:rPr>
            </w:pPr>
            <w:r w:rsidRPr="00475785">
              <w:rPr>
                <w:rFonts w:ascii="Arial Narrow" w:hAnsi="Arial Narrow"/>
                <w:sz w:val="20"/>
                <w:szCs w:val="20"/>
              </w:rPr>
              <w:t>Total PBS drug cost</w:t>
            </w:r>
          </w:p>
        </w:tc>
        <w:tc>
          <w:tcPr>
            <w:tcW w:w="550" w:type="pct"/>
            <w:shd w:val="clear" w:color="auto" w:fill="auto"/>
            <w:vAlign w:val="center"/>
          </w:tcPr>
          <w:p w14:paraId="49D71EC2" w14:textId="2B7E1937"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color w:val="000000"/>
                <w:spacing w:val="81"/>
                <w:sz w:val="20"/>
                <w:szCs w:val="20"/>
                <w:shd w:val="solid" w:color="000000" w:fill="000000"/>
                <w:fitText w:val="167" w:id="-1167898354"/>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7" w:id="-1167898354"/>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shd w:val="clear" w:color="auto" w:fill="auto"/>
            <w:vAlign w:val="center"/>
          </w:tcPr>
          <w:p w14:paraId="5CC3E5B8" w14:textId="2A7BE4FC"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color w:val="000000"/>
                <w:spacing w:val="91"/>
                <w:sz w:val="20"/>
                <w:szCs w:val="20"/>
                <w:shd w:val="solid" w:color="000000" w:fill="000000"/>
                <w:fitText w:val="177" w:id="-1167898353"/>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77" w:id="-1167898353"/>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1" w:type="pct"/>
            <w:shd w:val="clear" w:color="auto" w:fill="auto"/>
            <w:vAlign w:val="center"/>
          </w:tcPr>
          <w:p w14:paraId="6250BD9A" w14:textId="53F49D38"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color w:val="000000"/>
                <w:spacing w:val="80"/>
                <w:sz w:val="20"/>
                <w:szCs w:val="20"/>
                <w:shd w:val="solid" w:color="000000" w:fill="000000"/>
                <w:fitText w:val="166" w:id="-1167898352"/>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6" w:id="-1167898352"/>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4</w:t>
            </w:r>
          </w:p>
        </w:tc>
        <w:tc>
          <w:tcPr>
            <w:tcW w:w="629" w:type="pct"/>
            <w:shd w:val="clear" w:color="auto" w:fill="auto"/>
            <w:vAlign w:val="center"/>
          </w:tcPr>
          <w:p w14:paraId="4E869D27" w14:textId="0604E270"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hint="eastAsia"/>
                <w:color w:val="000000"/>
                <w:w w:val="24"/>
                <w:sz w:val="20"/>
                <w:szCs w:val="20"/>
                <w:shd w:val="solid" w:color="000000" w:fill="000000"/>
                <w:fitText w:val="110" w:id="-1167898368"/>
                <w14:textFill>
                  <w14:solidFill>
                    <w14:srgbClr w14:val="000000">
                      <w14:alpha w14:val="100000"/>
                    </w14:srgbClr>
                  </w14:solidFill>
                </w14:textFill>
              </w:rPr>
              <w:t xml:space="preserve">　</w:t>
            </w:r>
            <w:r w:rsidR="00546AD5" w:rsidRPr="00546AD5">
              <w:rPr>
                <w:rFonts w:ascii="Arial Narrow" w:hAnsi="Arial Narrow"/>
                <w:color w:val="000000"/>
                <w:w w:val="24"/>
                <w:sz w:val="20"/>
                <w:szCs w:val="20"/>
                <w:shd w:val="solid" w:color="000000" w:fill="000000"/>
                <w:fitText w:val="110" w:id="-1167898368"/>
                <w14:textFill>
                  <w14:solidFill>
                    <w14:srgbClr w14:val="000000">
                      <w14:alpha w14:val="100000"/>
                    </w14:srgbClr>
                  </w14:solidFill>
                </w14:textFill>
              </w:rPr>
              <w:t>|</w:t>
            </w:r>
            <w:r w:rsidR="00546AD5" w:rsidRPr="00546AD5">
              <w:rPr>
                <w:rFonts w:ascii="Arial Narrow" w:hAnsi="Arial Narrow" w:hint="eastAsia"/>
                <w:color w:val="000000"/>
                <w:spacing w:val="6"/>
                <w:w w:val="24"/>
                <w:sz w:val="20"/>
                <w:szCs w:val="20"/>
                <w:shd w:val="solid" w:color="000000" w:fill="000000"/>
                <w:fitText w:val="110" w:id="-1167898368"/>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629" w:type="pct"/>
            <w:shd w:val="clear" w:color="auto" w:fill="auto"/>
            <w:vAlign w:val="center"/>
          </w:tcPr>
          <w:p w14:paraId="1D47C3B3" w14:textId="1AF8F622"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hint="eastAsia"/>
                <w:color w:val="000000"/>
                <w:w w:val="25"/>
                <w:sz w:val="20"/>
                <w:szCs w:val="20"/>
                <w:shd w:val="solid" w:color="000000" w:fill="000000"/>
                <w:fitText w:val="111" w:id="-1167898367"/>
                <w14:textFill>
                  <w14:solidFill>
                    <w14:srgbClr w14:val="000000">
                      <w14:alpha w14:val="100000"/>
                    </w14:srgbClr>
                  </w14:solidFill>
                </w14:textFill>
              </w:rPr>
              <w:t xml:space="preserve">　</w:t>
            </w:r>
            <w:r w:rsidR="00546AD5" w:rsidRPr="00546AD5">
              <w:rPr>
                <w:rFonts w:ascii="Arial Narrow" w:hAnsi="Arial Narrow"/>
                <w:color w:val="000000"/>
                <w:w w:val="25"/>
                <w:sz w:val="20"/>
                <w:szCs w:val="20"/>
                <w:shd w:val="solid" w:color="000000" w:fill="000000"/>
                <w:fitText w:val="111" w:id="-1167898367"/>
                <w14:textFill>
                  <w14:solidFill>
                    <w14:srgbClr w14:val="000000">
                      <w14:alpha w14:val="100000"/>
                    </w14:srgbClr>
                  </w14:solidFill>
                </w14:textFill>
              </w:rPr>
              <w:t>|</w:t>
            </w:r>
            <w:r w:rsidR="00546AD5" w:rsidRPr="00546AD5">
              <w:rPr>
                <w:rFonts w:ascii="Arial Narrow" w:hAnsi="Arial Narrow" w:hint="eastAsia"/>
                <w:color w:val="000000"/>
                <w:w w:val="25"/>
                <w:sz w:val="20"/>
                <w:szCs w:val="20"/>
                <w:shd w:val="solid" w:color="000000" w:fill="000000"/>
                <w:fitText w:val="111" w:id="-1167898367"/>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5</w:t>
            </w:r>
          </w:p>
        </w:tc>
        <w:tc>
          <w:tcPr>
            <w:tcW w:w="598" w:type="pct"/>
            <w:shd w:val="clear" w:color="auto" w:fill="auto"/>
            <w:vAlign w:val="center"/>
          </w:tcPr>
          <w:p w14:paraId="652B7E65" w14:textId="79A87106"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hint="eastAsia"/>
                <w:color w:val="000000"/>
                <w:w w:val="27"/>
                <w:sz w:val="20"/>
                <w:szCs w:val="20"/>
                <w:shd w:val="solid" w:color="000000" w:fill="000000"/>
                <w:fitText w:val="122" w:id="-1167898366"/>
                <w14:textFill>
                  <w14:solidFill>
                    <w14:srgbClr w14:val="000000">
                      <w14:alpha w14:val="100000"/>
                    </w14:srgbClr>
                  </w14:solidFill>
                </w14:textFill>
              </w:rPr>
              <w:t xml:space="preserve">　</w:t>
            </w:r>
            <w:r w:rsidR="00546AD5" w:rsidRPr="00546AD5">
              <w:rPr>
                <w:rFonts w:ascii="Arial Narrow" w:hAnsi="Arial Narrow"/>
                <w:color w:val="000000"/>
                <w:w w:val="27"/>
                <w:sz w:val="20"/>
                <w:szCs w:val="20"/>
                <w:shd w:val="solid" w:color="000000" w:fill="000000"/>
                <w:fitText w:val="122" w:id="-1167898366"/>
                <w14:textFill>
                  <w14:solidFill>
                    <w14:srgbClr w14:val="000000">
                      <w14:alpha w14:val="100000"/>
                    </w14:srgbClr>
                  </w14:solidFill>
                </w14:textFill>
              </w:rPr>
              <w:t>|</w:t>
            </w:r>
            <w:r w:rsidR="00546AD5" w:rsidRPr="00546AD5">
              <w:rPr>
                <w:rFonts w:ascii="Arial Narrow" w:hAnsi="Arial Narrow" w:hint="eastAsia"/>
                <w:color w:val="000000"/>
                <w:spacing w:val="4"/>
                <w:w w:val="27"/>
                <w:sz w:val="20"/>
                <w:szCs w:val="20"/>
                <w:shd w:val="solid" w:color="000000" w:fill="000000"/>
                <w:fitText w:val="122" w:id="-1167898366"/>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5</w:t>
            </w:r>
          </w:p>
        </w:tc>
      </w:tr>
      <w:tr w:rsidR="0006693E" w:rsidRPr="00271560" w14:paraId="3D47E81C" w14:textId="77777777" w:rsidTr="0006693E">
        <w:tc>
          <w:tcPr>
            <w:tcW w:w="1491" w:type="pct"/>
            <w:shd w:val="clear" w:color="auto" w:fill="auto"/>
            <w:vAlign w:val="center"/>
          </w:tcPr>
          <w:p w14:paraId="2BE7CA29" w14:textId="77777777" w:rsidR="00AC2298" w:rsidRPr="00271560" w:rsidRDefault="00AC2298" w:rsidP="00DD7992">
            <w:pPr>
              <w:keepNext/>
              <w:keepLines/>
              <w:jc w:val="left"/>
              <w:rPr>
                <w:rFonts w:ascii="Arial Narrow" w:hAnsi="Arial Narrow"/>
                <w:sz w:val="20"/>
                <w:szCs w:val="20"/>
              </w:rPr>
            </w:pPr>
            <w:r w:rsidRPr="00271560">
              <w:rPr>
                <w:rFonts w:ascii="Arial Narrow" w:hAnsi="Arial Narrow"/>
                <w:sz w:val="20"/>
                <w:szCs w:val="20"/>
              </w:rPr>
              <w:t>Admin cost for nusinersen</w:t>
            </w:r>
          </w:p>
        </w:tc>
        <w:tc>
          <w:tcPr>
            <w:tcW w:w="550" w:type="pct"/>
            <w:shd w:val="clear" w:color="auto" w:fill="auto"/>
            <w:vAlign w:val="center"/>
          </w:tcPr>
          <w:p w14:paraId="76436022" w14:textId="7FCE5969"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color w:val="000000"/>
                <w:spacing w:val="81"/>
                <w:sz w:val="20"/>
                <w:szCs w:val="20"/>
                <w:shd w:val="solid" w:color="000000" w:fill="000000"/>
                <w:fitText w:val="167" w:id="-1167898365"/>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7" w:id="-1167898365"/>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shd w:val="clear" w:color="auto" w:fill="auto"/>
            <w:vAlign w:val="center"/>
          </w:tcPr>
          <w:p w14:paraId="11CBDF02" w14:textId="05951D26"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color w:val="000000"/>
                <w:spacing w:val="91"/>
                <w:sz w:val="20"/>
                <w:szCs w:val="20"/>
                <w:shd w:val="solid" w:color="000000" w:fill="000000"/>
                <w:fitText w:val="177" w:id="-1167898364"/>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77" w:id="-1167898364"/>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1" w:type="pct"/>
            <w:shd w:val="clear" w:color="auto" w:fill="auto"/>
            <w:vAlign w:val="center"/>
          </w:tcPr>
          <w:p w14:paraId="5536FD82" w14:textId="6F394DA1"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color w:val="000000"/>
                <w:spacing w:val="80"/>
                <w:sz w:val="20"/>
                <w:szCs w:val="20"/>
                <w:shd w:val="solid" w:color="000000" w:fill="000000"/>
                <w:fitText w:val="166" w:id="-1167898363"/>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6" w:id="-1167898363"/>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shd w:val="clear" w:color="auto" w:fill="auto"/>
            <w:vAlign w:val="center"/>
          </w:tcPr>
          <w:p w14:paraId="39A83D64" w14:textId="5DD52FCA"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hint="eastAsia"/>
                <w:color w:val="000000"/>
                <w:w w:val="24"/>
                <w:sz w:val="20"/>
                <w:szCs w:val="20"/>
                <w:shd w:val="solid" w:color="000000" w:fill="000000"/>
                <w:fitText w:val="110" w:id="-1167898362"/>
                <w14:textFill>
                  <w14:solidFill>
                    <w14:srgbClr w14:val="000000">
                      <w14:alpha w14:val="100000"/>
                    </w14:srgbClr>
                  </w14:solidFill>
                </w14:textFill>
              </w:rPr>
              <w:t xml:space="preserve">　</w:t>
            </w:r>
            <w:r w:rsidR="00546AD5" w:rsidRPr="00546AD5">
              <w:rPr>
                <w:rFonts w:ascii="Arial Narrow" w:hAnsi="Arial Narrow"/>
                <w:color w:val="000000"/>
                <w:w w:val="24"/>
                <w:sz w:val="20"/>
                <w:szCs w:val="20"/>
                <w:shd w:val="solid" w:color="000000" w:fill="000000"/>
                <w:fitText w:val="110" w:id="-1167898362"/>
                <w14:textFill>
                  <w14:solidFill>
                    <w14:srgbClr w14:val="000000">
                      <w14:alpha w14:val="100000"/>
                    </w14:srgbClr>
                  </w14:solidFill>
                </w14:textFill>
              </w:rPr>
              <w:t>|</w:t>
            </w:r>
            <w:r w:rsidR="00546AD5" w:rsidRPr="00546AD5">
              <w:rPr>
                <w:rFonts w:ascii="Arial Narrow" w:hAnsi="Arial Narrow" w:hint="eastAsia"/>
                <w:color w:val="000000"/>
                <w:spacing w:val="6"/>
                <w:w w:val="24"/>
                <w:sz w:val="20"/>
                <w:szCs w:val="20"/>
                <w:shd w:val="solid" w:color="000000" w:fill="000000"/>
                <w:fitText w:val="110" w:id="-1167898362"/>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shd w:val="clear" w:color="auto" w:fill="auto"/>
            <w:vAlign w:val="center"/>
          </w:tcPr>
          <w:p w14:paraId="06480504" w14:textId="69EF3CF0"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hint="eastAsia"/>
                <w:color w:val="000000"/>
                <w:w w:val="25"/>
                <w:sz w:val="20"/>
                <w:szCs w:val="20"/>
                <w:shd w:val="solid" w:color="000000" w:fill="000000"/>
                <w:fitText w:val="111" w:id="-1167898361"/>
                <w14:textFill>
                  <w14:solidFill>
                    <w14:srgbClr w14:val="000000">
                      <w14:alpha w14:val="100000"/>
                    </w14:srgbClr>
                  </w14:solidFill>
                </w14:textFill>
              </w:rPr>
              <w:t xml:space="preserve">　</w:t>
            </w:r>
            <w:r w:rsidR="00546AD5" w:rsidRPr="00546AD5">
              <w:rPr>
                <w:rFonts w:ascii="Arial Narrow" w:hAnsi="Arial Narrow"/>
                <w:color w:val="000000"/>
                <w:w w:val="25"/>
                <w:sz w:val="20"/>
                <w:szCs w:val="20"/>
                <w:shd w:val="solid" w:color="000000" w:fill="000000"/>
                <w:fitText w:val="111" w:id="-1167898361"/>
                <w14:textFill>
                  <w14:solidFill>
                    <w14:srgbClr w14:val="000000">
                      <w14:alpha w14:val="100000"/>
                    </w14:srgbClr>
                  </w14:solidFill>
                </w14:textFill>
              </w:rPr>
              <w:t>|</w:t>
            </w:r>
            <w:r w:rsidR="00546AD5" w:rsidRPr="00546AD5">
              <w:rPr>
                <w:rFonts w:ascii="Arial Narrow" w:hAnsi="Arial Narrow" w:hint="eastAsia"/>
                <w:color w:val="000000"/>
                <w:w w:val="25"/>
                <w:sz w:val="20"/>
                <w:szCs w:val="20"/>
                <w:shd w:val="solid" w:color="000000" w:fill="000000"/>
                <w:fitText w:val="111" w:id="-1167898361"/>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98" w:type="pct"/>
            <w:shd w:val="clear" w:color="auto" w:fill="auto"/>
            <w:vAlign w:val="center"/>
          </w:tcPr>
          <w:p w14:paraId="13F51C35" w14:textId="0C8F66C2" w:rsidR="00AC2298" w:rsidRPr="00E95474" w:rsidRDefault="00AC2298" w:rsidP="00DD7992">
            <w:pPr>
              <w:keepNext/>
              <w:keepLines/>
              <w:jc w:val="center"/>
              <w:rPr>
                <w:rFonts w:ascii="Arial Narrow" w:hAnsi="Arial Narrow"/>
                <w:color w:val="000000"/>
                <w:sz w:val="20"/>
                <w:szCs w:val="20"/>
              </w:rPr>
            </w:pPr>
            <w:r w:rsidRPr="00523ABB">
              <w:rPr>
                <w:rFonts w:ascii="Arial Narrow" w:hAnsi="Arial Narrow"/>
                <w:color w:val="000000"/>
                <w:sz w:val="20"/>
                <w:szCs w:val="20"/>
              </w:rPr>
              <w:t>$</w:t>
            </w:r>
            <w:r w:rsidR="00546AD5" w:rsidRPr="00546AD5">
              <w:rPr>
                <w:rFonts w:ascii="Arial Narrow" w:hAnsi="Arial Narrow" w:hint="eastAsia"/>
                <w:color w:val="000000"/>
                <w:w w:val="27"/>
                <w:sz w:val="20"/>
                <w:szCs w:val="20"/>
                <w:shd w:val="solid" w:color="000000" w:fill="000000"/>
                <w:fitText w:val="122" w:id="-1167898360"/>
                <w14:textFill>
                  <w14:solidFill>
                    <w14:srgbClr w14:val="000000">
                      <w14:alpha w14:val="100000"/>
                    </w14:srgbClr>
                  </w14:solidFill>
                </w14:textFill>
              </w:rPr>
              <w:t xml:space="preserve">　</w:t>
            </w:r>
            <w:r w:rsidR="00546AD5" w:rsidRPr="00546AD5">
              <w:rPr>
                <w:rFonts w:ascii="Arial Narrow" w:hAnsi="Arial Narrow"/>
                <w:color w:val="000000"/>
                <w:w w:val="27"/>
                <w:sz w:val="20"/>
                <w:szCs w:val="20"/>
                <w:shd w:val="solid" w:color="000000" w:fill="000000"/>
                <w:fitText w:val="122" w:id="-1167898360"/>
                <w14:textFill>
                  <w14:solidFill>
                    <w14:srgbClr w14:val="000000">
                      <w14:alpha w14:val="100000"/>
                    </w14:srgbClr>
                  </w14:solidFill>
                </w14:textFill>
              </w:rPr>
              <w:t>|</w:t>
            </w:r>
            <w:r w:rsidR="00546AD5" w:rsidRPr="00546AD5">
              <w:rPr>
                <w:rFonts w:ascii="Arial Narrow" w:hAnsi="Arial Narrow" w:hint="eastAsia"/>
                <w:color w:val="000000"/>
                <w:spacing w:val="4"/>
                <w:w w:val="27"/>
                <w:sz w:val="20"/>
                <w:szCs w:val="20"/>
                <w:shd w:val="solid" w:color="000000" w:fill="000000"/>
                <w:fitText w:val="122" w:id="-1167898360"/>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r>
      <w:tr w:rsidR="0006693E" w:rsidRPr="00271560" w14:paraId="7ADFF2F8" w14:textId="77777777" w:rsidTr="0006693E">
        <w:tc>
          <w:tcPr>
            <w:tcW w:w="1491" w:type="pct"/>
            <w:shd w:val="clear" w:color="auto" w:fill="auto"/>
            <w:vAlign w:val="center"/>
          </w:tcPr>
          <w:p w14:paraId="0AA03F42" w14:textId="77DB06C5" w:rsidR="00AC2298" w:rsidRPr="00271560" w:rsidRDefault="00AC2298" w:rsidP="00DD7992">
            <w:pPr>
              <w:keepNext/>
              <w:keepLines/>
              <w:jc w:val="left"/>
              <w:rPr>
                <w:rFonts w:ascii="Arial Narrow" w:hAnsi="Arial Narrow"/>
                <w:b/>
                <w:bCs/>
                <w:sz w:val="20"/>
                <w:szCs w:val="20"/>
              </w:rPr>
            </w:pPr>
            <w:r w:rsidRPr="00271560">
              <w:rPr>
                <w:rFonts w:ascii="Arial Narrow" w:hAnsi="Arial Narrow"/>
                <w:b/>
                <w:bCs/>
                <w:sz w:val="20"/>
                <w:szCs w:val="20"/>
              </w:rPr>
              <w:t xml:space="preserve">Total </w:t>
            </w:r>
            <w:r w:rsidR="00475785">
              <w:rPr>
                <w:rFonts w:ascii="Arial Narrow" w:hAnsi="Arial Narrow"/>
                <w:b/>
                <w:bCs/>
                <w:sz w:val="20"/>
                <w:szCs w:val="20"/>
              </w:rPr>
              <w:t xml:space="preserve">MBS/PBS </w:t>
            </w:r>
            <w:r w:rsidRPr="00271560">
              <w:rPr>
                <w:rFonts w:ascii="Arial Narrow" w:hAnsi="Arial Narrow"/>
                <w:b/>
                <w:bCs/>
                <w:sz w:val="20"/>
                <w:szCs w:val="20"/>
              </w:rPr>
              <w:t>cost of nusinersen, pre-symptomatic initiation</w:t>
            </w:r>
          </w:p>
        </w:tc>
        <w:tc>
          <w:tcPr>
            <w:tcW w:w="550" w:type="pct"/>
            <w:shd w:val="clear" w:color="auto" w:fill="auto"/>
            <w:vAlign w:val="center"/>
          </w:tcPr>
          <w:p w14:paraId="40A78C96" w14:textId="0EA71793" w:rsidR="00AC2298" w:rsidRPr="00E95474" w:rsidRDefault="00AC2298" w:rsidP="00DD7992">
            <w:pPr>
              <w:keepNext/>
              <w:keepLines/>
              <w:jc w:val="center"/>
              <w:rPr>
                <w:rFonts w:ascii="Arial Narrow" w:hAnsi="Arial Narrow"/>
                <w:b/>
                <w:bCs/>
                <w:color w:val="000000"/>
                <w:sz w:val="20"/>
                <w:szCs w:val="20"/>
              </w:rPr>
            </w:pPr>
            <w:r w:rsidRPr="00523ABB">
              <w:rPr>
                <w:rFonts w:ascii="Arial Narrow" w:hAnsi="Arial Narrow"/>
                <w:b/>
                <w:bCs/>
                <w:color w:val="000000"/>
                <w:sz w:val="20"/>
                <w:szCs w:val="20"/>
              </w:rPr>
              <w:t>$</w:t>
            </w:r>
            <w:r w:rsidR="00546AD5" w:rsidRPr="00546AD5">
              <w:rPr>
                <w:rFonts w:ascii="Arial Narrow" w:hAnsi="Arial Narrow"/>
                <w:b/>
                <w:bCs/>
                <w:color w:val="000000"/>
                <w:spacing w:val="42"/>
                <w:sz w:val="20"/>
                <w:szCs w:val="20"/>
                <w:shd w:val="solid" w:color="000000" w:fill="000000"/>
                <w:fitText w:val="222" w:id="-1167898359"/>
                <w14:textFill>
                  <w14:solidFill>
                    <w14:srgbClr w14:val="000000">
                      <w14:alpha w14:val="100000"/>
                    </w14:srgbClr>
                  </w14:solidFill>
                </w14:textFill>
              </w:rPr>
              <w:t>||</w:t>
            </w:r>
            <w:r w:rsidR="00546AD5" w:rsidRPr="00546AD5">
              <w:rPr>
                <w:rFonts w:ascii="Arial Narrow" w:hAnsi="Arial Narrow"/>
                <w:b/>
                <w:bCs/>
                <w:color w:val="000000"/>
                <w:spacing w:val="1"/>
                <w:sz w:val="20"/>
                <w:szCs w:val="20"/>
                <w:shd w:val="solid" w:color="000000" w:fill="000000"/>
                <w:fitText w:val="222" w:id="-1167898359"/>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shd w:val="clear" w:color="auto" w:fill="auto"/>
            <w:vAlign w:val="center"/>
          </w:tcPr>
          <w:p w14:paraId="76C92683" w14:textId="08EB225C" w:rsidR="00AC2298" w:rsidRPr="00E95474" w:rsidRDefault="00AC2298" w:rsidP="00DD7992">
            <w:pPr>
              <w:keepNext/>
              <w:keepLines/>
              <w:jc w:val="center"/>
              <w:rPr>
                <w:rFonts w:ascii="Arial Narrow" w:hAnsi="Arial Narrow"/>
                <w:b/>
                <w:bCs/>
                <w:color w:val="000000"/>
                <w:sz w:val="20"/>
                <w:szCs w:val="20"/>
              </w:rPr>
            </w:pPr>
            <w:r w:rsidRPr="00523ABB">
              <w:rPr>
                <w:rFonts w:ascii="Arial Narrow" w:hAnsi="Arial Narrow"/>
                <w:b/>
                <w:bCs/>
                <w:color w:val="000000"/>
                <w:sz w:val="20"/>
                <w:szCs w:val="20"/>
              </w:rPr>
              <w:t>$</w:t>
            </w:r>
            <w:r w:rsidR="00546AD5" w:rsidRPr="00546AD5">
              <w:rPr>
                <w:rFonts w:ascii="Arial Narrow" w:hAnsi="Arial Narrow"/>
                <w:b/>
                <w:bCs/>
                <w:color w:val="000000"/>
                <w:spacing w:val="42"/>
                <w:sz w:val="20"/>
                <w:szCs w:val="20"/>
                <w:shd w:val="solid" w:color="000000" w:fill="000000"/>
                <w:fitText w:val="222" w:id="-1167898358"/>
                <w14:textFill>
                  <w14:solidFill>
                    <w14:srgbClr w14:val="000000">
                      <w14:alpha w14:val="100000"/>
                    </w14:srgbClr>
                  </w14:solidFill>
                </w14:textFill>
              </w:rPr>
              <w:t>||</w:t>
            </w:r>
            <w:r w:rsidR="00546AD5" w:rsidRPr="00546AD5">
              <w:rPr>
                <w:rFonts w:ascii="Arial Narrow" w:hAnsi="Arial Narrow"/>
                <w:b/>
                <w:bCs/>
                <w:color w:val="000000"/>
                <w:spacing w:val="1"/>
                <w:sz w:val="20"/>
                <w:szCs w:val="20"/>
                <w:shd w:val="solid" w:color="000000" w:fill="000000"/>
                <w:fitText w:val="222" w:id="-1167898358"/>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1" w:type="pct"/>
            <w:shd w:val="clear" w:color="auto" w:fill="auto"/>
            <w:vAlign w:val="center"/>
          </w:tcPr>
          <w:p w14:paraId="1DD76F7F" w14:textId="49290A0C" w:rsidR="00AC2298" w:rsidRPr="00E95474" w:rsidRDefault="00AC2298" w:rsidP="00DD7992">
            <w:pPr>
              <w:keepNext/>
              <w:keepLines/>
              <w:jc w:val="center"/>
              <w:rPr>
                <w:rFonts w:ascii="Arial Narrow" w:hAnsi="Arial Narrow"/>
                <w:b/>
                <w:bCs/>
                <w:color w:val="000000"/>
                <w:sz w:val="20"/>
                <w:szCs w:val="20"/>
              </w:rPr>
            </w:pPr>
            <w:r w:rsidRPr="00523ABB">
              <w:rPr>
                <w:rFonts w:ascii="Arial Narrow" w:hAnsi="Arial Narrow"/>
                <w:b/>
                <w:bCs/>
                <w:color w:val="000000"/>
                <w:sz w:val="20"/>
                <w:szCs w:val="20"/>
              </w:rPr>
              <w:t>$</w:t>
            </w:r>
            <w:r w:rsidR="00546AD5" w:rsidRPr="00546AD5">
              <w:rPr>
                <w:rFonts w:ascii="Arial Narrow" w:hAnsi="Arial Narrow"/>
                <w:b/>
                <w:bCs/>
                <w:color w:val="000000"/>
                <w:spacing w:val="42"/>
                <w:sz w:val="20"/>
                <w:szCs w:val="20"/>
                <w:shd w:val="solid" w:color="000000" w:fill="000000"/>
                <w:fitText w:val="222" w:id="-1167898357"/>
                <w14:textFill>
                  <w14:solidFill>
                    <w14:srgbClr w14:val="000000">
                      <w14:alpha w14:val="100000"/>
                    </w14:srgbClr>
                  </w14:solidFill>
                </w14:textFill>
              </w:rPr>
              <w:t>||</w:t>
            </w:r>
            <w:r w:rsidR="00546AD5" w:rsidRPr="00546AD5">
              <w:rPr>
                <w:rFonts w:ascii="Arial Narrow" w:hAnsi="Arial Narrow"/>
                <w:b/>
                <w:bCs/>
                <w:color w:val="000000"/>
                <w:spacing w:val="1"/>
                <w:sz w:val="20"/>
                <w:szCs w:val="20"/>
                <w:shd w:val="solid" w:color="000000" w:fill="000000"/>
                <w:fitText w:val="222" w:id="-1167898357"/>
                <w14:textFill>
                  <w14:solidFill>
                    <w14:srgbClr w14:val="000000">
                      <w14:alpha w14:val="100000"/>
                    </w14:srgbClr>
                  </w14:solidFill>
                </w14:textFill>
              </w:rPr>
              <w:t>|</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629" w:type="pct"/>
            <w:shd w:val="clear" w:color="auto" w:fill="auto"/>
            <w:vAlign w:val="center"/>
          </w:tcPr>
          <w:p w14:paraId="6CDD1102" w14:textId="7D1ADFE5" w:rsidR="00AC2298" w:rsidRPr="00E95474" w:rsidRDefault="00AC2298" w:rsidP="00DD7992">
            <w:pPr>
              <w:keepNext/>
              <w:keepLines/>
              <w:jc w:val="center"/>
              <w:rPr>
                <w:rFonts w:ascii="Arial Narrow" w:hAnsi="Arial Narrow"/>
                <w:b/>
                <w:bCs/>
                <w:color w:val="000000"/>
                <w:sz w:val="20"/>
                <w:szCs w:val="20"/>
              </w:rPr>
            </w:pPr>
            <w:r w:rsidRPr="00523ABB">
              <w:rPr>
                <w:rFonts w:ascii="Arial Narrow" w:hAnsi="Arial Narrow"/>
                <w:b/>
                <w:bCs/>
                <w:color w:val="000000"/>
                <w:sz w:val="20"/>
                <w:szCs w:val="20"/>
              </w:rPr>
              <w:t>$</w:t>
            </w:r>
            <w:r w:rsidR="00546AD5" w:rsidRPr="00546AD5">
              <w:rPr>
                <w:rFonts w:ascii="Arial Narrow" w:hAnsi="Arial Narrow"/>
                <w:b/>
                <w:bCs/>
                <w:color w:val="000000"/>
                <w:spacing w:val="64"/>
                <w:sz w:val="20"/>
                <w:szCs w:val="20"/>
                <w:shd w:val="solid" w:color="000000" w:fill="000000"/>
                <w:fitText w:val="156" w:id="-1167898356"/>
                <w14:textFill>
                  <w14:solidFill>
                    <w14:srgbClr w14:val="000000">
                      <w14:alpha w14:val="100000"/>
                    </w14:srgbClr>
                  </w14:solidFill>
                </w14:textFill>
              </w:rPr>
              <w:t>|</w:t>
            </w:r>
            <w:r w:rsidR="00546AD5" w:rsidRPr="00546AD5">
              <w:rPr>
                <w:rFonts w:ascii="Arial Narrow" w:hAnsi="Arial Narrow"/>
                <w:b/>
                <w:bCs/>
                <w:color w:val="000000"/>
                <w:spacing w:val="1"/>
                <w:sz w:val="20"/>
                <w:szCs w:val="20"/>
                <w:shd w:val="solid" w:color="000000" w:fill="000000"/>
                <w:fitText w:val="156" w:id="-1167898356"/>
                <w14:textFill>
                  <w14:solidFill>
                    <w14:srgbClr w14:val="000000">
                      <w14:alpha w14:val="100000"/>
                    </w14:srgbClr>
                  </w14:solidFill>
                </w14:textFill>
              </w:rPr>
              <w:t>|</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629" w:type="pct"/>
            <w:shd w:val="clear" w:color="auto" w:fill="auto"/>
            <w:vAlign w:val="center"/>
          </w:tcPr>
          <w:p w14:paraId="77E26A91" w14:textId="5BFB0DC7" w:rsidR="00AC2298" w:rsidRPr="00E95474" w:rsidRDefault="00AC2298" w:rsidP="00DD7992">
            <w:pPr>
              <w:keepNext/>
              <w:keepLines/>
              <w:jc w:val="center"/>
              <w:rPr>
                <w:rFonts w:ascii="Arial Narrow" w:hAnsi="Arial Narrow"/>
                <w:b/>
                <w:bCs/>
                <w:color w:val="000000"/>
                <w:sz w:val="20"/>
                <w:szCs w:val="20"/>
              </w:rPr>
            </w:pPr>
            <w:r w:rsidRPr="00523ABB">
              <w:rPr>
                <w:rFonts w:ascii="Arial Narrow" w:hAnsi="Arial Narrow"/>
                <w:b/>
                <w:bCs/>
                <w:color w:val="000000"/>
                <w:sz w:val="20"/>
                <w:szCs w:val="20"/>
              </w:rPr>
              <w:t>$</w:t>
            </w:r>
            <w:r w:rsidR="00546AD5" w:rsidRPr="00546AD5">
              <w:rPr>
                <w:rFonts w:ascii="Arial Narrow" w:hAnsi="Arial Narrow"/>
                <w:b/>
                <w:bCs/>
                <w:color w:val="000000"/>
                <w:spacing w:val="63"/>
                <w:sz w:val="20"/>
                <w:szCs w:val="20"/>
                <w:shd w:val="solid" w:color="000000" w:fill="000000"/>
                <w:fitText w:val="155" w:id="-1167898355"/>
                <w14:textFill>
                  <w14:solidFill>
                    <w14:srgbClr w14:val="000000">
                      <w14:alpha w14:val="100000"/>
                    </w14:srgbClr>
                  </w14:solidFill>
                </w14:textFill>
              </w:rPr>
              <w:t>|</w:t>
            </w:r>
            <w:r w:rsidR="00546AD5" w:rsidRPr="00546AD5">
              <w:rPr>
                <w:rFonts w:ascii="Arial Narrow" w:hAnsi="Arial Narrow"/>
                <w:b/>
                <w:bCs/>
                <w:color w:val="000000"/>
                <w:spacing w:val="1"/>
                <w:sz w:val="20"/>
                <w:szCs w:val="20"/>
                <w:shd w:val="solid" w:color="000000" w:fill="000000"/>
                <w:fitText w:val="155" w:id="-1167898355"/>
                <w14:textFill>
                  <w14:solidFill>
                    <w14:srgbClr w14:val="000000">
                      <w14:alpha w14:val="100000"/>
                    </w14:srgbClr>
                  </w14:solidFill>
                </w14:textFill>
              </w:rPr>
              <w:t>|</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5</w:t>
            </w:r>
          </w:p>
        </w:tc>
        <w:tc>
          <w:tcPr>
            <w:tcW w:w="598" w:type="pct"/>
            <w:shd w:val="clear" w:color="auto" w:fill="auto"/>
            <w:vAlign w:val="center"/>
          </w:tcPr>
          <w:p w14:paraId="441F2BCB" w14:textId="2B71EC48" w:rsidR="00AC2298" w:rsidRPr="00E95474" w:rsidRDefault="00AC2298" w:rsidP="00DD7992">
            <w:pPr>
              <w:keepNext/>
              <w:keepLines/>
              <w:jc w:val="center"/>
              <w:rPr>
                <w:rFonts w:ascii="Arial Narrow" w:hAnsi="Arial Narrow"/>
                <w:b/>
                <w:bCs/>
                <w:color w:val="000000"/>
                <w:sz w:val="20"/>
                <w:szCs w:val="20"/>
              </w:rPr>
            </w:pPr>
            <w:r w:rsidRPr="00523ABB">
              <w:rPr>
                <w:rFonts w:ascii="Arial Narrow" w:hAnsi="Arial Narrow"/>
                <w:b/>
                <w:bCs/>
                <w:color w:val="000000"/>
                <w:sz w:val="20"/>
                <w:szCs w:val="20"/>
              </w:rPr>
              <w:t>$</w:t>
            </w:r>
            <w:r w:rsidR="00546AD5" w:rsidRPr="00546AD5">
              <w:rPr>
                <w:rFonts w:ascii="Arial Narrow" w:hAnsi="Arial Narrow"/>
                <w:b/>
                <w:bCs/>
                <w:color w:val="000000"/>
                <w:spacing w:val="85"/>
                <w:sz w:val="20"/>
                <w:szCs w:val="20"/>
                <w:shd w:val="solid" w:color="000000" w:fill="000000"/>
                <w:fitText w:val="177" w:id="-1167898354"/>
                <w14:textFill>
                  <w14:solidFill>
                    <w14:srgbClr w14:val="000000">
                      <w14:alpha w14:val="100000"/>
                    </w14:srgbClr>
                  </w14:solidFill>
                </w14:textFill>
              </w:rPr>
              <w:t>|</w:t>
            </w:r>
            <w:r w:rsidR="00546AD5" w:rsidRPr="00546AD5">
              <w:rPr>
                <w:rFonts w:ascii="Arial Narrow" w:hAnsi="Arial Narrow"/>
                <w:b/>
                <w:bCs/>
                <w:color w:val="000000"/>
                <w:spacing w:val="1"/>
                <w:sz w:val="20"/>
                <w:szCs w:val="20"/>
                <w:shd w:val="solid" w:color="000000" w:fill="000000"/>
                <w:fitText w:val="177" w:id="-1167898354"/>
                <w14:textFill>
                  <w14:solidFill>
                    <w14:srgbClr w14:val="000000">
                      <w14:alpha w14:val="100000"/>
                    </w14:srgbClr>
                  </w14:solidFill>
                </w14:textFill>
              </w:rPr>
              <w:t>|</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5</w:t>
            </w:r>
          </w:p>
        </w:tc>
      </w:tr>
      <w:tr w:rsidR="00475785" w:rsidRPr="00271560" w14:paraId="6F7232D7" w14:textId="77777777" w:rsidTr="00CB2C92">
        <w:tc>
          <w:tcPr>
            <w:tcW w:w="5000" w:type="pct"/>
            <w:gridSpan w:val="7"/>
            <w:vAlign w:val="center"/>
          </w:tcPr>
          <w:p w14:paraId="2F872A65" w14:textId="77777777" w:rsidR="00475785" w:rsidRPr="00E95474" w:rsidRDefault="00475785" w:rsidP="00DD7992">
            <w:pPr>
              <w:keepNext/>
              <w:keepLines/>
              <w:jc w:val="left"/>
              <w:rPr>
                <w:rFonts w:ascii="Arial Narrow" w:hAnsi="Arial Narrow"/>
                <w:sz w:val="20"/>
                <w:szCs w:val="20"/>
              </w:rPr>
            </w:pPr>
            <w:r w:rsidRPr="00E95474">
              <w:rPr>
                <w:rFonts w:ascii="Arial Narrow" w:hAnsi="Arial Narrow"/>
                <w:sz w:val="20"/>
                <w:szCs w:val="20"/>
              </w:rPr>
              <w:t xml:space="preserve">Number of pre-symptomatic nusinersen doses used for SoC </w:t>
            </w:r>
            <w:r w:rsidRPr="00E95474">
              <w:rPr>
                <w:rFonts w:ascii="Arial Narrow" w:hAnsi="Arial Narrow"/>
                <w:sz w:val="20"/>
                <w:szCs w:val="20"/>
                <w:vertAlign w:val="superscript"/>
              </w:rPr>
              <w:t>a</w:t>
            </w:r>
          </w:p>
        </w:tc>
      </w:tr>
      <w:tr w:rsidR="0006693E" w:rsidRPr="00271560" w14:paraId="3C7C4FCE" w14:textId="77777777" w:rsidTr="0006693E">
        <w:tc>
          <w:tcPr>
            <w:tcW w:w="1491" w:type="pct"/>
            <w:vAlign w:val="center"/>
          </w:tcPr>
          <w:p w14:paraId="0B154D42" w14:textId="77777777" w:rsidR="00475785" w:rsidRPr="00271560" w:rsidRDefault="00475785" w:rsidP="00DD7992">
            <w:pPr>
              <w:keepNext/>
              <w:keepLines/>
              <w:jc w:val="left"/>
              <w:rPr>
                <w:rFonts w:ascii="Arial Narrow" w:hAnsi="Arial Narrow"/>
                <w:sz w:val="20"/>
                <w:szCs w:val="20"/>
              </w:rPr>
            </w:pPr>
            <w:r w:rsidRPr="00271560">
              <w:rPr>
                <w:rFonts w:ascii="Arial Narrow" w:hAnsi="Arial Narrow"/>
                <w:color w:val="000000"/>
                <w:sz w:val="20"/>
                <w:szCs w:val="20"/>
              </w:rPr>
              <w:t>Year 1 initiation</w:t>
            </w:r>
          </w:p>
        </w:tc>
        <w:tc>
          <w:tcPr>
            <w:tcW w:w="550" w:type="pct"/>
            <w:vAlign w:val="center"/>
          </w:tcPr>
          <w:p w14:paraId="4B4186DC" w14:textId="78BAA012"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3"/>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3"/>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3"/>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2" w:type="pct"/>
            <w:vAlign w:val="center"/>
          </w:tcPr>
          <w:p w14:paraId="2BDF945E" w14:textId="5A5BFD6B"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2"/>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2"/>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2"/>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1" w:type="pct"/>
            <w:vAlign w:val="center"/>
          </w:tcPr>
          <w:p w14:paraId="3B4BA9F3" w14:textId="1F0A1243"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8"/>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8"/>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8"/>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60C393E9" w14:textId="1E18AE19"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7"/>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7"/>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7"/>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4A0E3A2B" w14:textId="7403D5E0"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6"/>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6"/>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6"/>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98" w:type="pct"/>
            <w:vAlign w:val="center"/>
          </w:tcPr>
          <w:p w14:paraId="1EDA6C60" w14:textId="2047AA02"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365"/>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365"/>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365"/>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r>
      <w:tr w:rsidR="0006693E" w:rsidRPr="00271560" w14:paraId="28A9F9E7" w14:textId="77777777" w:rsidTr="0006693E">
        <w:tc>
          <w:tcPr>
            <w:tcW w:w="1491" w:type="pct"/>
            <w:vAlign w:val="center"/>
          </w:tcPr>
          <w:p w14:paraId="080E5CC5" w14:textId="77777777" w:rsidR="00475785" w:rsidRPr="00271560" w:rsidRDefault="00475785" w:rsidP="00DD7992">
            <w:pPr>
              <w:keepNext/>
              <w:keepLines/>
              <w:jc w:val="left"/>
              <w:rPr>
                <w:rFonts w:ascii="Arial Narrow" w:hAnsi="Arial Narrow"/>
                <w:sz w:val="20"/>
                <w:szCs w:val="20"/>
              </w:rPr>
            </w:pPr>
            <w:r w:rsidRPr="00271560">
              <w:rPr>
                <w:rFonts w:ascii="Arial Narrow" w:hAnsi="Arial Narrow"/>
                <w:color w:val="000000"/>
                <w:sz w:val="20"/>
                <w:szCs w:val="20"/>
              </w:rPr>
              <w:t>Year 1 continuation</w:t>
            </w:r>
          </w:p>
        </w:tc>
        <w:tc>
          <w:tcPr>
            <w:tcW w:w="550" w:type="pct"/>
            <w:vAlign w:val="center"/>
          </w:tcPr>
          <w:p w14:paraId="2A099742" w14:textId="02D3B65A"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4"/>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4"/>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4"/>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2" w:type="pct"/>
            <w:vAlign w:val="center"/>
          </w:tcPr>
          <w:p w14:paraId="4CFC8077" w14:textId="58CDB436"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3"/>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3"/>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3"/>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1" w:type="pct"/>
            <w:vAlign w:val="center"/>
          </w:tcPr>
          <w:p w14:paraId="0DD925A2" w14:textId="20F2C4D7"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2"/>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2"/>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2"/>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5E856781" w14:textId="76F26798"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1"/>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1"/>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1"/>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3EE0ADC9" w14:textId="3937CB2F"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0"/>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0"/>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0"/>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98" w:type="pct"/>
            <w:vAlign w:val="center"/>
          </w:tcPr>
          <w:p w14:paraId="4C77BD67" w14:textId="75E16AA6"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359"/>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359"/>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359"/>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r>
      <w:tr w:rsidR="0006693E" w:rsidRPr="00271560" w14:paraId="42DC1967" w14:textId="77777777" w:rsidTr="0006693E">
        <w:tc>
          <w:tcPr>
            <w:tcW w:w="1491" w:type="pct"/>
            <w:vAlign w:val="center"/>
          </w:tcPr>
          <w:p w14:paraId="1BE4D276" w14:textId="77777777" w:rsidR="00475785" w:rsidRPr="00271560" w:rsidRDefault="00475785" w:rsidP="00DD7992">
            <w:pPr>
              <w:keepNext/>
              <w:keepLines/>
              <w:jc w:val="left"/>
              <w:rPr>
                <w:rFonts w:ascii="Arial Narrow" w:hAnsi="Arial Narrow"/>
                <w:sz w:val="20"/>
                <w:szCs w:val="20"/>
              </w:rPr>
            </w:pPr>
            <w:r w:rsidRPr="00271560">
              <w:rPr>
                <w:rFonts w:ascii="Arial Narrow" w:hAnsi="Arial Narrow"/>
                <w:color w:val="000000"/>
                <w:sz w:val="20"/>
                <w:szCs w:val="20"/>
              </w:rPr>
              <w:t>Year 2+</w:t>
            </w:r>
          </w:p>
        </w:tc>
        <w:tc>
          <w:tcPr>
            <w:tcW w:w="550" w:type="pct"/>
            <w:vAlign w:val="center"/>
          </w:tcPr>
          <w:p w14:paraId="346AAD8B" w14:textId="2752225E"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8"/>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8"/>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8"/>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2" w:type="pct"/>
            <w:vAlign w:val="center"/>
          </w:tcPr>
          <w:p w14:paraId="7B907B91" w14:textId="7B8C756E"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7"/>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7"/>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7"/>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1" w:type="pct"/>
            <w:vAlign w:val="center"/>
          </w:tcPr>
          <w:p w14:paraId="70E17437" w14:textId="1441AD15"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6"/>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6"/>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6"/>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14345CA4" w14:textId="256BEF26"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55"/>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55"/>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55"/>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37D2C064" w14:textId="05675704"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54"/>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54"/>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54"/>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98" w:type="pct"/>
            <w:vAlign w:val="center"/>
          </w:tcPr>
          <w:p w14:paraId="2B2B9ABD" w14:textId="053A39A0"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353"/>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353"/>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353"/>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r>
      <w:tr w:rsidR="0006693E" w:rsidRPr="00271560" w14:paraId="5608E8AC" w14:textId="77777777" w:rsidTr="0006693E">
        <w:tc>
          <w:tcPr>
            <w:tcW w:w="1491" w:type="pct"/>
            <w:vAlign w:val="center"/>
          </w:tcPr>
          <w:p w14:paraId="10C76EF8" w14:textId="77777777" w:rsidR="00475785" w:rsidRPr="00475785" w:rsidRDefault="00475785" w:rsidP="00DD7992">
            <w:pPr>
              <w:keepNext/>
              <w:keepLines/>
              <w:jc w:val="left"/>
              <w:rPr>
                <w:rFonts w:ascii="Arial Narrow" w:hAnsi="Arial Narrow"/>
                <w:sz w:val="20"/>
                <w:szCs w:val="20"/>
              </w:rPr>
            </w:pPr>
            <w:r w:rsidRPr="00475785">
              <w:rPr>
                <w:rFonts w:ascii="Arial Narrow" w:hAnsi="Arial Narrow"/>
                <w:color w:val="000000"/>
                <w:sz w:val="20"/>
                <w:szCs w:val="20"/>
              </w:rPr>
              <w:t>Total</w:t>
            </w:r>
          </w:p>
        </w:tc>
        <w:tc>
          <w:tcPr>
            <w:tcW w:w="550" w:type="pct"/>
            <w:vAlign w:val="center"/>
          </w:tcPr>
          <w:p w14:paraId="4DF8DECF" w14:textId="67B8965A"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52"/>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52"/>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52"/>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2" w:type="pct"/>
            <w:vAlign w:val="center"/>
          </w:tcPr>
          <w:p w14:paraId="5F88864F" w14:textId="000FD587"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8"/>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8"/>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8"/>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51" w:type="pct"/>
            <w:vAlign w:val="center"/>
          </w:tcPr>
          <w:p w14:paraId="1395801C" w14:textId="368F84A0"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27"/>
                <w:sz w:val="20"/>
                <w:szCs w:val="20"/>
                <w:shd w:val="solid" w:color="000000" w:fill="000000"/>
                <w:fitText w:val="122" w:id="-1167898367"/>
                <w14:textFill>
                  <w14:solidFill>
                    <w14:srgbClr w14:val="000000">
                      <w14:alpha w14:val="100000"/>
                    </w14:srgbClr>
                  </w14:solidFill>
                </w14:textFill>
              </w:rPr>
              <w:t xml:space="preserve">　</w:t>
            </w:r>
            <w:r w:rsidRPr="00546AD5">
              <w:rPr>
                <w:rFonts w:ascii="Arial Narrow" w:hAnsi="Arial Narrow"/>
                <w:color w:val="000000"/>
                <w:w w:val="27"/>
                <w:sz w:val="20"/>
                <w:szCs w:val="20"/>
                <w:shd w:val="solid" w:color="000000" w:fill="000000"/>
                <w:fitText w:val="122" w:id="-1167898367"/>
                <w14:textFill>
                  <w14:solidFill>
                    <w14:srgbClr w14:val="000000">
                      <w14:alpha w14:val="100000"/>
                    </w14:srgbClr>
                  </w14:solidFill>
                </w14:textFill>
              </w:rPr>
              <w:t>|</w:t>
            </w:r>
            <w:r w:rsidRPr="00546AD5">
              <w:rPr>
                <w:rFonts w:ascii="Arial Narrow" w:hAnsi="Arial Narrow" w:hint="eastAsia"/>
                <w:color w:val="000000"/>
                <w:spacing w:val="4"/>
                <w:w w:val="27"/>
                <w:sz w:val="20"/>
                <w:szCs w:val="20"/>
                <w:shd w:val="solid" w:color="000000" w:fill="000000"/>
                <w:fitText w:val="122" w:id="-1167898367"/>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69606BDD" w14:textId="3937EA0E"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6"/>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6"/>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6"/>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629" w:type="pct"/>
            <w:vAlign w:val="center"/>
          </w:tcPr>
          <w:p w14:paraId="3316F83E" w14:textId="159E5AEC"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5"/>
                <w:sz w:val="20"/>
                <w:szCs w:val="20"/>
                <w:shd w:val="solid" w:color="000000" w:fill="000000"/>
                <w:fitText w:val="67" w:id="-1167898365"/>
                <w14:textFill>
                  <w14:solidFill>
                    <w14:srgbClr w14:val="000000">
                      <w14:alpha w14:val="100000"/>
                    </w14:srgbClr>
                  </w14:solidFill>
                </w14:textFill>
              </w:rPr>
              <w:t xml:space="preserve">　</w:t>
            </w:r>
            <w:r w:rsidRPr="00546AD5">
              <w:rPr>
                <w:rFonts w:ascii="Arial Narrow" w:hAnsi="Arial Narrow"/>
                <w:color w:val="000000"/>
                <w:w w:val="15"/>
                <w:sz w:val="20"/>
                <w:szCs w:val="20"/>
                <w:shd w:val="solid" w:color="000000" w:fill="000000"/>
                <w:fitText w:val="67" w:id="-1167898365"/>
                <w14:textFill>
                  <w14:solidFill>
                    <w14:srgbClr w14:val="000000">
                      <w14:alpha w14:val="100000"/>
                    </w14:srgbClr>
                  </w14:solidFill>
                </w14:textFill>
              </w:rPr>
              <w:t>|</w:t>
            </w:r>
            <w:r w:rsidRPr="00546AD5">
              <w:rPr>
                <w:rFonts w:ascii="Arial Narrow" w:hAnsi="Arial Narrow" w:hint="eastAsia"/>
                <w:color w:val="000000"/>
                <w:spacing w:val="1"/>
                <w:w w:val="15"/>
                <w:sz w:val="20"/>
                <w:szCs w:val="20"/>
                <w:shd w:val="solid" w:color="000000" w:fill="000000"/>
                <w:fitText w:val="67" w:id="-1167898365"/>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c>
          <w:tcPr>
            <w:tcW w:w="598" w:type="pct"/>
            <w:vAlign w:val="center"/>
          </w:tcPr>
          <w:p w14:paraId="133E3F23" w14:textId="4EED680A" w:rsidR="00475785" w:rsidRPr="00E95474" w:rsidRDefault="00546AD5" w:rsidP="00DD7992">
            <w:pPr>
              <w:keepNext/>
              <w:keepLines/>
              <w:jc w:val="center"/>
              <w:rPr>
                <w:rFonts w:ascii="Arial Narrow" w:hAnsi="Arial Narrow"/>
                <w:sz w:val="20"/>
                <w:szCs w:val="20"/>
              </w:rPr>
            </w:pPr>
            <w:r w:rsidRPr="00546AD5">
              <w:rPr>
                <w:rFonts w:ascii="Arial Narrow" w:hAnsi="Arial Narrow" w:hint="eastAsia"/>
                <w:color w:val="000000"/>
                <w:w w:val="17"/>
                <w:sz w:val="20"/>
                <w:szCs w:val="20"/>
                <w:shd w:val="solid" w:color="000000" w:fill="000000"/>
                <w:fitText w:val="77" w:id="-1167898364"/>
                <w14:textFill>
                  <w14:solidFill>
                    <w14:srgbClr w14:val="000000">
                      <w14:alpha w14:val="100000"/>
                    </w14:srgbClr>
                  </w14:solidFill>
                </w14:textFill>
              </w:rPr>
              <w:t xml:space="preserve">　</w:t>
            </w:r>
            <w:r w:rsidRPr="00546AD5">
              <w:rPr>
                <w:rFonts w:ascii="Arial Narrow" w:hAnsi="Arial Narrow"/>
                <w:color w:val="000000"/>
                <w:w w:val="17"/>
                <w:sz w:val="20"/>
                <w:szCs w:val="20"/>
                <w:shd w:val="solid" w:color="000000" w:fill="000000"/>
                <w:fitText w:val="77" w:id="-1167898364"/>
                <w14:textFill>
                  <w14:solidFill>
                    <w14:srgbClr w14:val="000000">
                      <w14:alpha w14:val="100000"/>
                    </w14:srgbClr>
                  </w14:solidFill>
                </w14:textFill>
              </w:rPr>
              <w:t>|</w:t>
            </w:r>
            <w:r w:rsidRPr="00546AD5">
              <w:rPr>
                <w:rFonts w:ascii="Arial Narrow" w:hAnsi="Arial Narrow" w:hint="eastAsia"/>
                <w:color w:val="000000"/>
                <w:spacing w:val="4"/>
                <w:w w:val="17"/>
                <w:sz w:val="20"/>
                <w:szCs w:val="20"/>
                <w:shd w:val="solid" w:color="000000" w:fill="000000"/>
                <w:fitText w:val="77" w:id="-1167898364"/>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2</w:t>
            </w:r>
          </w:p>
        </w:tc>
      </w:tr>
      <w:tr w:rsidR="0006693E" w:rsidRPr="00271560" w14:paraId="7CD162BD" w14:textId="77777777" w:rsidTr="0006693E">
        <w:tc>
          <w:tcPr>
            <w:tcW w:w="1491" w:type="pct"/>
            <w:vAlign w:val="center"/>
          </w:tcPr>
          <w:p w14:paraId="5DE99986" w14:textId="7D269C9E" w:rsidR="00475785" w:rsidRPr="00475785" w:rsidRDefault="00475785" w:rsidP="00DD7992">
            <w:pPr>
              <w:keepNext/>
              <w:keepLines/>
              <w:jc w:val="left"/>
              <w:rPr>
                <w:rFonts w:ascii="Arial Narrow" w:hAnsi="Arial Narrow"/>
                <w:sz w:val="20"/>
                <w:szCs w:val="20"/>
              </w:rPr>
            </w:pPr>
            <w:r w:rsidRPr="00475785">
              <w:rPr>
                <w:rFonts w:ascii="Arial Narrow" w:hAnsi="Arial Narrow"/>
                <w:sz w:val="20"/>
                <w:szCs w:val="20"/>
              </w:rPr>
              <w:t>Total PBS cost offset</w:t>
            </w:r>
          </w:p>
        </w:tc>
        <w:tc>
          <w:tcPr>
            <w:tcW w:w="550" w:type="pct"/>
            <w:vAlign w:val="center"/>
          </w:tcPr>
          <w:p w14:paraId="65B39C05" w14:textId="03CDD37E"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color w:val="000000"/>
                <w:spacing w:val="81"/>
                <w:sz w:val="20"/>
                <w:szCs w:val="20"/>
                <w:shd w:val="solid" w:color="000000" w:fill="000000"/>
                <w:fitText w:val="167" w:id="-1167898363"/>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7" w:id="-1167898363"/>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vAlign w:val="center"/>
          </w:tcPr>
          <w:p w14:paraId="36754CB3" w14:textId="01C341AC" w:rsidR="00475785" w:rsidRPr="00DD7992" w:rsidRDefault="00475785" w:rsidP="00DD7992">
            <w:pPr>
              <w:keepNext/>
              <w:keepLines/>
              <w:jc w:val="center"/>
              <w:rPr>
                <w:rFonts w:ascii="Arial Narrow" w:hAnsi="Arial Narrow"/>
                <w:sz w:val="20"/>
                <w:szCs w:val="20"/>
                <w:highlight w:val="darkGray"/>
              </w:rPr>
            </w:pPr>
            <w:r w:rsidRPr="00523ABB">
              <w:rPr>
                <w:rFonts w:ascii="Arial Narrow" w:hAnsi="Arial Narrow"/>
                <w:sz w:val="20"/>
                <w:szCs w:val="20"/>
              </w:rPr>
              <w:t>$</w:t>
            </w:r>
            <w:r w:rsidR="00546AD5" w:rsidRPr="00546AD5">
              <w:rPr>
                <w:rFonts w:ascii="Arial Narrow" w:hAnsi="Arial Narrow"/>
                <w:color w:val="000000"/>
                <w:spacing w:val="91"/>
                <w:sz w:val="20"/>
                <w:szCs w:val="20"/>
                <w:shd w:val="solid" w:color="000000" w:fill="000000"/>
                <w:fitText w:val="177" w:id="-1167898362"/>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77" w:id="-1167898362"/>
                <w14:textFill>
                  <w14:solidFill>
                    <w14:srgbClr w14:val="000000">
                      <w14:alpha w14:val="100000"/>
                    </w14:srgbClr>
                  </w14:solidFill>
                </w14:textFill>
              </w:rPr>
              <w:t>|</w:t>
            </w:r>
            <w:r w:rsidR="005D440A" w:rsidRPr="00DD7992">
              <w:rPr>
                <w:rFonts w:ascii="Arial Narrow" w:eastAsia="TimesNewRoman" w:hAnsi="Arial Narrow"/>
                <w:color w:val="000000"/>
                <w:sz w:val="20"/>
                <w:szCs w:val="20"/>
              </w:rPr>
              <w:t xml:space="preserve"> </w:t>
            </w:r>
            <w:r w:rsidR="005D440A" w:rsidRPr="00DD7992">
              <w:rPr>
                <w:rFonts w:ascii="Arial Narrow" w:eastAsia="TimesNewRoman" w:hAnsi="Arial Narrow"/>
                <w:color w:val="000000"/>
                <w:sz w:val="20"/>
                <w:szCs w:val="20"/>
                <w:vertAlign w:val="superscript"/>
              </w:rPr>
              <w:t>3</w:t>
            </w:r>
          </w:p>
        </w:tc>
        <w:tc>
          <w:tcPr>
            <w:tcW w:w="551" w:type="pct"/>
            <w:vAlign w:val="center"/>
          </w:tcPr>
          <w:p w14:paraId="4D0C438C" w14:textId="627E1071"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color w:val="000000"/>
                <w:spacing w:val="80"/>
                <w:sz w:val="20"/>
                <w:szCs w:val="20"/>
                <w:shd w:val="solid" w:color="000000" w:fill="000000"/>
                <w:fitText w:val="166" w:id="-1167898361"/>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6" w:id="-1167898361"/>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vAlign w:val="center"/>
          </w:tcPr>
          <w:p w14:paraId="6A882780" w14:textId="5EDB41A1"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hint="eastAsia"/>
                <w:color w:val="000000"/>
                <w:w w:val="24"/>
                <w:sz w:val="20"/>
                <w:szCs w:val="20"/>
                <w:shd w:val="solid" w:color="000000" w:fill="000000"/>
                <w:fitText w:val="110" w:id="-1167898360"/>
                <w14:textFill>
                  <w14:solidFill>
                    <w14:srgbClr w14:val="000000">
                      <w14:alpha w14:val="100000"/>
                    </w14:srgbClr>
                  </w14:solidFill>
                </w14:textFill>
              </w:rPr>
              <w:t xml:space="preserve">　</w:t>
            </w:r>
            <w:r w:rsidR="00546AD5" w:rsidRPr="00546AD5">
              <w:rPr>
                <w:rFonts w:ascii="Arial Narrow" w:hAnsi="Arial Narrow"/>
                <w:color w:val="000000"/>
                <w:w w:val="24"/>
                <w:sz w:val="20"/>
                <w:szCs w:val="20"/>
                <w:shd w:val="solid" w:color="000000" w:fill="000000"/>
                <w:fitText w:val="110" w:id="-1167898360"/>
                <w14:textFill>
                  <w14:solidFill>
                    <w14:srgbClr w14:val="000000">
                      <w14:alpha w14:val="100000"/>
                    </w14:srgbClr>
                  </w14:solidFill>
                </w14:textFill>
              </w:rPr>
              <w:t>|</w:t>
            </w:r>
            <w:r w:rsidR="00546AD5" w:rsidRPr="00546AD5">
              <w:rPr>
                <w:rFonts w:ascii="Arial Narrow" w:hAnsi="Arial Narrow" w:hint="eastAsia"/>
                <w:color w:val="000000"/>
                <w:spacing w:val="6"/>
                <w:w w:val="24"/>
                <w:sz w:val="20"/>
                <w:szCs w:val="20"/>
                <w:shd w:val="solid" w:color="000000" w:fill="000000"/>
                <w:fitText w:val="110" w:id="-1167898360"/>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629" w:type="pct"/>
            <w:vAlign w:val="center"/>
          </w:tcPr>
          <w:p w14:paraId="04604AF2" w14:textId="48D37DF7"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hint="eastAsia"/>
                <w:color w:val="000000"/>
                <w:w w:val="25"/>
                <w:sz w:val="20"/>
                <w:szCs w:val="20"/>
                <w:shd w:val="solid" w:color="000000" w:fill="000000"/>
                <w:fitText w:val="111" w:id="-1167898359"/>
                <w14:textFill>
                  <w14:solidFill>
                    <w14:srgbClr w14:val="000000">
                      <w14:alpha w14:val="100000"/>
                    </w14:srgbClr>
                  </w14:solidFill>
                </w14:textFill>
              </w:rPr>
              <w:t xml:space="preserve">　</w:t>
            </w:r>
            <w:r w:rsidR="00546AD5" w:rsidRPr="00546AD5">
              <w:rPr>
                <w:rFonts w:ascii="Arial Narrow" w:hAnsi="Arial Narrow"/>
                <w:color w:val="000000"/>
                <w:w w:val="25"/>
                <w:sz w:val="20"/>
                <w:szCs w:val="20"/>
                <w:shd w:val="solid" w:color="000000" w:fill="000000"/>
                <w:fitText w:val="111" w:id="-1167898359"/>
                <w14:textFill>
                  <w14:solidFill>
                    <w14:srgbClr w14:val="000000">
                      <w14:alpha w14:val="100000"/>
                    </w14:srgbClr>
                  </w14:solidFill>
                </w14:textFill>
              </w:rPr>
              <w:t>|</w:t>
            </w:r>
            <w:r w:rsidR="00546AD5" w:rsidRPr="00546AD5">
              <w:rPr>
                <w:rFonts w:ascii="Arial Narrow" w:hAnsi="Arial Narrow" w:hint="eastAsia"/>
                <w:color w:val="000000"/>
                <w:w w:val="25"/>
                <w:sz w:val="20"/>
                <w:szCs w:val="20"/>
                <w:shd w:val="solid" w:color="000000" w:fill="000000"/>
                <w:fitText w:val="111" w:id="-1167898359"/>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598" w:type="pct"/>
            <w:vAlign w:val="center"/>
          </w:tcPr>
          <w:p w14:paraId="7D27D989" w14:textId="53486575"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hint="eastAsia"/>
                <w:color w:val="000000"/>
                <w:w w:val="27"/>
                <w:sz w:val="20"/>
                <w:szCs w:val="20"/>
                <w:shd w:val="solid" w:color="000000" w:fill="000000"/>
                <w:fitText w:val="122" w:id="-1167898358"/>
                <w14:textFill>
                  <w14:solidFill>
                    <w14:srgbClr w14:val="000000">
                      <w14:alpha w14:val="100000"/>
                    </w14:srgbClr>
                  </w14:solidFill>
                </w14:textFill>
              </w:rPr>
              <w:t xml:space="preserve">　</w:t>
            </w:r>
            <w:r w:rsidR="00546AD5" w:rsidRPr="00546AD5">
              <w:rPr>
                <w:rFonts w:ascii="Arial Narrow" w:hAnsi="Arial Narrow"/>
                <w:color w:val="000000"/>
                <w:w w:val="27"/>
                <w:sz w:val="20"/>
                <w:szCs w:val="20"/>
                <w:shd w:val="solid" w:color="000000" w:fill="000000"/>
                <w:fitText w:val="122" w:id="-1167898358"/>
                <w14:textFill>
                  <w14:solidFill>
                    <w14:srgbClr w14:val="000000">
                      <w14:alpha w14:val="100000"/>
                    </w14:srgbClr>
                  </w14:solidFill>
                </w14:textFill>
              </w:rPr>
              <w:t>|</w:t>
            </w:r>
            <w:r w:rsidR="00546AD5" w:rsidRPr="00546AD5">
              <w:rPr>
                <w:rFonts w:ascii="Arial Narrow" w:hAnsi="Arial Narrow" w:hint="eastAsia"/>
                <w:color w:val="000000"/>
                <w:spacing w:val="4"/>
                <w:w w:val="27"/>
                <w:sz w:val="20"/>
                <w:szCs w:val="20"/>
                <w:shd w:val="solid" w:color="000000" w:fill="000000"/>
                <w:fitText w:val="122" w:id="-1167898358"/>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r>
      <w:tr w:rsidR="0006693E" w:rsidRPr="00271560" w14:paraId="5CBF339C" w14:textId="77777777" w:rsidTr="0006693E">
        <w:tc>
          <w:tcPr>
            <w:tcW w:w="1491" w:type="pct"/>
            <w:vAlign w:val="center"/>
          </w:tcPr>
          <w:p w14:paraId="07C5E42D" w14:textId="77777777" w:rsidR="00475785" w:rsidRPr="00271560" w:rsidRDefault="00475785" w:rsidP="00DD7992">
            <w:pPr>
              <w:keepNext/>
              <w:keepLines/>
              <w:jc w:val="left"/>
              <w:rPr>
                <w:rFonts w:ascii="Arial Narrow" w:hAnsi="Arial Narrow"/>
                <w:sz w:val="20"/>
                <w:szCs w:val="20"/>
                <w:highlight w:val="yellow"/>
              </w:rPr>
            </w:pPr>
            <w:r w:rsidRPr="00271560">
              <w:rPr>
                <w:rFonts w:ascii="Arial Narrow" w:hAnsi="Arial Narrow"/>
                <w:sz w:val="20"/>
                <w:szCs w:val="20"/>
              </w:rPr>
              <w:t>Admin cost for nusinersen</w:t>
            </w:r>
          </w:p>
        </w:tc>
        <w:tc>
          <w:tcPr>
            <w:tcW w:w="550" w:type="pct"/>
            <w:vAlign w:val="center"/>
          </w:tcPr>
          <w:p w14:paraId="4DCF3B09" w14:textId="2F85858D"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color w:val="000000"/>
                <w:spacing w:val="81"/>
                <w:sz w:val="20"/>
                <w:szCs w:val="20"/>
                <w:shd w:val="solid" w:color="000000" w:fill="000000"/>
                <w:fitText w:val="167" w:id="-1167898357"/>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7" w:id="-1167898357"/>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vAlign w:val="center"/>
          </w:tcPr>
          <w:p w14:paraId="221893F3" w14:textId="5C86FCB5"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color w:val="000000"/>
                <w:spacing w:val="91"/>
                <w:sz w:val="20"/>
                <w:szCs w:val="20"/>
                <w:shd w:val="solid" w:color="000000" w:fill="000000"/>
                <w:fitText w:val="177" w:id="-1167898356"/>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77" w:id="-1167898356"/>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1" w:type="pct"/>
            <w:vAlign w:val="center"/>
          </w:tcPr>
          <w:p w14:paraId="23F0964A" w14:textId="765625C6"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color w:val="000000"/>
                <w:spacing w:val="80"/>
                <w:sz w:val="20"/>
                <w:szCs w:val="20"/>
                <w:shd w:val="solid" w:color="000000" w:fill="000000"/>
                <w:fitText w:val="166" w:id="-1167898355"/>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6" w:id="-1167898355"/>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vAlign w:val="center"/>
          </w:tcPr>
          <w:p w14:paraId="5FC25385" w14:textId="3692E1B1"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hint="eastAsia"/>
                <w:color w:val="000000"/>
                <w:w w:val="24"/>
                <w:sz w:val="20"/>
                <w:szCs w:val="20"/>
                <w:shd w:val="solid" w:color="000000" w:fill="000000"/>
                <w:fitText w:val="110" w:id="-1167898354"/>
                <w14:textFill>
                  <w14:solidFill>
                    <w14:srgbClr w14:val="000000">
                      <w14:alpha w14:val="100000"/>
                    </w14:srgbClr>
                  </w14:solidFill>
                </w14:textFill>
              </w:rPr>
              <w:t xml:space="preserve">　</w:t>
            </w:r>
            <w:r w:rsidR="00546AD5" w:rsidRPr="00546AD5">
              <w:rPr>
                <w:rFonts w:ascii="Arial Narrow" w:hAnsi="Arial Narrow"/>
                <w:color w:val="000000"/>
                <w:w w:val="24"/>
                <w:sz w:val="20"/>
                <w:szCs w:val="20"/>
                <w:shd w:val="solid" w:color="000000" w:fill="000000"/>
                <w:fitText w:val="110" w:id="-1167898354"/>
                <w14:textFill>
                  <w14:solidFill>
                    <w14:srgbClr w14:val="000000">
                      <w14:alpha w14:val="100000"/>
                    </w14:srgbClr>
                  </w14:solidFill>
                </w14:textFill>
              </w:rPr>
              <w:t>|</w:t>
            </w:r>
            <w:r w:rsidR="00546AD5" w:rsidRPr="00546AD5">
              <w:rPr>
                <w:rFonts w:ascii="Arial Narrow" w:hAnsi="Arial Narrow" w:hint="eastAsia"/>
                <w:color w:val="000000"/>
                <w:spacing w:val="6"/>
                <w:w w:val="24"/>
                <w:sz w:val="20"/>
                <w:szCs w:val="20"/>
                <w:shd w:val="solid" w:color="000000" w:fill="000000"/>
                <w:fitText w:val="110" w:id="-1167898354"/>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vAlign w:val="center"/>
          </w:tcPr>
          <w:p w14:paraId="3D0B0FD3" w14:textId="60BD59E1" w:rsidR="00475785" w:rsidRPr="00E95474" w:rsidRDefault="00475785"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hint="eastAsia"/>
                <w:color w:val="000000"/>
                <w:w w:val="25"/>
                <w:sz w:val="20"/>
                <w:szCs w:val="20"/>
                <w:shd w:val="solid" w:color="000000" w:fill="000000"/>
                <w:fitText w:val="111" w:id="-1167898353"/>
                <w14:textFill>
                  <w14:solidFill>
                    <w14:srgbClr w14:val="000000">
                      <w14:alpha w14:val="100000"/>
                    </w14:srgbClr>
                  </w14:solidFill>
                </w14:textFill>
              </w:rPr>
              <w:t xml:space="preserve">　</w:t>
            </w:r>
            <w:r w:rsidR="00546AD5" w:rsidRPr="00546AD5">
              <w:rPr>
                <w:rFonts w:ascii="Arial Narrow" w:hAnsi="Arial Narrow"/>
                <w:color w:val="000000"/>
                <w:w w:val="25"/>
                <w:sz w:val="20"/>
                <w:szCs w:val="20"/>
                <w:shd w:val="solid" w:color="000000" w:fill="000000"/>
                <w:fitText w:val="111" w:id="-1167898353"/>
                <w14:textFill>
                  <w14:solidFill>
                    <w14:srgbClr w14:val="000000">
                      <w14:alpha w14:val="100000"/>
                    </w14:srgbClr>
                  </w14:solidFill>
                </w14:textFill>
              </w:rPr>
              <w:t>|</w:t>
            </w:r>
            <w:r w:rsidR="00546AD5" w:rsidRPr="00546AD5">
              <w:rPr>
                <w:rFonts w:ascii="Arial Narrow" w:hAnsi="Arial Narrow" w:hint="eastAsia"/>
                <w:color w:val="000000"/>
                <w:w w:val="25"/>
                <w:sz w:val="20"/>
                <w:szCs w:val="20"/>
                <w:shd w:val="solid" w:color="000000" w:fill="000000"/>
                <w:fitText w:val="111" w:id="-1167898353"/>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98" w:type="pct"/>
            <w:vAlign w:val="center"/>
          </w:tcPr>
          <w:p w14:paraId="6C6AEAD1" w14:textId="4E0B942C" w:rsidR="00475785" w:rsidRPr="00E95474" w:rsidRDefault="00DD7992" w:rsidP="00DD7992">
            <w:pPr>
              <w:keepNext/>
              <w:keepLines/>
              <w:jc w:val="center"/>
              <w:rPr>
                <w:rFonts w:ascii="Arial Narrow" w:hAnsi="Arial Narrow"/>
                <w:sz w:val="20"/>
                <w:szCs w:val="20"/>
              </w:rPr>
            </w:pPr>
            <w:r w:rsidRPr="00523ABB">
              <w:rPr>
                <w:rFonts w:ascii="Arial Narrow" w:hAnsi="Arial Narrow"/>
                <w:sz w:val="20"/>
                <w:szCs w:val="20"/>
              </w:rPr>
              <w:t>$</w:t>
            </w:r>
            <w:r w:rsidR="00546AD5" w:rsidRPr="00546AD5">
              <w:rPr>
                <w:rFonts w:ascii="Arial Narrow" w:hAnsi="Arial Narrow" w:hint="eastAsia"/>
                <w:color w:val="000000"/>
                <w:w w:val="27"/>
                <w:sz w:val="20"/>
                <w:szCs w:val="20"/>
                <w:shd w:val="solid" w:color="000000" w:fill="000000"/>
                <w:fitText w:val="122" w:id="-1167898352"/>
                <w14:textFill>
                  <w14:solidFill>
                    <w14:srgbClr w14:val="000000">
                      <w14:alpha w14:val="100000"/>
                    </w14:srgbClr>
                  </w14:solidFill>
                </w14:textFill>
              </w:rPr>
              <w:t xml:space="preserve">　</w:t>
            </w:r>
            <w:r w:rsidR="00546AD5" w:rsidRPr="00546AD5">
              <w:rPr>
                <w:rFonts w:ascii="Arial Narrow" w:hAnsi="Arial Narrow"/>
                <w:color w:val="000000"/>
                <w:w w:val="27"/>
                <w:sz w:val="20"/>
                <w:szCs w:val="20"/>
                <w:shd w:val="solid" w:color="000000" w:fill="000000"/>
                <w:fitText w:val="122" w:id="-1167898352"/>
                <w14:textFill>
                  <w14:solidFill>
                    <w14:srgbClr w14:val="000000">
                      <w14:alpha w14:val="100000"/>
                    </w14:srgbClr>
                  </w14:solidFill>
                </w14:textFill>
              </w:rPr>
              <w:t>|</w:t>
            </w:r>
            <w:r w:rsidR="00546AD5" w:rsidRPr="00546AD5">
              <w:rPr>
                <w:rFonts w:ascii="Arial Narrow" w:hAnsi="Arial Narrow" w:hint="eastAsia"/>
                <w:color w:val="000000"/>
                <w:spacing w:val="4"/>
                <w:w w:val="27"/>
                <w:sz w:val="20"/>
                <w:szCs w:val="20"/>
                <w:shd w:val="solid" w:color="000000" w:fill="000000"/>
                <w:fitText w:val="122" w:id="-1167898352"/>
                <w14:textFill>
                  <w14:solidFill>
                    <w14:srgbClr w14:val="000000">
                      <w14:alpha w14:val="100000"/>
                    </w14:srgbClr>
                  </w14:solidFill>
                </w14:textFill>
              </w:rPr>
              <w:t xml:space="preserve">　</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r>
      <w:tr w:rsidR="0006693E" w:rsidRPr="00271560" w14:paraId="6D659DD7" w14:textId="77777777" w:rsidTr="0006693E">
        <w:tc>
          <w:tcPr>
            <w:tcW w:w="1491" w:type="pct"/>
            <w:vAlign w:val="center"/>
          </w:tcPr>
          <w:p w14:paraId="2E2BBFDD" w14:textId="5FADB84D" w:rsidR="00475785" w:rsidRPr="00271560" w:rsidRDefault="00475785" w:rsidP="00DD7992">
            <w:pPr>
              <w:keepNext/>
              <w:keepLines/>
              <w:jc w:val="left"/>
              <w:rPr>
                <w:rFonts w:ascii="Arial Narrow" w:hAnsi="Arial Narrow"/>
                <w:b/>
                <w:sz w:val="20"/>
                <w:szCs w:val="20"/>
              </w:rPr>
            </w:pPr>
            <w:r w:rsidRPr="00271560">
              <w:rPr>
                <w:rFonts w:ascii="Arial Narrow" w:hAnsi="Arial Narrow"/>
                <w:b/>
                <w:sz w:val="20"/>
                <w:szCs w:val="20"/>
              </w:rPr>
              <w:t xml:space="preserve">Total </w:t>
            </w:r>
            <w:r>
              <w:rPr>
                <w:rFonts w:ascii="Arial Narrow" w:hAnsi="Arial Narrow"/>
                <w:b/>
                <w:sz w:val="20"/>
                <w:szCs w:val="20"/>
              </w:rPr>
              <w:t xml:space="preserve">MBS/PBS </w:t>
            </w:r>
            <w:r w:rsidRPr="00271560">
              <w:rPr>
                <w:rFonts w:ascii="Arial Narrow" w:hAnsi="Arial Narrow"/>
                <w:b/>
                <w:sz w:val="20"/>
                <w:szCs w:val="20"/>
              </w:rPr>
              <w:t xml:space="preserve">cost </w:t>
            </w:r>
            <w:r>
              <w:rPr>
                <w:rFonts w:ascii="Arial Narrow" w:hAnsi="Arial Narrow"/>
                <w:b/>
                <w:sz w:val="20"/>
                <w:szCs w:val="20"/>
              </w:rPr>
              <w:t>offsets</w:t>
            </w:r>
          </w:p>
        </w:tc>
        <w:tc>
          <w:tcPr>
            <w:tcW w:w="550" w:type="pct"/>
            <w:vAlign w:val="center"/>
          </w:tcPr>
          <w:p w14:paraId="5F6C531B" w14:textId="710057DA"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42"/>
                <w:sz w:val="20"/>
                <w:szCs w:val="20"/>
                <w:shd w:val="solid" w:color="000000" w:fill="000000"/>
                <w:fitText w:val="222" w:id="-1167898368"/>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222" w:id="-1167898368"/>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vAlign w:val="center"/>
          </w:tcPr>
          <w:p w14:paraId="59BD1A22" w14:textId="52729B48"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42"/>
                <w:sz w:val="20"/>
                <w:szCs w:val="20"/>
                <w:shd w:val="solid" w:color="000000" w:fill="000000"/>
                <w:fitText w:val="222" w:id="-1167898367"/>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222" w:id="-1167898367"/>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1" w:type="pct"/>
            <w:vAlign w:val="center"/>
          </w:tcPr>
          <w:p w14:paraId="46A076B3" w14:textId="2A2A844F"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42"/>
                <w:sz w:val="20"/>
                <w:szCs w:val="20"/>
                <w:shd w:val="solid" w:color="000000" w:fill="000000"/>
                <w:fitText w:val="222" w:id="-1167898366"/>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222" w:id="-1167898366"/>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vAlign w:val="center"/>
          </w:tcPr>
          <w:p w14:paraId="14F67D88" w14:textId="10ED7B46"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64"/>
                <w:sz w:val="20"/>
                <w:szCs w:val="20"/>
                <w:shd w:val="solid" w:color="000000" w:fill="000000"/>
                <w:fitText w:val="156" w:id="-1167898365"/>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156" w:id="-1167898365"/>
                <w14:textFill>
                  <w14:solidFill>
                    <w14:srgbClr w14:val="000000">
                      <w14:alpha w14:val="100000"/>
                    </w14:srgbClr>
                  </w14:solidFill>
                </w14:textFill>
              </w:rPr>
              <w:t>|</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629" w:type="pct"/>
            <w:vAlign w:val="center"/>
          </w:tcPr>
          <w:p w14:paraId="4F3A8F57" w14:textId="45FEB08B"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63"/>
                <w:sz w:val="20"/>
                <w:szCs w:val="20"/>
                <w:shd w:val="solid" w:color="000000" w:fill="000000"/>
                <w:fitText w:val="155" w:id="-1167898364"/>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155" w:id="-1167898364"/>
                <w14:textFill>
                  <w14:solidFill>
                    <w14:srgbClr w14:val="000000">
                      <w14:alpha w14:val="100000"/>
                    </w14:srgbClr>
                  </w14:solidFill>
                </w14:textFill>
              </w:rPr>
              <w:t>|</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598" w:type="pct"/>
            <w:vAlign w:val="center"/>
          </w:tcPr>
          <w:p w14:paraId="1499DAA5" w14:textId="5A756CA2"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85"/>
                <w:sz w:val="20"/>
                <w:szCs w:val="20"/>
                <w:shd w:val="solid" w:color="000000" w:fill="000000"/>
                <w:fitText w:val="177" w:id="-1167898363"/>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177" w:id="-1167898363"/>
                <w14:textFill>
                  <w14:solidFill>
                    <w14:srgbClr w14:val="000000">
                      <w14:alpha w14:val="100000"/>
                    </w14:srgbClr>
                  </w14:solidFill>
                </w14:textFill>
              </w:rPr>
              <w:t>|</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r>
      <w:tr w:rsidR="0006693E" w:rsidRPr="00271560" w14:paraId="24621C29" w14:textId="77777777" w:rsidTr="0006693E">
        <w:tc>
          <w:tcPr>
            <w:tcW w:w="1491" w:type="pct"/>
            <w:vAlign w:val="center"/>
          </w:tcPr>
          <w:p w14:paraId="0E0C915C" w14:textId="4F470C2A" w:rsidR="00475785" w:rsidRPr="00271560" w:rsidRDefault="00475785" w:rsidP="00DD7992">
            <w:pPr>
              <w:keepNext/>
              <w:keepLines/>
              <w:jc w:val="left"/>
              <w:rPr>
                <w:rFonts w:ascii="Arial Narrow" w:hAnsi="Arial Narrow"/>
                <w:b/>
                <w:sz w:val="20"/>
                <w:szCs w:val="20"/>
              </w:rPr>
            </w:pPr>
            <w:r w:rsidRPr="00475785">
              <w:rPr>
                <w:rFonts w:ascii="Arial Narrow" w:hAnsi="Arial Narrow"/>
                <w:b/>
                <w:sz w:val="20"/>
                <w:szCs w:val="20"/>
              </w:rPr>
              <w:t>Total cost difference</w:t>
            </w:r>
          </w:p>
        </w:tc>
        <w:tc>
          <w:tcPr>
            <w:tcW w:w="550" w:type="pct"/>
            <w:vAlign w:val="center"/>
          </w:tcPr>
          <w:p w14:paraId="13312362" w14:textId="052C91E7"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42"/>
                <w:sz w:val="20"/>
                <w:szCs w:val="20"/>
                <w:shd w:val="solid" w:color="000000" w:fill="000000"/>
                <w:fitText w:val="222" w:id="-1167898362"/>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222" w:id="-1167898362"/>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vAlign w:val="center"/>
          </w:tcPr>
          <w:p w14:paraId="5F27197A" w14:textId="3AF41EB2"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42"/>
                <w:sz w:val="20"/>
                <w:szCs w:val="20"/>
                <w:shd w:val="solid" w:color="000000" w:fill="000000"/>
                <w:fitText w:val="222" w:id="-1167898361"/>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222" w:id="-1167898361"/>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1" w:type="pct"/>
            <w:vAlign w:val="center"/>
          </w:tcPr>
          <w:p w14:paraId="7A0943F8" w14:textId="5632A450"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42"/>
                <w:sz w:val="20"/>
                <w:szCs w:val="20"/>
                <w:shd w:val="solid" w:color="000000" w:fill="000000"/>
                <w:fitText w:val="222" w:id="-1167898360"/>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222" w:id="-1167898360"/>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vAlign w:val="center"/>
          </w:tcPr>
          <w:p w14:paraId="50817B73" w14:textId="414EBEB2"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64"/>
                <w:sz w:val="20"/>
                <w:szCs w:val="20"/>
                <w:shd w:val="solid" w:color="000000" w:fill="000000"/>
                <w:fitText w:val="156" w:id="-1167898359"/>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156" w:id="-1167898359"/>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vAlign w:val="center"/>
          </w:tcPr>
          <w:p w14:paraId="1269DC72" w14:textId="500AF1D7"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63"/>
                <w:sz w:val="20"/>
                <w:szCs w:val="20"/>
                <w:shd w:val="solid" w:color="000000" w:fill="000000"/>
                <w:fitText w:val="155" w:id="-1167898358"/>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155" w:id="-1167898358"/>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98" w:type="pct"/>
            <w:vAlign w:val="center"/>
          </w:tcPr>
          <w:p w14:paraId="023AC9F3" w14:textId="777EDB1E" w:rsidR="00475785" w:rsidRPr="00E95474" w:rsidRDefault="00475785" w:rsidP="00DD7992">
            <w:pPr>
              <w:keepNext/>
              <w:keepLines/>
              <w:jc w:val="center"/>
              <w:rPr>
                <w:rFonts w:ascii="Arial Narrow" w:hAnsi="Arial Narrow"/>
                <w:b/>
                <w:sz w:val="20"/>
                <w:szCs w:val="20"/>
              </w:rPr>
            </w:pPr>
            <w:r w:rsidRPr="00523ABB">
              <w:rPr>
                <w:rFonts w:ascii="Arial Narrow" w:hAnsi="Arial Narrow"/>
                <w:b/>
                <w:sz w:val="20"/>
                <w:szCs w:val="20"/>
              </w:rPr>
              <w:t>$</w:t>
            </w:r>
            <w:r w:rsidR="00546AD5" w:rsidRPr="00546AD5">
              <w:rPr>
                <w:rFonts w:ascii="Arial Narrow" w:hAnsi="Arial Narrow"/>
                <w:b/>
                <w:color w:val="000000"/>
                <w:spacing w:val="85"/>
                <w:sz w:val="20"/>
                <w:szCs w:val="20"/>
                <w:shd w:val="solid" w:color="000000" w:fill="000000"/>
                <w:fitText w:val="177" w:id="-1167898357"/>
                <w14:textFill>
                  <w14:solidFill>
                    <w14:srgbClr w14:val="000000">
                      <w14:alpha w14:val="100000"/>
                    </w14:srgbClr>
                  </w14:solidFill>
                </w14:textFill>
              </w:rPr>
              <w:t>|</w:t>
            </w:r>
            <w:r w:rsidR="00546AD5" w:rsidRPr="00546AD5">
              <w:rPr>
                <w:rFonts w:ascii="Arial Narrow" w:hAnsi="Arial Narrow"/>
                <w:b/>
                <w:color w:val="000000"/>
                <w:spacing w:val="1"/>
                <w:sz w:val="20"/>
                <w:szCs w:val="20"/>
                <w:shd w:val="solid" w:color="000000" w:fill="000000"/>
                <w:fitText w:val="177" w:id="-1167898357"/>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r>
      <w:tr w:rsidR="00475785" w:rsidRPr="00271560" w14:paraId="09586483" w14:textId="77777777" w:rsidTr="0006693E">
        <w:tc>
          <w:tcPr>
            <w:tcW w:w="1491" w:type="pct"/>
            <w:vAlign w:val="center"/>
          </w:tcPr>
          <w:p w14:paraId="345E318B" w14:textId="67C9EF2C" w:rsidR="00475785" w:rsidRPr="00E95474" w:rsidRDefault="00475785" w:rsidP="00DD7992">
            <w:pPr>
              <w:keepNext/>
              <w:keepLines/>
              <w:jc w:val="left"/>
              <w:rPr>
                <w:rFonts w:ascii="Arial Narrow" w:hAnsi="Arial Narrow"/>
                <w:b/>
                <w:iCs/>
                <w:sz w:val="20"/>
                <w:szCs w:val="20"/>
              </w:rPr>
            </w:pPr>
            <w:r w:rsidRPr="00E95474">
              <w:rPr>
                <w:rFonts w:ascii="Arial Narrow" w:hAnsi="Arial Narrow"/>
                <w:iCs/>
                <w:sz w:val="20"/>
                <w:szCs w:val="20"/>
              </w:rPr>
              <w:t xml:space="preserve">July 2020 submission (≤2 copies of </w:t>
            </w:r>
            <w:r w:rsidRPr="00E95474">
              <w:rPr>
                <w:rFonts w:ascii="Arial Narrow" w:hAnsi="Arial Narrow"/>
                <w:i/>
                <w:sz w:val="20"/>
                <w:szCs w:val="20"/>
              </w:rPr>
              <w:t>SMN2</w:t>
            </w:r>
            <w:r w:rsidRPr="00E95474">
              <w:rPr>
                <w:rFonts w:ascii="Arial Narrow" w:hAnsi="Arial Narrow"/>
                <w:iCs/>
                <w:sz w:val="20"/>
                <w:szCs w:val="20"/>
              </w:rPr>
              <w:t>)</w:t>
            </w:r>
          </w:p>
        </w:tc>
        <w:tc>
          <w:tcPr>
            <w:tcW w:w="550" w:type="pct"/>
            <w:vAlign w:val="center"/>
          </w:tcPr>
          <w:p w14:paraId="1C9F73FF" w14:textId="0B1C63CD" w:rsidR="00475785" w:rsidRPr="00E95474" w:rsidRDefault="00475785" w:rsidP="00DD7992">
            <w:pPr>
              <w:keepNext/>
              <w:keepLines/>
              <w:jc w:val="center"/>
              <w:rPr>
                <w:rFonts w:ascii="Arial Narrow" w:hAnsi="Arial Narrow"/>
                <w:b/>
                <w:sz w:val="20"/>
                <w:szCs w:val="20"/>
              </w:rPr>
            </w:pPr>
            <w:r w:rsidRPr="00523ABB">
              <w:rPr>
                <w:rFonts w:ascii="Arial Narrow" w:hAnsi="Arial Narrow"/>
                <w:sz w:val="20"/>
                <w:szCs w:val="20"/>
              </w:rPr>
              <w:t>$</w:t>
            </w:r>
            <w:r w:rsidR="00546AD5" w:rsidRPr="00546AD5">
              <w:rPr>
                <w:rFonts w:ascii="Arial Narrow" w:hAnsi="Arial Narrow"/>
                <w:color w:val="000000"/>
                <w:spacing w:val="81"/>
                <w:sz w:val="20"/>
                <w:szCs w:val="20"/>
                <w:shd w:val="solid" w:color="000000" w:fill="000000"/>
                <w:fitText w:val="167" w:id="-1167898356"/>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7" w:id="-1167898356"/>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2" w:type="pct"/>
            <w:vAlign w:val="center"/>
          </w:tcPr>
          <w:p w14:paraId="2C31B097" w14:textId="78786FEA" w:rsidR="00475785" w:rsidRPr="00E95474" w:rsidRDefault="00475785" w:rsidP="00DD7992">
            <w:pPr>
              <w:keepNext/>
              <w:keepLines/>
              <w:jc w:val="center"/>
              <w:rPr>
                <w:rFonts w:ascii="Arial Narrow" w:hAnsi="Arial Narrow"/>
                <w:b/>
                <w:sz w:val="20"/>
                <w:szCs w:val="20"/>
              </w:rPr>
            </w:pPr>
            <w:r w:rsidRPr="00523ABB">
              <w:rPr>
                <w:rFonts w:ascii="Arial Narrow" w:hAnsi="Arial Narrow"/>
                <w:sz w:val="20"/>
                <w:szCs w:val="20"/>
              </w:rPr>
              <w:t>$</w:t>
            </w:r>
            <w:r w:rsidR="00546AD5" w:rsidRPr="00546AD5">
              <w:rPr>
                <w:rFonts w:ascii="Arial Narrow" w:hAnsi="Arial Narrow"/>
                <w:color w:val="000000"/>
                <w:spacing w:val="91"/>
                <w:sz w:val="20"/>
                <w:szCs w:val="20"/>
                <w:shd w:val="solid" w:color="000000" w:fill="000000"/>
                <w:fitText w:val="177" w:id="-1167898355"/>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77" w:id="-1167898355"/>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551" w:type="pct"/>
            <w:vAlign w:val="center"/>
          </w:tcPr>
          <w:p w14:paraId="0950581E" w14:textId="31ECA9A1" w:rsidR="00475785" w:rsidRPr="00E95474" w:rsidRDefault="00475785" w:rsidP="00DD7992">
            <w:pPr>
              <w:keepNext/>
              <w:keepLines/>
              <w:jc w:val="center"/>
              <w:rPr>
                <w:rFonts w:ascii="Arial Narrow" w:hAnsi="Arial Narrow"/>
                <w:b/>
                <w:sz w:val="20"/>
                <w:szCs w:val="20"/>
              </w:rPr>
            </w:pPr>
            <w:r w:rsidRPr="00523ABB">
              <w:rPr>
                <w:rFonts w:ascii="Arial Narrow" w:hAnsi="Arial Narrow"/>
                <w:sz w:val="20"/>
                <w:szCs w:val="20"/>
              </w:rPr>
              <w:t>$</w:t>
            </w:r>
            <w:r w:rsidR="00546AD5" w:rsidRPr="00546AD5">
              <w:rPr>
                <w:rFonts w:ascii="Arial Narrow" w:hAnsi="Arial Narrow"/>
                <w:color w:val="000000"/>
                <w:spacing w:val="80"/>
                <w:sz w:val="20"/>
                <w:szCs w:val="20"/>
                <w:shd w:val="solid" w:color="000000" w:fill="000000"/>
                <w:fitText w:val="166" w:id="-1167898354"/>
                <w14:textFill>
                  <w14:solidFill>
                    <w14:srgbClr w14:val="000000">
                      <w14:alpha w14:val="100000"/>
                    </w14:srgbClr>
                  </w14:solidFill>
                </w14:textFill>
              </w:rPr>
              <w:t>|</w:t>
            </w:r>
            <w:r w:rsidR="00546AD5" w:rsidRPr="00546AD5">
              <w:rPr>
                <w:rFonts w:ascii="Arial Narrow" w:hAnsi="Arial Narrow"/>
                <w:color w:val="000000"/>
                <w:spacing w:val="1"/>
                <w:sz w:val="20"/>
                <w:szCs w:val="20"/>
                <w:shd w:val="solid" w:color="000000" w:fill="000000"/>
                <w:fitText w:val="166" w:id="-1167898354"/>
                <w14:textFill>
                  <w14:solidFill>
                    <w14:srgbClr w14:val="000000">
                      <w14:alpha w14:val="100000"/>
                    </w14:srgbClr>
                  </w14:solidFill>
                </w14:textFill>
              </w:rPr>
              <w:t>|</w:t>
            </w:r>
            <w:r w:rsidR="005D440A">
              <w:rPr>
                <w:rFonts w:ascii="Arial Narrow" w:eastAsia="TimesNewRoman" w:hAnsi="Arial Narrow"/>
                <w:color w:val="000000"/>
                <w:sz w:val="20"/>
                <w:szCs w:val="20"/>
              </w:rPr>
              <w:t xml:space="preserve"> </w:t>
            </w:r>
            <w:r w:rsidR="005D440A">
              <w:rPr>
                <w:rFonts w:ascii="Arial Narrow" w:eastAsia="TimesNewRoman" w:hAnsi="Arial Narrow"/>
                <w:color w:val="000000"/>
                <w:sz w:val="20"/>
                <w:szCs w:val="20"/>
                <w:vertAlign w:val="superscript"/>
              </w:rPr>
              <w:t>3</w:t>
            </w:r>
          </w:p>
        </w:tc>
        <w:tc>
          <w:tcPr>
            <w:tcW w:w="629" w:type="pct"/>
            <w:vAlign w:val="center"/>
          </w:tcPr>
          <w:p w14:paraId="6A512068" w14:textId="23CCFDF1" w:rsidR="00475785" w:rsidRPr="00E95474" w:rsidRDefault="00475785" w:rsidP="00DD7992">
            <w:pPr>
              <w:keepNext/>
              <w:keepLines/>
              <w:jc w:val="center"/>
              <w:rPr>
                <w:rFonts w:ascii="Arial Narrow" w:hAnsi="Arial Narrow"/>
                <w:b/>
                <w:sz w:val="20"/>
                <w:szCs w:val="20"/>
              </w:rPr>
            </w:pPr>
            <w:r w:rsidRPr="00523ABB">
              <w:rPr>
                <w:rFonts w:ascii="Arial Narrow" w:hAnsi="Arial Narrow"/>
                <w:sz w:val="20"/>
                <w:szCs w:val="20"/>
              </w:rPr>
              <w:t>$</w:t>
            </w:r>
            <w:r w:rsidR="00546AD5" w:rsidRPr="00546AD5">
              <w:rPr>
                <w:rFonts w:ascii="Arial Narrow" w:hAnsi="Arial Narrow" w:hint="eastAsia"/>
                <w:color w:val="000000"/>
                <w:w w:val="24"/>
                <w:sz w:val="20"/>
                <w:szCs w:val="20"/>
                <w:shd w:val="solid" w:color="000000" w:fill="000000"/>
                <w:fitText w:val="110" w:id="-1167898353"/>
                <w14:textFill>
                  <w14:solidFill>
                    <w14:srgbClr w14:val="000000">
                      <w14:alpha w14:val="100000"/>
                    </w14:srgbClr>
                  </w14:solidFill>
                </w14:textFill>
              </w:rPr>
              <w:t xml:space="preserve">　</w:t>
            </w:r>
            <w:r w:rsidR="00546AD5" w:rsidRPr="00546AD5">
              <w:rPr>
                <w:rFonts w:ascii="Arial Narrow" w:hAnsi="Arial Narrow"/>
                <w:color w:val="000000"/>
                <w:w w:val="24"/>
                <w:sz w:val="20"/>
                <w:szCs w:val="20"/>
                <w:shd w:val="solid" w:color="000000" w:fill="000000"/>
                <w:fitText w:val="110" w:id="-1167898353"/>
                <w14:textFill>
                  <w14:solidFill>
                    <w14:srgbClr w14:val="000000">
                      <w14:alpha w14:val="100000"/>
                    </w14:srgbClr>
                  </w14:solidFill>
                </w14:textFill>
              </w:rPr>
              <w:t>|</w:t>
            </w:r>
            <w:r w:rsidR="00546AD5" w:rsidRPr="00546AD5">
              <w:rPr>
                <w:rFonts w:ascii="Arial Narrow" w:hAnsi="Arial Narrow" w:hint="eastAsia"/>
                <w:color w:val="000000"/>
                <w:spacing w:val="6"/>
                <w:w w:val="24"/>
                <w:sz w:val="20"/>
                <w:szCs w:val="20"/>
                <w:shd w:val="solid" w:color="000000" w:fill="000000"/>
                <w:fitText w:val="110" w:id="-1167898353"/>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629" w:type="pct"/>
            <w:vAlign w:val="center"/>
          </w:tcPr>
          <w:p w14:paraId="455527BF" w14:textId="7C259059" w:rsidR="00475785" w:rsidRPr="00E95474" w:rsidRDefault="00475785" w:rsidP="00DD7992">
            <w:pPr>
              <w:keepNext/>
              <w:keepLines/>
              <w:jc w:val="center"/>
              <w:rPr>
                <w:rFonts w:ascii="Arial Narrow" w:hAnsi="Arial Narrow"/>
                <w:b/>
                <w:sz w:val="20"/>
                <w:szCs w:val="20"/>
              </w:rPr>
            </w:pPr>
            <w:r w:rsidRPr="00523ABB">
              <w:rPr>
                <w:rFonts w:ascii="Arial Narrow" w:hAnsi="Arial Narrow"/>
                <w:sz w:val="20"/>
                <w:szCs w:val="20"/>
              </w:rPr>
              <w:t>$</w:t>
            </w:r>
            <w:r w:rsidR="00546AD5" w:rsidRPr="00546AD5">
              <w:rPr>
                <w:rFonts w:ascii="Arial Narrow" w:hAnsi="Arial Narrow" w:hint="eastAsia"/>
                <w:color w:val="000000"/>
                <w:w w:val="25"/>
                <w:sz w:val="20"/>
                <w:szCs w:val="20"/>
                <w:shd w:val="solid" w:color="000000" w:fill="000000"/>
                <w:fitText w:val="111" w:id="-1167898352"/>
                <w14:textFill>
                  <w14:solidFill>
                    <w14:srgbClr w14:val="000000">
                      <w14:alpha w14:val="100000"/>
                    </w14:srgbClr>
                  </w14:solidFill>
                </w14:textFill>
              </w:rPr>
              <w:t xml:space="preserve">　</w:t>
            </w:r>
            <w:r w:rsidR="00546AD5" w:rsidRPr="00546AD5">
              <w:rPr>
                <w:rFonts w:ascii="Arial Narrow" w:hAnsi="Arial Narrow"/>
                <w:color w:val="000000"/>
                <w:w w:val="25"/>
                <w:sz w:val="20"/>
                <w:szCs w:val="20"/>
                <w:shd w:val="solid" w:color="000000" w:fill="000000"/>
                <w:fitText w:val="111" w:id="-1167898352"/>
                <w14:textFill>
                  <w14:solidFill>
                    <w14:srgbClr w14:val="000000">
                      <w14:alpha w14:val="100000"/>
                    </w14:srgbClr>
                  </w14:solidFill>
                </w14:textFill>
              </w:rPr>
              <w:t>|</w:t>
            </w:r>
            <w:r w:rsidR="00546AD5" w:rsidRPr="00546AD5">
              <w:rPr>
                <w:rFonts w:ascii="Arial Narrow" w:hAnsi="Arial Narrow" w:hint="eastAsia"/>
                <w:color w:val="000000"/>
                <w:w w:val="25"/>
                <w:sz w:val="20"/>
                <w:szCs w:val="20"/>
                <w:shd w:val="solid" w:color="000000" w:fill="000000"/>
                <w:fitText w:val="111" w:id="-1167898352"/>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c>
          <w:tcPr>
            <w:tcW w:w="598" w:type="pct"/>
            <w:vAlign w:val="center"/>
          </w:tcPr>
          <w:p w14:paraId="6EE2AECA" w14:textId="056FCD00" w:rsidR="00475785" w:rsidRPr="00E95474" w:rsidRDefault="00475785" w:rsidP="00DD7992">
            <w:pPr>
              <w:keepNext/>
              <w:keepLines/>
              <w:jc w:val="center"/>
              <w:rPr>
                <w:rFonts w:ascii="Arial Narrow" w:hAnsi="Arial Narrow"/>
                <w:b/>
                <w:sz w:val="20"/>
                <w:szCs w:val="20"/>
              </w:rPr>
            </w:pPr>
            <w:r w:rsidRPr="00523ABB">
              <w:rPr>
                <w:rFonts w:ascii="Arial Narrow" w:hAnsi="Arial Narrow"/>
                <w:sz w:val="20"/>
                <w:szCs w:val="20"/>
              </w:rPr>
              <w:t>$</w:t>
            </w:r>
            <w:r w:rsidR="00546AD5" w:rsidRPr="00546AD5">
              <w:rPr>
                <w:rFonts w:ascii="Arial Narrow" w:hAnsi="Arial Narrow" w:hint="eastAsia"/>
                <w:color w:val="000000"/>
                <w:w w:val="27"/>
                <w:sz w:val="20"/>
                <w:szCs w:val="20"/>
                <w:shd w:val="solid" w:color="000000" w:fill="000000"/>
                <w:fitText w:val="122" w:id="-1167898368"/>
                <w14:textFill>
                  <w14:solidFill>
                    <w14:srgbClr w14:val="000000">
                      <w14:alpha w14:val="100000"/>
                    </w14:srgbClr>
                  </w14:solidFill>
                </w14:textFill>
              </w:rPr>
              <w:t xml:space="preserve">　</w:t>
            </w:r>
            <w:r w:rsidR="00546AD5" w:rsidRPr="00546AD5">
              <w:rPr>
                <w:rFonts w:ascii="Arial Narrow" w:hAnsi="Arial Narrow"/>
                <w:color w:val="000000"/>
                <w:w w:val="27"/>
                <w:sz w:val="20"/>
                <w:szCs w:val="20"/>
                <w:shd w:val="solid" w:color="000000" w:fill="000000"/>
                <w:fitText w:val="122" w:id="-1167898368"/>
                <w14:textFill>
                  <w14:solidFill>
                    <w14:srgbClr w14:val="000000">
                      <w14:alpha w14:val="100000"/>
                    </w14:srgbClr>
                  </w14:solidFill>
                </w14:textFill>
              </w:rPr>
              <w:t>|</w:t>
            </w:r>
            <w:r w:rsidR="00546AD5" w:rsidRPr="00546AD5">
              <w:rPr>
                <w:rFonts w:ascii="Arial Narrow" w:hAnsi="Arial Narrow" w:hint="eastAsia"/>
                <w:color w:val="000000"/>
                <w:spacing w:val="4"/>
                <w:w w:val="27"/>
                <w:sz w:val="20"/>
                <w:szCs w:val="20"/>
                <w:shd w:val="solid" w:color="000000" w:fill="000000"/>
                <w:fitText w:val="122" w:id="-1167898368"/>
                <w14:textFill>
                  <w14:solidFill>
                    <w14:srgbClr w14:val="000000">
                      <w14:alpha w14:val="100000"/>
                    </w14:srgbClr>
                  </w14:solidFill>
                </w14:textFill>
              </w:rPr>
              <w:t xml:space="preserve">　</w:t>
            </w:r>
            <w:r w:rsidR="00DD7992">
              <w:rPr>
                <w:rFonts w:ascii="Arial Narrow" w:eastAsia="TimesNewRoman" w:hAnsi="Arial Narrow"/>
                <w:color w:val="000000"/>
                <w:sz w:val="20"/>
                <w:szCs w:val="20"/>
              </w:rPr>
              <w:t xml:space="preserve"> </w:t>
            </w:r>
            <w:r w:rsidR="00DD7992">
              <w:rPr>
                <w:rFonts w:ascii="Arial Narrow" w:eastAsia="TimesNewRoman" w:hAnsi="Arial Narrow"/>
                <w:color w:val="000000"/>
                <w:sz w:val="20"/>
                <w:szCs w:val="20"/>
                <w:vertAlign w:val="superscript"/>
              </w:rPr>
              <w:t>4</w:t>
            </w:r>
          </w:p>
        </w:tc>
      </w:tr>
    </w:tbl>
    <w:p w14:paraId="3C297733" w14:textId="1559C21D" w:rsidR="00AC2298" w:rsidRPr="00271560" w:rsidRDefault="00AC2298" w:rsidP="00DD7992">
      <w:pPr>
        <w:pStyle w:val="TableFooter"/>
        <w:keepNext/>
        <w:keepLines/>
      </w:pPr>
      <w:r w:rsidRPr="00271560">
        <w:t xml:space="preserve">Source: Tables 4.2, 4.3, 4.4, 4.5, 4.6, 4.7, 4.8, </w:t>
      </w:r>
      <w:r w:rsidR="00A40E60">
        <w:t>4.9, 4.</w:t>
      </w:r>
      <w:r w:rsidR="00E54D75">
        <w:t>10, 4</w:t>
      </w:r>
      <w:r w:rsidRPr="00271560">
        <w:t>.13, 4.1p168-175; Utilisation and cost model (UCM) workbook (Section 4).xls</w:t>
      </w:r>
    </w:p>
    <w:p w14:paraId="1DCEA80F" w14:textId="77777777" w:rsidR="00AC2298" w:rsidRPr="00271560" w:rsidRDefault="00AC2298" w:rsidP="00DD7992">
      <w:pPr>
        <w:pStyle w:val="TableFooter"/>
        <w:keepNext/>
        <w:keepLines/>
      </w:pPr>
      <w:r w:rsidRPr="00271560">
        <w:t>SMA = spinal muscular atrophy; SMN = survival of motor neuron</w:t>
      </w:r>
    </w:p>
    <w:p w14:paraId="7A23CCA9" w14:textId="47259AE3" w:rsidR="0006693E" w:rsidRDefault="0006693E" w:rsidP="00DD7992">
      <w:pPr>
        <w:pStyle w:val="TableFooter"/>
        <w:keepNext/>
        <w:keepLines/>
        <w:rPr>
          <w:rFonts w:eastAsia="Calibri"/>
          <w:lang w:eastAsia="en-US"/>
        </w:rPr>
      </w:pPr>
      <w:r w:rsidRPr="00271560">
        <w:rPr>
          <w:rFonts w:eastAsia="Calibri"/>
          <w:vertAlign w:val="superscript"/>
          <w:lang w:eastAsia="en-US"/>
        </w:rPr>
        <w:t>a</w:t>
      </w:r>
      <w:r w:rsidRPr="00271560">
        <w:rPr>
          <w:rFonts w:eastAsia="Calibri"/>
          <w:lang w:eastAsia="en-US"/>
        </w:rPr>
        <w:t xml:space="preserve"> During the evaluation, figures in the workbook sheet ‘4a. Scripts – affected’ were amended to better factor in the assumed treatment delay in the symptomatic setting. The resubmission had multiplied the patients in rows 460 to 468 by a factor to simulate a treatment delay for patients with SMA Type I and IIIa, but during the evaluation this multiplier was removed from the calculation of patient numbers (rows 460 to 468). During the evaluation amendments were made so the treatment delays were factored in by distributing the patients correctly over the years in which they receive treatment, applying treatment delays for scripts calculated for Yr 1 continuation and Yr 2+ and application of the relevant scripts received per year.</w:t>
      </w:r>
    </w:p>
    <w:p w14:paraId="163C9377" w14:textId="77777777" w:rsidR="00DD7992" w:rsidRPr="009A6D58" w:rsidRDefault="00DD7992" w:rsidP="00DD799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CF2097C" w14:textId="4B13F3DA" w:rsidR="00DD7992" w:rsidRPr="009A6D58" w:rsidRDefault="00DD7992" w:rsidP="00DD7992">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D7992">
        <w:rPr>
          <w:rFonts w:ascii="Arial Narrow" w:hAnsi="Arial Narrow"/>
          <w:i/>
          <w:sz w:val="18"/>
          <w:szCs w:val="18"/>
        </w:rPr>
        <w:t>300,000 to &lt; 400,000</w:t>
      </w:r>
    </w:p>
    <w:p w14:paraId="5C62AEF0" w14:textId="0359020B" w:rsidR="00DD7992" w:rsidRPr="009A6D58" w:rsidRDefault="00DD7992" w:rsidP="00DD7992">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&lt; 500</w:t>
      </w:r>
    </w:p>
    <w:p w14:paraId="50DE25AC" w14:textId="4F289EC5" w:rsidR="00DD7992" w:rsidRDefault="00DD7992" w:rsidP="00DD7992">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DD7992">
        <w:rPr>
          <w:rFonts w:ascii="Arial Narrow" w:hAnsi="Arial Narrow"/>
          <w:i/>
          <w:sz w:val="18"/>
          <w:szCs w:val="18"/>
        </w:rPr>
        <w:t>$0 to &lt; $10 million</w:t>
      </w:r>
    </w:p>
    <w:p w14:paraId="2858B571" w14:textId="525E012A" w:rsidR="00DD7992" w:rsidRDefault="00DD7992" w:rsidP="00DD7992">
      <w:pPr>
        <w:keepNext/>
        <w:keepLines/>
        <w:rPr>
          <w:rFonts w:ascii="Arial Narrow" w:hAnsi="Arial Narrow"/>
          <w:i/>
          <w:sz w:val="18"/>
          <w:szCs w:val="18"/>
          <w:vertAlign w:val="superscript"/>
        </w:rPr>
      </w:pPr>
      <w:r>
        <w:rPr>
          <w:rFonts w:ascii="Arial Narrow" w:hAnsi="Arial Narrow"/>
          <w:i/>
          <w:sz w:val="18"/>
          <w:szCs w:val="18"/>
          <w:vertAlign w:val="superscript"/>
        </w:rPr>
        <w:t>4</w:t>
      </w:r>
      <w:r>
        <w:rPr>
          <w:rFonts w:ascii="Arial Narrow" w:hAnsi="Arial Narrow"/>
          <w:i/>
          <w:sz w:val="18"/>
          <w:szCs w:val="18"/>
        </w:rPr>
        <w:t xml:space="preserve"> $</w:t>
      </w:r>
      <w:r w:rsidRPr="00DD7992">
        <w:rPr>
          <w:rFonts w:ascii="Arial Narrow" w:hAnsi="Arial Narrow"/>
          <w:i/>
          <w:sz w:val="18"/>
          <w:szCs w:val="18"/>
        </w:rPr>
        <w:t>10 million to &lt; $20 million</w:t>
      </w:r>
      <w:r w:rsidRPr="00DD7992">
        <w:rPr>
          <w:rFonts w:ascii="Arial Narrow" w:hAnsi="Arial Narrow"/>
          <w:i/>
          <w:sz w:val="18"/>
          <w:szCs w:val="18"/>
          <w:vertAlign w:val="superscript"/>
        </w:rPr>
        <w:t xml:space="preserve"> </w:t>
      </w:r>
    </w:p>
    <w:p w14:paraId="4F1069A7" w14:textId="044E35A8" w:rsidR="00DD7992" w:rsidRDefault="00DD7992" w:rsidP="00DD7992">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DD7992">
        <w:rPr>
          <w:rFonts w:ascii="Arial Narrow" w:hAnsi="Arial Narrow"/>
          <w:i/>
          <w:sz w:val="18"/>
          <w:szCs w:val="18"/>
        </w:rPr>
        <w:t>$20 million to &lt; $30 million</w:t>
      </w:r>
    </w:p>
    <w:p w14:paraId="22A5EB99" w14:textId="383138D0" w:rsidR="00AC2298" w:rsidRPr="00E95474" w:rsidRDefault="00AC2298" w:rsidP="00AC2298">
      <w:pPr>
        <w:pStyle w:val="3-BodyText"/>
      </w:pPr>
      <w:r w:rsidRPr="00E95474">
        <w:t xml:space="preserve">While the financial estimates would capture patients diagnosed with SMA soon after birth, pre-symptomatic patients who are not identified with SMA as newborns but are diagnosed up to the age of 18 years were not included in the financial estimates. It is expected that this will involve a very small number of patients who are pre-symptomatically diagnosed with SMA at an older age; for example, the diagnosis of an older sibling after their younger sibling is found to have SMA at birth. These patients </w:t>
      </w:r>
      <w:r w:rsidRPr="00E95474">
        <w:lastRenderedPageBreak/>
        <w:t xml:space="preserve">would currently be eligible for </w:t>
      </w:r>
      <w:r w:rsidR="005E702E" w:rsidRPr="00E95474">
        <w:t>nusinersen</w:t>
      </w:r>
      <w:r w:rsidRPr="00E95474">
        <w:t xml:space="preserve"> once they develop SMA symptoms but are not currently eligible for pre-symptomatic treatment. </w:t>
      </w:r>
    </w:p>
    <w:p w14:paraId="3EA737AB" w14:textId="23D4D684" w:rsidR="005E702E" w:rsidRPr="00E95474" w:rsidRDefault="00CA1CF4" w:rsidP="00AC2298">
      <w:pPr>
        <w:pStyle w:val="3-BodyText"/>
      </w:pPr>
      <w:r w:rsidRPr="00E95474">
        <w:t xml:space="preserve">The resubmission’s estimates for delayed substitutions </w:t>
      </w:r>
      <w:r w:rsidR="00627576" w:rsidRPr="00E95474">
        <w:t xml:space="preserve">(used to inform cost offsets on the PBS) </w:t>
      </w:r>
      <w:r w:rsidRPr="00E95474">
        <w:t xml:space="preserve">could not be verified during the evaluation. For example, in year 1, the resubmission estimated that </w:t>
      </w:r>
      <w:r w:rsidR="007B31DE">
        <w:t>&lt; 500</w:t>
      </w:r>
      <w:r w:rsidRPr="00E95474">
        <w:t xml:space="preserve"> patients who initiated nusinersen will have developed SMA Type I, and the offset was calculated as half of all initiating patients (</w:t>
      </w:r>
      <w:r w:rsidR="007B31DE">
        <w:t>&lt; 500</w:t>
      </w:r>
      <w:r w:rsidRPr="00E95474">
        <w:t xml:space="preserve">) being treated for the full year in year 1 rather than actually delaying the initiation of treatment of all </w:t>
      </w:r>
      <w:r w:rsidR="007B31DE">
        <w:t>&lt; 500</w:t>
      </w:r>
      <w:r w:rsidR="007B31DE" w:rsidRPr="00E95474">
        <w:t xml:space="preserve"> </w:t>
      </w:r>
      <w:r w:rsidRPr="00E95474">
        <w:t xml:space="preserve">patients by half a year. During the evaluation, figures were amended to better factor in the assumed treatment delay for the symptomatic setting. For example, the estimates </w:t>
      </w:r>
      <w:r w:rsidR="008F6D33">
        <w:t>were revised to</w:t>
      </w:r>
      <w:r w:rsidR="008F6D33" w:rsidRPr="00E95474">
        <w:t xml:space="preserve"> </w:t>
      </w:r>
      <w:r w:rsidRPr="00E95474">
        <w:t xml:space="preserve">appropriately consider that </w:t>
      </w:r>
      <w:r w:rsidR="007B31DE">
        <w:t>&lt; 500</w:t>
      </w:r>
      <w:r w:rsidR="007B31DE" w:rsidRPr="00E95474">
        <w:t xml:space="preserve"> </w:t>
      </w:r>
      <w:r w:rsidRPr="00E95474">
        <w:t xml:space="preserve">patients who develop SMA Type I will initiate treatment at </w:t>
      </w:r>
      <w:r w:rsidR="00337437" w:rsidRPr="00E95474">
        <w:t>6</w:t>
      </w:r>
      <w:r w:rsidR="00337437">
        <w:t> </w:t>
      </w:r>
      <w:r w:rsidRPr="00E95474">
        <w:t xml:space="preserve">months, which results in slightly more initiation doses (as there was </w:t>
      </w:r>
      <w:r w:rsidR="00546AD5" w:rsidRPr="007020B8">
        <w:rPr>
          <w:color w:val="000000"/>
          <w:w w:val="15"/>
          <w:shd w:val="solid" w:color="000000" w:fill="000000"/>
          <w:fitText w:val="-20" w:id="-116789836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36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6"/>
          <w14:textFill>
            <w14:solidFill>
              <w14:srgbClr w14:val="000000">
                <w14:alpha w14:val="100000"/>
              </w14:srgbClr>
            </w14:solidFill>
          </w14:textFill>
        </w:rPr>
        <w:t>|</w:t>
      </w:r>
      <w:r w:rsidRPr="00E95474">
        <w:t xml:space="preserve"> for symptomatic treatment in SMA Type I) but fewer continuation doses as the duration of treatment was only six months in the first year. These changes resulted in slightly higher total cost offsets than estimated in the resubmission (resubmission estimates for total cost of</w:t>
      </w:r>
      <w:r w:rsidR="00627576" w:rsidRPr="00E95474">
        <w:t xml:space="preserve">fsets </w:t>
      </w:r>
      <w:r w:rsidR="00E91F40" w:rsidRPr="00E95474">
        <w:t xml:space="preserve">were </w:t>
      </w:r>
      <w:r w:rsidR="0011338F" w:rsidRPr="0011338F">
        <w:t>$0 million to &lt; $</w:t>
      </w:r>
      <w:r w:rsidR="0011338F">
        <w:t>1</w:t>
      </w:r>
      <w:r w:rsidR="0011338F" w:rsidRPr="0011338F">
        <w:t>0 million</w:t>
      </w:r>
      <w:r w:rsidR="0011338F" w:rsidRPr="0011338F" w:rsidDel="0011338F">
        <w:t xml:space="preserve"> </w:t>
      </w:r>
      <w:r w:rsidRPr="00E95474">
        <w:t xml:space="preserve">in Year 1 to </w:t>
      </w:r>
      <w:r w:rsidR="0011338F" w:rsidRPr="0011338F">
        <w:t>$10 million to &lt; $20 million</w:t>
      </w:r>
      <w:r w:rsidR="0011338F" w:rsidRPr="0011338F" w:rsidDel="0011338F">
        <w:t xml:space="preserve"> </w:t>
      </w:r>
      <w:r w:rsidRPr="00E95474">
        <w:t>in Years 6).</w:t>
      </w:r>
    </w:p>
    <w:p w14:paraId="2C24F624" w14:textId="60403E52" w:rsidR="00AC2298" w:rsidRPr="00452F48" w:rsidRDefault="00AC2298" w:rsidP="00AC2298">
      <w:pPr>
        <w:pStyle w:val="3-BodyText"/>
      </w:pPr>
      <w:r w:rsidRPr="00271560">
        <w:t xml:space="preserve">The resubmission recognised that a small proportion of the eligible patients (equalling </w:t>
      </w:r>
      <w:r w:rsidR="007B31DE">
        <w:t>&lt; 500</w:t>
      </w:r>
      <w:r w:rsidR="007B31DE" w:rsidRPr="00E95474">
        <w:t xml:space="preserve"> </w:t>
      </w:r>
      <w:r w:rsidRPr="00271560">
        <w:t>individual</w:t>
      </w:r>
      <w:r w:rsidR="000A21DE">
        <w:t>s</w:t>
      </w:r>
      <w:r w:rsidRPr="00271560">
        <w:t xml:space="preserve"> initiating treatment each year) would qualify for nusinersen at a later timepoint at a lower price than proposed for the pre-symptomatic setting. This group would consist of SMA phenotype IIIb/c with a </w:t>
      </w:r>
      <w:r w:rsidRPr="0011338F">
        <w:rPr>
          <w:i/>
          <w:iCs/>
        </w:rPr>
        <w:t>SMN2</w:t>
      </w:r>
      <w:r w:rsidRPr="00271560">
        <w:t xml:space="preserve"> copy number of 3. The vial price for patients with SMA Type IIIb/c in the pre-symptomatic setting is $</w:t>
      </w:r>
      <w:r w:rsidR="00546AD5" w:rsidRPr="007020B8">
        <w:rPr>
          <w:color w:val="000000"/>
          <w:w w:val="15"/>
          <w:shd w:val="solid" w:color="000000" w:fill="000000"/>
          <w:fitText w:val="-20" w:id="-1167898365"/>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5"/>
          <w14:textFill>
            <w14:solidFill>
              <w14:srgbClr w14:val="000000">
                <w14:alpha w14:val="100000"/>
              </w14:srgbClr>
            </w14:solidFill>
          </w14:textFill>
        </w:rPr>
        <w:t>|</w:t>
      </w:r>
      <w:r w:rsidRPr="00271560">
        <w:t xml:space="preserve"> (proposed) compared to $</w:t>
      </w:r>
      <w:r w:rsidR="00546AD5" w:rsidRPr="007020B8">
        <w:rPr>
          <w:color w:val="000000"/>
          <w:w w:val="15"/>
          <w:shd w:val="solid" w:color="000000" w:fill="000000"/>
          <w:fitText w:val="-20" w:id="-116789836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4"/>
          <w14:textFill>
            <w14:solidFill>
              <w14:srgbClr w14:val="000000">
                <w14:alpha w14:val="100000"/>
              </w14:srgbClr>
            </w14:solidFill>
          </w14:textFill>
        </w:rPr>
        <w:t>|</w:t>
      </w:r>
      <w:r w:rsidRPr="00271560">
        <w:t xml:space="preserve"> in the symptomatic setting, with both eligible for </w:t>
      </w:r>
      <w:r w:rsidR="00546AD5" w:rsidRPr="007020B8">
        <w:rPr>
          <w:color w:val="000000"/>
          <w:w w:val="15"/>
          <w:shd w:val="solid" w:color="000000" w:fill="000000"/>
          <w:fitText w:val="-20" w:id="-116789836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3"/>
          <w14:textFill>
            <w14:solidFill>
              <w14:srgbClr w14:val="000000">
                <w14:alpha w14:val="100000"/>
              </w14:srgbClr>
            </w14:solidFill>
          </w14:textFill>
        </w:rPr>
        <w:t>|</w:t>
      </w:r>
      <w:r w:rsidRPr="00773FCD">
        <w:t xml:space="preserve"> </w:t>
      </w:r>
      <w:r w:rsidR="00546AD5" w:rsidRPr="007020B8">
        <w:rPr>
          <w:color w:val="000000"/>
          <w:w w:val="15"/>
          <w:shd w:val="solid" w:color="000000" w:fill="000000"/>
          <w:fitText w:val="-20" w:id="-116789836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2"/>
          <w14:textFill>
            <w14:solidFill>
              <w14:srgbClr w14:val="000000">
                <w14:alpha w14:val="100000"/>
              </w14:srgbClr>
            </w14:solidFill>
          </w14:textFill>
        </w:rPr>
        <w:t>|</w:t>
      </w:r>
      <w:r w:rsidRPr="00271560">
        <w:t xml:space="preserve"> </w:t>
      </w:r>
      <w:r w:rsidR="00546AD5" w:rsidRPr="007020B8">
        <w:rPr>
          <w:color w:val="000000"/>
          <w:w w:val="15"/>
          <w:shd w:val="solid" w:color="000000" w:fill="000000"/>
          <w:fitText w:val="-20" w:id="-116789836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36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0"/>
          <w14:textFill>
            <w14:solidFill>
              <w14:srgbClr w14:val="000000">
                <w14:alpha w14:val="100000"/>
              </w14:srgbClr>
            </w14:solidFill>
          </w14:textFill>
        </w:rPr>
        <w:t>|</w:t>
      </w:r>
      <w:r w:rsidR="00393960">
        <w:t xml:space="preserve">. As such </w:t>
      </w:r>
      <w:r w:rsidR="00393960" w:rsidRPr="00E95474">
        <w:t>there w</w:t>
      </w:r>
      <w:r w:rsidR="00393960">
        <w:t>ould</w:t>
      </w:r>
      <w:r w:rsidR="00393960" w:rsidRPr="00E95474">
        <w:t xml:space="preserve"> be an additional incremental cost of $</w:t>
      </w:r>
      <w:r w:rsidR="00546AD5" w:rsidRPr="007020B8">
        <w:rPr>
          <w:color w:val="000000"/>
          <w:w w:val="15"/>
          <w:shd w:val="solid" w:color="000000" w:fill="000000"/>
          <w:fitText w:val="-20" w:id="-116789835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9"/>
          <w14:textFill>
            <w14:solidFill>
              <w14:srgbClr w14:val="000000">
                <w14:alpha w14:val="100000"/>
              </w14:srgbClr>
            </w14:solidFill>
          </w14:textFill>
        </w:rPr>
        <w:t>|</w:t>
      </w:r>
      <w:r w:rsidR="00393960" w:rsidRPr="00E95474">
        <w:t>/year (($</w:t>
      </w:r>
      <w:r w:rsidR="00546AD5" w:rsidRPr="007020B8">
        <w:rPr>
          <w:color w:val="000000"/>
          <w:w w:val="15"/>
          <w:shd w:val="solid" w:color="000000" w:fill="000000"/>
          <w:fitText w:val="-20" w:id="-116789835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8"/>
          <w14:textFill>
            <w14:solidFill>
              <w14:srgbClr w14:val="000000">
                <w14:alpha w14:val="100000"/>
              </w14:srgbClr>
            </w14:solidFill>
          </w14:textFill>
        </w:rPr>
        <w:t>|</w:t>
      </w:r>
      <w:r w:rsidR="00393960" w:rsidRPr="00E95474">
        <w:t xml:space="preserve"> - $</w:t>
      </w:r>
      <w:r w:rsidR="00546AD5" w:rsidRPr="007020B8">
        <w:rPr>
          <w:color w:val="000000"/>
          <w:w w:val="15"/>
          <w:shd w:val="solid" w:color="000000" w:fill="000000"/>
          <w:fitText w:val="-20" w:id="-116789835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7"/>
          <w14:textFill>
            <w14:solidFill>
              <w14:srgbClr w14:val="000000">
                <w14:alpha w14:val="100000"/>
              </w14:srgbClr>
            </w14:solidFill>
          </w14:textFill>
        </w:rPr>
        <w:t>|</w:t>
      </w:r>
      <w:r w:rsidR="00393960" w:rsidRPr="00E95474">
        <w:t xml:space="preserve">) </w:t>
      </w:r>
      <w:r w:rsidR="00393960" w:rsidRPr="00DE5E62">
        <w:rPr>
          <w:rFonts w:cstheme="minorHAnsi"/>
        </w:rPr>
        <w:t>×</w:t>
      </w:r>
      <w:r w:rsidR="00393960" w:rsidRPr="00E95474">
        <w:t xml:space="preserve"> 3 doses/year) for each year of treatment after the patient is expected to become symptomatic</w:t>
      </w:r>
      <w:r w:rsidRPr="00271560">
        <w:t xml:space="preserve">. </w:t>
      </w:r>
      <w:r w:rsidR="00DE5E62">
        <w:t>T</w:t>
      </w:r>
      <w:r w:rsidR="00DE5E62" w:rsidRPr="00E95474">
        <w:t>his additional incremental cost was not captured in the financial estimates due to the assumption that patients with SMA Type IIIb/c would experience symptom onset at 10.5 years of age.</w:t>
      </w:r>
      <w:r w:rsidR="00DE5E62" w:rsidRPr="00DE5E62">
        <w:rPr>
          <w:i/>
          <w:iCs/>
        </w:rPr>
        <w:t xml:space="preserve"> </w:t>
      </w:r>
      <w:r w:rsidR="00B801FA">
        <w:t>T</w:t>
      </w:r>
      <w:r w:rsidRPr="00C177BC">
        <w:t>he resubmission</w:t>
      </w:r>
      <w:r w:rsidR="00483B73">
        <w:t xml:space="preserve"> </w:t>
      </w:r>
      <w:r w:rsidR="00861492" w:rsidRPr="00C177BC">
        <w:t>considered this would have minimal financial impact</w:t>
      </w:r>
      <w:r w:rsidR="00861492">
        <w:t xml:space="preserve">, with </w:t>
      </w:r>
      <w:r w:rsidRPr="00C177BC">
        <w:t xml:space="preserve">the total impact </w:t>
      </w:r>
      <w:r w:rsidR="00861492">
        <w:t>rang</w:t>
      </w:r>
      <w:r w:rsidR="007F35E0">
        <w:t>ing</w:t>
      </w:r>
      <w:r w:rsidRPr="00C177BC">
        <w:t xml:space="preserve"> from </w:t>
      </w:r>
      <w:r w:rsidR="0011338F" w:rsidRPr="0011338F">
        <w:t>$0 million to &lt; $</w:t>
      </w:r>
      <w:r w:rsidR="0011338F">
        <w:t>1</w:t>
      </w:r>
      <w:r w:rsidR="0011338F" w:rsidRPr="0011338F">
        <w:t>0 million</w:t>
      </w:r>
      <w:r w:rsidR="0011338F" w:rsidRPr="0011338F" w:rsidDel="0011338F">
        <w:t xml:space="preserve"> </w:t>
      </w:r>
      <w:r w:rsidRPr="00C177BC">
        <w:t xml:space="preserve">in year 1 to </w:t>
      </w:r>
      <w:r w:rsidR="0011338F" w:rsidRPr="0011338F">
        <w:t>$0 million to &lt; $</w:t>
      </w:r>
      <w:r w:rsidR="0011338F">
        <w:t>1</w:t>
      </w:r>
      <w:r w:rsidR="0011338F" w:rsidRPr="0011338F">
        <w:t>0 million</w:t>
      </w:r>
      <w:r w:rsidR="0011338F" w:rsidRPr="0011338F" w:rsidDel="0011338F">
        <w:t xml:space="preserve"> </w:t>
      </w:r>
      <w:r w:rsidRPr="00C177BC">
        <w:t>in year 6</w:t>
      </w:r>
      <w:r w:rsidR="00B801FA">
        <w:t xml:space="preserve">. </w:t>
      </w:r>
      <w:r w:rsidR="00393960" w:rsidRPr="00452F48">
        <w:t xml:space="preserve">The ESC considered this ongoing </w:t>
      </w:r>
      <w:r w:rsidR="00C4200B">
        <w:t>additional cost</w:t>
      </w:r>
      <w:r w:rsidR="00393960" w:rsidRPr="00452F48">
        <w:t xml:space="preserve"> for treating the same patients was not justified.</w:t>
      </w:r>
    </w:p>
    <w:p w14:paraId="363482EC" w14:textId="77777777" w:rsidR="00122728" w:rsidRDefault="00AC2298" w:rsidP="00AC2298">
      <w:pPr>
        <w:pStyle w:val="3-BodyText"/>
      </w:pPr>
      <w:r w:rsidRPr="00271560">
        <w:t xml:space="preserve">Of the sensitivity analyses </w:t>
      </w:r>
      <w:r w:rsidR="00887878">
        <w:t xml:space="preserve">around financial estimates </w:t>
      </w:r>
      <w:r w:rsidRPr="00271560">
        <w:t>conducted, the financial estimates were most sensitive to changes in</w:t>
      </w:r>
      <w:r w:rsidR="00122728">
        <w:t>:</w:t>
      </w:r>
    </w:p>
    <w:p w14:paraId="4FFAF185" w14:textId="7E2052D3" w:rsidR="001C542C" w:rsidRDefault="00122728" w:rsidP="0011338F">
      <w:pPr>
        <w:pStyle w:val="BulletPBAC"/>
      </w:pPr>
      <w:r>
        <w:t>T</w:t>
      </w:r>
      <w:r w:rsidR="00AC2298" w:rsidRPr="00271560">
        <w:t>he live birth</w:t>
      </w:r>
      <w:r w:rsidR="00887878">
        <w:t>s</w:t>
      </w:r>
      <w:r w:rsidR="00AC2298" w:rsidRPr="00271560">
        <w:t xml:space="preserve"> </w:t>
      </w:r>
      <w:r w:rsidR="00887878">
        <w:t>assumed</w:t>
      </w:r>
      <w:r>
        <w:t xml:space="preserve">: </w:t>
      </w:r>
      <w:r w:rsidR="00887878">
        <w:t>ABS Series B used in base case</w:t>
      </w:r>
      <w:r>
        <w:t xml:space="preserve"> ($</w:t>
      </w:r>
      <w:r w:rsidR="0011338F" w:rsidRPr="0011338F">
        <w:t>20 million to &lt; $30 million</w:t>
      </w:r>
      <w:r w:rsidR="0011338F" w:rsidRPr="0011338F" w:rsidDel="0011338F">
        <w:t xml:space="preserve"> </w:t>
      </w:r>
      <w:r>
        <w:t>over six years)</w:t>
      </w:r>
      <w:r w:rsidR="00887878">
        <w:t xml:space="preserve">, </w:t>
      </w:r>
      <w:r w:rsidR="00AC2298" w:rsidRPr="00271560">
        <w:t xml:space="preserve">+8.5% for Series A </w:t>
      </w:r>
      <w:r>
        <w:t>(</w:t>
      </w:r>
      <w:r w:rsidR="0011338F" w:rsidRPr="0011338F">
        <w:t>$30 million to &lt; $40 million</w:t>
      </w:r>
      <w:r>
        <w:t xml:space="preserve">) </w:t>
      </w:r>
      <w:r w:rsidR="00AC2298" w:rsidRPr="00271560">
        <w:t xml:space="preserve">and -8.3% for </w:t>
      </w:r>
      <w:r w:rsidR="0011338F" w:rsidRPr="00271560">
        <w:t>Series</w:t>
      </w:r>
      <w:r w:rsidR="0011338F">
        <w:t> </w:t>
      </w:r>
      <w:r w:rsidR="00887878">
        <w:t>C</w:t>
      </w:r>
      <w:r w:rsidR="001C542C">
        <w:t xml:space="preserve"> </w:t>
      </w:r>
      <w:r w:rsidR="0011338F">
        <w:t>($</w:t>
      </w:r>
      <w:r w:rsidR="0011338F" w:rsidRPr="0011338F">
        <w:t>20 million to &lt; $30 million</w:t>
      </w:r>
      <w:r w:rsidR="001C542C">
        <w:t>); and</w:t>
      </w:r>
    </w:p>
    <w:p w14:paraId="7A99B3D8" w14:textId="04993E9C" w:rsidR="001C542C" w:rsidRDefault="001C542C" w:rsidP="0011338F">
      <w:pPr>
        <w:pStyle w:val="BulletPBAC"/>
      </w:pPr>
      <w:r>
        <w:t>T</w:t>
      </w:r>
      <w:r w:rsidR="00AC2298" w:rsidRPr="00271560">
        <w:t>he addition of more patients who may have had Type IIIb/c/IV SMA</w:t>
      </w:r>
      <w:r>
        <w:t>:</w:t>
      </w:r>
      <w:r w:rsidR="00FF09B6">
        <w:t xml:space="preserve"> </w:t>
      </w:r>
      <w:r w:rsidR="00875231">
        <w:t xml:space="preserve">assuming </w:t>
      </w:r>
      <w:r w:rsidR="00337437">
        <w:t xml:space="preserve">&lt; 500 </w:t>
      </w:r>
      <w:r w:rsidR="00875231">
        <w:t xml:space="preserve">additional patient with Type IIIb in each year </w:t>
      </w:r>
      <w:r w:rsidR="00C97D54">
        <w:t xml:space="preserve">increased the total cost over six years </w:t>
      </w:r>
      <w:r w:rsidR="00FF09B6">
        <w:t xml:space="preserve">to </w:t>
      </w:r>
      <w:r w:rsidR="0011338F" w:rsidRPr="0011338F">
        <w:t>$30 million to &lt; $40 million</w:t>
      </w:r>
      <w:r w:rsidR="00AC2298" w:rsidRPr="00271560">
        <w:t xml:space="preserve">. </w:t>
      </w:r>
    </w:p>
    <w:p w14:paraId="6CC5819C" w14:textId="0D63B770" w:rsidR="00DE5E62" w:rsidRDefault="00DE5E62" w:rsidP="00DE5E62">
      <w:pPr>
        <w:pStyle w:val="3-BodyText"/>
      </w:pPr>
      <w:r w:rsidRPr="00452F48">
        <w:t xml:space="preserve">Overall, </w:t>
      </w:r>
      <w:r w:rsidR="00897B6E">
        <w:t xml:space="preserve">the </w:t>
      </w:r>
      <w:r w:rsidRPr="00452F48">
        <w:t xml:space="preserve">ESC considered that the financial impact of extending the pre-symptomatic listing to patients with 3 copies of </w:t>
      </w:r>
      <w:r w:rsidRPr="00452F48">
        <w:rPr>
          <w:i/>
          <w:iCs/>
        </w:rPr>
        <w:t>SMN2</w:t>
      </w:r>
      <w:r w:rsidRPr="00452F48">
        <w:t xml:space="preserve"> should be relatively minimal, as </w:t>
      </w:r>
      <w:r w:rsidRPr="00452F48">
        <w:lastRenderedPageBreak/>
        <w:t xml:space="preserve">the additional cost should only reflect earlier initiation of ongoing treatment. </w:t>
      </w:r>
      <w:r w:rsidR="006A68A3" w:rsidRPr="00452F48">
        <w:t>For patients with more severe SMA phenotype this delay would be expected to be minimal, though for the few patients with less severe phenotype (Type 3b/c) it may be relatively longer.</w:t>
      </w:r>
      <w:r w:rsidR="009E132F">
        <w:t xml:space="preserve"> </w:t>
      </w:r>
    </w:p>
    <w:p w14:paraId="4580EE8C" w14:textId="175CF0E7" w:rsidR="009E132F" w:rsidRPr="00452F48" w:rsidRDefault="009E132F" w:rsidP="00DE5E62">
      <w:pPr>
        <w:pStyle w:val="3-BodyText"/>
      </w:pPr>
      <w:r w:rsidRPr="00820898">
        <w:rPr>
          <w:iCs/>
        </w:rPr>
        <w:t>The introduction of reproductive genetic carrier screening to assist family planning decisions may</w:t>
      </w:r>
      <w:r>
        <w:rPr>
          <w:iCs/>
        </w:rPr>
        <w:t xml:space="preserve"> also</w:t>
      </w:r>
      <w:r w:rsidRPr="00820898">
        <w:rPr>
          <w:iCs/>
        </w:rPr>
        <w:t xml:space="preserve"> affect the expected incidence of SMA</w:t>
      </w:r>
      <w:r>
        <w:rPr>
          <w:iCs/>
        </w:rPr>
        <w:t xml:space="preserve"> in the longer term</w:t>
      </w:r>
      <w:r w:rsidRPr="00820898">
        <w:rPr>
          <w:iCs/>
        </w:rPr>
        <w:t>.</w:t>
      </w:r>
    </w:p>
    <w:p w14:paraId="5C8D4C44" w14:textId="77777777" w:rsidR="00AC2298" w:rsidRPr="00271560" w:rsidRDefault="00AC2298" w:rsidP="00AC2298">
      <w:pPr>
        <w:pStyle w:val="4-SubsectionHeading"/>
      </w:pPr>
      <w:bookmarkStart w:id="80" w:name="_Toc22897649"/>
      <w:bookmarkStart w:id="81" w:name="_Toc132629066"/>
      <w:bookmarkStart w:id="82" w:name="_Toc135214671"/>
      <w:r w:rsidRPr="00271560">
        <w:t>Financial Management – Risk Sharing Arrangements</w:t>
      </w:r>
      <w:bookmarkEnd w:id="80"/>
      <w:bookmarkEnd w:id="81"/>
      <w:bookmarkEnd w:id="82"/>
    </w:p>
    <w:p w14:paraId="33B3C33E" w14:textId="104236D3" w:rsidR="00AC2298" w:rsidRPr="00271560" w:rsidRDefault="00AC2298" w:rsidP="00AC2298">
      <w:pPr>
        <w:pStyle w:val="3-BodyText"/>
      </w:pPr>
      <w:r w:rsidRPr="00271560">
        <w:t xml:space="preserve">The current SPA </w:t>
      </w:r>
      <w:r w:rsidR="008F6D33">
        <w:t>is</w:t>
      </w:r>
      <w:r w:rsidR="008F6D33" w:rsidRPr="00271560">
        <w:t xml:space="preserve"> </w:t>
      </w:r>
      <w:r w:rsidRPr="00271560">
        <w:t>applicable to nusinersen for the treatment of SMA for:</w:t>
      </w:r>
    </w:p>
    <w:p w14:paraId="1255E2A4" w14:textId="4F50BCBB" w:rsidR="00AC2298" w:rsidRPr="00271560" w:rsidRDefault="00AC2298" w:rsidP="00106AA4">
      <w:pPr>
        <w:pStyle w:val="3-BodyText"/>
        <w:numPr>
          <w:ilvl w:val="1"/>
          <w:numId w:val="11"/>
        </w:numPr>
        <w:ind w:left="993" w:hanging="219"/>
      </w:pPr>
      <w:r w:rsidRPr="00271560">
        <w:t>paediatric patients (excluding type IIIb/c): $</w:t>
      </w:r>
      <w:r w:rsidR="00546AD5" w:rsidRPr="007020B8">
        <w:rPr>
          <w:color w:val="000000"/>
          <w:w w:val="15"/>
          <w:shd w:val="solid" w:color="000000" w:fill="000000"/>
          <w:fitText w:val="-20" w:id="-116789835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6"/>
          <w14:textFill>
            <w14:solidFill>
              <w14:srgbClr w14:val="000000">
                <w14:alpha w14:val="100000"/>
              </w14:srgbClr>
            </w14:solidFill>
          </w14:textFill>
        </w:rPr>
        <w:t>|</w:t>
      </w:r>
    </w:p>
    <w:p w14:paraId="03E45B23" w14:textId="5F126E96" w:rsidR="00AC2298" w:rsidRPr="00271560" w:rsidRDefault="00AC2298" w:rsidP="00106AA4">
      <w:pPr>
        <w:pStyle w:val="3-BodyText"/>
        <w:numPr>
          <w:ilvl w:val="1"/>
          <w:numId w:val="11"/>
        </w:numPr>
        <w:ind w:left="993" w:hanging="219"/>
      </w:pPr>
      <w:r w:rsidRPr="00271560">
        <w:t>paediatric patients (type IIIb/c): $</w:t>
      </w:r>
      <w:r w:rsidR="00546AD5" w:rsidRPr="007020B8">
        <w:rPr>
          <w:color w:val="000000"/>
          <w:w w:val="15"/>
          <w:shd w:val="solid" w:color="000000" w:fill="000000"/>
          <w:fitText w:val="-20" w:id="-1167898355"/>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5"/>
          <w14:textFill>
            <w14:solidFill>
              <w14:srgbClr w14:val="000000">
                <w14:alpha w14:val="100000"/>
              </w14:srgbClr>
            </w14:solidFill>
          </w14:textFill>
        </w:rPr>
        <w:t>|</w:t>
      </w:r>
    </w:p>
    <w:p w14:paraId="05CD2AB9" w14:textId="7E0615DA" w:rsidR="00FF6AB3" w:rsidRPr="00271560" w:rsidRDefault="00AC2298" w:rsidP="006C0CDF">
      <w:pPr>
        <w:pStyle w:val="3-BodyText"/>
        <w:numPr>
          <w:ilvl w:val="0"/>
          <w:numId w:val="0"/>
        </w:numPr>
        <w:ind w:left="709"/>
      </w:pPr>
      <w:r w:rsidRPr="00271560">
        <w:t xml:space="preserve">The resubmission proposed the same </w:t>
      </w:r>
      <w:r w:rsidR="00546AD5" w:rsidRPr="007020B8">
        <w:rPr>
          <w:color w:val="000000"/>
          <w:w w:val="15"/>
          <w:shd w:val="solid" w:color="000000" w:fill="000000"/>
          <w:fitText w:val="-20" w:id="-116789835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4"/>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35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3"/>
          <w14:textFill>
            <w14:solidFill>
              <w14:srgbClr w14:val="000000">
                <w14:alpha w14:val="100000"/>
              </w14:srgbClr>
            </w14:solidFill>
          </w14:textFill>
        </w:rPr>
        <w:t>|</w:t>
      </w:r>
      <w:r w:rsidRPr="00271560">
        <w:t xml:space="preserve"> rebate </w:t>
      </w:r>
      <w:r w:rsidR="00C4200B">
        <w:t xml:space="preserve">as applies to pre-symptomatic patients with 1-2 copies </w:t>
      </w:r>
      <w:r w:rsidR="00C4200B" w:rsidRPr="00C4200B">
        <w:rPr>
          <w:i/>
          <w:iCs/>
        </w:rPr>
        <w:t>SMN2</w:t>
      </w:r>
      <w:r w:rsidR="00C4200B">
        <w:t xml:space="preserve"> (</w:t>
      </w:r>
      <w:r w:rsidR="00546AD5" w:rsidRPr="007020B8">
        <w:rPr>
          <w:color w:val="000000"/>
          <w:w w:val="15"/>
          <w:shd w:val="solid" w:color="000000" w:fill="000000"/>
          <w:fitText w:val="-20" w:id="-116789835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52"/>
          <w14:textFill>
            <w14:solidFill>
              <w14:srgbClr w14:val="000000">
                <w14:alpha w14:val="100000"/>
              </w14:srgbClr>
            </w14:solidFill>
          </w14:textFill>
        </w:rPr>
        <w:t>|</w:t>
      </w:r>
      <w:r w:rsidRPr="00773FCD">
        <w:t xml:space="preserve"> </w:t>
      </w:r>
      <w:r w:rsidR="00546AD5" w:rsidRPr="007020B8">
        <w:rPr>
          <w:color w:val="000000"/>
          <w:w w:val="15"/>
          <w:shd w:val="solid" w:color="000000" w:fill="000000"/>
          <w:fitText w:val="-20" w:id="-116789836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8"/>
          <w14:textFill>
            <w14:solidFill>
              <w14:srgbClr w14:val="000000">
                <w14:alpha w14:val="100000"/>
              </w14:srgbClr>
            </w14:solidFill>
          </w14:textFill>
        </w:rPr>
        <w:t>|</w:t>
      </w:r>
      <w:r w:rsidRPr="00271560">
        <w:t xml:space="preserve"> </w:t>
      </w:r>
      <w:r w:rsidR="00546AD5" w:rsidRPr="007020B8">
        <w:rPr>
          <w:color w:val="000000"/>
          <w:w w:val="15"/>
          <w:shd w:val="solid" w:color="000000" w:fill="000000"/>
          <w:fitText w:val="-20" w:id="-116789836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36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6"/>
          <w14:textFill>
            <w14:solidFill>
              <w14:srgbClr w14:val="000000">
                <w14:alpha w14:val="100000"/>
              </w14:srgbClr>
            </w14:solidFill>
          </w14:textFill>
        </w:rPr>
        <w:t>|</w:t>
      </w:r>
      <w:r w:rsidRPr="00271560">
        <w:t xml:space="preserve"> per patient with pre-symptomatic SMA with 3 copies of </w:t>
      </w:r>
      <w:r w:rsidRPr="00452F48">
        <w:rPr>
          <w:i/>
          <w:iCs/>
        </w:rPr>
        <w:t>SMN2</w:t>
      </w:r>
      <w:r w:rsidR="00C4200B" w:rsidRPr="00C4200B">
        <w:t>)</w:t>
      </w:r>
      <w:r w:rsidRPr="00271560">
        <w:t>.</w:t>
      </w:r>
      <w:r w:rsidR="001D1383">
        <w:t xml:space="preserve"> </w:t>
      </w:r>
      <w:r w:rsidR="00FF6AB3">
        <w:t xml:space="preserve">No </w:t>
      </w:r>
      <w:r w:rsidR="00546AD5" w:rsidRPr="007020B8">
        <w:rPr>
          <w:color w:val="000000"/>
          <w:w w:val="15"/>
          <w:shd w:val="solid" w:color="000000" w:fill="000000"/>
          <w:fitText w:val="-20" w:id="-1167898365"/>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5"/>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36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4"/>
          <w14:textFill>
            <w14:solidFill>
              <w14:srgbClr w14:val="000000">
                <w14:alpha w14:val="100000"/>
              </w14:srgbClr>
            </w14:solidFill>
          </w14:textFill>
        </w:rPr>
        <w:t>|</w:t>
      </w:r>
      <w:r w:rsidR="00FF6AB3">
        <w:t xml:space="preserve"> rebate is </w:t>
      </w:r>
      <w:r w:rsidR="007435F6">
        <w:t xml:space="preserve">currently </w:t>
      </w:r>
      <w:r w:rsidR="00FF6AB3">
        <w:t xml:space="preserve">applicable for patients with </w:t>
      </w:r>
      <w:r w:rsidR="00DE5E62">
        <w:t xml:space="preserve">symptomatic </w:t>
      </w:r>
      <w:r w:rsidR="00FF6AB3">
        <w:t>SMA Type I</w:t>
      </w:r>
      <w:r w:rsidR="00DE5E62">
        <w:t>.</w:t>
      </w:r>
    </w:p>
    <w:p w14:paraId="3CB7DD7D" w14:textId="51876D7E" w:rsidR="0041314E" w:rsidRPr="00452F48" w:rsidRDefault="00AC2298" w:rsidP="008B12E1">
      <w:pPr>
        <w:pStyle w:val="3-BodyText"/>
      </w:pPr>
      <w:bookmarkStart w:id="83" w:name="_Ref140583868"/>
      <w:r w:rsidRPr="00271560">
        <w:t xml:space="preserve">The resubmission did not include any details of whether the current RSA would apply to the proposed listing of nusinersen for the treatment of SMA with 3 copies of </w:t>
      </w:r>
      <w:r w:rsidRPr="005B5163">
        <w:rPr>
          <w:i/>
          <w:iCs/>
        </w:rPr>
        <w:t>SMN2</w:t>
      </w:r>
      <w:r w:rsidRPr="00271560">
        <w:t xml:space="preserve">. </w:t>
      </w:r>
      <w:r w:rsidR="00546AD5" w:rsidRPr="007020B8">
        <w:rPr>
          <w:color w:val="000000"/>
          <w:w w:val="15"/>
          <w:shd w:val="solid" w:color="000000" w:fill="000000"/>
          <w:fitText w:val="-20" w:id="-116789836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3"/>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36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36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9"/>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8"/>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6"/>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5"/>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5"/>
          <w14:textFill>
            <w14:solidFill>
              <w14:srgbClr w14:val="000000">
                <w14:alpha w14:val="100000"/>
              </w14:srgbClr>
            </w14:solidFill>
          </w14:textFill>
        </w:rPr>
        <w:t>|</w:t>
      </w:r>
      <w:r w:rsidR="0041314E" w:rsidRPr="00812A05">
        <w:t xml:space="preserve"> </w:t>
      </w:r>
      <w:r w:rsidR="00546AD5" w:rsidRPr="007020B8">
        <w:rPr>
          <w:color w:val="000000"/>
          <w:w w:val="15"/>
          <w:shd w:val="solid" w:color="000000" w:fill="000000"/>
          <w:fitText w:val="-20" w:id="-116789810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4"/>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3"/>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9"/>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8"/>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6"/>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9"/>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8"/>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6"/>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5"/>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5"/>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4"/>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3"/>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9"/>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8"/>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6"/>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9"/>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8"/>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6"/>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5"/>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5"/>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4"/>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3"/>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9"/>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8"/>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09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097"/>
          <w14:textFill>
            <w14:solidFill>
              <w14:srgbClr w14:val="000000">
                <w14:alpha w14:val="100000"/>
              </w14:srgbClr>
            </w14:solidFill>
          </w14:textFill>
        </w:rPr>
        <w:t>|</w:t>
      </w:r>
      <w:r w:rsidR="00523ABB" w:rsidRPr="00523ABB">
        <w:t xml:space="preserve"> </w:t>
      </w:r>
      <w:r w:rsidR="00546AD5" w:rsidRPr="007020B8">
        <w:rPr>
          <w:i/>
          <w:iCs/>
          <w:color w:val="000000"/>
          <w:w w:val="15"/>
          <w:shd w:val="solid" w:color="000000" w:fill="000000"/>
          <w:fitText w:val="-20" w:id="-1167898096"/>
          <w14:textFill>
            <w14:solidFill>
              <w14:srgbClr w14:val="000000">
                <w14:alpha w14:val="100000"/>
              </w14:srgbClr>
            </w14:solidFill>
          </w14:textFill>
        </w:rPr>
        <w:t xml:space="preserve">|  </w:t>
      </w:r>
      <w:r w:rsidR="00546AD5" w:rsidRPr="007020B8">
        <w:rPr>
          <w:i/>
          <w:iCs/>
          <w:color w:val="000000"/>
          <w:spacing w:val="-69"/>
          <w:w w:val="15"/>
          <w:shd w:val="solid" w:color="000000" w:fill="000000"/>
          <w:fitText w:val="-20" w:id="-1167898096"/>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1"/>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10"/>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10"/>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9"/>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9"/>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8"/>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8"/>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7"/>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7"/>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6"/>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6"/>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5"/>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5"/>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4"/>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4"/>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3"/>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3"/>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2"/>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2"/>
          <w14:textFill>
            <w14:solidFill>
              <w14:srgbClr w14:val="000000">
                <w14:alpha w14:val="100000"/>
              </w14:srgbClr>
            </w14:solidFill>
          </w14:textFill>
        </w:rPr>
        <w:t>|</w:t>
      </w:r>
      <w:r w:rsidR="00523ABB" w:rsidRPr="00523ABB">
        <w:t xml:space="preserve"> </w:t>
      </w:r>
      <w:r w:rsidR="00546AD5" w:rsidRPr="007020B8">
        <w:rPr>
          <w:color w:val="000000"/>
          <w:w w:val="15"/>
          <w:shd w:val="solid" w:color="000000" w:fill="000000"/>
          <w:fitText w:val="-20" w:id="-1167898101"/>
          <w14:textFill>
            <w14:solidFill>
              <w14:srgbClr w14:val="000000">
                <w14:alpha w14:val="100000"/>
              </w14:srgbClr>
            </w14:solidFill>
          </w14:textFill>
        </w:rPr>
        <w:t xml:space="preserve">|  </w:t>
      </w:r>
      <w:r w:rsidR="00546AD5" w:rsidRPr="007020B8">
        <w:rPr>
          <w:color w:val="000000"/>
          <w:spacing w:val="-69"/>
          <w:w w:val="15"/>
          <w:shd w:val="solid" w:color="000000" w:fill="000000"/>
          <w:fitText w:val="-20" w:id="-1167898101"/>
          <w14:textFill>
            <w14:solidFill>
              <w14:srgbClr w14:val="000000">
                <w14:alpha w14:val="100000"/>
              </w14:srgbClr>
            </w14:solidFill>
          </w14:textFill>
        </w:rPr>
        <w:t>|</w:t>
      </w:r>
      <w:r w:rsidR="0041314E" w:rsidRPr="00452F48">
        <w:t>.</w:t>
      </w:r>
      <w:bookmarkEnd w:id="83"/>
    </w:p>
    <w:p w14:paraId="4204C616" w14:textId="77777777" w:rsidR="00106AA4" w:rsidRPr="00C517E8" w:rsidRDefault="00106AA4" w:rsidP="00C517E8">
      <w:pPr>
        <w:pStyle w:val="2-SectionHeading"/>
      </w:pPr>
      <w:bookmarkStart w:id="84" w:name="_Hlk76381249"/>
      <w:bookmarkStart w:id="85" w:name="_Hlk76377955"/>
      <w:r w:rsidRPr="00106AA4">
        <w:t>PBAC Outcome</w:t>
      </w:r>
    </w:p>
    <w:p w14:paraId="0F523535" w14:textId="06E79BE9" w:rsidR="007C3FC9" w:rsidRDefault="007C3FC9" w:rsidP="00FC4667">
      <w:pPr>
        <w:widowControl w:val="0"/>
        <w:numPr>
          <w:ilvl w:val="1"/>
          <w:numId w:val="1"/>
        </w:numPr>
        <w:spacing w:after="120"/>
        <w:rPr>
          <w:rFonts w:asciiTheme="minorHAnsi" w:hAnsiTheme="minorHAnsi"/>
          <w:snapToGrid w:val="0"/>
          <w:lang w:val="en-GB" w:eastAsia="en-US"/>
        </w:rPr>
      </w:pPr>
      <w:bookmarkStart w:id="86" w:name="_Hlk111543188"/>
      <w:r w:rsidRPr="007C3FC9">
        <w:rPr>
          <w:rFonts w:asciiTheme="minorHAnsi" w:hAnsiTheme="minorHAnsi"/>
          <w:snapToGrid w:val="0"/>
          <w:lang w:val="en-GB" w:eastAsia="en-US"/>
        </w:rPr>
        <w:t xml:space="preserve">The PBAC recommended the </w:t>
      </w:r>
      <w:r w:rsidR="003E394F">
        <w:rPr>
          <w:rFonts w:asciiTheme="minorHAnsi" w:hAnsiTheme="minorHAnsi"/>
          <w:snapToGrid w:val="0"/>
          <w:lang w:val="en-GB" w:eastAsia="en-US"/>
        </w:rPr>
        <w:t xml:space="preserve">amendment to the current listing of nusinersen </w:t>
      </w:r>
      <w:r w:rsidRPr="007C3FC9">
        <w:rPr>
          <w:rFonts w:asciiTheme="minorHAnsi" w:hAnsiTheme="minorHAnsi"/>
          <w:snapToGrid w:val="0"/>
          <w:lang w:val="en-GB" w:eastAsia="en-US"/>
        </w:rPr>
        <w:t xml:space="preserve">to include the pre-symptomatic initiation </w:t>
      </w:r>
      <w:r w:rsidR="003E394F">
        <w:rPr>
          <w:rFonts w:asciiTheme="minorHAnsi" w:hAnsiTheme="minorHAnsi"/>
          <w:snapToGrid w:val="0"/>
          <w:lang w:val="en-GB" w:eastAsia="en-US"/>
        </w:rPr>
        <w:t>of nusinersen in</w:t>
      </w:r>
      <w:r w:rsidRPr="007C3FC9">
        <w:rPr>
          <w:rFonts w:asciiTheme="minorHAnsi" w:hAnsiTheme="minorHAnsi"/>
          <w:snapToGrid w:val="0"/>
          <w:lang w:val="en-GB" w:eastAsia="en-US"/>
        </w:rPr>
        <w:t xml:space="preserve"> patients </w:t>
      </w:r>
      <w:r w:rsidR="003E394F">
        <w:rPr>
          <w:rFonts w:asciiTheme="minorHAnsi" w:hAnsiTheme="minorHAnsi"/>
          <w:snapToGrid w:val="0"/>
          <w:lang w:val="en-GB" w:eastAsia="en-US"/>
        </w:rPr>
        <w:t>aged les</w:t>
      </w:r>
      <w:r w:rsidR="00E233D6">
        <w:rPr>
          <w:rFonts w:asciiTheme="minorHAnsi" w:hAnsiTheme="minorHAnsi"/>
          <w:snapToGrid w:val="0"/>
          <w:lang w:val="en-GB" w:eastAsia="en-US"/>
        </w:rPr>
        <w:t>s</w:t>
      </w:r>
      <w:r w:rsidR="003E394F">
        <w:rPr>
          <w:rFonts w:asciiTheme="minorHAnsi" w:hAnsiTheme="minorHAnsi"/>
          <w:snapToGrid w:val="0"/>
          <w:lang w:val="en-GB" w:eastAsia="en-US"/>
        </w:rPr>
        <w:t xml:space="preserve"> than </w:t>
      </w:r>
      <w:r w:rsidR="00507B8F">
        <w:rPr>
          <w:rFonts w:asciiTheme="minorHAnsi" w:hAnsiTheme="minorHAnsi"/>
          <w:snapToGrid w:val="0"/>
          <w:lang w:val="en-GB" w:eastAsia="en-US"/>
        </w:rPr>
        <w:t>36 </w:t>
      </w:r>
      <w:r w:rsidR="003E394F">
        <w:rPr>
          <w:rFonts w:asciiTheme="minorHAnsi" w:hAnsiTheme="minorHAnsi"/>
          <w:snapToGrid w:val="0"/>
          <w:lang w:val="en-GB" w:eastAsia="en-US"/>
        </w:rPr>
        <w:t xml:space="preserve">months, </w:t>
      </w:r>
      <w:r w:rsidRPr="007C3FC9">
        <w:rPr>
          <w:rFonts w:asciiTheme="minorHAnsi" w:hAnsiTheme="minorHAnsi"/>
          <w:snapToGrid w:val="0"/>
          <w:lang w:val="en-GB" w:eastAsia="en-US"/>
        </w:rPr>
        <w:t xml:space="preserve">genetically diagnosed with spinal muscular atrophy (SMA), who have a </w:t>
      </w:r>
      <w:r w:rsidRPr="003E394F">
        <w:rPr>
          <w:rFonts w:asciiTheme="minorHAnsi" w:hAnsiTheme="minorHAnsi"/>
          <w:snapToGrid w:val="0"/>
          <w:lang w:val="en-GB" w:eastAsia="en-US"/>
        </w:rPr>
        <w:t>survival motor neuron 2</w:t>
      </w:r>
      <w:r w:rsidRPr="007C3FC9">
        <w:rPr>
          <w:rFonts w:asciiTheme="minorHAnsi" w:hAnsiTheme="minorHAnsi"/>
          <w:snapToGrid w:val="0"/>
          <w:lang w:val="en-GB" w:eastAsia="en-US"/>
        </w:rPr>
        <w:t xml:space="preserve"> (</w:t>
      </w:r>
      <w:r w:rsidRPr="004E6BDA">
        <w:rPr>
          <w:rFonts w:asciiTheme="minorHAnsi" w:hAnsiTheme="minorHAnsi"/>
          <w:i/>
          <w:iCs/>
          <w:snapToGrid w:val="0"/>
          <w:lang w:val="en-GB" w:eastAsia="en-US"/>
        </w:rPr>
        <w:t>SMN2</w:t>
      </w:r>
      <w:r w:rsidRPr="007C3FC9">
        <w:rPr>
          <w:rFonts w:asciiTheme="minorHAnsi" w:hAnsiTheme="minorHAnsi"/>
          <w:snapToGrid w:val="0"/>
          <w:lang w:val="en-GB" w:eastAsia="en-US"/>
        </w:rPr>
        <w:t xml:space="preserve">) gene copy number of </w:t>
      </w:r>
      <w:proofErr w:type="gramStart"/>
      <w:r w:rsidRPr="007C3FC9">
        <w:rPr>
          <w:rFonts w:asciiTheme="minorHAnsi" w:hAnsiTheme="minorHAnsi"/>
          <w:snapToGrid w:val="0"/>
          <w:lang w:val="en-GB" w:eastAsia="en-US"/>
        </w:rPr>
        <w:t>3</w:t>
      </w:r>
      <w:proofErr w:type="gramEnd"/>
      <w:r w:rsidRPr="007C3FC9">
        <w:rPr>
          <w:rFonts w:asciiTheme="minorHAnsi" w:hAnsiTheme="minorHAnsi"/>
          <w:snapToGrid w:val="0"/>
          <w:lang w:val="en-GB" w:eastAsia="en-US"/>
        </w:rPr>
        <w:t xml:space="preserve">. The PBAC considered that pre-symptomatic initiation of </w:t>
      </w:r>
      <w:r w:rsidR="003E394F">
        <w:rPr>
          <w:rFonts w:asciiTheme="minorHAnsi" w:hAnsiTheme="minorHAnsi"/>
          <w:snapToGrid w:val="0"/>
          <w:lang w:val="en-GB" w:eastAsia="en-US"/>
        </w:rPr>
        <w:t xml:space="preserve">treatment with </w:t>
      </w:r>
      <w:r w:rsidRPr="007C3FC9">
        <w:rPr>
          <w:rFonts w:asciiTheme="minorHAnsi" w:hAnsiTheme="minorHAnsi"/>
          <w:snapToGrid w:val="0"/>
          <w:lang w:val="en-GB" w:eastAsia="en-US"/>
        </w:rPr>
        <w:t xml:space="preserve">nusinersen in patients with </w:t>
      </w:r>
      <w:proofErr w:type="gramStart"/>
      <w:r w:rsidRPr="007C3FC9">
        <w:rPr>
          <w:rFonts w:asciiTheme="minorHAnsi" w:hAnsiTheme="minorHAnsi"/>
          <w:snapToGrid w:val="0"/>
          <w:lang w:val="en-GB" w:eastAsia="en-US"/>
        </w:rPr>
        <w:t>3</w:t>
      </w:r>
      <w:proofErr w:type="gramEnd"/>
      <w:r w:rsidRPr="007C3FC9">
        <w:rPr>
          <w:rFonts w:asciiTheme="minorHAnsi" w:hAnsiTheme="minorHAnsi"/>
          <w:snapToGrid w:val="0"/>
          <w:lang w:val="en-GB" w:eastAsia="en-US"/>
        </w:rPr>
        <w:t xml:space="preserve"> copies of </w:t>
      </w:r>
      <w:r w:rsidRPr="004E6BDA">
        <w:rPr>
          <w:rFonts w:asciiTheme="minorHAnsi" w:hAnsiTheme="minorHAnsi"/>
          <w:i/>
          <w:iCs/>
          <w:snapToGrid w:val="0"/>
          <w:lang w:val="en-GB" w:eastAsia="en-US"/>
        </w:rPr>
        <w:t>SMN2</w:t>
      </w:r>
      <w:r w:rsidRPr="007C3FC9">
        <w:rPr>
          <w:rFonts w:asciiTheme="minorHAnsi" w:hAnsiTheme="minorHAnsi"/>
          <w:snapToGrid w:val="0"/>
          <w:lang w:val="en-GB" w:eastAsia="en-US"/>
        </w:rPr>
        <w:t xml:space="preserve"> would provide an additional benefit for some patients compared with initiation upon development of symptoms. The PBAC noted there was </w:t>
      </w:r>
      <w:r w:rsidR="003E394F">
        <w:rPr>
          <w:rFonts w:asciiTheme="minorHAnsi" w:hAnsiTheme="minorHAnsi"/>
          <w:snapToGrid w:val="0"/>
          <w:lang w:val="en-GB" w:eastAsia="en-US"/>
        </w:rPr>
        <w:t xml:space="preserve">remaining </w:t>
      </w:r>
      <w:r w:rsidRPr="007C3FC9">
        <w:rPr>
          <w:rFonts w:asciiTheme="minorHAnsi" w:hAnsiTheme="minorHAnsi"/>
          <w:snapToGrid w:val="0"/>
          <w:lang w:val="en-GB" w:eastAsia="en-US"/>
        </w:rPr>
        <w:t xml:space="preserve">uncertainty regarding the cost-effectiveness of pre-symptomatic initiation of nusinersen </w:t>
      </w:r>
      <w:r w:rsidR="003E394F">
        <w:rPr>
          <w:rFonts w:asciiTheme="minorHAnsi" w:hAnsiTheme="minorHAnsi"/>
          <w:snapToGrid w:val="0"/>
          <w:lang w:val="en-GB" w:eastAsia="en-US"/>
        </w:rPr>
        <w:t xml:space="preserve">in patients with </w:t>
      </w:r>
      <w:proofErr w:type="gramStart"/>
      <w:r w:rsidR="003E394F">
        <w:rPr>
          <w:rFonts w:asciiTheme="minorHAnsi" w:hAnsiTheme="minorHAnsi"/>
          <w:snapToGrid w:val="0"/>
          <w:lang w:val="en-GB" w:eastAsia="en-US"/>
        </w:rPr>
        <w:t>3</w:t>
      </w:r>
      <w:proofErr w:type="gramEnd"/>
      <w:r w:rsidR="003E394F">
        <w:rPr>
          <w:rFonts w:asciiTheme="minorHAnsi" w:hAnsiTheme="minorHAnsi"/>
          <w:snapToGrid w:val="0"/>
          <w:lang w:val="en-GB" w:eastAsia="en-US"/>
        </w:rPr>
        <w:t xml:space="preserve"> copies of </w:t>
      </w:r>
      <w:r w:rsidR="003E394F" w:rsidRPr="003E394F">
        <w:rPr>
          <w:rFonts w:asciiTheme="minorHAnsi" w:hAnsiTheme="minorHAnsi"/>
          <w:i/>
          <w:iCs/>
          <w:snapToGrid w:val="0"/>
          <w:lang w:val="en-GB" w:eastAsia="en-US"/>
        </w:rPr>
        <w:t>SMN2</w:t>
      </w:r>
      <w:r w:rsidR="003E394F">
        <w:rPr>
          <w:rFonts w:asciiTheme="minorHAnsi" w:hAnsiTheme="minorHAnsi"/>
          <w:snapToGrid w:val="0"/>
          <w:lang w:val="en-GB" w:eastAsia="en-US"/>
        </w:rPr>
        <w:t xml:space="preserve"> </w:t>
      </w:r>
      <w:r w:rsidRPr="007C3FC9">
        <w:rPr>
          <w:rFonts w:asciiTheme="minorHAnsi" w:hAnsiTheme="minorHAnsi"/>
          <w:snapToGrid w:val="0"/>
          <w:lang w:val="en-GB" w:eastAsia="en-US"/>
        </w:rPr>
        <w:t>due to the uncertain magnitude of incremental benefit compared to symptomatic treatment. However, the PBAC was satisfied that extension of the current listing would be adequately cost-effective</w:t>
      </w:r>
      <w:r w:rsidR="00F75ADD">
        <w:rPr>
          <w:rFonts w:asciiTheme="minorHAnsi" w:hAnsiTheme="minorHAnsi"/>
          <w:snapToGrid w:val="0"/>
          <w:lang w:val="en-GB" w:eastAsia="en-US"/>
        </w:rPr>
        <w:t xml:space="preserve"> with a price reduction</w:t>
      </w:r>
      <w:r w:rsidR="00122A63">
        <w:rPr>
          <w:rFonts w:asciiTheme="minorHAnsi" w:hAnsiTheme="minorHAnsi"/>
          <w:snapToGrid w:val="0"/>
          <w:lang w:val="en-GB" w:eastAsia="en-US"/>
        </w:rPr>
        <w:t xml:space="preserve"> for use in the proposed population</w:t>
      </w:r>
      <w:r w:rsidRPr="007C3FC9">
        <w:rPr>
          <w:rFonts w:asciiTheme="minorHAnsi" w:hAnsiTheme="minorHAnsi"/>
          <w:snapToGrid w:val="0"/>
          <w:lang w:val="en-GB" w:eastAsia="en-US"/>
        </w:rPr>
        <w:t>.</w:t>
      </w:r>
    </w:p>
    <w:p w14:paraId="77D05C42" w14:textId="575D5035" w:rsidR="00FC4667" w:rsidRPr="004E6BDA" w:rsidRDefault="00FC4667" w:rsidP="00FC4667">
      <w:pPr>
        <w:widowControl w:val="0"/>
        <w:numPr>
          <w:ilvl w:val="1"/>
          <w:numId w:val="1"/>
        </w:numPr>
        <w:spacing w:after="120"/>
        <w:rPr>
          <w:rFonts w:asciiTheme="minorHAnsi" w:hAnsiTheme="minorHAnsi"/>
          <w:snapToGrid w:val="0"/>
          <w:lang w:val="en-GB" w:eastAsia="en-US"/>
        </w:rPr>
      </w:pPr>
      <w:r>
        <w:rPr>
          <w:rFonts w:asciiTheme="minorHAnsi" w:hAnsiTheme="minorHAnsi" w:cstheme="minorHAnsi"/>
        </w:rPr>
        <w:t>The PBAC did not recommend expanding the listing for pre-symptomatic initiation of nusinersen to patients aged from 36 months to under 18 years of age. The PBAC noted no evidence was provided to support expansion of the pre-symptomatic listing to patients in this age group</w:t>
      </w:r>
      <w:r w:rsidR="000B72E6">
        <w:rPr>
          <w:rFonts w:asciiTheme="minorHAnsi" w:hAnsiTheme="minorHAnsi" w:cstheme="minorHAnsi"/>
        </w:rPr>
        <w:t xml:space="preserve"> and considered there </w:t>
      </w:r>
      <w:r w:rsidR="002E5B49">
        <w:rPr>
          <w:rFonts w:asciiTheme="minorHAnsi" w:hAnsiTheme="minorHAnsi" w:cstheme="minorHAnsi"/>
        </w:rPr>
        <w:t xml:space="preserve">is likely to be few, if any, genetically diagnosed pre-symptomatic </w:t>
      </w:r>
      <w:r w:rsidR="000B72E6">
        <w:rPr>
          <w:rFonts w:asciiTheme="minorHAnsi" w:hAnsiTheme="minorHAnsi" w:cstheme="minorHAnsi"/>
        </w:rPr>
        <w:t xml:space="preserve">patients </w:t>
      </w:r>
      <w:r w:rsidR="002E5B49">
        <w:rPr>
          <w:rFonts w:asciiTheme="minorHAnsi" w:hAnsiTheme="minorHAnsi" w:cstheme="minorHAnsi"/>
        </w:rPr>
        <w:t>aged &gt;</w:t>
      </w:r>
      <w:r w:rsidR="00507B8F">
        <w:rPr>
          <w:rFonts w:asciiTheme="minorHAnsi" w:hAnsiTheme="minorHAnsi" w:cstheme="minorHAnsi"/>
        </w:rPr>
        <w:t> </w:t>
      </w:r>
      <w:r w:rsidR="002E5B49">
        <w:rPr>
          <w:rFonts w:asciiTheme="minorHAnsi" w:hAnsiTheme="minorHAnsi" w:cstheme="minorHAnsi"/>
        </w:rPr>
        <w:t>36 months</w:t>
      </w:r>
      <w:r>
        <w:rPr>
          <w:rFonts w:asciiTheme="minorHAnsi" w:hAnsiTheme="minorHAnsi" w:cstheme="minorHAnsi"/>
        </w:rPr>
        <w:t xml:space="preserve">. </w:t>
      </w:r>
    </w:p>
    <w:p w14:paraId="050F4A04" w14:textId="5A957D1A" w:rsidR="00E726AE" w:rsidRDefault="00E726AE" w:rsidP="00E726AE">
      <w:pPr>
        <w:pStyle w:val="3-BodyText"/>
      </w:pPr>
      <w:bookmarkStart w:id="87" w:name="_Hlk140586092"/>
      <w:r w:rsidRPr="00361189">
        <w:t xml:space="preserve">The PBAC acknowledged that the current requirement for symptoms to develop prior to accessing subsidised treatment </w:t>
      </w:r>
      <w:r w:rsidR="00E771FD">
        <w:t xml:space="preserve">for SMA </w:t>
      </w:r>
      <w:r w:rsidRPr="00361189">
        <w:t xml:space="preserve">could have a significant burden on the families of infants genetically diagnosed with </w:t>
      </w:r>
      <w:r>
        <w:t xml:space="preserve">3 copies of </w:t>
      </w:r>
      <w:r w:rsidRPr="00E726AE">
        <w:rPr>
          <w:i/>
          <w:iCs/>
        </w:rPr>
        <w:t>SMN2</w:t>
      </w:r>
      <w:r w:rsidRPr="00361189">
        <w:t xml:space="preserve">. </w:t>
      </w:r>
      <w:bookmarkStart w:id="88" w:name="_Hlk140586858"/>
      <w:r w:rsidR="00987BD3">
        <w:t xml:space="preserve">The PBAC also acknowledged there was a need for equitable access to treatment for all infants </w:t>
      </w:r>
      <w:r w:rsidR="00987BD3">
        <w:lastRenderedPageBreak/>
        <w:t>genetically diagnosed with SMA, noting that NBS programs will soon be introduced across Australia.</w:t>
      </w:r>
      <w:bookmarkEnd w:id="88"/>
    </w:p>
    <w:p w14:paraId="55E3BA4E" w14:textId="0A0C1F54" w:rsidR="008E1282" w:rsidRPr="002E5B49" w:rsidRDefault="00E762DB" w:rsidP="009C6FA6">
      <w:pPr>
        <w:pStyle w:val="3-BodyText"/>
        <w:widowControl w:val="0"/>
        <w:rPr>
          <w:lang w:val="en-GB" w:eastAsia="en-US"/>
        </w:rPr>
      </w:pPr>
      <w:bookmarkStart w:id="89" w:name="_Hlk140586528"/>
      <w:bookmarkEnd w:id="87"/>
      <w:r>
        <w:t xml:space="preserve">The PBAC noted the trajectory of the disease for individuals with 3 copies of </w:t>
      </w:r>
      <w:r w:rsidRPr="002E5B49">
        <w:rPr>
          <w:i/>
          <w:iCs/>
        </w:rPr>
        <w:t>SMN2</w:t>
      </w:r>
      <w:r>
        <w:t xml:space="preserve"> in the absence of treatment is uncertain, and that a small proportion would achieve normal milestones in the absence of treatment.</w:t>
      </w:r>
      <w:r w:rsidR="002E5B49">
        <w:rPr>
          <w:rFonts w:cstheme="minorHAnsi"/>
        </w:rPr>
        <w:t xml:space="preserve"> </w:t>
      </w:r>
      <w:r w:rsidR="008030E5" w:rsidRPr="002E5B49">
        <w:rPr>
          <w:rFonts w:cstheme="minorHAnsi"/>
        </w:rPr>
        <w:t xml:space="preserve">The PBAC noted that while the spectrum of disease for patients with 3 copies of </w:t>
      </w:r>
      <w:r w:rsidR="008030E5" w:rsidRPr="002E5B49">
        <w:rPr>
          <w:rFonts w:cstheme="minorHAnsi"/>
          <w:i/>
          <w:iCs/>
        </w:rPr>
        <w:t>SMN2</w:t>
      </w:r>
      <w:r w:rsidR="008030E5" w:rsidRPr="002E5B49">
        <w:rPr>
          <w:rFonts w:cstheme="minorHAnsi"/>
        </w:rPr>
        <w:t xml:space="preserve"> </w:t>
      </w:r>
      <w:r w:rsidR="00E156E9" w:rsidRPr="002E5B49">
        <w:rPr>
          <w:rFonts w:cstheme="minorHAnsi"/>
        </w:rPr>
        <w:t>is</w:t>
      </w:r>
      <w:r w:rsidR="008030E5" w:rsidRPr="002E5B49">
        <w:rPr>
          <w:rFonts w:cstheme="minorHAnsi"/>
        </w:rPr>
        <w:t xml:space="preserve"> heterogen</w:t>
      </w:r>
      <w:r w:rsidR="006A70C3" w:rsidRPr="002E5B49">
        <w:rPr>
          <w:rFonts w:cstheme="minorHAnsi"/>
        </w:rPr>
        <w:t>ous</w:t>
      </w:r>
      <w:r w:rsidR="008030E5" w:rsidRPr="002E5B49">
        <w:rPr>
          <w:rFonts w:cstheme="minorHAnsi"/>
        </w:rPr>
        <w:t xml:space="preserve"> and not as severe as for patients with 2 copies of </w:t>
      </w:r>
      <w:r w:rsidR="008030E5" w:rsidRPr="002E5B49">
        <w:rPr>
          <w:rFonts w:cstheme="minorHAnsi"/>
          <w:i/>
          <w:iCs/>
        </w:rPr>
        <w:t>SMN2</w:t>
      </w:r>
      <w:r w:rsidR="008030E5" w:rsidRPr="002E5B49">
        <w:rPr>
          <w:rFonts w:cstheme="minorHAnsi"/>
        </w:rPr>
        <w:t>, that it is both biologically plausible, and likely</w:t>
      </w:r>
      <w:r w:rsidR="00FC09B2" w:rsidRPr="002E5B49">
        <w:rPr>
          <w:rFonts w:cstheme="minorHAnsi"/>
        </w:rPr>
        <w:t>,</w:t>
      </w:r>
      <w:r w:rsidR="008030E5" w:rsidRPr="002E5B49">
        <w:rPr>
          <w:rFonts w:cstheme="minorHAnsi"/>
        </w:rPr>
        <w:t xml:space="preserve"> that if patients are treated with nusinersen earlier that loss of motor neurons will be reduced</w:t>
      </w:r>
      <w:r w:rsidR="00AF25C2">
        <w:rPr>
          <w:rFonts w:cstheme="minorHAnsi"/>
        </w:rPr>
        <w:t xml:space="preserve"> and a higher level of motor function </w:t>
      </w:r>
      <w:r w:rsidR="00AF2534">
        <w:rPr>
          <w:rFonts w:cstheme="minorHAnsi"/>
        </w:rPr>
        <w:t xml:space="preserve">may be </w:t>
      </w:r>
      <w:r w:rsidR="00AF25C2">
        <w:rPr>
          <w:rFonts w:cstheme="minorHAnsi"/>
        </w:rPr>
        <w:t>maintained</w:t>
      </w:r>
      <w:r w:rsidR="008030E5" w:rsidRPr="002E5B49">
        <w:rPr>
          <w:rFonts w:cstheme="minorHAnsi"/>
        </w:rPr>
        <w:t xml:space="preserve">. </w:t>
      </w:r>
    </w:p>
    <w:p w14:paraId="396E720E" w14:textId="4CB4BE58" w:rsidR="002E5B49" w:rsidRPr="00500CBA" w:rsidRDefault="002E5B49" w:rsidP="002E5B49">
      <w:pPr>
        <w:pStyle w:val="3-BodyText"/>
        <w:rPr>
          <w:lang w:val="en-GB" w:eastAsia="en-US"/>
        </w:rPr>
      </w:pPr>
      <w:bookmarkStart w:id="90" w:name="_Hlk140586574"/>
      <w:bookmarkEnd w:id="89"/>
      <w:r>
        <w:t>The PBAC considered that nusinersen in the symptomatic setting, was the appropriate comparator. The PBAC noted that</w:t>
      </w:r>
      <w:r w:rsidR="00AF2534">
        <w:t>,</w:t>
      </w:r>
      <w:r>
        <w:t xml:space="preserve"> while the resubmission had nominated both </w:t>
      </w:r>
      <w:r w:rsidRPr="00271560">
        <w:rPr>
          <w:snapToGrid/>
        </w:rPr>
        <w:t>risdiplam and onasemnogene abeparvovec as near market comparators</w:t>
      </w:r>
      <w:r w:rsidR="00AF2534">
        <w:rPr>
          <w:i/>
          <w:iCs/>
          <w:snapToGrid/>
        </w:rPr>
        <w:t>,</w:t>
      </w:r>
      <w:r>
        <w:rPr>
          <w:i/>
          <w:iCs/>
          <w:snapToGrid/>
        </w:rPr>
        <w:t xml:space="preserve"> </w:t>
      </w:r>
      <w:r>
        <w:t xml:space="preserve">at the time of PBAC consideration neither of these treatments were PBS listed for patients diagnosed with 3 copies of </w:t>
      </w:r>
      <w:r w:rsidRPr="00ED1544">
        <w:rPr>
          <w:i/>
          <w:iCs/>
        </w:rPr>
        <w:t>SMN2</w:t>
      </w:r>
      <w:r>
        <w:t xml:space="preserve"> prior to the onset of symptoms.</w:t>
      </w:r>
    </w:p>
    <w:bookmarkEnd w:id="90"/>
    <w:p w14:paraId="0981AC0D" w14:textId="098C30D1" w:rsidR="00500CBA" w:rsidRPr="0064192E" w:rsidRDefault="00500CBA" w:rsidP="00F524DE">
      <w:pPr>
        <w:widowControl w:val="0"/>
        <w:numPr>
          <w:ilvl w:val="1"/>
          <w:numId w:val="1"/>
        </w:numPr>
        <w:spacing w:after="120"/>
        <w:rPr>
          <w:rFonts w:asciiTheme="minorHAnsi" w:hAnsiTheme="minorHAnsi"/>
          <w:snapToGrid w:val="0"/>
          <w:lang w:val="en-GB" w:eastAsia="en-US"/>
        </w:rPr>
      </w:pPr>
      <w:r w:rsidRPr="00537A5B">
        <w:rPr>
          <w:rFonts w:asciiTheme="minorHAnsi" w:hAnsiTheme="minorHAnsi" w:cstheme="minorHAnsi"/>
        </w:rPr>
        <w:t xml:space="preserve">The PBAC noted the clinical evidence </w:t>
      </w:r>
      <w:r w:rsidR="00602DAB" w:rsidRPr="00537A5B">
        <w:rPr>
          <w:rFonts w:asciiTheme="minorHAnsi" w:hAnsiTheme="minorHAnsi" w:cstheme="minorHAnsi"/>
        </w:rPr>
        <w:t xml:space="preserve">presented </w:t>
      </w:r>
      <w:r w:rsidR="00FC0233" w:rsidRPr="00537A5B">
        <w:rPr>
          <w:rFonts w:asciiTheme="minorHAnsi" w:hAnsiTheme="minorHAnsi" w:cstheme="minorHAnsi"/>
        </w:rPr>
        <w:t xml:space="preserve">was primarily based on </w:t>
      </w:r>
      <w:r w:rsidR="00A669FB">
        <w:rPr>
          <w:rFonts w:asciiTheme="minorHAnsi" w:hAnsiTheme="minorHAnsi" w:cstheme="minorHAnsi"/>
        </w:rPr>
        <w:t xml:space="preserve">an updated interim analysis of </w:t>
      </w:r>
      <w:r w:rsidR="00FC0233" w:rsidRPr="00537A5B">
        <w:rPr>
          <w:rFonts w:asciiTheme="minorHAnsi" w:hAnsiTheme="minorHAnsi" w:cstheme="minorHAnsi"/>
        </w:rPr>
        <w:t xml:space="preserve">the NURTURE study of nusinersen initiated pre-symptomatically, and six studies of the use of nusinersen initiated upon development of symptoms. The PBAC noted the studies </w:t>
      </w:r>
      <w:r w:rsidR="00A669FB">
        <w:rPr>
          <w:rFonts w:asciiTheme="minorHAnsi" w:hAnsiTheme="minorHAnsi" w:cstheme="minorHAnsi"/>
        </w:rPr>
        <w:t>all had</w:t>
      </w:r>
      <w:r w:rsidR="00FC0233" w:rsidRPr="00537A5B">
        <w:rPr>
          <w:rFonts w:asciiTheme="minorHAnsi" w:hAnsiTheme="minorHAnsi" w:cstheme="minorHAnsi"/>
        </w:rPr>
        <w:t xml:space="preserve"> small patient numbers</w:t>
      </w:r>
      <w:r w:rsidR="00A669FB">
        <w:rPr>
          <w:rFonts w:asciiTheme="minorHAnsi" w:hAnsiTheme="minorHAnsi" w:cstheme="minorHAnsi"/>
        </w:rPr>
        <w:t>,</w:t>
      </w:r>
      <w:r w:rsidR="00A8405D">
        <w:rPr>
          <w:rFonts w:asciiTheme="minorHAnsi" w:hAnsiTheme="minorHAnsi" w:cstheme="minorHAnsi"/>
        </w:rPr>
        <w:t xml:space="preserve"> </w:t>
      </w:r>
      <w:r w:rsidR="00206563">
        <w:rPr>
          <w:rFonts w:asciiTheme="minorHAnsi" w:hAnsiTheme="minorHAnsi" w:cstheme="minorHAnsi"/>
        </w:rPr>
        <w:t>that the</w:t>
      </w:r>
      <w:r w:rsidR="00A8405D">
        <w:rPr>
          <w:rFonts w:asciiTheme="minorHAnsi" w:hAnsiTheme="minorHAnsi" w:cstheme="minorHAnsi"/>
        </w:rPr>
        <w:t xml:space="preserve"> duration of follow-up</w:t>
      </w:r>
      <w:r w:rsidR="00206563">
        <w:rPr>
          <w:rFonts w:asciiTheme="minorHAnsi" w:hAnsiTheme="minorHAnsi" w:cstheme="minorHAnsi"/>
        </w:rPr>
        <w:t xml:space="preserve"> </w:t>
      </w:r>
      <w:r w:rsidR="00A669FB">
        <w:rPr>
          <w:rFonts w:asciiTheme="minorHAnsi" w:hAnsiTheme="minorHAnsi" w:cstheme="minorHAnsi"/>
        </w:rPr>
        <w:t xml:space="preserve">in the studies </w:t>
      </w:r>
      <w:r w:rsidR="00206563">
        <w:rPr>
          <w:rFonts w:asciiTheme="minorHAnsi" w:hAnsiTheme="minorHAnsi" w:cstheme="minorHAnsi"/>
        </w:rPr>
        <w:t>was short</w:t>
      </w:r>
      <w:r w:rsidR="008B5F1D">
        <w:rPr>
          <w:rFonts w:asciiTheme="minorHAnsi" w:hAnsiTheme="minorHAnsi" w:cstheme="minorHAnsi"/>
        </w:rPr>
        <w:t xml:space="preserve"> in the context of a </w:t>
      </w:r>
      <w:r w:rsidR="007C4BE2">
        <w:rPr>
          <w:rFonts w:asciiTheme="minorHAnsi" w:hAnsiTheme="minorHAnsi" w:cstheme="minorHAnsi"/>
        </w:rPr>
        <w:t xml:space="preserve">lifelong </w:t>
      </w:r>
      <w:r w:rsidR="008B5F1D">
        <w:rPr>
          <w:rFonts w:asciiTheme="minorHAnsi" w:hAnsiTheme="minorHAnsi" w:cstheme="minorHAnsi"/>
        </w:rPr>
        <w:t xml:space="preserve">disease, </w:t>
      </w:r>
      <w:r w:rsidR="00FC3279">
        <w:rPr>
          <w:rFonts w:asciiTheme="minorHAnsi" w:hAnsiTheme="minorHAnsi" w:cstheme="minorHAnsi"/>
        </w:rPr>
        <w:t xml:space="preserve">and </w:t>
      </w:r>
      <w:r w:rsidR="00FC0233" w:rsidRPr="00537A5B">
        <w:rPr>
          <w:rFonts w:asciiTheme="minorHAnsi" w:hAnsiTheme="minorHAnsi" w:cstheme="minorHAnsi"/>
        </w:rPr>
        <w:t>considered that all studies had a high risk of bias</w:t>
      </w:r>
      <w:r w:rsidR="00340B4A" w:rsidRPr="00537A5B">
        <w:rPr>
          <w:rFonts w:asciiTheme="minorHAnsi" w:hAnsiTheme="minorHAnsi" w:cstheme="minorHAnsi"/>
        </w:rPr>
        <w:t>.</w:t>
      </w:r>
    </w:p>
    <w:p w14:paraId="2F605FC0" w14:textId="27D9D565" w:rsidR="0064192E" w:rsidRPr="00551700" w:rsidRDefault="0064192E" w:rsidP="00F524DE">
      <w:pPr>
        <w:widowControl w:val="0"/>
        <w:numPr>
          <w:ilvl w:val="1"/>
          <w:numId w:val="1"/>
        </w:numPr>
        <w:spacing w:after="120"/>
        <w:rPr>
          <w:rFonts w:asciiTheme="minorHAnsi" w:hAnsiTheme="minorHAnsi"/>
          <w:snapToGrid w:val="0"/>
          <w:lang w:val="en-GB" w:eastAsia="en-US"/>
        </w:rPr>
      </w:pPr>
      <w:r>
        <w:rPr>
          <w:rFonts w:asciiTheme="minorHAnsi" w:hAnsiTheme="minorHAnsi" w:cstheme="minorHAnsi"/>
        </w:rPr>
        <w:t xml:space="preserve">The PBAC noted that </w:t>
      </w:r>
      <w:r w:rsidR="00A8405D">
        <w:rPr>
          <w:rFonts w:asciiTheme="minorHAnsi" w:hAnsiTheme="minorHAnsi" w:cstheme="minorHAnsi"/>
        </w:rPr>
        <w:t xml:space="preserve">patients treated with nusinersen pre-symptomatically in the NURTURE study achieved </w:t>
      </w:r>
      <w:r w:rsidR="00206563">
        <w:rPr>
          <w:rFonts w:asciiTheme="minorHAnsi" w:hAnsiTheme="minorHAnsi" w:cstheme="minorHAnsi"/>
        </w:rPr>
        <w:t>age</w:t>
      </w:r>
      <w:r w:rsidR="00A669FB">
        <w:rPr>
          <w:rFonts w:asciiTheme="minorHAnsi" w:hAnsiTheme="minorHAnsi" w:cstheme="minorHAnsi"/>
        </w:rPr>
        <w:t>-</w:t>
      </w:r>
      <w:r w:rsidR="00206563">
        <w:rPr>
          <w:rFonts w:asciiTheme="minorHAnsi" w:hAnsiTheme="minorHAnsi" w:cstheme="minorHAnsi"/>
        </w:rPr>
        <w:t xml:space="preserve">appropriate </w:t>
      </w:r>
      <w:r w:rsidR="00A8405D">
        <w:rPr>
          <w:rFonts w:asciiTheme="minorHAnsi" w:hAnsiTheme="minorHAnsi" w:cstheme="minorHAnsi"/>
        </w:rPr>
        <w:t>WHO motor milestones</w:t>
      </w:r>
      <w:r w:rsidR="00206563">
        <w:rPr>
          <w:rFonts w:asciiTheme="minorHAnsi" w:hAnsiTheme="minorHAnsi" w:cstheme="minorHAnsi"/>
        </w:rPr>
        <w:t>, as of</w:t>
      </w:r>
      <w:r w:rsidR="00A8405D">
        <w:rPr>
          <w:rFonts w:asciiTheme="minorHAnsi" w:hAnsiTheme="minorHAnsi" w:cstheme="minorHAnsi"/>
        </w:rPr>
        <w:t xml:space="preserve"> the data cut-off of February 2020, and that </w:t>
      </w:r>
      <w:r w:rsidR="00B61D26">
        <w:rPr>
          <w:rFonts w:asciiTheme="minorHAnsi" w:hAnsiTheme="minorHAnsi" w:cstheme="minorHAnsi"/>
        </w:rPr>
        <w:t xml:space="preserve">while </w:t>
      </w:r>
      <w:r w:rsidR="00A8405D">
        <w:rPr>
          <w:rFonts w:asciiTheme="minorHAnsi" w:hAnsiTheme="minorHAnsi" w:cstheme="minorHAnsi"/>
        </w:rPr>
        <w:t>the</w:t>
      </w:r>
      <w:r w:rsidR="00206563">
        <w:rPr>
          <w:rFonts w:asciiTheme="minorHAnsi" w:hAnsiTheme="minorHAnsi" w:cstheme="minorHAnsi"/>
        </w:rPr>
        <w:t xml:space="preserve"> patients</w:t>
      </w:r>
      <w:r w:rsidR="00A8405D">
        <w:rPr>
          <w:rFonts w:asciiTheme="minorHAnsi" w:hAnsiTheme="minorHAnsi" w:cstheme="minorHAnsi"/>
        </w:rPr>
        <w:t xml:space="preserve"> tended to achieve the</w:t>
      </w:r>
      <w:r w:rsidR="00206563">
        <w:rPr>
          <w:rFonts w:asciiTheme="minorHAnsi" w:hAnsiTheme="minorHAnsi" w:cstheme="minorHAnsi"/>
        </w:rPr>
        <w:t xml:space="preserve"> motor milestones</w:t>
      </w:r>
      <w:r w:rsidR="00A8405D">
        <w:rPr>
          <w:rFonts w:asciiTheme="minorHAnsi" w:hAnsiTheme="minorHAnsi" w:cstheme="minorHAnsi"/>
        </w:rPr>
        <w:t xml:space="preserve"> earlier than patients </w:t>
      </w:r>
      <w:r w:rsidR="00206563">
        <w:rPr>
          <w:rFonts w:asciiTheme="minorHAnsi" w:hAnsiTheme="minorHAnsi" w:cstheme="minorHAnsi"/>
        </w:rPr>
        <w:t xml:space="preserve">with 2 copies of </w:t>
      </w:r>
      <w:r w:rsidR="00206563" w:rsidRPr="00206563">
        <w:rPr>
          <w:rFonts w:asciiTheme="minorHAnsi" w:hAnsiTheme="minorHAnsi" w:cstheme="minorHAnsi"/>
          <w:i/>
          <w:iCs/>
        </w:rPr>
        <w:t>SMN2</w:t>
      </w:r>
      <w:r w:rsidR="00206563">
        <w:rPr>
          <w:rFonts w:asciiTheme="minorHAnsi" w:hAnsiTheme="minorHAnsi" w:cstheme="minorHAnsi"/>
        </w:rPr>
        <w:t xml:space="preserve"> </w:t>
      </w:r>
      <w:r w:rsidR="00A8405D">
        <w:rPr>
          <w:rFonts w:asciiTheme="minorHAnsi" w:hAnsiTheme="minorHAnsi" w:cstheme="minorHAnsi"/>
        </w:rPr>
        <w:t>treated pre-symptomatically</w:t>
      </w:r>
      <w:r w:rsidR="00A669FB">
        <w:rPr>
          <w:rFonts w:asciiTheme="minorHAnsi" w:hAnsiTheme="minorHAnsi" w:cstheme="minorHAnsi"/>
        </w:rPr>
        <w:t>,</w:t>
      </w:r>
      <w:r w:rsidR="00A8405D">
        <w:rPr>
          <w:rFonts w:asciiTheme="minorHAnsi" w:hAnsiTheme="minorHAnsi" w:cstheme="minorHAnsi"/>
        </w:rPr>
        <w:t xml:space="preserve"> </w:t>
      </w:r>
      <w:r w:rsidR="00AF2534">
        <w:rPr>
          <w:rFonts w:asciiTheme="minorHAnsi" w:hAnsiTheme="minorHAnsi" w:cstheme="minorHAnsi"/>
        </w:rPr>
        <w:t xml:space="preserve">the PBAC considered </w:t>
      </w:r>
      <w:r w:rsidR="00B61D26">
        <w:rPr>
          <w:rFonts w:asciiTheme="minorHAnsi" w:hAnsiTheme="minorHAnsi" w:cstheme="minorHAnsi"/>
        </w:rPr>
        <w:t xml:space="preserve">some </w:t>
      </w:r>
      <w:r w:rsidR="00206563">
        <w:rPr>
          <w:rFonts w:asciiTheme="minorHAnsi" w:hAnsiTheme="minorHAnsi" w:cstheme="minorHAnsi"/>
        </w:rPr>
        <w:t xml:space="preserve">of these </w:t>
      </w:r>
      <w:r w:rsidR="00B61D26">
        <w:rPr>
          <w:rFonts w:asciiTheme="minorHAnsi" w:hAnsiTheme="minorHAnsi" w:cstheme="minorHAnsi"/>
        </w:rPr>
        <w:t>patients would have achieved these milestones in the absence of treatment.</w:t>
      </w:r>
      <w:r w:rsidR="00A8405D">
        <w:rPr>
          <w:rFonts w:asciiTheme="minorHAnsi" w:hAnsiTheme="minorHAnsi" w:cstheme="minorHAnsi"/>
        </w:rPr>
        <w:t xml:space="preserve"> </w:t>
      </w:r>
    </w:p>
    <w:p w14:paraId="6F6EFFCC" w14:textId="20033E5A" w:rsidR="003E394F" w:rsidRPr="008E02CF" w:rsidRDefault="00D92DF2" w:rsidP="003E394F">
      <w:pPr>
        <w:pStyle w:val="3-BodyText"/>
        <w:rPr>
          <w:lang w:val="en-GB" w:eastAsia="en-US"/>
        </w:rPr>
      </w:pPr>
      <w:r>
        <w:t xml:space="preserve">The PBAC </w:t>
      </w:r>
      <w:r w:rsidR="003C0581">
        <w:t xml:space="preserve">noted advice from the </w:t>
      </w:r>
      <w:r w:rsidR="001822FA">
        <w:t>s</w:t>
      </w:r>
      <w:r w:rsidR="003C0581">
        <w:t xml:space="preserve">ponsor hearing </w:t>
      </w:r>
      <w:r w:rsidR="00AA15A6">
        <w:t xml:space="preserve">that </w:t>
      </w:r>
      <w:r w:rsidR="003C0581">
        <w:t xml:space="preserve">suggested that time </w:t>
      </w:r>
      <w:r w:rsidR="00551700">
        <w:t xml:space="preserve">from symptom onset </w:t>
      </w:r>
      <w:r>
        <w:t xml:space="preserve">to initiation of </w:t>
      </w:r>
      <w:r w:rsidR="00551700">
        <w:t>treatment</w:t>
      </w:r>
      <w:r>
        <w:t xml:space="preserve"> with nusinersen</w:t>
      </w:r>
      <w:r w:rsidR="003C0581">
        <w:t xml:space="preserve"> has reduced with the </w:t>
      </w:r>
      <w:r w:rsidR="002605DB">
        <w:t>introduction</w:t>
      </w:r>
      <w:r w:rsidR="003C0581">
        <w:t xml:space="preserve"> of NBS</w:t>
      </w:r>
      <w:r w:rsidR="008E02CF">
        <w:t xml:space="preserve">, with families closely monitoring infants genetically diagnosed with 3 copies of </w:t>
      </w:r>
      <w:r w:rsidR="008E02CF" w:rsidRPr="008E02CF">
        <w:rPr>
          <w:i/>
          <w:iCs/>
        </w:rPr>
        <w:t>SMN2</w:t>
      </w:r>
      <w:r w:rsidR="008E02CF">
        <w:t xml:space="preserve"> for symptoms so that treatment can commence as early as possible</w:t>
      </w:r>
      <w:r w:rsidR="00417EA4">
        <w:t xml:space="preserve">. </w:t>
      </w:r>
      <w:r w:rsidR="003E394F">
        <w:rPr>
          <w:rFonts w:cstheme="minorHAnsi"/>
        </w:rPr>
        <w:t xml:space="preserve">The PBAC further noted that NBS is expected to be implemented nationally by the end of 2023, allowing for the identification of patients with 3 copies of </w:t>
      </w:r>
      <w:r w:rsidR="003E394F" w:rsidRPr="00F05A43">
        <w:rPr>
          <w:rFonts w:cstheme="minorHAnsi"/>
          <w:i/>
          <w:iCs/>
        </w:rPr>
        <w:t>SMN2</w:t>
      </w:r>
      <w:r w:rsidR="003E394F">
        <w:rPr>
          <w:rFonts w:cstheme="minorHAnsi"/>
        </w:rPr>
        <w:t xml:space="preserve"> shortly after birth.</w:t>
      </w:r>
    </w:p>
    <w:p w14:paraId="174C20AF" w14:textId="1369C002" w:rsidR="00650CC4" w:rsidRPr="00F34324" w:rsidRDefault="00417EA4" w:rsidP="001F301B">
      <w:pPr>
        <w:pStyle w:val="3-BodyText"/>
        <w:rPr>
          <w:lang w:val="en-GB" w:eastAsia="en-US"/>
        </w:rPr>
      </w:pPr>
      <w:r>
        <w:t>The PBAC noted tha</w:t>
      </w:r>
      <w:r w:rsidR="00D92DF2">
        <w:t xml:space="preserve">t based on a </w:t>
      </w:r>
      <w:r w:rsidR="001822FA">
        <w:t xml:space="preserve">naïve numerical and </w:t>
      </w:r>
      <w:r w:rsidR="00D92DF2">
        <w:t xml:space="preserve">visual depiction of </w:t>
      </w:r>
      <w:r w:rsidR="00551700">
        <w:t xml:space="preserve">results for change in HINE-2 scores from the </w:t>
      </w:r>
      <w:r w:rsidR="00650CC4">
        <w:t xml:space="preserve">symptomatic treatment studies </w:t>
      </w:r>
      <w:r w:rsidR="00551700">
        <w:t>EMBRACE and CS3A</w:t>
      </w:r>
      <w:r w:rsidR="00D92DF2">
        <w:t xml:space="preserve">, </w:t>
      </w:r>
      <w:r w:rsidR="00A2308D">
        <w:t xml:space="preserve">as </w:t>
      </w:r>
      <w:r w:rsidR="00551700">
        <w:t>the delay from symptom</w:t>
      </w:r>
      <w:r w:rsidR="00AA15A6">
        <w:t xml:space="preserve"> identification</w:t>
      </w:r>
      <w:r w:rsidR="00551700">
        <w:t xml:space="preserve"> to </w:t>
      </w:r>
      <w:r w:rsidR="00A2308D">
        <w:t xml:space="preserve">initiation of </w:t>
      </w:r>
      <w:r w:rsidR="00551700">
        <w:t xml:space="preserve">treatment </w:t>
      </w:r>
      <w:r w:rsidR="00D92DF2">
        <w:t>decrease</w:t>
      </w:r>
      <w:r w:rsidR="00AA15A6">
        <w:t>d</w:t>
      </w:r>
      <w:r w:rsidR="001D2416">
        <w:t xml:space="preserve"> from 15.9 months to 8.6 months </w:t>
      </w:r>
      <w:r w:rsidR="00650CC4">
        <w:t>(in</w:t>
      </w:r>
      <w:r w:rsidR="001D2416">
        <w:t xml:space="preserve"> EMBRACE</w:t>
      </w:r>
      <w:r w:rsidR="00650CC4">
        <w:t xml:space="preserve">) and </w:t>
      </w:r>
      <w:r w:rsidR="002605DB">
        <w:t xml:space="preserve">to </w:t>
      </w:r>
      <w:r w:rsidR="001D2416" w:rsidRPr="005C0505">
        <w:t>2.5</w:t>
      </w:r>
      <w:r w:rsidR="001D2416">
        <w:t xml:space="preserve"> months </w:t>
      </w:r>
      <w:r w:rsidR="00650CC4">
        <w:t>(</w:t>
      </w:r>
      <w:r w:rsidR="001D2416">
        <w:t>in CSA3</w:t>
      </w:r>
      <w:r w:rsidR="00650CC4">
        <w:t>)</w:t>
      </w:r>
      <w:r w:rsidR="00A2308D">
        <w:t xml:space="preserve">, </w:t>
      </w:r>
      <w:r w:rsidR="00D92DF2">
        <w:t>mean HINE score</w:t>
      </w:r>
      <w:r w:rsidR="003C0581">
        <w:t>s</w:t>
      </w:r>
      <w:r w:rsidR="00D92DF2">
        <w:t xml:space="preserve"> by age</w:t>
      </w:r>
      <w:r w:rsidR="00650CC4">
        <w:t xml:space="preserve"> </w:t>
      </w:r>
      <w:r w:rsidR="002605DB">
        <w:t>approached the</w:t>
      </w:r>
      <w:r w:rsidR="003C0581">
        <w:t xml:space="preserve"> </w:t>
      </w:r>
      <w:r w:rsidR="00D92DF2">
        <w:t>mean HINE score</w:t>
      </w:r>
      <w:r w:rsidR="003C0581">
        <w:t>s</w:t>
      </w:r>
      <w:r w:rsidR="00D92DF2">
        <w:t xml:space="preserve"> by age</w:t>
      </w:r>
      <w:r w:rsidR="00A2308D">
        <w:t xml:space="preserve"> for patients treated pre-symptomatically in NURTURE</w:t>
      </w:r>
      <w:r w:rsidR="00E971F7">
        <w:t xml:space="preserve"> (see </w:t>
      </w:r>
      <w:r w:rsidR="00E971F7">
        <w:fldChar w:fldCharType="begin" w:fldLock="1"/>
      </w:r>
      <w:r w:rsidR="00E971F7">
        <w:instrText xml:space="preserve"> REF _Ref132650074 \h </w:instrText>
      </w:r>
      <w:r w:rsidR="00E971F7">
        <w:fldChar w:fldCharType="separate"/>
      </w:r>
      <w:r w:rsidR="00E971F7" w:rsidRPr="00271560">
        <w:t xml:space="preserve">Figure </w:t>
      </w:r>
      <w:r w:rsidR="00E971F7">
        <w:rPr>
          <w:noProof/>
        </w:rPr>
        <w:t>2</w:t>
      </w:r>
      <w:r w:rsidR="00E971F7">
        <w:fldChar w:fldCharType="end"/>
      </w:r>
      <w:r w:rsidR="00E971F7">
        <w:t>)</w:t>
      </w:r>
      <w:r w:rsidR="00A2308D">
        <w:t xml:space="preserve">. </w:t>
      </w:r>
      <w:r w:rsidR="00D92DF2">
        <w:t xml:space="preserve">The PBAC </w:t>
      </w:r>
      <w:r w:rsidR="002605DB">
        <w:t xml:space="preserve">noted these data </w:t>
      </w:r>
      <w:r w:rsidR="00D92DF2">
        <w:t xml:space="preserve">suggest that </w:t>
      </w:r>
      <w:r>
        <w:t xml:space="preserve">the earlier treatment is commenced, the greater </w:t>
      </w:r>
      <w:r w:rsidR="00551700">
        <w:t xml:space="preserve">the </w:t>
      </w:r>
      <w:r>
        <w:t>impact</w:t>
      </w:r>
      <w:r w:rsidR="002605DB">
        <w:t xml:space="preserve"> of treatment</w:t>
      </w:r>
      <w:r>
        <w:t xml:space="preserve"> on mean HINE scores. </w:t>
      </w:r>
      <w:r w:rsidR="00650CC4">
        <w:t xml:space="preserve">The PBAC considered that since the delay between symptom </w:t>
      </w:r>
      <w:r w:rsidR="00650CC4">
        <w:lastRenderedPageBreak/>
        <w:t xml:space="preserve">identification and treatment in the EMBRACE study was between 8.6 and 15.9 months, the outcomes would not represent current SoC. </w:t>
      </w:r>
    </w:p>
    <w:p w14:paraId="5E889356" w14:textId="3301B9E8" w:rsidR="007C3A91" w:rsidRPr="008D6BE8" w:rsidRDefault="00A9338A" w:rsidP="001128E9">
      <w:pPr>
        <w:widowControl w:val="0"/>
        <w:numPr>
          <w:ilvl w:val="1"/>
          <w:numId w:val="1"/>
        </w:numPr>
        <w:spacing w:after="120"/>
        <w:rPr>
          <w:rFonts w:asciiTheme="minorHAnsi" w:hAnsiTheme="minorHAnsi"/>
          <w:snapToGrid w:val="0"/>
          <w:lang w:val="en-GB" w:eastAsia="en-US"/>
        </w:rPr>
      </w:pPr>
      <w:r w:rsidRPr="008D6BE8">
        <w:rPr>
          <w:rFonts w:asciiTheme="minorHAnsi" w:hAnsiTheme="minorHAnsi" w:cstheme="minorHAnsi"/>
        </w:rPr>
        <w:t>Overall, t</w:t>
      </w:r>
      <w:r w:rsidR="007C3A91" w:rsidRPr="008D6BE8">
        <w:rPr>
          <w:rFonts w:asciiTheme="minorHAnsi" w:hAnsiTheme="minorHAnsi" w:cstheme="minorHAnsi"/>
        </w:rPr>
        <w:t xml:space="preserve">he PBAC </w:t>
      </w:r>
      <w:r w:rsidRPr="008D6BE8">
        <w:rPr>
          <w:rFonts w:asciiTheme="minorHAnsi" w:hAnsiTheme="minorHAnsi" w:cstheme="minorHAnsi"/>
        </w:rPr>
        <w:t>considered</w:t>
      </w:r>
      <w:r w:rsidR="007C3A91" w:rsidRPr="008D6BE8">
        <w:rPr>
          <w:rFonts w:asciiTheme="minorHAnsi" w:hAnsiTheme="minorHAnsi" w:cstheme="minorHAnsi"/>
        </w:rPr>
        <w:t xml:space="preserve"> that the </w:t>
      </w:r>
      <w:r w:rsidR="004F2D3C">
        <w:rPr>
          <w:rFonts w:asciiTheme="minorHAnsi" w:hAnsiTheme="minorHAnsi" w:cstheme="minorHAnsi"/>
        </w:rPr>
        <w:t xml:space="preserve">naïve </w:t>
      </w:r>
      <w:r w:rsidR="002701B7">
        <w:rPr>
          <w:rFonts w:asciiTheme="minorHAnsi" w:hAnsiTheme="minorHAnsi" w:cstheme="minorHAnsi"/>
        </w:rPr>
        <w:t>indirect treatment</w:t>
      </w:r>
      <w:r w:rsidR="004F2D3C">
        <w:rPr>
          <w:rFonts w:asciiTheme="minorHAnsi" w:hAnsiTheme="minorHAnsi" w:cstheme="minorHAnsi"/>
        </w:rPr>
        <w:t xml:space="preserve"> </w:t>
      </w:r>
      <w:r w:rsidR="0076614F" w:rsidRPr="008D6BE8">
        <w:rPr>
          <w:rFonts w:asciiTheme="minorHAnsi" w:hAnsiTheme="minorHAnsi" w:cstheme="minorHAnsi"/>
        </w:rPr>
        <w:t xml:space="preserve">comparison presented in the resubmission </w:t>
      </w:r>
      <w:r w:rsidR="007C3A91" w:rsidRPr="008D6BE8">
        <w:rPr>
          <w:rFonts w:asciiTheme="minorHAnsi" w:hAnsiTheme="minorHAnsi" w:cstheme="minorHAnsi"/>
        </w:rPr>
        <w:t xml:space="preserve">did not allow for an accurate assessment of </w:t>
      </w:r>
      <w:r w:rsidR="00195FEE" w:rsidRPr="008D6BE8">
        <w:rPr>
          <w:rFonts w:asciiTheme="minorHAnsi" w:hAnsiTheme="minorHAnsi" w:cstheme="minorHAnsi"/>
        </w:rPr>
        <w:t>comparative efficacy.</w:t>
      </w:r>
      <w:r w:rsidR="008D6BE8" w:rsidRPr="008D6BE8">
        <w:rPr>
          <w:rFonts w:asciiTheme="minorHAnsi" w:hAnsiTheme="minorHAnsi" w:cstheme="minorHAnsi"/>
        </w:rPr>
        <w:t xml:space="preserve"> </w:t>
      </w:r>
      <w:r w:rsidR="008D6BE8">
        <w:rPr>
          <w:rFonts w:asciiTheme="minorHAnsi" w:hAnsiTheme="minorHAnsi" w:cstheme="minorHAnsi"/>
        </w:rPr>
        <w:t>While t</w:t>
      </w:r>
      <w:r w:rsidR="007C3A91">
        <w:t xml:space="preserve">he PBAC considered </w:t>
      </w:r>
      <w:r w:rsidR="004B4921">
        <w:t xml:space="preserve">it was plausible that </w:t>
      </w:r>
      <w:r>
        <w:t xml:space="preserve">pre-symptomatic initiation of nusinersen in patients with 3 copies of </w:t>
      </w:r>
      <w:r w:rsidRPr="008D6BE8">
        <w:rPr>
          <w:i/>
          <w:iCs/>
        </w:rPr>
        <w:t>SMN2</w:t>
      </w:r>
      <w:r>
        <w:t xml:space="preserve"> </w:t>
      </w:r>
      <w:r w:rsidR="004B4921">
        <w:t>would r</w:t>
      </w:r>
      <w:r w:rsidR="00602CC7">
        <w:t>esult in greater benefit than</w:t>
      </w:r>
      <w:r>
        <w:t xml:space="preserve"> initiation of nusinersen commenced symptomatically,</w:t>
      </w:r>
      <w:r w:rsidR="0076614F">
        <w:t xml:space="preserve"> </w:t>
      </w:r>
      <w:r w:rsidR="008D6BE8">
        <w:t xml:space="preserve">the PBAC considered </w:t>
      </w:r>
      <w:r w:rsidR="007C3A91" w:rsidRPr="00361189">
        <w:t xml:space="preserve">the magnitude of incremental benefit over a lifetime </w:t>
      </w:r>
      <w:r w:rsidR="008D6BE8">
        <w:t>to be</w:t>
      </w:r>
      <w:r w:rsidR="007C3A91" w:rsidRPr="00361189">
        <w:t xml:space="preserve"> uncertain</w:t>
      </w:r>
      <w:r w:rsidR="0076614F">
        <w:t>. The</w:t>
      </w:r>
      <w:r w:rsidR="0064192E">
        <w:t xml:space="preserve"> </w:t>
      </w:r>
      <w:r w:rsidR="007C3A91" w:rsidRPr="00361189">
        <w:t>PBAC noted that comparative long-term data that would address this uncertainty was unlikely to be available in the future.</w:t>
      </w:r>
    </w:p>
    <w:p w14:paraId="330DB6EA" w14:textId="309826E9" w:rsidR="00A9338A" w:rsidRPr="007C3A91" w:rsidRDefault="00A9338A" w:rsidP="00A9338A">
      <w:pPr>
        <w:pStyle w:val="3-BodyText"/>
        <w:rPr>
          <w:lang w:val="en-GB" w:eastAsia="en-US"/>
        </w:rPr>
      </w:pPr>
      <w:r>
        <w:rPr>
          <w:lang w:val="en-GB" w:eastAsia="en-US"/>
        </w:rPr>
        <w:t xml:space="preserve">The PBAC considered that the claim </w:t>
      </w:r>
      <w:r w:rsidR="004B4921">
        <w:rPr>
          <w:lang w:val="en-GB" w:eastAsia="en-US"/>
        </w:rPr>
        <w:t>that pre-symptomatic initiation of nusinersen was no worse</w:t>
      </w:r>
      <w:r w:rsidR="00650CC4">
        <w:rPr>
          <w:lang w:val="en-GB" w:eastAsia="en-US"/>
        </w:rPr>
        <w:t>,</w:t>
      </w:r>
      <w:r w:rsidR="004B4921">
        <w:rPr>
          <w:lang w:val="en-GB" w:eastAsia="en-US"/>
        </w:rPr>
        <w:t xml:space="preserve"> </w:t>
      </w:r>
      <w:r w:rsidR="00650CC4" w:rsidRPr="002701B7">
        <w:rPr>
          <w:lang w:val="en-GB" w:eastAsia="en-US"/>
        </w:rPr>
        <w:t>in terms of safety</w:t>
      </w:r>
      <w:r w:rsidR="00650CC4">
        <w:rPr>
          <w:lang w:val="en-GB" w:eastAsia="en-US"/>
        </w:rPr>
        <w:t>,</w:t>
      </w:r>
      <w:r w:rsidR="00650CC4">
        <w:rPr>
          <w:i/>
          <w:iCs/>
          <w:lang w:val="en-GB" w:eastAsia="en-US"/>
        </w:rPr>
        <w:t xml:space="preserve"> </w:t>
      </w:r>
      <w:r w:rsidR="004B4921">
        <w:rPr>
          <w:lang w:val="en-GB" w:eastAsia="en-US"/>
        </w:rPr>
        <w:t xml:space="preserve">than nusinersen initiated upon symptom onset in patients with 3 copies of </w:t>
      </w:r>
      <w:r w:rsidR="004B4921" w:rsidRPr="004B4921">
        <w:rPr>
          <w:i/>
          <w:iCs/>
          <w:lang w:val="en-GB" w:eastAsia="en-US"/>
        </w:rPr>
        <w:t>SMN2</w:t>
      </w:r>
      <w:r w:rsidRPr="004B4921">
        <w:rPr>
          <w:i/>
          <w:iCs/>
          <w:lang w:val="en-GB" w:eastAsia="en-US"/>
        </w:rPr>
        <w:t xml:space="preserve"> </w:t>
      </w:r>
      <w:r>
        <w:rPr>
          <w:lang w:val="en-GB" w:eastAsia="en-US"/>
        </w:rPr>
        <w:t>was not supported</w:t>
      </w:r>
      <w:r w:rsidR="00646F69">
        <w:rPr>
          <w:lang w:val="en-GB" w:eastAsia="en-US"/>
        </w:rPr>
        <w:t xml:space="preserve"> given the risks associated with lumbar puncture</w:t>
      </w:r>
      <w:r w:rsidR="00FC6333">
        <w:rPr>
          <w:lang w:val="en-GB" w:eastAsia="en-US"/>
        </w:rPr>
        <w:t xml:space="preserve">, </w:t>
      </w:r>
      <w:r w:rsidR="00650CC4">
        <w:rPr>
          <w:lang w:val="en-GB" w:eastAsia="en-US"/>
        </w:rPr>
        <w:t xml:space="preserve">and </w:t>
      </w:r>
      <w:r w:rsidR="009700C1">
        <w:rPr>
          <w:lang w:val="en-GB" w:eastAsia="en-US"/>
        </w:rPr>
        <w:t xml:space="preserve">because </w:t>
      </w:r>
      <w:r w:rsidR="00FC6333">
        <w:rPr>
          <w:lang w:val="en-GB" w:eastAsia="en-US"/>
        </w:rPr>
        <w:t>the requested listing would result in more intrathecal injections</w:t>
      </w:r>
      <w:r w:rsidR="008D6BE8">
        <w:rPr>
          <w:lang w:val="en-GB" w:eastAsia="en-US"/>
        </w:rPr>
        <w:t xml:space="preserve"> and </w:t>
      </w:r>
      <w:r w:rsidR="009700C1">
        <w:rPr>
          <w:lang w:val="en-GB" w:eastAsia="en-US"/>
        </w:rPr>
        <w:t xml:space="preserve">further </w:t>
      </w:r>
      <w:r w:rsidR="004B4921">
        <w:rPr>
          <w:lang w:val="en-GB" w:eastAsia="en-US"/>
        </w:rPr>
        <w:t xml:space="preserve">some patients with 3 copies of </w:t>
      </w:r>
      <w:r w:rsidR="004B4921" w:rsidRPr="004B4921">
        <w:rPr>
          <w:i/>
          <w:iCs/>
          <w:lang w:val="en-GB" w:eastAsia="en-US"/>
        </w:rPr>
        <w:t>SMN2</w:t>
      </w:r>
      <w:r w:rsidR="004B4921">
        <w:rPr>
          <w:lang w:val="en-GB" w:eastAsia="en-US"/>
        </w:rPr>
        <w:t xml:space="preserve"> would not require treatment</w:t>
      </w:r>
      <w:r>
        <w:rPr>
          <w:lang w:val="en-GB" w:eastAsia="en-US"/>
        </w:rPr>
        <w:t>.</w:t>
      </w:r>
    </w:p>
    <w:bookmarkEnd w:id="86"/>
    <w:p w14:paraId="5D7E5960" w14:textId="70E140E1" w:rsidR="00106AA4" w:rsidRDefault="008030E5" w:rsidP="00225F9B">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On balance, t</w:t>
      </w:r>
      <w:r w:rsidR="00106AA4" w:rsidRPr="00106AA4">
        <w:rPr>
          <w:rFonts w:asciiTheme="minorHAnsi" w:hAnsiTheme="minorHAnsi"/>
          <w:snapToGrid w:val="0"/>
          <w:lang w:val="en-GB" w:eastAsia="en-US"/>
        </w:rPr>
        <w:t xml:space="preserve">he PBAC </w:t>
      </w:r>
      <w:r w:rsidR="004B77A7">
        <w:rPr>
          <w:rFonts w:asciiTheme="minorHAnsi" w:hAnsiTheme="minorHAnsi"/>
          <w:snapToGrid w:val="0"/>
          <w:lang w:val="en-GB" w:eastAsia="en-US"/>
        </w:rPr>
        <w:t>wa</w:t>
      </w:r>
      <w:r w:rsidR="00106AA4" w:rsidRPr="00106AA4">
        <w:rPr>
          <w:rFonts w:asciiTheme="minorHAnsi" w:hAnsiTheme="minorHAnsi"/>
          <w:snapToGrid w:val="0"/>
          <w:lang w:val="en-GB" w:eastAsia="en-US"/>
        </w:rPr>
        <w:t xml:space="preserve">s satisfied that </w:t>
      </w:r>
      <w:r w:rsidR="00FC1525">
        <w:rPr>
          <w:rFonts w:asciiTheme="minorHAnsi" w:hAnsiTheme="minorHAnsi"/>
          <w:snapToGrid w:val="0"/>
          <w:lang w:val="en-GB" w:eastAsia="en-US"/>
        </w:rPr>
        <w:t>nusinersen</w:t>
      </w:r>
      <w:r w:rsidR="00106AA4" w:rsidRPr="00106AA4">
        <w:rPr>
          <w:rFonts w:asciiTheme="minorHAnsi" w:hAnsiTheme="minorHAnsi"/>
          <w:snapToGrid w:val="0"/>
          <w:lang w:val="en-GB" w:eastAsia="en-US"/>
        </w:rPr>
        <w:t xml:space="preserve"> </w:t>
      </w:r>
      <w:r w:rsidR="00FC1525">
        <w:rPr>
          <w:rFonts w:asciiTheme="minorHAnsi" w:hAnsiTheme="minorHAnsi"/>
          <w:snapToGrid w:val="0"/>
          <w:lang w:val="en-GB" w:eastAsia="en-US"/>
        </w:rPr>
        <w:t xml:space="preserve">initiated pre-symptomatically for patients with </w:t>
      </w:r>
      <w:proofErr w:type="gramStart"/>
      <w:r w:rsidR="00FC1525">
        <w:rPr>
          <w:rFonts w:asciiTheme="minorHAnsi" w:hAnsiTheme="minorHAnsi"/>
          <w:snapToGrid w:val="0"/>
          <w:lang w:val="en-GB" w:eastAsia="en-US"/>
        </w:rPr>
        <w:t>3</w:t>
      </w:r>
      <w:proofErr w:type="gramEnd"/>
      <w:r w:rsidR="00FC1525">
        <w:rPr>
          <w:rFonts w:asciiTheme="minorHAnsi" w:hAnsiTheme="minorHAnsi"/>
          <w:snapToGrid w:val="0"/>
          <w:lang w:val="en-GB" w:eastAsia="en-US"/>
        </w:rPr>
        <w:t xml:space="preserve"> copies of </w:t>
      </w:r>
      <w:r w:rsidR="00FC1525" w:rsidRPr="00FC1525">
        <w:rPr>
          <w:rFonts w:asciiTheme="minorHAnsi" w:hAnsiTheme="minorHAnsi"/>
          <w:i/>
          <w:iCs/>
          <w:snapToGrid w:val="0"/>
          <w:lang w:val="en-GB" w:eastAsia="en-US"/>
        </w:rPr>
        <w:t>SMN2</w:t>
      </w:r>
      <w:r w:rsidR="00FC1525">
        <w:rPr>
          <w:rFonts w:asciiTheme="minorHAnsi" w:hAnsiTheme="minorHAnsi"/>
          <w:snapToGrid w:val="0"/>
          <w:lang w:val="en-GB" w:eastAsia="en-US"/>
        </w:rPr>
        <w:t xml:space="preserve"> </w:t>
      </w:r>
      <w:r>
        <w:rPr>
          <w:rFonts w:asciiTheme="minorHAnsi" w:hAnsiTheme="minorHAnsi"/>
          <w:snapToGrid w:val="0"/>
          <w:lang w:val="en-GB" w:eastAsia="en-US"/>
        </w:rPr>
        <w:t xml:space="preserve">was likely to </w:t>
      </w:r>
      <w:r w:rsidR="00225F9B">
        <w:rPr>
          <w:rFonts w:asciiTheme="minorHAnsi" w:hAnsiTheme="minorHAnsi"/>
          <w:snapToGrid w:val="0"/>
          <w:lang w:val="en-GB" w:eastAsia="en-US"/>
        </w:rPr>
        <w:t xml:space="preserve">provide </w:t>
      </w:r>
      <w:r w:rsidR="00106AA4" w:rsidRPr="00106AA4">
        <w:rPr>
          <w:rFonts w:asciiTheme="minorHAnsi" w:hAnsiTheme="minorHAnsi"/>
          <w:snapToGrid w:val="0"/>
          <w:lang w:val="en-GB" w:eastAsia="en-US"/>
        </w:rPr>
        <w:t>a significant improvement in efficacy over</w:t>
      </w:r>
      <w:r w:rsidR="00FC1525">
        <w:rPr>
          <w:rFonts w:asciiTheme="minorHAnsi" w:hAnsiTheme="minorHAnsi"/>
          <w:snapToGrid w:val="0"/>
          <w:lang w:val="en-GB" w:eastAsia="en-US"/>
        </w:rPr>
        <w:t xml:space="preserve"> initiation of nusinersen </w:t>
      </w:r>
      <w:r>
        <w:rPr>
          <w:rFonts w:asciiTheme="minorHAnsi" w:hAnsiTheme="minorHAnsi"/>
          <w:snapToGrid w:val="0"/>
          <w:lang w:val="en-GB" w:eastAsia="en-US"/>
        </w:rPr>
        <w:t xml:space="preserve">in patients </w:t>
      </w:r>
      <w:r w:rsidR="00225F9B">
        <w:rPr>
          <w:rFonts w:asciiTheme="minorHAnsi" w:hAnsiTheme="minorHAnsi"/>
          <w:snapToGrid w:val="0"/>
          <w:lang w:val="en-GB" w:eastAsia="en-US"/>
        </w:rPr>
        <w:t>once</w:t>
      </w:r>
      <w:r w:rsidR="00106AA4" w:rsidRPr="00106AA4">
        <w:rPr>
          <w:rFonts w:asciiTheme="minorHAnsi" w:hAnsiTheme="minorHAnsi"/>
          <w:snapToGrid w:val="0"/>
          <w:lang w:val="en-GB" w:eastAsia="en-US"/>
        </w:rPr>
        <w:t xml:space="preserve"> </w:t>
      </w:r>
      <w:r w:rsidR="00FC1525">
        <w:rPr>
          <w:rFonts w:asciiTheme="minorHAnsi" w:hAnsiTheme="minorHAnsi"/>
          <w:snapToGrid w:val="0"/>
          <w:lang w:val="en-GB" w:eastAsia="en-US"/>
        </w:rPr>
        <w:t>symptom</w:t>
      </w:r>
      <w:r w:rsidR="00BD36AE">
        <w:rPr>
          <w:rFonts w:asciiTheme="minorHAnsi" w:hAnsiTheme="minorHAnsi"/>
          <w:snapToGrid w:val="0"/>
          <w:lang w:val="en-GB" w:eastAsia="en-US"/>
        </w:rPr>
        <w:t>atic</w:t>
      </w:r>
      <w:r w:rsidR="00225F9B">
        <w:rPr>
          <w:rFonts w:asciiTheme="minorHAnsi" w:hAnsiTheme="minorHAnsi"/>
          <w:snapToGrid w:val="0"/>
          <w:lang w:val="en-GB" w:eastAsia="en-US"/>
        </w:rPr>
        <w:t xml:space="preserve">. </w:t>
      </w:r>
      <w:r w:rsidR="004363D1">
        <w:rPr>
          <w:rFonts w:asciiTheme="minorHAnsi" w:hAnsiTheme="minorHAnsi"/>
          <w:snapToGrid w:val="0"/>
          <w:lang w:val="en-GB" w:eastAsia="en-US"/>
        </w:rPr>
        <w:t>The PBAC considered that w</w:t>
      </w:r>
      <w:r w:rsidR="00225F9B">
        <w:rPr>
          <w:rFonts w:asciiTheme="minorHAnsi" w:hAnsiTheme="minorHAnsi"/>
          <w:snapToGrid w:val="0"/>
          <w:lang w:val="en-GB" w:eastAsia="en-US"/>
        </w:rPr>
        <w:t xml:space="preserve">hile some patients with 3 copies of </w:t>
      </w:r>
      <w:r w:rsidR="00225F9B" w:rsidRPr="004363D1">
        <w:rPr>
          <w:rFonts w:asciiTheme="minorHAnsi" w:hAnsiTheme="minorHAnsi"/>
          <w:i/>
          <w:iCs/>
          <w:snapToGrid w:val="0"/>
          <w:lang w:val="en-GB" w:eastAsia="en-US"/>
        </w:rPr>
        <w:t xml:space="preserve">SMN2 </w:t>
      </w:r>
      <w:r w:rsidR="00225F9B">
        <w:rPr>
          <w:rFonts w:asciiTheme="minorHAnsi" w:hAnsiTheme="minorHAnsi"/>
          <w:snapToGrid w:val="0"/>
          <w:lang w:val="en-GB" w:eastAsia="en-US"/>
        </w:rPr>
        <w:t xml:space="preserve">would not develop symptoms until years after birth, </w:t>
      </w:r>
      <w:r w:rsidR="00A51408">
        <w:rPr>
          <w:rFonts w:asciiTheme="minorHAnsi" w:hAnsiTheme="minorHAnsi"/>
          <w:snapToGrid w:val="0"/>
          <w:lang w:val="en-GB" w:eastAsia="en-US"/>
        </w:rPr>
        <w:t xml:space="preserve">and their disease would be less severe on average, </w:t>
      </w:r>
      <w:r w:rsidR="00225F9B">
        <w:rPr>
          <w:rFonts w:asciiTheme="minorHAnsi" w:hAnsiTheme="minorHAnsi"/>
          <w:snapToGrid w:val="0"/>
          <w:lang w:val="en-GB" w:eastAsia="en-US"/>
        </w:rPr>
        <w:t xml:space="preserve">the </w:t>
      </w:r>
      <w:r w:rsidR="00F36CB4">
        <w:rPr>
          <w:rFonts w:asciiTheme="minorHAnsi" w:hAnsiTheme="minorHAnsi"/>
          <w:snapToGrid w:val="0"/>
          <w:lang w:val="en-GB" w:eastAsia="en-US"/>
        </w:rPr>
        <w:t>estimated</w:t>
      </w:r>
      <w:r w:rsidR="00225F9B">
        <w:rPr>
          <w:rFonts w:asciiTheme="minorHAnsi" w:hAnsiTheme="minorHAnsi"/>
          <w:snapToGrid w:val="0"/>
          <w:lang w:val="en-GB" w:eastAsia="en-US"/>
        </w:rPr>
        <w:t xml:space="preserve"> benefit of early intervention for patients treated pre-symptomatically </w:t>
      </w:r>
      <w:r w:rsidR="004363D1">
        <w:rPr>
          <w:rFonts w:asciiTheme="minorHAnsi" w:hAnsiTheme="minorHAnsi"/>
          <w:snapToGrid w:val="0"/>
          <w:lang w:val="en-GB" w:eastAsia="en-US"/>
        </w:rPr>
        <w:t xml:space="preserve">compared to patients treated symptomatically </w:t>
      </w:r>
      <w:r w:rsidR="00225F9B">
        <w:rPr>
          <w:rFonts w:asciiTheme="minorHAnsi" w:hAnsiTheme="minorHAnsi"/>
          <w:snapToGrid w:val="0"/>
          <w:lang w:val="en-GB" w:eastAsia="en-US"/>
        </w:rPr>
        <w:t xml:space="preserve">outweighed the negative </w:t>
      </w:r>
      <w:r w:rsidR="00A97DDB">
        <w:rPr>
          <w:rFonts w:asciiTheme="minorHAnsi" w:hAnsiTheme="minorHAnsi"/>
          <w:snapToGrid w:val="0"/>
          <w:lang w:val="en-GB" w:eastAsia="en-US"/>
        </w:rPr>
        <w:t xml:space="preserve">impact </w:t>
      </w:r>
      <w:r w:rsidR="00225F9B">
        <w:rPr>
          <w:rFonts w:asciiTheme="minorHAnsi" w:hAnsiTheme="minorHAnsi"/>
          <w:snapToGrid w:val="0"/>
          <w:lang w:val="en-GB" w:eastAsia="en-US"/>
        </w:rPr>
        <w:t xml:space="preserve">of treating </w:t>
      </w:r>
      <w:r w:rsidR="00F36CB4">
        <w:rPr>
          <w:rFonts w:asciiTheme="minorHAnsi" w:hAnsiTheme="minorHAnsi"/>
          <w:snapToGrid w:val="0"/>
          <w:lang w:val="en-GB" w:eastAsia="en-US"/>
        </w:rPr>
        <w:t xml:space="preserve">the small proportion of </w:t>
      </w:r>
      <w:r w:rsidR="00225F9B">
        <w:rPr>
          <w:rFonts w:asciiTheme="minorHAnsi" w:hAnsiTheme="minorHAnsi"/>
          <w:snapToGrid w:val="0"/>
          <w:lang w:val="en-GB" w:eastAsia="en-US"/>
        </w:rPr>
        <w:t>patients</w:t>
      </w:r>
      <w:r w:rsidR="00F36CB4">
        <w:rPr>
          <w:rFonts w:asciiTheme="minorHAnsi" w:hAnsiTheme="minorHAnsi"/>
          <w:snapToGrid w:val="0"/>
          <w:lang w:val="en-GB" w:eastAsia="en-US"/>
        </w:rPr>
        <w:t xml:space="preserve"> </w:t>
      </w:r>
      <w:r w:rsidR="00225F9B">
        <w:rPr>
          <w:rFonts w:asciiTheme="minorHAnsi" w:hAnsiTheme="minorHAnsi"/>
          <w:snapToGrid w:val="0"/>
          <w:lang w:val="en-GB" w:eastAsia="en-US"/>
        </w:rPr>
        <w:t xml:space="preserve">who would not have developed symptoms. </w:t>
      </w:r>
    </w:p>
    <w:p w14:paraId="3D8638B9" w14:textId="1BEB667F" w:rsidR="00AE77FD" w:rsidRDefault="007A1DDE" w:rsidP="00650CC4">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noted that the resubmission had presented a modelled cost-utility analysis</w:t>
      </w:r>
      <w:r w:rsidR="00AE77FD">
        <w:rPr>
          <w:rFonts w:asciiTheme="minorHAnsi" w:hAnsiTheme="minorHAnsi"/>
          <w:snapToGrid w:val="0"/>
          <w:lang w:val="en-GB" w:eastAsia="en-US"/>
        </w:rPr>
        <w:t xml:space="preserve"> over a time-frame of 20 years</w:t>
      </w:r>
      <w:r>
        <w:rPr>
          <w:rFonts w:asciiTheme="minorHAnsi" w:hAnsiTheme="minorHAnsi"/>
          <w:snapToGrid w:val="0"/>
          <w:lang w:val="en-GB" w:eastAsia="en-US"/>
        </w:rPr>
        <w:t xml:space="preserve">, using the same model structure submitted to support the listing of patients with 1-2 copies of </w:t>
      </w:r>
      <w:r w:rsidRPr="00650CC4">
        <w:rPr>
          <w:rFonts w:asciiTheme="minorHAnsi" w:hAnsiTheme="minorHAnsi"/>
          <w:i/>
          <w:iCs/>
          <w:snapToGrid w:val="0"/>
          <w:lang w:val="en-GB" w:eastAsia="en-US"/>
        </w:rPr>
        <w:t>SMN2</w:t>
      </w:r>
      <w:r>
        <w:rPr>
          <w:rFonts w:asciiTheme="minorHAnsi" w:hAnsiTheme="minorHAnsi"/>
          <w:snapToGrid w:val="0"/>
          <w:lang w:val="en-GB" w:eastAsia="en-US"/>
        </w:rPr>
        <w:t xml:space="preserve">, considered at the July 2020 PBAC meeting. The PBAC </w:t>
      </w:r>
      <w:r w:rsidR="00AE77FD">
        <w:rPr>
          <w:rFonts w:asciiTheme="minorHAnsi" w:hAnsiTheme="minorHAnsi"/>
          <w:snapToGrid w:val="0"/>
          <w:lang w:val="en-GB" w:eastAsia="en-US"/>
        </w:rPr>
        <w:t>recalled that it</w:t>
      </w:r>
      <w:r w:rsidR="00AD4303">
        <w:rPr>
          <w:rFonts w:asciiTheme="minorHAnsi" w:hAnsiTheme="minorHAnsi"/>
          <w:snapToGrid w:val="0"/>
          <w:lang w:val="en-GB" w:eastAsia="en-US"/>
        </w:rPr>
        <w:t xml:space="preserve"> had</w:t>
      </w:r>
      <w:r w:rsidR="00AE77FD">
        <w:rPr>
          <w:rFonts w:asciiTheme="minorHAnsi" w:hAnsiTheme="minorHAnsi"/>
          <w:snapToGrid w:val="0"/>
          <w:lang w:val="en-GB" w:eastAsia="en-US"/>
        </w:rPr>
        <w:t xml:space="preserve"> previously considered the model</w:t>
      </w:r>
      <w:r w:rsidR="00AD4303">
        <w:rPr>
          <w:rFonts w:asciiTheme="minorHAnsi" w:hAnsiTheme="minorHAnsi"/>
          <w:snapToGrid w:val="0"/>
          <w:lang w:val="en-GB" w:eastAsia="en-US"/>
        </w:rPr>
        <w:t xml:space="preserve"> results</w:t>
      </w:r>
      <w:r w:rsidR="00AE77FD">
        <w:rPr>
          <w:rFonts w:asciiTheme="minorHAnsi" w:hAnsiTheme="minorHAnsi"/>
          <w:snapToGrid w:val="0"/>
          <w:lang w:val="en-GB" w:eastAsia="en-US"/>
        </w:rPr>
        <w:t xml:space="preserve"> to be uncertain. </w:t>
      </w:r>
      <w:r w:rsidR="00650CC4">
        <w:rPr>
          <w:rFonts w:asciiTheme="minorHAnsi" w:hAnsiTheme="minorHAnsi"/>
          <w:snapToGrid w:val="0"/>
          <w:lang w:val="en-GB" w:eastAsia="en-US"/>
        </w:rPr>
        <w:t xml:space="preserve">The PBAC noted the base case ICER was </w:t>
      </w:r>
      <w:r w:rsidR="00507B8F" w:rsidRPr="00507B8F">
        <w:rPr>
          <w:rFonts w:asciiTheme="minorHAnsi" w:hAnsiTheme="minorHAnsi"/>
          <w:snapToGrid w:val="0"/>
          <w:lang w:eastAsia="en-US"/>
        </w:rPr>
        <w:t>$155,000 to &lt; $255,000</w:t>
      </w:r>
      <w:r w:rsidR="00507B8F">
        <w:rPr>
          <w:rFonts w:asciiTheme="minorHAnsi" w:hAnsiTheme="minorHAnsi"/>
          <w:snapToGrid w:val="0"/>
          <w:lang w:eastAsia="en-US"/>
        </w:rPr>
        <w:t xml:space="preserve"> </w:t>
      </w:r>
      <w:r w:rsidR="00650CC4">
        <w:rPr>
          <w:rFonts w:asciiTheme="minorHAnsi" w:hAnsiTheme="minorHAnsi"/>
          <w:snapToGrid w:val="0"/>
          <w:lang w:val="en-GB" w:eastAsia="en-US"/>
        </w:rPr>
        <w:t xml:space="preserve">per QALY gained, and that this increased to </w:t>
      </w:r>
      <w:r w:rsidR="00507B8F" w:rsidRPr="00507B8F">
        <w:rPr>
          <w:rFonts w:asciiTheme="minorHAnsi" w:hAnsiTheme="minorHAnsi"/>
          <w:snapToGrid w:val="0"/>
          <w:lang w:eastAsia="en-US"/>
        </w:rPr>
        <w:t>$155,000 to &lt; $255,000</w:t>
      </w:r>
      <w:r w:rsidR="00507B8F">
        <w:rPr>
          <w:rFonts w:asciiTheme="minorHAnsi" w:hAnsiTheme="minorHAnsi"/>
          <w:snapToGrid w:val="0"/>
          <w:lang w:eastAsia="en-US"/>
        </w:rPr>
        <w:t xml:space="preserve"> </w:t>
      </w:r>
      <w:r w:rsidR="00650CC4">
        <w:rPr>
          <w:rFonts w:asciiTheme="minorHAnsi" w:hAnsiTheme="minorHAnsi"/>
          <w:snapToGrid w:val="0"/>
          <w:lang w:val="en-GB" w:eastAsia="en-US"/>
        </w:rPr>
        <w:t xml:space="preserve">when the distribution of SMA types </w:t>
      </w:r>
      <w:proofErr w:type="gramStart"/>
      <w:r w:rsidR="00650CC4">
        <w:rPr>
          <w:rFonts w:asciiTheme="minorHAnsi" w:hAnsiTheme="minorHAnsi"/>
          <w:snapToGrid w:val="0"/>
          <w:lang w:val="en-GB" w:eastAsia="en-US"/>
        </w:rPr>
        <w:t>was updated</w:t>
      </w:r>
      <w:proofErr w:type="gramEnd"/>
      <w:r w:rsidR="00650CC4">
        <w:rPr>
          <w:rFonts w:asciiTheme="minorHAnsi" w:hAnsiTheme="minorHAnsi"/>
          <w:snapToGrid w:val="0"/>
          <w:lang w:val="en-GB" w:eastAsia="en-US"/>
        </w:rPr>
        <w:t xml:space="preserve"> to include patients in the Sarv 2021 study. The PBAC noted the ESC had considered the base case ICER to </w:t>
      </w:r>
      <w:proofErr w:type="gramStart"/>
      <w:r w:rsidR="00650CC4">
        <w:rPr>
          <w:rFonts w:asciiTheme="minorHAnsi" w:hAnsiTheme="minorHAnsi"/>
          <w:snapToGrid w:val="0"/>
          <w:lang w:val="en-GB" w:eastAsia="en-US"/>
        </w:rPr>
        <w:t>be underestimated</w:t>
      </w:r>
      <w:proofErr w:type="gramEnd"/>
      <w:r w:rsidR="00A97DDB">
        <w:rPr>
          <w:rFonts w:asciiTheme="minorHAnsi" w:hAnsiTheme="minorHAnsi"/>
          <w:snapToGrid w:val="0"/>
          <w:lang w:val="en-GB" w:eastAsia="en-US"/>
        </w:rPr>
        <w:t xml:space="preserve"> and considered that there remained substantial uncertainty in the modelled ICER due to the limited clinical data available to inform the model</w:t>
      </w:r>
      <w:r w:rsidR="00650CC4">
        <w:rPr>
          <w:rFonts w:asciiTheme="minorHAnsi" w:hAnsiTheme="minorHAnsi"/>
          <w:snapToGrid w:val="0"/>
          <w:lang w:val="en-GB" w:eastAsia="en-US"/>
        </w:rPr>
        <w:t xml:space="preserve">. </w:t>
      </w:r>
    </w:p>
    <w:p w14:paraId="52BF048F" w14:textId="30C7CF4F" w:rsidR="007A1DDE" w:rsidRPr="00525387" w:rsidRDefault="00AE77FD" w:rsidP="00A51408">
      <w:pPr>
        <w:widowControl w:val="0"/>
        <w:numPr>
          <w:ilvl w:val="1"/>
          <w:numId w:val="1"/>
        </w:numPr>
        <w:spacing w:after="120"/>
        <w:rPr>
          <w:rFonts w:asciiTheme="minorHAnsi" w:hAnsiTheme="minorHAnsi"/>
          <w:snapToGrid w:val="0"/>
          <w:lang w:val="en-GB" w:eastAsia="en-US"/>
        </w:rPr>
      </w:pPr>
      <w:bookmarkStart w:id="91" w:name="_Hlk140500839"/>
      <w:r w:rsidRPr="00A51408">
        <w:rPr>
          <w:rFonts w:asciiTheme="minorHAnsi" w:hAnsiTheme="minorHAnsi"/>
          <w:snapToGrid w:val="0"/>
          <w:lang w:val="en-GB" w:eastAsia="en-US"/>
        </w:rPr>
        <w:t xml:space="preserve">The PBAC noted the requested price for this listing was the same as the price for pre-symptomatic patients with 1-2 copies of </w:t>
      </w:r>
      <w:r w:rsidRPr="006E3BBA">
        <w:rPr>
          <w:rFonts w:asciiTheme="minorHAnsi" w:hAnsiTheme="minorHAnsi"/>
          <w:i/>
          <w:iCs/>
          <w:snapToGrid w:val="0"/>
          <w:lang w:val="en-GB" w:eastAsia="en-US"/>
        </w:rPr>
        <w:t>SMN2</w:t>
      </w:r>
      <w:r w:rsidRPr="00A51408">
        <w:rPr>
          <w:rFonts w:asciiTheme="minorHAnsi" w:hAnsiTheme="minorHAnsi"/>
          <w:snapToGrid w:val="0"/>
          <w:lang w:val="en-GB" w:eastAsia="en-US"/>
        </w:rPr>
        <w:t xml:space="preserve">. </w:t>
      </w:r>
      <w:r w:rsidR="007A1DDE" w:rsidRPr="00A51408">
        <w:rPr>
          <w:rFonts w:asciiTheme="minorHAnsi" w:hAnsiTheme="minorHAnsi"/>
          <w:snapToGrid w:val="0"/>
          <w:lang w:val="en-GB" w:eastAsia="en-US"/>
        </w:rPr>
        <w:t xml:space="preserve">The PBAC </w:t>
      </w:r>
      <w:r w:rsidR="00EC08D5" w:rsidRPr="00A51408">
        <w:rPr>
          <w:rFonts w:asciiTheme="minorHAnsi" w:hAnsiTheme="minorHAnsi"/>
          <w:snapToGrid w:val="0"/>
          <w:lang w:val="en-GB" w:eastAsia="en-US"/>
        </w:rPr>
        <w:t xml:space="preserve">considered </w:t>
      </w:r>
      <w:r w:rsidR="00696A78" w:rsidRPr="00A51408">
        <w:rPr>
          <w:rFonts w:asciiTheme="minorHAnsi" w:hAnsiTheme="minorHAnsi"/>
          <w:snapToGrid w:val="0"/>
          <w:lang w:val="en-GB" w:eastAsia="en-US"/>
        </w:rPr>
        <w:t xml:space="preserve">that a lower price for pre-symptomatic treatment for a patient with </w:t>
      </w:r>
      <w:proofErr w:type="gramStart"/>
      <w:r w:rsidR="00696A78" w:rsidRPr="00A51408">
        <w:rPr>
          <w:rFonts w:asciiTheme="minorHAnsi" w:hAnsiTheme="minorHAnsi"/>
          <w:snapToGrid w:val="0"/>
          <w:lang w:val="en-GB" w:eastAsia="en-US"/>
        </w:rPr>
        <w:t>3</w:t>
      </w:r>
      <w:proofErr w:type="gramEnd"/>
      <w:r w:rsidR="00696A78" w:rsidRPr="00A51408">
        <w:rPr>
          <w:rFonts w:asciiTheme="minorHAnsi" w:hAnsiTheme="minorHAnsi"/>
          <w:snapToGrid w:val="0"/>
          <w:lang w:val="en-GB" w:eastAsia="en-US"/>
        </w:rPr>
        <w:t xml:space="preserve"> copies of </w:t>
      </w:r>
      <w:r w:rsidR="00696A78" w:rsidRPr="00525387">
        <w:rPr>
          <w:rFonts w:asciiTheme="minorHAnsi" w:hAnsiTheme="minorHAnsi"/>
          <w:i/>
          <w:iCs/>
          <w:snapToGrid w:val="0"/>
          <w:lang w:val="en-GB" w:eastAsia="en-US"/>
        </w:rPr>
        <w:t>SMN2</w:t>
      </w:r>
      <w:r w:rsidR="00696A78" w:rsidRPr="00A51408">
        <w:rPr>
          <w:rFonts w:asciiTheme="minorHAnsi" w:hAnsiTheme="minorHAnsi"/>
          <w:snapToGrid w:val="0"/>
          <w:lang w:val="en-GB" w:eastAsia="en-US"/>
        </w:rPr>
        <w:t xml:space="preserve"> would be required to ensure similar cost-effectiveness to </w:t>
      </w:r>
      <w:r w:rsidR="004634FC" w:rsidRPr="00A51408">
        <w:rPr>
          <w:rFonts w:asciiTheme="minorHAnsi" w:hAnsiTheme="minorHAnsi"/>
          <w:snapToGrid w:val="0"/>
          <w:lang w:val="en-GB" w:eastAsia="en-US"/>
        </w:rPr>
        <w:t xml:space="preserve">that of treating </w:t>
      </w:r>
      <w:r w:rsidR="00696A78" w:rsidRPr="00A51408">
        <w:rPr>
          <w:rFonts w:asciiTheme="minorHAnsi" w:hAnsiTheme="minorHAnsi"/>
          <w:snapToGrid w:val="0"/>
          <w:lang w:val="en-GB" w:eastAsia="en-US"/>
        </w:rPr>
        <w:t>patients with 1-</w:t>
      </w:r>
      <w:r w:rsidR="00507B8F" w:rsidRPr="00A51408">
        <w:rPr>
          <w:rFonts w:asciiTheme="minorHAnsi" w:hAnsiTheme="minorHAnsi"/>
          <w:snapToGrid w:val="0"/>
          <w:lang w:val="en-GB" w:eastAsia="en-US"/>
        </w:rPr>
        <w:t>2</w:t>
      </w:r>
      <w:r w:rsidR="00507B8F">
        <w:rPr>
          <w:rFonts w:asciiTheme="minorHAnsi" w:hAnsiTheme="minorHAnsi"/>
          <w:snapToGrid w:val="0"/>
          <w:lang w:val="en-GB" w:eastAsia="en-US"/>
        </w:rPr>
        <w:t> </w:t>
      </w:r>
      <w:r w:rsidR="00696A78" w:rsidRPr="00A51408">
        <w:rPr>
          <w:rFonts w:asciiTheme="minorHAnsi" w:hAnsiTheme="minorHAnsi"/>
          <w:snapToGrid w:val="0"/>
          <w:lang w:val="en-GB" w:eastAsia="en-US"/>
        </w:rPr>
        <w:t>copies</w:t>
      </w:r>
      <w:r w:rsidR="00EC08D5" w:rsidRPr="00A51408">
        <w:rPr>
          <w:rFonts w:asciiTheme="minorHAnsi" w:hAnsiTheme="minorHAnsi"/>
          <w:snapToGrid w:val="0"/>
          <w:lang w:val="en-GB" w:eastAsia="en-US"/>
        </w:rPr>
        <w:t xml:space="preserve"> given the</w:t>
      </w:r>
      <w:r w:rsidR="009055F4" w:rsidRPr="00A51408">
        <w:rPr>
          <w:rFonts w:asciiTheme="minorHAnsi" w:hAnsiTheme="minorHAnsi"/>
          <w:snapToGrid w:val="0"/>
          <w:lang w:val="en-GB" w:eastAsia="en-US"/>
        </w:rPr>
        <w:t xml:space="preserve"> average</w:t>
      </w:r>
      <w:r w:rsidR="00EC08D5" w:rsidRPr="00A51408">
        <w:rPr>
          <w:rFonts w:asciiTheme="minorHAnsi" w:hAnsiTheme="minorHAnsi"/>
          <w:snapToGrid w:val="0"/>
          <w:lang w:val="en-GB" w:eastAsia="en-US"/>
        </w:rPr>
        <w:t xml:space="preserve"> incremental benefit of pre</w:t>
      </w:r>
      <w:r w:rsidR="00C351D4" w:rsidRPr="00A51408">
        <w:rPr>
          <w:rFonts w:asciiTheme="minorHAnsi" w:hAnsiTheme="minorHAnsi"/>
          <w:snapToGrid w:val="0"/>
          <w:lang w:val="en-GB" w:eastAsia="en-US"/>
        </w:rPr>
        <w:t>-</w:t>
      </w:r>
      <w:r w:rsidR="00EC08D5" w:rsidRPr="00A51408">
        <w:rPr>
          <w:rFonts w:asciiTheme="minorHAnsi" w:hAnsiTheme="minorHAnsi"/>
          <w:snapToGrid w:val="0"/>
          <w:lang w:val="en-GB" w:eastAsia="en-US"/>
        </w:rPr>
        <w:t xml:space="preserve">symptomatic treatment in patients with 3 copies of </w:t>
      </w:r>
      <w:r w:rsidR="00EC08D5" w:rsidRPr="006E3BBA">
        <w:rPr>
          <w:rFonts w:asciiTheme="minorHAnsi" w:hAnsiTheme="minorHAnsi"/>
          <w:i/>
          <w:iCs/>
          <w:snapToGrid w:val="0"/>
          <w:lang w:val="en-GB" w:eastAsia="en-US"/>
        </w:rPr>
        <w:t>SMN2</w:t>
      </w:r>
      <w:r w:rsidR="00EC08D5" w:rsidRPr="00A51408">
        <w:rPr>
          <w:rFonts w:asciiTheme="minorHAnsi" w:hAnsiTheme="minorHAnsi"/>
          <w:snapToGrid w:val="0"/>
          <w:lang w:val="en-GB" w:eastAsia="en-US"/>
        </w:rPr>
        <w:t xml:space="preserve"> would be less than for patients with </w:t>
      </w:r>
      <w:r w:rsidR="00C351D4" w:rsidRPr="00A51408">
        <w:rPr>
          <w:rFonts w:asciiTheme="minorHAnsi" w:hAnsiTheme="minorHAnsi"/>
          <w:snapToGrid w:val="0"/>
          <w:lang w:val="en-GB" w:eastAsia="en-US"/>
        </w:rPr>
        <w:t>1-2</w:t>
      </w:r>
      <w:r w:rsidR="00EC08D5" w:rsidRPr="00A51408">
        <w:rPr>
          <w:rFonts w:asciiTheme="minorHAnsi" w:hAnsiTheme="minorHAnsi"/>
          <w:snapToGrid w:val="0"/>
          <w:lang w:val="en-GB" w:eastAsia="en-US"/>
        </w:rPr>
        <w:t xml:space="preserve"> copies</w:t>
      </w:r>
      <w:r w:rsidR="00650CC4" w:rsidRPr="00A51408">
        <w:rPr>
          <w:rFonts w:asciiTheme="minorHAnsi" w:hAnsiTheme="minorHAnsi"/>
          <w:snapToGrid w:val="0"/>
          <w:lang w:val="en-GB" w:eastAsia="en-US"/>
        </w:rPr>
        <w:t xml:space="preserve">. </w:t>
      </w:r>
      <w:r w:rsidR="00A51408" w:rsidRPr="00A51408">
        <w:rPr>
          <w:rFonts w:asciiTheme="minorHAnsi" w:hAnsiTheme="minorHAnsi"/>
          <w:snapToGrid w:val="0"/>
          <w:lang w:val="en-GB" w:eastAsia="en-US"/>
        </w:rPr>
        <w:t xml:space="preserve">The PBAC considered that a price reduction of around 10% would be appropriate in this </w:t>
      </w:r>
      <w:r w:rsidR="00A51408" w:rsidRPr="00A51408">
        <w:rPr>
          <w:rFonts w:asciiTheme="minorHAnsi" w:hAnsiTheme="minorHAnsi"/>
          <w:snapToGrid w:val="0"/>
          <w:lang w:val="en-GB" w:eastAsia="en-US"/>
        </w:rPr>
        <w:lastRenderedPageBreak/>
        <w:t xml:space="preserve">context for the population with pre-symptomatic SMA with </w:t>
      </w:r>
      <w:proofErr w:type="gramStart"/>
      <w:r w:rsidR="00A51408" w:rsidRPr="00A51408">
        <w:rPr>
          <w:rFonts w:asciiTheme="minorHAnsi" w:hAnsiTheme="minorHAnsi"/>
          <w:snapToGrid w:val="0"/>
          <w:lang w:val="en-GB" w:eastAsia="en-US"/>
        </w:rPr>
        <w:t>3</w:t>
      </w:r>
      <w:proofErr w:type="gramEnd"/>
      <w:r w:rsidR="00A51408" w:rsidRPr="00A51408">
        <w:rPr>
          <w:rFonts w:asciiTheme="minorHAnsi" w:hAnsiTheme="minorHAnsi"/>
          <w:snapToGrid w:val="0"/>
          <w:lang w:val="en-GB" w:eastAsia="en-US"/>
        </w:rPr>
        <w:t xml:space="preserve"> copies </w:t>
      </w:r>
      <w:r w:rsidR="00A51408" w:rsidRPr="00525387">
        <w:rPr>
          <w:rFonts w:asciiTheme="minorHAnsi" w:hAnsiTheme="minorHAnsi"/>
          <w:i/>
          <w:iCs/>
          <w:snapToGrid w:val="0"/>
          <w:lang w:val="en-GB" w:eastAsia="en-US"/>
        </w:rPr>
        <w:t>SMN2</w:t>
      </w:r>
      <w:r w:rsidR="00A51408" w:rsidRPr="00A51408">
        <w:rPr>
          <w:rFonts w:asciiTheme="minorHAnsi" w:hAnsiTheme="minorHAnsi"/>
          <w:snapToGrid w:val="0"/>
          <w:lang w:val="en-GB" w:eastAsia="en-US"/>
        </w:rPr>
        <w:t xml:space="preserve">. </w:t>
      </w:r>
      <w:r w:rsidR="00525387">
        <w:rPr>
          <w:rFonts w:asciiTheme="minorHAnsi" w:hAnsiTheme="minorHAnsi"/>
          <w:snapToGrid w:val="0"/>
          <w:lang w:val="en-GB" w:eastAsia="en-US"/>
        </w:rPr>
        <w:t xml:space="preserve">The PBAC also considered that </w:t>
      </w:r>
      <w:r w:rsidR="00525387">
        <w:t xml:space="preserve">the same loading dose rebate as applies to pre-symptomatic patients with 1-2 copies </w:t>
      </w:r>
      <w:r w:rsidR="00525387">
        <w:rPr>
          <w:i/>
          <w:iCs/>
        </w:rPr>
        <w:t>SMN2</w:t>
      </w:r>
      <w:r w:rsidR="00525387">
        <w:t xml:space="preserve"> should apply to patients with </w:t>
      </w:r>
      <w:proofErr w:type="gramStart"/>
      <w:r w:rsidR="00525387">
        <w:t>3</w:t>
      </w:r>
      <w:proofErr w:type="gramEnd"/>
      <w:r w:rsidR="00525387">
        <w:t xml:space="preserve"> copies </w:t>
      </w:r>
      <w:r w:rsidR="00525387" w:rsidRPr="00525387">
        <w:rPr>
          <w:i/>
          <w:iCs/>
        </w:rPr>
        <w:t>SMN2</w:t>
      </w:r>
      <w:r w:rsidR="00525387">
        <w:t>.</w:t>
      </w:r>
      <w:r w:rsidR="005961C8">
        <w:t xml:space="preserve"> </w:t>
      </w:r>
      <w:bookmarkStart w:id="92" w:name="_Hlk141356198"/>
      <w:r w:rsidR="005961C8">
        <w:t xml:space="preserve">The PBAC noted that a submission for ONA in patients with 3 copies </w:t>
      </w:r>
      <w:r w:rsidR="005961C8" w:rsidRPr="005961C8">
        <w:rPr>
          <w:i/>
          <w:iCs/>
        </w:rPr>
        <w:t>SMN2</w:t>
      </w:r>
      <w:r w:rsidR="005961C8">
        <w:t xml:space="preserve"> was also considered at the July 2023 PBAC meeting and advised that in the event that ONA is recommended and proceeds to PBS listing in this patient population the dose relativities for the current listings for pre-symptomatic patients with 1-2 copies </w:t>
      </w:r>
      <w:r w:rsidR="005961C8">
        <w:rPr>
          <w:i/>
          <w:iCs/>
        </w:rPr>
        <w:t>SMN2</w:t>
      </w:r>
      <w:r w:rsidR="005961C8">
        <w:t xml:space="preserve"> should apply to listings for patients with 3 copies </w:t>
      </w:r>
      <w:r w:rsidR="005961C8" w:rsidRPr="00525387">
        <w:rPr>
          <w:i/>
          <w:iCs/>
        </w:rPr>
        <w:t>SMN2</w:t>
      </w:r>
      <w:r w:rsidR="005961C8">
        <w:rPr>
          <w:i/>
          <w:iCs/>
        </w:rPr>
        <w:t>.</w:t>
      </w:r>
      <w:bookmarkEnd w:id="92"/>
    </w:p>
    <w:bookmarkEnd w:id="91"/>
    <w:p w14:paraId="1BAD6872" w14:textId="0770E2CB" w:rsidR="00A40381" w:rsidRPr="00F34324" w:rsidRDefault="00A40381" w:rsidP="006248ED">
      <w:pPr>
        <w:widowControl w:val="0"/>
        <w:numPr>
          <w:ilvl w:val="1"/>
          <w:numId w:val="1"/>
        </w:numPr>
        <w:spacing w:after="120"/>
        <w:rPr>
          <w:rFonts w:asciiTheme="minorHAnsi" w:hAnsiTheme="minorHAnsi"/>
          <w:snapToGrid w:val="0"/>
          <w:lang w:val="en-GB" w:eastAsia="en-US"/>
        </w:rPr>
      </w:pPr>
      <w:r w:rsidRPr="00F34324">
        <w:rPr>
          <w:rFonts w:asciiTheme="minorHAnsi" w:hAnsiTheme="minorHAnsi"/>
          <w:snapToGrid w:val="0"/>
          <w:lang w:val="en-GB" w:eastAsia="en-US"/>
        </w:rPr>
        <w:t xml:space="preserve">The PBAC noted the resubmission had taken an epidemiological approach to estimate use of nusinersen and considered </w:t>
      </w:r>
      <w:r w:rsidR="004634FC" w:rsidRPr="00F34324">
        <w:rPr>
          <w:rFonts w:asciiTheme="minorHAnsi" w:hAnsiTheme="minorHAnsi"/>
          <w:snapToGrid w:val="0"/>
          <w:lang w:val="en-GB" w:eastAsia="en-US"/>
        </w:rPr>
        <w:t>that</w:t>
      </w:r>
      <w:r w:rsidRPr="00F34324">
        <w:rPr>
          <w:rFonts w:asciiTheme="minorHAnsi" w:hAnsiTheme="minorHAnsi"/>
          <w:snapToGrid w:val="0"/>
          <w:lang w:val="en-GB" w:eastAsia="en-US"/>
        </w:rPr>
        <w:t xml:space="preserve"> the approach was </w:t>
      </w:r>
      <w:proofErr w:type="gramStart"/>
      <w:r w:rsidRPr="00F34324">
        <w:rPr>
          <w:rFonts w:asciiTheme="minorHAnsi" w:hAnsiTheme="minorHAnsi"/>
          <w:snapToGrid w:val="0"/>
          <w:lang w:val="en-GB" w:eastAsia="en-US"/>
        </w:rPr>
        <w:t>generally reasonable</w:t>
      </w:r>
      <w:proofErr w:type="gramEnd"/>
      <w:r w:rsidR="005403CC">
        <w:rPr>
          <w:rFonts w:asciiTheme="minorHAnsi" w:hAnsiTheme="minorHAnsi"/>
          <w:snapToGrid w:val="0"/>
          <w:lang w:val="en-GB" w:eastAsia="en-US"/>
        </w:rPr>
        <w:t>.</w:t>
      </w:r>
      <w:r w:rsidRPr="00F34324">
        <w:rPr>
          <w:rFonts w:asciiTheme="minorHAnsi" w:hAnsiTheme="minorHAnsi"/>
          <w:snapToGrid w:val="0"/>
          <w:lang w:val="en-GB" w:eastAsia="en-US"/>
        </w:rPr>
        <w:t xml:space="preserve"> </w:t>
      </w:r>
      <w:r w:rsidR="005403CC">
        <w:rPr>
          <w:rFonts w:asciiTheme="minorHAnsi" w:hAnsiTheme="minorHAnsi"/>
          <w:snapToGrid w:val="0"/>
          <w:lang w:val="en-GB" w:eastAsia="en-US"/>
        </w:rPr>
        <w:t xml:space="preserve">The PBAC noted </w:t>
      </w:r>
      <w:r w:rsidRPr="00F34324">
        <w:rPr>
          <w:rFonts w:asciiTheme="minorHAnsi" w:hAnsiTheme="minorHAnsi"/>
          <w:snapToGrid w:val="0"/>
          <w:lang w:val="en-GB" w:eastAsia="en-US"/>
        </w:rPr>
        <w:t>patients with SMA Type IV</w:t>
      </w:r>
      <w:r w:rsidR="005403CC">
        <w:rPr>
          <w:rFonts w:asciiTheme="minorHAnsi" w:hAnsiTheme="minorHAnsi"/>
          <w:snapToGrid w:val="0"/>
          <w:lang w:val="en-GB" w:eastAsia="en-US"/>
        </w:rPr>
        <w:t xml:space="preserve"> had not been accounted for</w:t>
      </w:r>
      <w:r w:rsidRPr="00F34324">
        <w:rPr>
          <w:rFonts w:asciiTheme="minorHAnsi" w:hAnsiTheme="minorHAnsi"/>
          <w:snapToGrid w:val="0"/>
          <w:lang w:val="en-GB" w:eastAsia="en-US"/>
        </w:rPr>
        <w:t xml:space="preserve"> in the distribution of patients with 3 copies of </w:t>
      </w:r>
      <w:r w:rsidRPr="00F34324">
        <w:rPr>
          <w:rFonts w:asciiTheme="minorHAnsi" w:hAnsiTheme="minorHAnsi"/>
          <w:i/>
          <w:iCs/>
          <w:snapToGrid w:val="0"/>
          <w:lang w:val="en-GB" w:eastAsia="en-US"/>
        </w:rPr>
        <w:t>SMN2</w:t>
      </w:r>
      <w:r w:rsidR="005403CC">
        <w:rPr>
          <w:rFonts w:asciiTheme="minorHAnsi" w:hAnsiTheme="minorHAnsi"/>
          <w:i/>
          <w:iCs/>
          <w:snapToGrid w:val="0"/>
          <w:lang w:val="en-GB" w:eastAsia="en-US"/>
        </w:rPr>
        <w:t xml:space="preserve">, </w:t>
      </w:r>
      <w:r w:rsidR="005403CC" w:rsidRPr="005403CC">
        <w:rPr>
          <w:rFonts w:asciiTheme="minorHAnsi" w:hAnsiTheme="minorHAnsi"/>
          <w:snapToGrid w:val="0"/>
          <w:lang w:val="en-GB" w:eastAsia="en-US"/>
        </w:rPr>
        <w:t>however considered</w:t>
      </w:r>
      <w:r w:rsidR="005403CC">
        <w:rPr>
          <w:rFonts w:asciiTheme="minorHAnsi" w:hAnsiTheme="minorHAnsi"/>
          <w:snapToGrid w:val="0"/>
          <w:lang w:val="en-GB" w:eastAsia="en-US"/>
        </w:rPr>
        <w:t xml:space="preserve"> this to be appropriate in the context of revising the current Risk Sharing Arrangement (see paragraph </w:t>
      </w:r>
      <w:r w:rsidR="00C351D4">
        <w:rPr>
          <w:rFonts w:asciiTheme="minorHAnsi" w:hAnsiTheme="minorHAnsi"/>
          <w:snapToGrid w:val="0"/>
          <w:lang w:val="en-GB" w:eastAsia="en-US"/>
        </w:rPr>
        <w:fldChar w:fldCharType="begin" w:fldLock="1"/>
      </w:r>
      <w:r w:rsidR="00C351D4">
        <w:rPr>
          <w:rFonts w:asciiTheme="minorHAnsi" w:hAnsiTheme="minorHAnsi"/>
          <w:snapToGrid w:val="0"/>
          <w:lang w:val="en-GB" w:eastAsia="en-US"/>
        </w:rPr>
        <w:instrText xml:space="preserve"> REF _Ref140583868 \r \h </w:instrText>
      </w:r>
      <w:r w:rsidR="00C351D4">
        <w:rPr>
          <w:rFonts w:asciiTheme="minorHAnsi" w:hAnsiTheme="minorHAnsi"/>
          <w:snapToGrid w:val="0"/>
          <w:lang w:val="en-GB" w:eastAsia="en-US"/>
        </w:rPr>
      </w:r>
      <w:r w:rsidR="00C351D4">
        <w:rPr>
          <w:rFonts w:asciiTheme="minorHAnsi" w:hAnsiTheme="minorHAnsi"/>
          <w:snapToGrid w:val="0"/>
          <w:lang w:val="en-GB" w:eastAsia="en-US"/>
        </w:rPr>
        <w:fldChar w:fldCharType="separate"/>
      </w:r>
      <w:r w:rsidR="00C351D4">
        <w:rPr>
          <w:rFonts w:asciiTheme="minorHAnsi" w:hAnsiTheme="minorHAnsi"/>
          <w:snapToGrid w:val="0"/>
          <w:lang w:val="en-GB" w:eastAsia="en-US"/>
        </w:rPr>
        <w:t>6.78</w:t>
      </w:r>
      <w:r w:rsidR="00C351D4">
        <w:rPr>
          <w:rFonts w:asciiTheme="minorHAnsi" w:hAnsiTheme="minorHAnsi"/>
          <w:snapToGrid w:val="0"/>
          <w:lang w:val="en-GB" w:eastAsia="en-US"/>
        </w:rPr>
        <w:fldChar w:fldCharType="end"/>
      </w:r>
      <w:r w:rsidR="005403CC">
        <w:rPr>
          <w:rFonts w:asciiTheme="minorHAnsi" w:hAnsiTheme="minorHAnsi"/>
          <w:snapToGrid w:val="0"/>
          <w:lang w:val="en-GB" w:eastAsia="en-US"/>
        </w:rPr>
        <w:t>)</w:t>
      </w:r>
      <w:r w:rsidR="005403CC">
        <w:rPr>
          <w:rFonts w:asciiTheme="minorHAnsi" w:hAnsiTheme="minorHAnsi"/>
          <w:i/>
          <w:iCs/>
          <w:snapToGrid w:val="0"/>
          <w:lang w:val="en-GB" w:eastAsia="en-US"/>
        </w:rPr>
        <w:t xml:space="preserve"> </w:t>
      </w:r>
      <w:r w:rsidR="005403CC">
        <w:rPr>
          <w:rFonts w:asciiTheme="minorHAnsi" w:hAnsiTheme="minorHAnsi"/>
          <w:snapToGrid w:val="0"/>
          <w:lang w:val="en-GB" w:eastAsia="en-US"/>
        </w:rPr>
        <w:t>noting</w:t>
      </w:r>
      <w:r w:rsidR="00F34324" w:rsidRPr="00F34324">
        <w:rPr>
          <w:rFonts w:asciiTheme="minorHAnsi" w:hAnsiTheme="minorHAnsi"/>
          <w:snapToGrid w:val="0"/>
          <w:lang w:val="en-GB" w:eastAsia="en-US"/>
        </w:rPr>
        <w:t xml:space="preserve"> </w:t>
      </w:r>
      <w:r w:rsidR="00F06A86">
        <w:rPr>
          <w:rFonts w:asciiTheme="minorHAnsi" w:hAnsiTheme="minorHAnsi"/>
          <w:snapToGrid w:val="0"/>
          <w:lang w:val="en-GB" w:eastAsia="en-US"/>
        </w:rPr>
        <w:t xml:space="preserve">also, that </w:t>
      </w:r>
      <w:r w:rsidR="00F34324" w:rsidRPr="00F34324">
        <w:rPr>
          <w:rFonts w:asciiTheme="minorHAnsi" w:hAnsiTheme="minorHAnsi"/>
          <w:snapToGrid w:val="0"/>
          <w:lang w:val="en-GB" w:eastAsia="en-US"/>
        </w:rPr>
        <w:t xml:space="preserve">this would be expected to be less than </w:t>
      </w:r>
      <w:r w:rsidR="00F251F2">
        <w:rPr>
          <w:rFonts w:asciiTheme="minorHAnsi" w:hAnsiTheme="minorHAnsi"/>
          <w:snapToGrid w:val="0"/>
          <w:lang w:val="en-GB" w:eastAsia="en-US"/>
        </w:rPr>
        <w:t>&lt; 500</w:t>
      </w:r>
      <w:r w:rsidR="00F251F2" w:rsidRPr="00F34324">
        <w:rPr>
          <w:rFonts w:asciiTheme="minorHAnsi" w:hAnsiTheme="minorHAnsi"/>
          <w:snapToGrid w:val="0"/>
          <w:lang w:val="en-GB" w:eastAsia="en-US"/>
        </w:rPr>
        <w:t xml:space="preserve"> </w:t>
      </w:r>
      <w:r w:rsidR="00F34324" w:rsidRPr="00F34324">
        <w:rPr>
          <w:rFonts w:asciiTheme="minorHAnsi" w:hAnsiTheme="minorHAnsi"/>
          <w:snapToGrid w:val="0"/>
          <w:lang w:val="en-GB" w:eastAsia="en-US"/>
        </w:rPr>
        <w:t>patient</w:t>
      </w:r>
      <w:r w:rsidR="00F251F2">
        <w:rPr>
          <w:rFonts w:asciiTheme="minorHAnsi" w:hAnsiTheme="minorHAnsi"/>
          <w:snapToGrid w:val="0"/>
          <w:lang w:val="en-GB" w:eastAsia="en-US"/>
        </w:rPr>
        <w:t>s</w:t>
      </w:r>
      <w:r w:rsidR="00F34324" w:rsidRPr="00F34324">
        <w:rPr>
          <w:rFonts w:asciiTheme="minorHAnsi" w:hAnsiTheme="minorHAnsi"/>
          <w:snapToGrid w:val="0"/>
          <w:lang w:val="en-GB" w:eastAsia="en-US"/>
        </w:rPr>
        <w:t xml:space="preserve"> per year</w:t>
      </w:r>
      <w:r w:rsidRPr="00F34324">
        <w:rPr>
          <w:rFonts w:asciiTheme="minorHAnsi" w:hAnsiTheme="minorHAnsi"/>
          <w:snapToGrid w:val="0"/>
          <w:lang w:val="en-GB" w:eastAsia="en-US"/>
        </w:rPr>
        <w:t xml:space="preserve">. The PBAC noted the cost over 6 years </w:t>
      </w:r>
      <w:proofErr w:type="gramStart"/>
      <w:r w:rsidRPr="00F34324">
        <w:rPr>
          <w:rFonts w:asciiTheme="minorHAnsi" w:hAnsiTheme="minorHAnsi"/>
          <w:snapToGrid w:val="0"/>
          <w:lang w:val="en-GB" w:eastAsia="en-US"/>
        </w:rPr>
        <w:t>was estimated</w:t>
      </w:r>
      <w:proofErr w:type="gramEnd"/>
      <w:r w:rsidRPr="00F34324">
        <w:rPr>
          <w:rFonts w:asciiTheme="minorHAnsi" w:hAnsiTheme="minorHAnsi"/>
          <w:snapToGrid w:val="0"/>
          <w:lang w:val="en-GB" w:eastAsia="en-US"/>
        </w:rPr>
        <w:t xml:space="preserve"> to be </w:t>
      </w:r>
      <w:r w:rsidR="00507B8F" w:rsidRPr="00507B8F">
        <w:rPr>
          <w:rFonts w:asciiTheme="minorHAnsi" w:hAnsiTheme="minorHAnsi"/>
          <w:snapToGrid w:val="0"/>
          <w:lang w:eastAsia="en-US"/>
        </w:rPr>
        <w:t>$20 million to &lt; $30 million</w:t>
      </w:r>
      <w:r w:rsidRPr="00F34324">
        <w:rPr>
          <w:rFonts w:asciiTheme="minorHAnsi" w:hAnsiTheme="minorHAnsi"/>
          <w:snapToGrid w:val="0"/>
          <w:lang w:val="en-GB" w:eastAsia="en-US"/>
        </w:rPr>
        <w:t>, and that overall ESC had considered the impact of listing nusinersen for the requested patient population should be minimal given for most patients it would only be given earlier than it would otherwise be initiated.</w:t>
      </w:r>
      <w:r w:rsidR="00525387">
        <w:rPr>
          <w:rFonts w:asciiTheme="minorHAnsi" w:hAnsiTheme="minorHAnsi"/>
          <w:snapToGrid w:val="0"/>
          <w:lang w:val="en-GB" w:eastAsia="en-US"/>
        </w:rPr>
        <w:t xml:space="preserve"> The PBAC considered that, in the event of PBS listing of </w:t>
      </w:r>
      <w:r w:rsidR="005961C8">
        <w:rPr>
          <w:rFonts w:asciiTheme="minorHAnsi" w:hAnsiTheme="minorHAnsi"/>
          <w:snapToGrid w:val="0"/>
          <w:lang w:val="en-GB" w:eastAsia="en-US"/>
        </w:rPr>
        <w:t>ONA</w:t>
      </w:r>
      <w:r w:rsidR="00525387">
        <w:rPr>
          <w:rFonts w:asciiTheme="minorHAnsi" w:hAnsiTheme="minorHAnsi"/>
          <w:snapToGrid w:val="0"/>
          <w:lang w:val="en-GB" w:eastAsia="en-US"/>
        </w:rPr>
        <w:t xml:space="preserve"> for this population, the financial estimates would need to </w:t>
      </w:r>
      <w:proofErr w:type="gramStart"/>
      <w:r w:rsidR="00525387">
        <w:rPr>
          <w:rFonts w:asciiTheme="minorHAnsi" w:hAnsiTheme="minorHAnsi"/>
          <w:snapToGrid w:val="0"/>
          <w:lang w:val="en-GB" w:eastAsia="en-US"/>
        </w:rPr>
        <w:t>be adjusted</w:t>
      </w:r>
      <w:proofErr w:type="gramEnd"/>
      <w:r w:rsidR="00525387">
        <w:rPr>
          <w:rFonts w:asciiTheme="minorHAnsi" w:hAnsiTheme="minorHAnsi"/>
          <w:snapToGrid w:val="0"/>
          <w:lang w:val="en-GB" w:eastAsia="en-US"/>
        </w:rPr>
        <w:t xml:space="preserve"> to account for the reduced number of patients treated with nusinersen.</w:t>
      </w:r>
    </w:p>
    <w:p w14:paraId="3707CD00" w14:textId="6485D949" w:rsidR="005E6163" w:rsidRDefault="005E6163" w:rsidP="00225F9B">
      <w:pPr>
        <w:widowControl w:val="0"/>
        <w:numPr>
          <w:ilvl w:val="1"/>
          <w:numId w:val="1"/>
        </w:numPr>
        <w:spacing w:after="120"/>
        <w:rPr>
          <w:rFonts w:asciiTheme="minorHAnsi" w:hAnsiTheme="minorHAnsi"/>
          <w:snapToGrid w:val="0"/>
          <w:lang w:val="en-GB" w:eastAsia="en-US"/>
        </w:rPr>
      </w:pPr>
      <w:r w:rsidRPr="00361189">
        <w:t>The PBAC considered that the uncertainties in the financial estimates could be managed by including the extended listing in the current Risk Sharing Arrangement in place for nusinersen</w:t>
      </w:r>
      <w:r w:rsidR="00525387">
        <w:t xml:space="preserve"> for the under 19 years population</w:t>
      </w:r>
      <w:r w:rsidRPr="00361189">
        <w:t xml:space="preserve">. The PBAC advised that any adjustments to the current caps to account for pre-symptomatic initiation of treatment </w:t>
      </w:r>
      <w:r>
        <w:t xml:space="preserve">in patients with 3 copies of </w:t>
      </w:r>
      <w:r w:rsidRPr="005E6163">
        <w:rPr>
          <w:i/>
          <w:iCs/>
        </w:rPr>
        <w:t>SMN2</w:t>
      </w:r>
      <w:r>
        <w:t xml:space="preserve"> </w:t>
      </w:r>
      <w:r w:rsidRPr="00361189">
        <w:t xml:space="preserve">should be made in conjunction with a corresponding decrease </w:t>
      </w:r>
      <w:r w:rsidR="00525387">
        <w:t xml:space="preserve">per the financial estimates </w:t>
      </w:r>
      <w:r w:rsidRPr="00361189">
        <w:t>to account for patients who would have received treatment under the current listing.</w:t>
      </w:r>
    </w:p>
    <w:p w14:paraId="55FA2704" w14:textId="77777777" w:rsidR="00602CC7" w:rsidRPr="00602CC7" w:rsidRDefault="00602CC7" w:rsidP="00602CC7">
      <w:pPr>
        <w:pStyle w:val="3-BodyText"/>
      </w:pPr>
      <w:r w:rsidRPr="00361189">
        <w:t xml:space="preserve">The PBAC noted that this submission is not eligible for an independent review as it received a positive recommendation. </w:t>
      </w:r>
    </w:p>
    <w:p w14:paraId="2C6D717D" w14:textId="04D03656" w:rsidR="00326A69" w:rsidRPr="00326A69" w:rsidRDefault="00106AA4" w:rsidP="00515A2D">
      <w:pPr>
        <w:widowControl w:val="0"/>
        <w:numPr>
          <w:ilvl w:val="1"/>
          <w:numId w:val="1"/>
        </w:numPr>
        <w:spacing w:after="120"/>
        <w:contextualSpacing/>
        <w:rPr>
          <w:rFonts w:asciiTheme="minorHAnsi" w:hAnsiTheme="minorHAnsi" w:cstheme="minorHAnsi"/>
          <w:lang w:val="en-GB" w:eastAsia="en-US"/>
        </w:rPr>
      </w:pPr>
      <w:r w:rsidRPr="00106AA4">
        <w:rPr>
          <w:rFonts w:asciiTheme="minorHAnsi" w:hAnsiTheme="minorHAnsi" w:cstheme="minorHAnsi"/>
          <w:lang w:val="en-GB" w:eastAsia="en-US"/>
        </w:rPr>
        <w:t xml:space="preserve">The PBAC found that the criteria prescribed by the </w:t>
      </w:r>
      <w:r w:rsidRPr="00106AA4">
        <w:rPr>
          <w:rFonts w:asciiTheme="minorHAnsi" w:hAnsiTheme="minorHAnsi" w:cstheme="minorHAnsi"/>
          <w:i/>
          <w:lang w:val="en-GB" w:eastAsia="en-US"/>
        </w:rPr>
        <w:t>National Health (Pharmaceuticals and Vaccines – Cost Recovery) Regulations 2022</w:t>
      </w:r>
      <w:r w:rsidRPr="00106AA4">
        <w:rPr>
          <w:rFonts w:asciiTheme="minorHAnsi" w:hAnsiTheme="minorHAnsi" w:cstheme="minorHAnsi"/>
          <w:lang w:val="en-GB" w:eastAsia="en-US"/>
        </w:rPr>
        <w:t xml:space="preserve"> for Pricing Pathway A </w:t>
      </w:r>
      <w:proofErr w:type="gramStart"/>
      <w:r w:rsidRPr="00106AA4">
        <w:rPr>
          <w:rFonts w:asciiTheme="minorHAnsi" w:hAnsiTheme="minorHAnsi" w:cstheme="minorHAnsi"/>
          <w:lang w:val="en-GB" w:eastAsia="en-US"/>
        </w:rPr>
        <w:t>were not met</w:t>
      </w:r>
      <w:proofErr w:type="gramEnd"/>
      <w:r w:rsidRPr="00106AA4">
        <w:rPr>
          <w:rFonts w:asciiTheme="minorHAnsi" w:hAnsiTheme="minorHAnsi" w:cstheme="minorHAnsi"/>
          <w:lang w:val="en-GB" w:eastAsia="en-US"/>
        </w:rPr>
        <w:t xml:space="preserve">. </w:t>
      </w:r>
      <w:r w:rsidR="00326A69" w:rsidRPr="00B1054A">
        <w:t xml:space="preserve">Specifically, the PBAC found that in the circumstances of its recommendation for </w:t>
      </w:r>
      <w:r w:rsidR="00326A69">
        <w:t>nusinersen</w:t>
      </w:r>
      <w:r w:rsidR="00326A69" w:rsidRPr="00B1054A">
        <w:t>:</w:t>
      </w:r>
    </w:p>
    <w:p w14:paraId="7DA79655" w14:textId="6636D81B" w:rsidR="00326A69" w:rsidRPr="00B1054A" w:rsidRDefault="00E771FD" w:rsidP="00515A2D">
      <w:pPr>
        <w:pStyle w:val="3-BodyText"/>
        <w:numPr>
          <w:ilvl w:val="1"/>
          <w:numId w:val="24"/>
        </w:numPr>
        <w:ind w:left="964" w:hanging="284"/>
      </w:pPr>
      <w:r>
        <w:t>Based on the available evidence the magnitude of benefit of initiating treatment with nusinersen pre-symptomatically was not able to be quantified, and therefore the criterion of having a substantial and clinically relevant improvement in efficacy compared to symptomatic initiation was not met</w:t>
      </w:r>
      <w:r w:rsidR="00326A69" w:rsidRPr="00B1054A">
        <w:t>;</w:t>
      </w:r>
    </w:p>
    <w:p w14:paraId="213F377D" w14:textId="5E08AED0" w:rsidR="00326A69" w:rsidRPr="00B1054A" w:rsidRDefault="00326A69" w:rsidP="00515A2D">
      <w:pPr>
        <w:pStyle w:val="3-BodyText"/>
        <w:numPr>
          <w:ilvl w:val="1"/>
          <w:numId w:val="24"/>
        </w:numPr>
        <w:ind w:left="964" w:hanging="284"/>
      </w:pPr>
      <w:r w:rsidRPr="00B1054A">
        <w:t xml:space="preserve">The treatment is </w:t>
      </w:r>
      <w:r>
        <w:t>not expected</w:t>
      </w:r>
      <w:r w:rsidRPr="00B1054A">
        <w:t xml:space="preserve"> to address a high and urgent unmet clinical need; and </w:t>
      </w:r>
    </w:p>
    <w:p w14:paraId="11406C96" w14:textId="77777777" w:rsidR="00326A69" w:rsidRPr="004B33CB" w:rsidRDefault="00326A69" w:rsidP="00515A2D">
      <w:pPr>
        <w:pStyle w:val="3-BodyText"/>
        <w:numPr>
          <w:ilvl w:val="1"/>
          <w:numId w:val="24"/>
        </w:numPr>
        <w:ind w:left="964" w:hanging="284"/>
      </w:pPr>
      <w:r w:rsidRPr="00B1054A">
        <w:rPr>
          <w:rFonts w:cstheme="minorHAnsi"/>
        </w:rPr>
        <w:lastRenderedPageBreak/>
        <w:t>It was not necessary to make a finding in relation to whether it would be in the public interest for the subsequent pricing application to be progressed under Pricing Pathway A because one or more of the preceding tests had failed.</w:t>
      </w:r>
    </w:p>
    <w:p w14:paraId="1DD519C3" w14:textId="77777777" w:rsidR="00106AA4" w:rsidRPr="00106AA4" w:rsidRDefault="00106AA4" w:rsidP="00515A2D">
      <w:pPr>
        <w:spacing w:before="240"/>
        <w:rPr>
          <w:rFonts w:asciiTheme="minorHAnsi" w:hAnsiTheme="minorHAnsi"/>
          <w:b/>
          <w:bCs/>
          <w:snapToGrid w:val="0"/>
          <w:lang w:val="en-GB" w:eastAsia="en-US"/>
        </w:rPr>
      </w:pPr>
      <w:r w:rsidRPr="00106AA4">
        <w:rPr>
          <w:rFonts w:asciiTheme="minorHAnsi" w:hAnsiTheme="minorHAnsi"/>
          <w:b/>
          <w:bCs/>
          <w:snapToGrid w:val="0"/>
          <w:lang w:val="en-GB" w:eastAsia="en-US"/>
        </w:rPr>
        <w:t>Outcome:</w:t>
      </w:r>
    </w:p>
    <w:p w14:paraId="134A1267" w14:textId="268EA2E1" w:rsidR="00106AA4" w:rsidRPr="00106AA4" w:rsidRDefault="00106AA4" w:rsidP="00515A2D">
      <w:pPr>
        <w:spacing w:after="120"/>
        <w:rPr>
          <w:rFonts w:asciiTheme="minorHAnsi" w:hAnsiTheme="minorHAnsi"/>
          <w:bCs/>
          <w:snapToGrid w:val="0"/>
          <w:lang w:val="en-GB" w:eastAsia="en-US"/>
        </w:rPr>
      </w:pPr>
      <w:r w:rsidRPr="00106AA4">
        <w:rPr>
          <w:rFonts w:asciiTheme="minorHAnsi" w:hAnsiTheme="minorHAnsi"/>
          <w:bCs/>
          <w:snapToGrid w:val="0"/>
          <w:lang w:val="en-GB" w:eastAsia="en-US"/>
        </w:rPr>
        <w:t>Recommended</w:t>
      </w:r>
    </w:p>
    <w:bookmarkEnd w:id="84"/>
    <w:p w14:paraId="63F8829D" w14:textId="77777777" w:rsidR="00106AA4" w:rsidRPr="00C517E8" w:rsidRDefault="00106AA4" w:rsidP="00C517E8">
      <w:pPr>
        <w:pStyle w:val="2-SectionHeading"/>
      </w:pPr>
      <w:r w:rsidRPr="00C517E8">
        <w:t>Recommended listing</w:t>
      </w:r>
    </w:p>
    <w:p w14:paraId="36143018" w14:textId="2B2BA485" w:rsidR="006B7953" w:rsidRPr="00507B8F" w:rsidRDefault="00106AA4" w:rsidP="00507B8F">
      <w:pPr>
        <w:pStyle w:val="3-BodyText"/>
        <w:rPr>
          <w:bCs/>
          <w:lang w:eastAsia="en-US"/>
        </w:rPr>
      </w:pPr>
      <w:r w:rsidRPr="00106AA4">
        <w:rPr>
          <w:lang w:eastAsia="en-US"/>
        </w:rPr>
        <w:t>Amend existing</w:t>
      </w:r>
      <w:r w:rsidR="0043344F">
        <w:rPr>
          <w:lang w:eastAsia="en-US"/>
        </w:rPr>
        <w:t xml:space="preserve"> </w:t>
      </w:r>
      <w:r w:rsidRPr="00106AA4">
        <w:rPr>
          <w:lang w:eastAsia="en-US"/>
        </w:rPr>
        <w:t>listing</w:t>
      </w:r>
      <w:r w:rsidR="006B7953">
        <w:rPr>
          <w:lang w:eastAsia="en-US"/>
        </w:rPr>
        <w:t>s</w:t>
      </w:r>
      <w:r w:rsidRPr="00106AA4">
        <w:rPr>
          <w:lang w:eastAsia="en-US"/>
        </w:rPr>
        <w:t xml:space="preserve"> </w:t>
      </w:r>
      <w:r w:rsidR="0043344F">
        <w:rPr>
          <w:lang w:eastAsia="en-US"/>
        </w:rPr>
        <w:t xml:space="preserve">(12176W and 12177X) </w:t>
      </w:r>
      <w:r w:rsidRPr="00106AA4">
        <w:rPr>
          <w:lang w:eastAsia="en-US"/>
        </w:rPr>
        <w:t>as follows</w:t>
      </w:r>
      <w:r w:rsidR="006B7953">
        <w:rPr>
          <w:lang w:eastAsia="en-US"/>
        </w:rPr>
        <w:t>.</w:t>
      </w:r>
    </w:p>
    <w:tbl>
      <w:tblPr>
        <w:tblStyle w:val="TableGrid"/>
        <w:tblW w:w="9209" w:type="dxa"/>
        <w:tblLook w:val="04A0" w:firstRow="1" w:lastRow="0" w:firstColumn="1" w:lastColumn="0" w:noHBand="0" w:noVBand="1"/>
      </w:tblPr>
      <w:tblGrid>
        <w:gridCol w:w="1129"/>
        <w:gridCol w:w="8080"/>
      </w:tblGrid>
      <w:tr w:rsidR="006B7953" w:rsidRPr="00016BA6" w14:paraId="377A27D7" w14:textId="77777777" w:rsidTr="008A5ACA">
        <w:tc>
          <w:tcPr>
            <w:tcW w:w="9209" w:type="dxa"/>
            <w:gridSpan w:val="2"/>
          </w:tcPr>
          <w:p w14:paraId="46153AB6" w14:textId="77777777" w:rsidR="006B7953" w:rsidRPr="00016BA6" w:rsidRDefault="006B7953" w:rsidP="008A5ACA">
            <w:pPr>
              <w:rPr>
                <w:rFonts w:ascii="Arial Narrow" w:hAnsi="Arial Narrow" w:cstheme="minorHAnsi"/>
                <w:b/>
                <w:bCs/>
                <w:iCs/>
                <w:sz w:val="20"/>
                <w:szCs w:val="20"/>
              </w:rPr>
            </w:pPr>
            <w:r w:rsidRPr="00016BA6">
              <w:rPr>
                <w:rFonts w:ascii="Arial Narrow" w:hAnsi="Arial Narrow" w:cs="Open Sans"/>
                <w:b/>
                <w:bCs/>
                <w:sz w:val="20"/>
                <w:szCs w:val="20"/>
                <w:bdr w:val="none" w:sz="0" w:space="0" w:color="auto" w:frame="1"/>
              </w:rPr>
              <w:t xml:space="preserve">Restriction items: </w:t>
            </w:r>
            <w:r w:rsidRPr="00016BA6">
              <w:rPr>
                <w:rFonts w:ascii="Arial Narrow" w:eastAsia="Calibri" w:hAnsi="Arial Narrow" w:cs="Calibri"/>
                <w:b/>
                <w:bCs/>
                <w:sz w:val="20"/>
                <w:szCs w:val="20"/>
              </w:rPr>
              <w:t>12176W and 12177X</w:t>
            </w:r>
            <w:r w:rsidRPr="00016BA6">
              <w:rPr>
                <w:rFonts w:eastAsia="Calibri" w:cs="Calibri"/>
                <w:b/>
                <w:bCs/>
                <w:i/>
                <w:iCs/>
                <w:sz w:val="20"/>
                <w:szCs w:val="20"/>
              </w:rPr>
              <w:t xml:space="preserve"> </w:t>
            </w:r>
            <w:r w:rsidRPr="00016BA6">
              <w:rPr>
                <w:rFonts w:ascii="Arial Narrow" w:hAnsi="Arial Narrow" w:cs="Open Sans"/>
                <w:b/>
                <w:bCs/>
                <w:sz w:val="20"/>
                <w:szCs w:val="20"/>
                <w:bdr w:val="none" w:sz="0" w:space="0" w:color="auto" w:frame="1"/>
              </w:rPr>
              <w:t xml:space="preserve"> </w:t>
            </w:r>
          </w:p>
        </w:tc>
      </w:tr>
      <w:tr w:rsidR="006B7953" w:rsidRPr="00016BA6" w14:paraId="477F17E8" w14:textId="77777777" w:rsidTr="006B7953">
        <w:tc>
          <w:tcPr>
            <w:tcW w:w="1129" w:type="dxa"/>
            <w:shd w:val="clear" w:color="auto" w:fill="FFFFFF" w:themeFill="background1"/>
          </w:tcPr>
          <w:p w14:paraId="64574722" w14:textId="77777777" w:rsidR="006B7953" w:rsidRPr="00016BA6" w:rsidRDefault="006B7953" w:rsidP="008A5ACA">
            <w:pPr>
              <w:jc w:val="center"/>
              <w:rPr>
                <w:rFonts w:ascii="Arial Narrow" w:hAnsi="Arial Narrow"/>
                <w:b/>
                <w:sz w:val="20"/>
                <w:szCs w:val="20"/>
              </w:rPr>
            </w:pPr>
          </w:p>
        </w:tc>
        <w:tc>
          <w:tcPr>
            <w:tcW w:w="8080" w:type="dxa"/>
            <w:shd w:val="clear" w:color="auto" w:fill="FFFFFF" w:themeFill="background1"/>
          </w:tcPr>
          <w:p w14:paraId="0350D000" w14:textId="77777777" w:rsidR="006B7953" w:rsidRPr="006B7953" w:rsidRDefault="006B7953" w:rsidP="008A5ACA">
            <w:pPr>
              <w:rPr>
                <w:rFonts w:ascii="Arial Narrow" w:hAnsi="Arial Narrow" w:cs="Open Sans"/>
                <w:strike/>
                <w:sz w:val="20"/>
                <w:szCs w:val="20"/>
              </w:rPr>
            </w:pPr>
            <w:r w:rsidRPr="006B7953">
              <w:rPr>
                <w:rFonts w:ascii="Arial Narrow" w:hAnsi="Arial Narrow" w:cs="Open Sans"/>
                <w:b/>
                <w:bCs/>
                <w:sz w:val="20"/>
                <w:szCs w:val="20"/>
                <w:bdr w:val="none" w:sz="0" w:space="0" w:color="auto" w:frame="1"/>
              </w:rPr>
              <w:t xml:space="preserve">Treatment Phase: </w:t>
            </w:r>
            <w:r w:rsidRPr="006B7953">
              <w:rPr>
                <w:rFonts w:ascii="Arial Narrow" w:hAnsi="Arial Narrow" w:cs="Open Sans"/>
                <w:strike/>
                <w:sz w:val="20"/>
                <w:szCs w:val="20"/>
              </w:rPr>
              <w:t>Use in a patient untreated with disease modifying therapies for this condition</w:t>
            </w:r>
          </w:p>
          <w:p w14:paraId="4E485203" w14:textId="77777777" w:rsidR="006B7953" w:rsidRPr="00016BA6" w:rsidRDefault="006B7953" w:rsidP="008A5ACA">
            <w:pPr>
              <w:rPr>
                <w:rFonts w:ascii="Arial Narrow" w:hAnsi="Arial Narrow" w:cstheme="minorHAnsi"/>
                <w:iCs/>
                <w:sz w:val="20"/>
                <w:szCs w:val="20"/>
              </w:rPr>
            </w:pPr>
            <w:r w:rsidRPr="006B7953">
              <w:rPr>
                <w:rFonts w:ascii="Arial Narrow" w:hAnsi="Arial Narrow"/>
                <w:i/>
                <w:iCs/>
                <w:sz w:val="20"/>
                <w:szCs w:val="20"/>
              </w:rPr>
              <w:t>Initial treatment of pre-symptomatic spinal muscular atrophy (SMA) - Loading doses</w:t>
            </w:r>
          </w:p>
        </w:tc>
      </w:tr>
      <w:tr w:rsidR="006B7953" w:rsidRPr="00016BA6" w14:paraId="44AF16A0" w14:textId="77777777" w:rsidTr="008A5ACA">
        <w:tc>
          <w:tcPr>
            <w:tcW w:w="1129" w:type="dxa"/>
          </w:tcPr>
          <w:p w14:paraId="539C53F2" w14:textId="445357CF" w:rsidR="006B7953" w:rsidRPr="00016BA6" w:rsidRDefault="006B7953" w:rsidP="008A5ACA">
            <w:pPr>
              <w:jc w:val="center"/>
              <w:rPr>
                <w:rFonts w:ascii="Arial Narrow" w:hAnsi="Arial Narrow"/>
                <w:bCs/>
                <w:sz w:val="20"/>
                <w:szCs w:val="20"/>
              </w:rPr>
            </w:pPr>
          </w:p>
        </w:tc>
        <w:tc>
          <w:tcPr>
            <w:tcW w:w="8080" w:type="dxa"/>
          </w:tcPr>
          <w:p w14:paraId="2F4D547D" w14:textId="77777777" w:rsidR="006B7953" w:rsidRPr="00016BA6" w:rsidRDefault="006B7953" w:rsidP="008A5ACA">
            <w:pPr>
              <w:rPr>
                <w:rFonts w:ascii="Arial Narrow" w:hAnsi="Arial Narrow" w:cstheme="minorHAnsi"/>
                <w:iCs/>
                <w:sz w:val="20"/>
                <w:szCs w:val="20"/>
              </w:rPr>
            </w:pPr>
            <w:r w:rsidRPr="00016BA6">
              <w:rPr>
                <w:rFonts w:ascii="Arial Narrow" w:hAnsi="Arial Narrow" w:cs="Open Sans"/>
                <w:b/>
                <w:bCs/>
                <w:sz w:val="20"/>
                <w:szCs w:val="20"/>
                <w:bdr w:val="none" w:sz="0" w:space="0" w:color="auto" w:frame="1"/>
              </w:rPr>
              <w:t>Clinical criteria:</w:t>
            </w:r>
          </w:p>
        </w:tc>
      </w:tr>
      <w:tr w:rsidR="006B7953" w:rsidRPr="00016BA6" w14:paraId="55A3C2C1" w14:textId="77777777" w:rsidTr="008A5ACA">
        <w:tc>
          <w:tcPr>
            <w:tcW w:w="1129" w:type="dxa"/>
          </w:tcPr>
          <w:p w14:paraId="0C03E274" w14:textId="4C5C83B4" w:rsidR="006B7953" w:rsidRPr="00016BA6" w:rsidRDefault="006B7953" w:rsidP="008A5ACA">
            <w:pPr>
              <w:jc w:val="center"/>
              <w:rPr>
                <w:rFonts w:ascii="Arial Narrow" w:hAnsi="Arial Narrow"/>
                <w:bCs/>
                <w:sz w:val="20"/>
                <w:szCs w:val="20"/>
              </w:rPr>
            </w:pPr>
          </w:p>
        </w:tc>
        <w:tc>
          <w:tcPr>
            <w:tcW w:w="8080" w:type="dxa"/>
            <w:shd w:val="clear" w:color="auto" w:fill="auto"/>
          </w:tcPr>
          <w:p w14:paraId="0C1325F4" w14:textId="147FA5A6" w:rsidR="006B7953" w:rsidRPr="004D2BF5" w:rsidRDefault="006B7953" w:rsidP="008A5ACA">
            <w:pPr>
              <w:rPr>
                <w:rFonts w:ascii="Arial Narrow" w:hAnsi="Arial Narrow"/>
                <w:b/>
                <w:sz w:val="20"/>
                <w:szCs w:val="20"/>
              </w:rPr>
            </w:pPr>
            <w:r w:rsidRPr="004D2BF5">
              <w:rPr>
                <w:rFonts w:ascii="Arial Narrow" w:eastAsiaTheme="minorHAnsi" w:hAnsi="Arial Narrow" w:cstheme="minorHAnsi"/>
                <w:iCs/>
                <w:sz w:val="20"/>
                <w:szCs w:val="20"/>
                <w:lang w:eastAsia="en-US"/>
              </w:rPr>
              <w:t>The condition must be presymptomatic SMA, with genetic confirmation that there are 1 to 2</w:t>
            </w:r>
            <w:r w:rsidRPr="004D2BF5">
              <w:rPr>
                <w:rFonts w:ascii="Arial Narrow" w:hAnsi="Arial Narrow" w:cstheme="minorHAnsi"/>
                <w:iCs/>
                <w:sz w:val="20"/>
                <w:szCs w:val="20"/>
              </w:rPr>
              <w:t xml:space="preserve"> copies of the survival motor neuron 2 (</w:t>
            </w:r>
            <w:r w:rsidRPr="00507B8F">
              <w:rPr>
                <w:rFonts w:ascii="Arial Narrow" w:hAnsi="Arial Narrow" w:cstheme="minorHAnsi"/>
                <w:i/>
                <w:sz w:val="20"/>
                <w:szCs w:val="20"/>
              </w:rPr>
              <w:t>SMN2</w:t>
            </w:r>
            <w:r w:rsidRPr="004D2BF5">
              <w:rPr>
                <w:rFonts w:ascii="Arial Narrow" w:hAnsi="Arial Narrow" w:cstheme="minorHAnsi"/>
                <w:iCs/>
                <w:sz w:val="20"/>
                <w:szCs w:val="20"/>
              </w:rPr>
              <w:t>) gene</w:t>
            </w:r>
            <w:r w:rsidR="004D2BF5" w:rsidRPr="004D2BF5">
              <w:rPr>
                <w:rFonts w:ascii="Arial Narrow" w:hAnsi="Arial Narrow" w:cstheme="minorHAnsi"/>
                <w:i/>
                <w:sz w:val="20"/>
                <w:szCs w:val="20"/>
              </w:rPr>
              <w:t>; OR</w:t>
            </w:r>
          </w:p>
        </w:tc>
      </w:tr>
      <w:tr w:rsidR="006B7953" w:rsidRPr="00016BA6" w14:paraId="21F35B59" w14:textId="77777777" w:rsidTr="008A5ACA">
        <w:tc>
          <w:tcPr>
            <w:tcW w:w="1129" w:type="dxa"/>
          </w:tcPr>
          <w:p w14:paraId="0D862F88" w14:textId="617B1C9F" w:rsidR="006B7953" w:rsidRPr="00016BA6" w:rsidDel="00B5226A" w:rsidRDefault="006B7953" w:rsidP="008A5ACA">
            <w:pPr>
              <w:jc w:val="center"/>
              <w:rPr>
                <w:rFonts w:ascii="Arial Narrow" w:hAnsi="Arial Narrow"/>
                <w:bCs/>
                <w:sz w:val="20"/>
                <w:szCs w:val="20"/>
              </w:rPr>
            </w:pPr>
          </w:p>
        </w:tc>
        <w:tc>
          <w:tcPr>
            <w:tcW w:w="8080" w:type="dxa"/>
            <w:shd w:val="clear" w:color="auto" w:fill="auto"/>
          </w:tcPr>
          <w:p w14:paraId="6FDA3A16" w14:textId="3DBD6316" w:rsidR="006B7953" w:rsidRPr="00016BA6" w:rsidRDefault="006B7953" w:rsidP="008A5ACA">
            <w:pPr>
              <w:rPr>
                <w:rFonts w:ascii="Arial Narrow" w:hAnsi="Arial Narrow" w:cstheme="minorHAnsi"/>
                <w:i/>
                <w:sz w:val="20"/>
                <w:szCs w:val="20"/>
              </w:rPr>
            </w:pPr>
            <w:r w:rsidRPr="00016BA6">
              <w:rPr>
                <w:rFonts w:ascii="Arial Narrow" w:eastAsiaTheme="minorHAnsi" w:hAnsi="Arial Narrow" w:cstheme="minorHAnsi"/>
                <w:i/>
                <w:sz w:val="20"/>
                <w:szCs w:val="20"/>
                <w:lang w:eastAsia="en-US"/>
              </w:rPr>
              <w:t>The condition must be presymptomatic SMA, with genetic confirmation that there are 3 copies of the survival motor neuron 2 (SMN2) gene</w:t>
            </w:r>
          </w:p>
        </w:tc>
      </w:tr>
    </w:tbl>
    <w:p w14:paraId="10043AD4" w14:textId="77777777" w:rsidR="006B7953" w:rsidRPr="00955911" w:rsidRDefault="006B7953" w:rsidP="006B7953">
      <w:pPr>
        <w:rPr>
          <w:sz w:val="12"/>
          <w:szCs w:val="12"/>
        </w:rPr>
      </w:pPr>
    </w:p>
    <w:bookmarkEnd w:id="85"/>
    <w:p w14:paraId="48E638C3" w14:textId="75390780" w:rsidR="00106AA4" w:rsidRPr="00955911" w:rsidRDefault="00B33E6A" w:rsidP="00955911">
      <w:pPr>
        <w:rPr>
          <w:rFonts w:asciiTheme="minorHAnsi" w:hAnsiTheme="minorHAnsi" w:cstheme="minorHAnsi"/>
        </w:rPr>
      </w:pPr>
      <w:r w:rsidRPr="00AF7C2B">
        <w:rPr>
          <w:rFonts w:asciiTheme="minorHAnsi" w:hAnsiTheme="minorHAnsi" w:cstheme="minorHAnsi"/>
          <w:b/>
          <w:i/>
        </w:rPr>
        <w:t>This restriction may be subject to further review. Should there be any changes made to the restriction the Sponsor will be informed.</w:t>
      </w:r>
    </w:p>
    <w:bookmarkEnd w:id="4"/>
    <w:bookmarkEnd w:id="5"/>
    <w:bookmarkEnd w:id="6"/>
    <w:bookmarkEnd w:id="7"/>
    <w:bookmarkEnd w:id="8"/>
    <w:p w14:paraId="643AF6B6" w14:textId="77777777" w:rsidR="00C429D8" w:rsidRDefault="00C429D8" w:rsidP="00C429D8">
      <w:pPr>
        <w:pStyle w:val="2-SectionHeading"/>
        <w:rPr>
          <w:bCs/>
          <w:lang w:val="en-GB"/>
        </w:rPr>
      </w:pPr>
      <w:r w:rsidRPr="00C07617">
        <w:t>Context for Decision</w:t>
      </w:r>
    </w:p>
    <w:p w14:paraId="4517946F" w14:textId="77777777" w:rsidR="00C429D8" w:rsidRPr="007129F2" w:rsidRDefault="00C429D8" w:rsidP="00C429D8">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34A64AE1" w14:textId="43FD7ACF" w:rsidR="00C429D8" w:rsidRPr="00C07617" w:rsidRDefault="00C429D8" w:rsidP="00C429D8">
      <w:pPr>
        <w:pStyle w:val="2-SectionHeading"/>
      </w:pPr>
      <w:r>
        <w:t>Sponsor’s Comment</w:t>
      </w:r>
    </w:p>
    <w:p w14:paraId="7E2177A6" w14:textId="77777777" w:rsidR="00C203B8" w:rsidRPr="00C203B8" w:rsidRDefault="00C203B8" w:rsidP="00C203B8">
      <w:pPr>
        <w:spacing w:after="120"/>
        <w:ind w:left="709" w:firstLine="11"/>
        <w:rPr>
          <w:rFonts w:asciiTheme="minorHAnsi" w:hAnsiTheme="minorHAnsi"/>
          <w:bCs/>
          <w:lang w:val="en-GB"/>
        </w:rPr>
      </w:pPr>
      <w:r w:rsidRPr="00C203B8">
        <w:rPr>
          <w:rFonts w:asciiTheme="minorHAnsi" w:hAnsiTheme="minorHAnsi"/>
          <w:bCs/>
          <w:lang w:val="en-GB"/>
        </w:rPr>
        <w:t xml:space="preserve">Biogen is pleased that the PBAC acknowledged that SPINRAZA provides a significant improvement when initiated pre-symptomatically in infants and babies with SMA with </w:t>
      </w:r>
      <w:proofErr w:type="gramStart"/>
      <w:r w:rsidRPr="00C203B8">
        <w:rPr>
          <w:rFonts w:asciiTheme="minorHAnsi" w:hAnsiTheme="minorHAnsi"/>
          <w:bCs/>
          <w:lang w:val="en-GB"/>
        </w:rPr>
        <w:t>3</w:t>
      </w:r>
      <w:proofErr w:type="gramEnd"/>
      <w:r w:rsidRPr="00C203B8">
        <w:rPr>
          <w:rFonts w:asciiTheme="minorHAnsi" w:hAnsiTheme="minorHAnsi"/>
          <w:bCs/>
          <w:lang w:val="en-GB"/>
        </w:rPr>
        <w:t xml:space="preserve"> copies of </w:t>
      </w:r>
      <w:r w:rsidRPr="00C203B8">
        <w:rPr>
          <w:rFonts w:asciiTheme="minorHAnsi" w:hAnsiTheme="minorHAnsi"/>
          <w:bCs/>
          <w:i/>
          <w:iCs/>
          <w:lang w:val="en-GB"/>
        </w:rPr>
        <w:t>SMN2</w:t>
      </w:r>
      <w:r w:rsidRPr="00C203B8">
        <w:rPr>
          <w:rFonts w:asciiTheme="minorHAnsi" w:hAnsiTheme="minorHAnsi"/>
          <w:bCs/>
          <w:lang w:val="en-GB"/>
        </w:rPr>
        <w:t>.</w:t>
      </w:r>
    </w:p>
    <w:p w14:paraId="1AD737E9" w14:textId="72923711" w:rsidR="00C203B8" w:rsidRPr="00C203B8" w:rsidRDefault="00C203B8" w:rsidP="00C203B8">
      <w:pPr>
        <w:spacing w:after="120"/>
        <w:ind w:left="709" w:firstLine="11"/>
        <w:rPr>
          <w:rFonts w:asciiTheme="minorHAnsi" w:hAnsiTheme="minorHAnsi"/>
          <w:bCs/>
          <w:lang w:val="en-GB"/>
        </w:rPr>
      </w:pPr>
      <w:r w:rsidRPr="00C203B8">
        <w:rPr>
          <w:rFonts w:asciiTheme="minorHAnsi" w:hAnsiTheme="minorHAnsi"/>
          <w:bCs/>
          <w:lang w:val="en-GB"/>
        </w:rPr>
        <w:t xml:space="preserve">Biogen will not be in a position to progress with a PBS listing in its current state as the recommendation is conditional on a price reduction (see paragraph </w:t>
      </w:r>
      <w:r w:rsidR="001F3156">
        <w:rPr>
          <w:rFonts w:asciiTheme="minorHAnsi" w:hAnsiTheme="minorHAnsi"/>
          <w:bCs/>
          <w:lang w:val="en-GB"/>
        </w:rPr>
        <w:t>7.14</w:t>
      </w:r>
      <w:r w:rsidRPr="00C203B8">
        <w:rPr>
          <w:rFonts w:asciiTheme="minorHAnsi" w:hAnsiTheme="minorHAnsi"/>
          <w:bCs/>
          <w:lang w:val="en-GB"/>
        </w:rPr>
        <w:t xml:space="preserve">), </w:t>
      </w:r>
      <w:r w:rsidRPr="002753BE">
        <w:rPr>
          <w:rFonts w:asciiTheme="minorHAnsi" w:hAnsiTheme="minorHAnsi"/>
          <w:bCs/>
          <w:lang w:val="en-GB"/>
        </w:rPr>
        <w:t>in addition to scheduled Anniversary price reductions across all SPINRAZA indications in 2024</w:t>
      </w:r>
      <w:r w:rsidR="00F96756">
        <w:rPr>
          <w:rFonts w:asciiTheme="minorHAnsi" w:hAnsiTheme="minorHAnsi"/>
          <w:bCs/>
          <w:lang w:val="en-GB"/>
        </w:rPr>
        <w:t>.</w:t>
      </w:r>
      <w:r w:rsidRPr="00C203B8">
        <w:rPr>
          <w:rFonts w:asciiTheme="minorHAnsi" w:hAnsiTheme="minorHAnsi"/>
          <w:bCs/>
          <w:lang w:val="en-GB"/>
        </w:rPr>
        <w:t xml:space="preserve"> </w:t>
      </w:r>
    </w:p>
    <w:p w14:paraId="0E8C133C" w14:textId="56C5A792" w:rsidR="00C203B8" w:rsidRPr="00C203B8" w:rsidRDefault="00C203B8" w:rsidP="00C203B8">
      <w:pPr>
        <w:spacing w:after="120"/>
        <w:ind w:left="709" w:firstLine="11"/>
        <w:rPr>
          <w:rFonts w:asciiTheme="minorHAnsi" w:hAnsiTheme="minorHAnsi"/>
          <w:bCs/>
          <w:lang w:val="en-GB"/>
        </w:rPr>
      </w:pPr>
      <w:r w:rsidRPr="001F3156">
        <w:rPr>
          <w:rFonts w:asciiTheme="minorHAnsi" w:hAnsiTheme="minorHAnsi"/>
          <w:bCs/>
          <w:lang w:val="en-GB"/>
        </w:rPr>
        <w:t xml:space="preserve">SPINRAZA in the pre-symptomatic 3 </w:t>
      </w:r>
      <w:r w:rsidRPr="001F3156">
        <w:rPr>
          <w:rFonts w:asciiTheme="minorHAnsi" w:hAnsiTheme="minorHAnsi"/>
          <w:bCs/>
          <w:i/>
          <w:iCs/>
          <w:lang w:val="en-GB"/>
        </w:rPr>
        <w:t>SMN2</w:t>
      </w:r>
      <w:r w:rsidRPr="001F3156">
        <w:rPr>
          <w:rFonts w:asciiTheme="minorHAnsi" w:hAnsiTheme="minorHAnsi"/>
          <w:bCs/>
          <w:lang w:val="en-GB"/>
        </w:rPr>
        <w:t xml:space="preserve"> copies population is now reimbursed in over </w:t>
      </w:r>
      <w:proofErr w:type="gramStart"/>
      <w:r w:rsidRPr="001F3156">
        <w:rPr>
          <w:rFonts w:asciiTheme="minorHAnsi" w:hAnsiTheme="minorHAnsi"/>
          <w:bCs/>
          <w:lang w:val="en-GB"/>
        </w:rPr>
        <w:t>30</w:t>
      </w:r>
      <w:proofErr w:type="gramEnd"/>
      <w:r w:rsidRPr="001F3156">
        <w:rPr>
          <w:rFonts w:asciiTheme="minorHAnsi" w:hAnsiTheme="minorHAnsi"/>
          <w:bCs/>
          <w:lang w:val="en-GB"/>
        </w:rPr>
        <w:t xml:space="preserve"> countries, including New Zealand, Canada, France, Italy and Germany. </w:t>
      </w:r>
    </w:p>
    <w:p w14:paraId="2FF547EF" w14:textId="77777777" w:rsidR="00C203B8" w:rsidRPr="00C203B8" w:rsidRDefault="00C203B8" w:rsidP="00C203B8">
      <w:pPr>
        <w:spacing w:after="120"/>
        <w:ind w:left="709" w:firstLine="11"/>
        <w:rPr>
          <w:rFonts w:asciiTheme="minorHAnsi" w:hAnsiTheme="minorHAnsi"/>
          <w:bCs/>
          <w:lang w:val="en-GB"/>
        </w:rPr>
      </w:pPr>
      <w:r w:rsidRPr="002753BE">
        <w:rPr>
          <w:rFonts w:asciiTheme="minorHAnsi" w:hAnsiTheme="minorHAnsi"/>
          <w:bCs/>
          <w:lang w:val="en-GB"/>
        </w:rPr>
        <w:lastRenderedPageBreak/>
        <w:t>Biogen remains willing to work collaboratively with the PBAC and the Department of Health and Aged Care to explore alternative options in order to reach an agreement to expand the listing.</w:t>
      </w:r>
    </w:p>
    <w:p w14:paraId="11B31F66" w14:textId="54719E65" w:rsidR="00106AA4" w:rsidRDefault="00106AA4" w:rsidP="00B86EBD">
      <w:pPr>
        <w:jc w:val="left"/>
        <w:rPr>
          <w:rFonts w:asciiTheme="minorHAnsi" w:hAnsiTheme="minorHAnsi"/>
          <w:snapToGrid w:val="0"/>
        </w:rPr>
      </w:pPr>
    </w:p>
    <w:sectPr w:rsidR="00106AA4" w:rsidSect="00280C1D">
      <w:headerReference w:type="default" r:id="rId11"/>
      <w:footerReference w:type="default" r:id="rId12"/>
      <w:pgSz w:w="11906" w:h="16838"/>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ED1D" w14:textId="77777777" w:rsidR="0004748E" w:rsidRDefault="0004748E" w:rsidP="00124A51">
      <w:r>
        <w:separator/>
      </w:r>
    </w:p>
    <w:p w14:paraId="6F896645" w14:textId="77777777" w:rsidR="0004748E" w:rsidRDefault="0004748E"/>
  </w:endnote>
  <w:endnote w:type="continuationSeparator" w:id="0">
    <w:p w14:paraId="06AAD9D1" w14:textId="77777777" w:rsidR="0004748E" w:rsidRDefault="0004748E" w:rsidP="00124A51">
      <w:r>
        <w:continuationSeparator/>
      </w:r>
    </w:p>
    <w:p w14:paraId="6372E0EB" w14:textId="77777777" w:rsidR="0004748E" w:rsidRDefault="00047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5E3F" w14:textId="77777777" w:rsidR="003F5AFD" w:rsidRDefault="003F5AFD">
    <w:pPr>
      <w:pStyle w:val="Footer"/>
      <w:jc w:val="center"/>
    </w:pPr>
  </w:p>
  <w:sdt>
    <w:sdtPr>
      <w:id w:val="-171417261"/>
      <w:docPartObj>
        <w:docPartGallery w:val="Page Numbers (Bottom of Page)"/>
        <w:docPartUnique/>
      </w:docPartObj>
    </w:sdtPr>
    <w:sdtEndPr>
      <w:rPr>
        <w:b/>
        <w:bCs/>
        <w:noProof/>
      </w:rPr>
    </w:sdtEndPr>
    <w:sdtContent>
      <w:p w14:paraId="742A752C" w14:textId="4F6A3275" w:rsidR="003F5AFD" w:rsidRPr="00C429D8" w:rsidRDefault="003F5AFD" w:rsidP="00C429D8">
        <w:pPr>
          <w:pStyle w:val="Footer"/>
          <w:jc w:val="center"/>
          <w:rPr>
            <w:b/>
            <w:bCs/>
          </w:rPr>
        </w:pPr>
        <w:r w:rsidRPr="003F5AFD">
          <w:rPr>
            <w:b/>
            <w:bCs/>
          </w:rPr>
          <w:fldChar w:fldCharType="begin"/>
        </w:r>
        <w:r w:rsidRPr="003F5AFD">
          <w:rPr>
            <w:b/>
            <w:bCs/>
          </w:rPr>
          <w:instrText xml:space="preserve"> PAGE   \* MERGEFORMAT </w:instrText>
        </w:r>
        <w:r w:rsidRPr="003F5AFD">
          <w:rPr>
            <w:b/>
            <w:bCs/>
          </w:rPr>
          <w:fldChar w:fldCharType="separate"/>
        </w:r>
        <w:r w:rsidRPr="003F5AFD">
          <w:rPr>
            <w:b/>
            <w:bCs/>
            <w:noProof/>
          </w:rPr>
          <w:t>2</w:t>
        </w:r>
        <w:r w:rsidRPr="003F5AFD">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6062" w14:textId="77777777" w:rsidR="0004748E" w:rsidRDefault="0004748E" w:rsidP="00124A51">
      <w:r>
        <w:separator/>
      </w:r>
    </w:p>
    <w:p w14:paraId="2494628D" w14:textId="77777777" w:rsidR="0004748E" w:rsidRDefault="0004748E"/>
  </w:footnote>
  <w:footnote w:type="continuationSeparator" w:id="0">
    <w:p w14:paraId="5F34B5A7" w14:textId="77777777" w:rsidR="0004748E" w:rsidRDefault="0004748E" w:rsidP="00124A51">
      <w:r>
        <w:continuationSeparator/>
      </w:r>
    </w:p>
    <w:p w14:paraId="0429C03B" w14:textId="77777777" w:rsidR="0004748E" w:rsidRDefault="00047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CBE0" w14:textId="71F2141D" w:rsidR="003F5AFD" w:rsidRPr="007C13CC" w:rsidRDefault="00C429D8" w:rsidP="003F5AFD">
    <w:pPr>
      <w:pStyle w:val="Header"/>
      <w:rPr>
        <w:rFonts w:asciiTheme="minorHAnsi" w:hAnsiTheme="minorHAnsi" w:cstheme="minorHAnsi"/>
        <w:i/>
        <w:color w:val="808080"/>
      </w:rPr>
    </w:pPr>
    <w:r>
      <w:rPr>
        <w:rFonts w:asciiTheme="minorHAnsi" w:hAnsiTheme="minorHAnsi" w:cstheme="minorHAnsi"/>
        <w:i/>
        <w:color w:val="808080"/>
      </w:rPr>
      <w:t>Public Summary Document</w:t>
    </w:r>
    <w:r w:rsidR="003F5AFD" w:rsidRPr="007C13CC">
      <w:rPr>
        <w:rFonts w:asciiTheme="minorHAnsi" w:hAnsiTheme="minorHAnsi" w:cstheme="minorHAnsi"/>
        <w:i/>
        <w:color w:val="808080"/>
      </w:rPr>
      <w:t xml:space="preserve"> – </w:t>
    </w:r>
    <w:r w:rsidR="003F5AFD">
      <w:rPr>
        <w:rFonts w:asciiTheme="minorHAnsi" w:hAnsiTheme="minorHAnsi" w:cstheme="minorHAnsi"/>
        <w:i/>
        <w:color w:val="808080"/>
      </w:rPr>
      <w:t>July 2023</w:t>
    </w:r>
    <w:r w:rsidR="003F5AFD" w:rsidRPr="007C13CC">
      <w:rPr>
        <w:rFonts w:asciiTheme="minorHAnsi" w:hAnsiTheme="minorHAnsi" w:cstheme="minorHAnsi"/>
        <w:i/>
        <w:color w:val="808080"/>
      </w:rPr>
      <w:t xml:space="preserve"> PBAC Meeting</w:t>
    </w:r>
  </w:p>
  <w:p w14:paraId="55C282AC" w14:textId="77777777" w:rsidR="003F5AFD" w:rsidRDefault="003F5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FE8733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8ADC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65254"/>
    <w:multiLevelType w:val="hybridMultilevel"/>
    <w:tmpl w:val="C02E3AA2"/>
    <w:lvl w:ilvl="0" w:tplc="8006E28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773223F4"/>
    <w:lvl w:ilvl="0" w:tplc="960E0CBE">
      <w:start w:val="1"/>
      <w:numFmt w:val="decimal"/>
      <w:lvlText w:val="%1."/>
      <w:lvlJc w:val="left"/>
      <w:pPr>
        <w:ind w:left="360" w:hanging="360"/>
      </w:pPr>
      <w:rPr>
        <w:rFonts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324B1"/>
    <w:multiLevelType w:val="hybridMultilevel"/>
    <w:tmpl w:val="C98A3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26E2D"/>
    <w:multiLevelType w:val="multilevel"/>
    <w:tmpl w:val="824AE24E"/>
    <w:styleLink w:val="CurrentList1"/>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25D0178"/>
    <w:multiLevelType w:val="hybridMultilevel"/>
    <w:tmpl w:val="F04EA17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546332AF"/>
    <w:multiLevelType w:val="hybridMultilevel"/>
    <w:tmpl w:val="47285D50"/>
    <w:lvl w:ilvl="0" w:tplc="1A52FD5C">
      <w:start w:val="1"/>
      <w:numFmt w:val="bullet"/>
      <w:pStyle w:val="Tablebullet"/>
      <w:lvlText w:val=""/>
      <w:lvlJc w:val="left"/>
      <w:pPr>
        <w:ind w:left="473" w:hanging="360"/>
      </w:pPr>
      <w:rPr>
        <w:rFonts w:ascii="Symbol" w:hAnsi="Symbol" w:hint="default"/>
      </w:rPr>
    </w:lvl>
    <w:lvl w:ilvl="1" w:tplc="0C090003">
      <w:start w:val="1"/>
      <w:numFmt w:val="bullet"/>
      <w:lvlText w:val="o"/>
      <w:lvlJc w:val="left"/>
      <w:pPr>
        <w:ind w:left="1193" w:hanging="360"/>
      </w:pPr>
      <w:rPr>
        <w:rFonts w:ascii="Courier New" w:hAnsi="Courier New" w:cs="Courier New" w:hint="default"/>
      </w:rPr>
    </w:lvl>
    <w:lvl w:ilvl="2" w:tplc="0C090005">
      <w:start w:val="1"/>
      <w:numFmt w:val="bullet"/>
      <w:lvlText w:val=""/>
      <w:lvlJc w:val="left"/>
      <w:pPr>
        <w:ind w:left="1913" w:hanging="360"/>
      </w:pPr>
      <w:rPr>
        <w:rFonts w:ascii="Wingdings" w:hAnsi="Wingdings" w:hint="default"/>
      </w:rPr>
    </w:lvl>
    <w:lvl w:ilvl="3" w:tplc="0C090001">
      <w:start w:val="1"/>
      <w:numFmt w:val="bullet"/>
      <w:lvlText w:val=""/>
      <w:lvlJc w:val="left"/>
      <w:pPr>
        <w:ind w:left="2633" w:hanging="360"/>
      </w:pPr>
      <w:rPr>
        <w:rFonts w:ascii="Symbol" w:hAnsi="Symbol" w:hint="default"/>
      </w:rPr>
    </w:lvl>
    <w:lvl w:ilvl="4" w:tplc="0C090003">
      <w:start w:val="1"/>
      <w:numFmt w:val="bullet"/>
      <w:lvlText w:val="o"/>
      <w:lvlJc w:val="left"/>
      <w:pPr>
        <w:ind w:left="3353" w:hanging="360"/>
      </w:pPr>
      <w:rPr>
        <w:rFonts w:ascii="Courier New" w:hAnsi="Courier New" w:cs="Courier New" w:hint="default"/>
      </w:rPr>
    </w:lvl>
    <w:lvl w:ilvl="5" w:tplc="0C090005">
      <w:start w:val="1"/>
      <w:numFmt w:val="bullet"/>
      <w:lvlText w:val=""/>
      <w:lvlJc w:val="left"/>
      <w:pPr>
        <w:ind w:left="4073" w:hanging="360"/>
      </w:pPr>
      <w:rPr>
        <w:rFonts w:ascii="Wingdings" w:hAnsi="Wingdings" w:hint="default"/>
      </w:rPr>
    </w:lvl>
    <w:lvl w:ilvl="6" w:tplc="0C090001">
      <w:start w:val="1"/>
      <w:numFmt w:val="bullet"/>
      <w:lvlText w:val=""/>
      <w:lvlJc w:val="left"/>
      <w:pPr>
        <w:ind w:left="4793" w:hanging="360"/>
      </w:pPr>
      <w:rPr>
        <w:rFonts w:ascii="Symbol" w:hAnsi="Symbol" w:hint="default"/>
      </w:rPr>
    </w:lvl>
    <w:lvl w:ilvl="7" w:tplc="0C090003">
      <w:start w:val="1"/>
      <w:numFmt w:val="bullet"/>
      <w:lvlText w:val="o"/>
      <w:lvlJc w:val="left"/>
      <w:pPr>
        <w:ind w:left="5513" w:hanging="360"/>
      </w:pPr>
      <w:rPr>
        <w:rFonts w:ascii="Courier New" w:hAnsi="Courier New" w:cs="Courier New" w:hint="default"/>
      </w:rPr>
    </w:lvl>
    <w:lvl w:ilvl="8" w:tplc="0C090005">
      <w:start w:val="1"/>
      <w:numFmt w:val="bullet"/>
      <w:lvlText w:val=""/>
      <w:lvlJc w:val="left"/>
      <w:pPr>
        <w:ind w:left="6233"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3045337"/>
    <w:multiLevelType w:val="multilevel"/>
    <w:tmpl w:val="D6006E18"/>
    <w:lvl w:ilvl="0">
      <w:start w:val="1"/>
      <w:numFmt w:val="decimal"/>
      <w:lvlText w:val="%1"/>
      <w:lvlJc w:val="left"/>
      <w:pPr>
        <w:ind w:left="720" w:hanging="720"/>
      </w:pPr>
      <w:rPr>
        <w:rFonts w:hint="default"/>
        <w:b/>
      </w:rPr>
    </w:lvl>
    <w:lvl w:ilvl="1">
      <w:start w:val="1"/>
      <w:numFmt w:val="bullet"/>
      <w:pStyle w:val="BulletPBAC"/>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50270031">
    <w:abstractNumId w:val="22"/>
  </w:num>
  <w:num w:numId="2" w16cid:durableId="1113285178">
    <w:abstractNumId w:val="10"/>
  </w:num>
  <w:num w:numId="3" w16cid:durableId="381514704">
    <w:abstractNumId w:val="11"/>
  </w:num>
  <w:num w:numId="4" w16cid:durableId="1865555063">
    <w:abstractNumId w:val="1"/>
  </w:num>
  <w:num w:numId="5" w16cid:durableId="826634535">
    <w:abstractNumId w:val="22"/>
  </w:num>
  <w:num w:numId="6" w16cid:durableId="224342219">
    <w:abstractNumId w:val="20"/>
  </w:num>
  <w:num w:numId="7" w16cid:durableId="1442913002">
    <w:abstractNumId w:val="9"/>
  </w:num>
  <w:num w:numId="8" w16cid:durableId="679742093">
    <w:abstractNumId w:val="14"/>
  </w:num>
  <w:num w:numId="9" w16cid:durableId="435906712">
    <w:abstractNumId w:val="12"/>
  </w:num>
  <w:num w:numId="10" w16cid:durableId="331178928">
    <w:abstractNumId w:val="0"/>
  </w:num>
  <w:num w:numId="11" w16cid:durableId="1455516558">
    <w:abstractNumId w:val="19"/>
  </w:num>
  <w:num w:numId="12" w16cid:durableId="174148264">
    <w:abstractNumId w:val="13"/>
  </w:num>
  <w:num w:numId="13" w16cid:durableId="1166823885">
    <w:abstractNumId w:val="6"/>
  </w:num>
  <w:num w:numId="14" w16cid:durableId="1150245961">
    <w:abstractNumId w:val="15"/>
  </w:num>
  <w:num w:numId="15" w16cid:durableId="834103912">
    <w:abstractNumId w:val="17"/>
  </w:num>
  <w:num w:numId="16" w16cid:durableId="1220095919">
    <w:abstractNumId w:val="4"/>
  </w:num>
  <w:num w:numId="17" w16cid:durableId="1024792062">
    <w:abstractNumId w:val="2"/>
  </w:num>
  <w:num w:numId="18" w16cid:durableId="1664504100">
    <w:abstractNumId w:val="7"/>
  </w:num>
  <w:num w:numId="19" w16cid:durableId="680667290">
    <w:abstractNumId w:val="8"/>
  </w:num>
  <w:num w:numId="20" w16cid:durableId="1147169577">
    <w:abstractNumId w:val="5"/>
  </w:num>
  <w:num w:numId="21" w16cid:durableId="126353585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7662932">
    <w:abstractNumId w:val="21"/>
  </w:num>
  <w:num w:numId="23" w16cid:durableId="702905693">
    <w:abstractNumId w:val="3"/>
  </w:num>
  <w:num w:numId="24" w16cid:durableId="300774960">
    <w:abstractNumId w:val="16"/>
  </w:num>
  <w:num w:numId="25" w16cid:durableId="463621986">
    <w:abstractNumId w:val="22"/>
  </w:num>
  <w:num w:numId="26" w16cid:durableId="57377796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277"/>
    <w:rsid w:val="00003499"/>
    <w:rsid w:val="000039B7"/>
    <w:rsid w:val="00003E25"/>
    <w:rsid w:val="0000450E"/>
    <w:rsid w:val="00004540"/>
    <w:rsid w:val="00004AAC"/>
    <w:rsid w:val="000056B9"/>
    <w:rsid w:val="0000639A"/>
    <w:rsid w:val="000063EA"/>
    <w:rsid w:val="00007279"/>
    <w:rsid w:val="00007321"/>
    <w:rsid w:val="00007701"/>
    <w:rsid w:val="0001015E"/>
    <w:rsid w:val="000115D9"/>
    <w:rsid w:val="00013247"/>
    <w:rsid w:val="0001364A"/>
    <w:rsid w:val="00014275"/>
    <w:rsid w:val="00015886"/>
    <w:rsid w:val="000162EF"/>
    <w:rsid w:val="00016BA6"/>
    <w:rsid w:val="00017280"/>
    <w:rsid w:val="000176CE"/>
    <w:rsid w:val="00017D8C"/>
    <w:rsid w:val="000207C9"/>
    <w:rsid w:val="0002225F"/>
    <w:rsid w:val="000230E7"/>
    <w:rsid w:val="00023393"/>
    <w:rsid w:val="00023763"/>
    <w:rsid w:val="00024EB5"/>
    <w:rsid w:val="00025009"/>
    <w:rsid w:val="00025AC4"/>
    <w:rsid w:val="00026469"/>
    <w:rsid w:val="000269B7"/>
    <w:rsid w:val="00026B1C"/>
    <w:rsid w:val="000274B8"/>
    <w:rsid w:val="00030355"/>
    <w:rsid w:val="00030619"/>
    <w:rsid w:val="00030A8D"/>
    <w:rsid w:val="000313A5"/>
    <w:rsid w:val="00031814"/>
    <w:rsid w:val="0003378A"/>
    <w:rsid w:val="00033863"/>
    <w:rsid w:val="00035DC0"/>
    <w:rsid w:val="00036829"/>
    <w:rsid w:val="00037097"/>
    <w:rsid w:val="0003744F"/>
    <w:rsid w:val="00037534"/>
    <w:rsid w:val="00040895"/>
    <w:rsid w:val="000410A0"/>
    <w:rsid w:val="00043065"/>
    <w:rsid w:val="000435EE"/>
    <w:rsid w:val="0004364C"/>
    <w:rsid w:val="00043C37"/>
    <w:rsid w:val="00043DB7"/>
    <w:rsid w:val="00044CEB"/>
    <w:rsid w:val="00045017"/>
    <w:rsid w:val="00045A2B"/>
    <w:rsid w:val="00045CFF"/>
    <w:rsid w:val="00046873"/>
    <w:rsid w:val="0004698F"/>
    <w:rsid w:val="00046D64"/>
    <w:rsid w:val="0004748E"/>
    <w:rsid w:val="00047641"/>
    <w:rsid w:val="000507FA"/>
    <w:rsid w:val="000508C2"/>
    <w:rsid w:val="00052333"/>
    <w:rsid w:val="000525A2"/>
    <w:rsid w:val="0005373B"/>
    <w:rsid w:val="000539D0"/>
    <w:rsid w:val="0005455E"/>
    <w:rsid w:val="00054621"/>
    <w:rsid w:val="000546D7"/>
    <w:rsid w:val="00054A8D"/>
    <w:rsid w:val="00056674"/>
    <w:rsid w:val="00056ECF"/>
    <w:rsid w:val="0005727F"/>
    <w:rsid w:val="0005797E"/>
    <w:rsid w:val="00060481"/>
    <w:rsid w:val="000604DF"/>
    <w:rsid w:val="0006062C"/>
    <w:rsid w:val="00061140"/>
    <w:rsid w:val="000629FA"/>
    <w:rsid w:val="00063A16"/>
    <w:rsid w:val="00063BC4"/>
    <w:rsid w:val="000640A2"/>
    <w:rsid w:val="000653B5"/>
    <w:rsid w:val="0006577F"/>
    <w:rsid w:val="000660A6"/>
    <w:rsid w:val="00066360"/>
    <w:rsid w:val="0006693E"/>
    <w:rsid w:val="00066AF8"/>
    <w:rsid w:val="000676EF"/>
    <w:rsid w:val="00070C54"/>
    <w:rsid w:val="0007102D"/>
    <w:rsid w:val="00071248"/>
    <w:rsid w:val="000715CF"/>
    <w:rsid w:val="000720B9"/>
    <w:rsid w:val="00073480"/>
    <w:rsid w:val="000737F7"/>
    <w:rsid w:val="0007672F"/>
    <w:rsid w:val="00076B54"/>
    <w:rsid w:val="0007726D"/>
    <w:rsid w:val="000774F0"/>
    <w:rsid w:val="00077B42"/>
    <w:rsid w:val="00077E3B"/>
    <w:rsid w:val="00080909"/>
    <w:rsid w:val="000812CA"/>
    <w:rsid w:val="00081E63"/>
    <w:rsid w:val="0008258D"/>
    <w:rsid w:val="000825A0"/>
    <w:rsid w:val="00083E99"/>
    <w:rsid w:val="000845DD"/>
    <w:rsid w:val="00084FA8"/>
    <w:rsid w:val="0008556C"/>
    <w:rsid w:val="000856C5"/>
    <w:rsid w:val="00085BBE"/>
    <w:rsid w:val="00085C31"/>
    <w:rsid w:val="00087A89"/>
    <w:rsid w:val="00090293"/>
    <w:rsid w:val="000902D9"/>
    <w:rsid w:val="00090C7E"/>
    <w:rsid w:val="000911AC"/>
    <w:rsid w:val="000916D7"/>
    <w:rsid w:val="00091A4B"/>
    <w:rsid w:val="00092600"/>
    <w:rsid w:val="0009262B"/>
    <w:rsid w:val="00093310"/>
    <w:rsid w:val="0009445C"/>
    <w:rsid w:val="00094B8A"/>
    <w:rsid w:val="00095200"/>
    <w:rsid w:val="00095FD2"/>
    <w:rsid w:val="00095FE5"/>
    <w:rsid w:val="000961FB"/>
    <w:rsid w:val="00096284"/>
    <w:rsid w:val="00096AD2"/>
    <w:rsid w:val="00097658"/>
    <w:rsid w:val="00097855"/>
    <w:rsid w:val="00097F10"/>
    <w:rsid w:val="000A1BC0"/>
    <w:rsid w:val="000A21DE"/>
    <w:rsid w:val="000A2F42"/>
    <w:rsid w:val="000A2F9E"/>
    <w:rsid w:val="000A3A06"/>
    <w:rsid w:val="000A3E47"/>
    <w:rsid w:val="000A43DE"/>
    <w:rsid w:val="000A522B"/>
    <w:rsid w:val="000A5636"/>
    <w:rsid w:val="000A5959"/>
    <w:rsid w:val="000A6039"/>
    <w:rsid w:val="000A6314"/>
    <w:rsid w:val="000A7453"/>
    <w:rsid w:val="000A7D08"/>
    <w:rsid w:val="000B0121"/>
    <w:rsid w:val="000B05E9"/>
    <w:rsid w:val="000B0670"/>
    <w:rsid w:val="000B0E75"/>
    <w:rsid w:val="000B2DCB"/>
    <w:rsid w:val="000B36C2"/>
    <w:rsid w:val="000B3CB1"/>
    <w:rsid w:val="000B488A"/>
    <w:rsid w:val="000B4C19"/>
    <w:rsid w:val="000B51FC"/>
    <w:rsid w:val="000B51FF"/>
    <w:rsid w:val="000B5CE0"/>
    <w:rsid w:val="000B6CAC"/>
    <w:rsid w:val="000B72E6"/>
    <w:rsid w:val="000B7612"/>
    <w:rsid w:val="000B78AE"/>
    <w:rsid w:val="000B7F93"/>
    <w:rsid w:val="000C2440"/>
    <w:rsid w:val="000C2579"/>
    <w:rsid w:val="000C3DF9"/>
    <w:rsid w:val="000C489C"/>
    <w:rsid w:val="000C497C"/>
    <w:rsid w:val="000C4CF2"/>
    <w:rsid w:val="000C591E"/>
    <w:rsid w:val="000C5A35"/>
    <w:rsid w:val="000C6713"/>
    <w:rsid w:val="000C6D6C"/>
    <w:rsid w:val="000D0D2E"/>
    <w:rsid w:val="000D1BFC"/>
    <w:rsid w:val="000D1D5D"/>
    <w:rsid w:val="000D281A"/>
    <w:rsid w:val="000D2848"/>
    <w:rsid w:val="000D326A"/>
    <w:rsid w:val="000D3D5C"/>
    <w:rsid w:val="000D4C91"/>
    <w:rsid w:val="000D51FB"/>
    <w:rsid w:val="000D70C3"/>
    <w:rsid w:val="000D733B"/>
    <w:rsid w:val="000D7CBC"/>
    <w:rsid w:val="000E0640"/>
    <w:rsid w:val="000E135D"/>
    <w:rsid w:val="000E3893"/>
    <w:rsid w:val="000E3C10"/>
    <w:rsid w:val="000E53C2"/>
    <w:rsid w:val="000E53CE"/>
    <w:rsid w:val="000E558A"/>
    <w:rsid w:val="000E5A9B"/>
    <w:rsid w:val="000E62DB"/>
    <w:rsid w:val="000E6D9C"/>
    <w:rsid w:val="000E7C2D"/>
    <w:rsid w:val="000F00BA"/>
    <w:rsid w:val="000F0709"/>
    <w:rsid w:val="000F25B3"/>
    <w:rsid w:val="000F28FC"/>
    <w:rsid w:val="000F293E"/>
    <w:rsid w:val="000F316A"/>
    <w:rsid w:val="000F3C74"/>
    <w:rsid w:val="000F4BB8"/>
    <w:rsid w:val="000F4D4E"/>
    <w:rsid w:val="000F4FA9"/>
    <w:rsid w:val="000F53FB"/>
    <w:rsid w:val="000F5F76"/>
    <w:rsid w:val="000F7012"/>
    <w:rsid w:val="000F7127"/>
    <w:rsid w:val="000F7572"/>
    <w:rsid w:val="000F7B54"/>
    <w:rsid w:val="001000B3"/>
    <w:rsid w:val="00100F8A"/>
    <w:rsid w:val="0010194A"/>
    <w:rsid w:val="00102155"/>
    <w:rsid w:val="0010258D"/>
    <w:rsid w:val="001038DB"/>
    <w:rsid w:val="001044FA"/>
    <w:rsid w:val="0010452E"/>
    <w:rsid w:val="00105AE2"/>
    <w:rsid w:val="001060C6"/>
    <w:rsid w:val="0010639B"/>
    <w:rsid w:val="001069BC"/>
    <w:rsid w:val="00106AA4"/>
    <w:rsid w:val="00106AB0"/>
    <w:rsid w:val="00106B80"/>
    <w:rsid w:val="00107DB9"/>
    <w:rsid w:val="00110060"/>
    <w:rsid w:val="0011032E"/>
    <w:rsid w:val="00111195"/>
    <w:rsid w:val="0011124B"/>
    <w:rsid w:val="00112706"/>
    <w:rsid w:val="001129A8"/>
    <w:rsid w:val="00112D2A"/>
    <w:rsid w:val="0011338F"/>
    <w:rsid w:val="0011348B"/>
    <w:rsid w:val="00113FF5"/>
    <w:rsid w:val="001150DE"/>
    <w:rsid w:val="0011586C"/>
    <w:rsid w:val="00115982"/>
    <w:rsid w:val="00115AC0"/>
    <w:rsid w:val="00115E22"/>
    <w:rsid w:val="00116C53"/>
    <w:rsid w:val="0011712A"/>
    <w:rsid w:val="001172E6"/>
    <w:rsid w:val="00117DC8"/>
    <w:rsid w:val="00121799"/>
    <w:rsid w:val="00121F3F"/>
    <w:rsid w:val="001222FC"/>
    <w:rsid w:val="00122728"/>
    <w:rsid w:val="0012281C"/>
    <w:rsid w:val="00122A63"/>
    <w:rsid w:val="00123511"/>
    <w:rsid w:val="00123902"/>
    <w:rsid w:val="00124A51"/>
    <w:rsid w:val="00124BA1"/>
    <w:rsid w:val="0012607B"/>
    <w:rsid w:val="00126621"/>
    <w:rsid w:val="00126889"/>
    <w:rsid w:val="00126B1D"/>
    <w:rsid w:val="001301E9"/>
    <w:rsid w:val="00131CB6"/>
    <w:rsid w:val="00131D82"/>
    <w:rsid w:val="00132268"/>
    <w:rsid w:val="0013246D"/>
    <w:rsid w:val="00132B22"/>
    <w:rsid w:val="00133D36"/>
    <w:rsid w:val="001350D3"/>
    <w:rsid w:val="00136918"/>
    <w:rsid w:val="0013739B"/>
    <w:rsid w:val="0013751B"/>
    <w:rsid w:val="00137645"/>
    <w:rsid w:val="0014015A"/>
    <w:rsid w:val="00140E99"/>
    <w:rsid w:val="001429EB"/>
    <w:rsid w:val="00143838"/>
    <w:rsid w:val="00143C01"/>
    <w:rsid w:val="00143F67"/>
    <w:rsid w:val="00145234"/>
    <w:rsid w:val="00145540"/>
    <w:rsid w:val="00145597"/>
    <w:rsid w:val="001456B0"/>
    <w:rsid w:val="001471CE"/>
    <w:rsid w:val="00150DE7"/>
    <w:rsid w:val="00151E69"/>
    <w:rsid w:val="00151ECF"/>
    <w:rsid w:val="0015253B"/>
    <w:rsid w:val="001527C2"/>
    <w:rsid w:val="001547AB"/>
    <w:rsid w:val="00155A4B"/>
    <w:rsid w:val="00155D57"/>
    <w:rsid w:val="00156726"/>
    <w:rsid w:val="00156F8F"/>
    <w:rsid w:val="00157130"/>
    <w:rsid w:val="001576B1"/>
    <w:rsid w:val="0016047B"/>
    <w:rsid w:val="00160A4C"/>
    <w:rsid w:val="00160F41"/>
    <w:rsid w:val="00161187"/>
    <w:rsid w:val="001627FE"/>
    <w:rsid w:val="00162913"/>
    <w:rsid w:val="00163EFF"/>
    <w:rsid w:val="00163F66"/>
    <w:rsid w:val="0016461C"/>
    <w:rsid w:val="0016478E"/>
    <w:rsid w:val="00165EC4"/>
    <w:rsid w:val="001661FB"/>
    <w:rsid w:val="001665CF"/>
    <w:rsid w:val="00166AD5"/>
    <w:rsid w:val="00166EB4"/>
    <w:rsid w:val="001671A0"/>
    <w:rsid w:val="0016767F"/>
    <w:rsid w:val="001711D3"/>
    <w:rsid w:val="00172424"/>
    <w:rsid w:val="0017303C"/>
    <w:rsid w:val="00173565"/>
    <w:rsid w:val="00173B07"/>
    <w:rsid w:val="001751FA"/>
    <w:rsid w:val="0017523A"/>
    <w:rsid w:val="001755CA"/>
    <w:rsid w:val="0017581C"/>
    <w:rsid w:val="0017718A"/>
    <w:rsid w:val="00177D41"/>
    <w:rsid w:val="00177EEC"/>
    <w:rsid w:val="0018002D"/>
    <w:rsid w:val="00180A5D"/>
    <w:rsid w:val="001811E2"/>
    <w:rsid w:val="001816E3"/>
    <w:rsid w:val="00181C10"/>
    <w:rsid w:val="00181D9C"/>
    <w:rsid w:val="00181DF5"/>
    <w:rsid w:val="001822FA"/>
    <w:rsid w:val="001831FD"/>
    <w:rsid w:val="001837FF"/>
    <w:rsid w:val="001843F0"/>
    <w:rsid w:val="00184B0E"/>
    <w:rsid w:val="00184B2B"/>
    <w:rsid w:val="001853D4"/>
    <w:rsid w:val="00185AE6"/>
    <w:rsid w:val="00186D7B"/>
    <w:rsid w:val="0018745E"/>
    <w:rsid w:val="0018752F"/>
    <w:rsid w:val="001876B8"/>
    <w:rsid w:val="00192F84"/>
    <w:rsid w:val="00193013"/>
    <w:rsid w:val="00193743"/>
    <w:rsid w:val="00193838"/>
    <w:rsid w:val="00194AD8"/>
    <w:rsid w:val="00195222"/>
    <w:rsid w:val="00195452"/>
    <w:rsid w:val="00195A6F"/>
    <w:rsid w:val="00195FEE"/>
    <w:rsid w:val="00196420"/>
    <w:rsid w:val="001972C0"/>
    <w:rsid w:val="001975D8"/>
    <w:rsid w:val="00197F2D"/>
    <w:rsid w:val="001A0DF7"/>
    <w:rsid w:val="001A1419"/>
    <w:rsid w:val="001A178E"/>
    <w:rsid w:val="001A3D86"/>
    <w:rsid w:val="001A3E50"/>
    <w:rsid w:val="001A43FA"/>
    <w:rsid w:val="001A47AD"/>
    <w:rsid w:val="001A47C5"/>
    <w:rsid w:val="001A58A2"/>
    <w:rsid w:val="001A59FB"/>
    <w:rsid w:val="001A5E25"/>
    <w:rsid w:val="001A5E9E"/>
    <w:rsid w:val="001A6354"/>
    <w:rsid w:val="001A6366"/>
    <w:rsid w:val="001A6BFC"/>
    <w:rsid w:val="001A70D6"/>
    <w:rsid w:val="001A755A"/>
    <w:rsid w:val="001A7670"/>
    <w:rsid w:val="001A7AE8"/>
    <w:rsid w:val="001B0385"/>
    <w:rsid w:val="001B0688"/>
    <w:rsid w:val="001B0F75"/>
    <w:rsid w:val="001B204E"/>
    <w:rsid w:val="001B2372"/>
    <w:rsid w:val="001B3443"/>
    <w:rsid w:val="001B3867"/>
    <w:rsid w:val="001B3BF1"/>
    <w:rsid w:val="001B3DC4"/>
    <w:rsid w:val="001B4628"/>
    <w:rsid w:val="001B49D5"/>
    <w:rsid w:val="001B4D20"/>
    <w:rsid w:val="001B7959"/>
    <w:rsid w:val="001B7F84"/>
    <w:rsid w:val="001C1917"/>
    <w:rsid w:val="001C1B8F"/>
    <w:rsid w:val="001C2A9B"/>
    <w:rsid w:val="001C35EF"/>
    <w:rsid w:val="001C3DD6"/>
    <w:rsid w:val="001C406A"/>
    <w:rsid w:val="001C4299"/>
    <w:rsid w:val="001C464F"/>
    <w:rsid w:val="001C465E"/>
    <w:rsid w:val="001C4874"/>
    <w:rsid w:val="001C542C"/>
    <w:rsid w:val="001C55A0"/>
    <w:rsid w:val="001C574F"/>
    <w:rsid w:val="001C5F94"/>
    <w:rsid w:val="001C6576"/>
    <w:rsid w:val="001C6A08"/>
    <w:rsid w:val="001C6E66"/>
    <w:rsid w:val="001D1100"/>
    <w:rsid w:val="001D1383"/>
    <w:rsid w:val="001D1391"/>
    <w:rsid w:val="001D14E8"/>
    <w:rsid w:val="001D1783"/>
    <w:rsid w:val="001D1B54"/>
    <w:rsid w:val="001D2416"/>
    <w:rsid w:val="001D25D7"/>
    <w:rsid w:val="001D395F"/>
    <w:rsid w:val="001D3D52"/>
    <w:rsid w:val="001D4534"/>
    <w:rsid w:val="001D50B2"/>
    <w:rsid w:val="001D71F4"/>
    <w:rsid w:val="001D7645"/>
    <w:rsid w:val="001E0395"/>
    <w:rsid w:val="001E04EF"/>
    <w:rsid w:val="001E04F7"/>
    <w:rsid w:val="001E1E86"/>
    <w:rsid w:val="001E238E"/>
    <w:rsid w:val="001E2483"/>
    <w:rsid w:val="001E2B1E"/>
    <w:rsid w:val="001E2CFF"/>
    <w:rsid w:val="001E2F24"/>
    <w:rsid w:val="001E30D4"/>
    <w:rsid w:val="001E34DF"/>
    <w:rsid w:val="001E36D7"/>
    <w:rsid w:val="001E48D7"/>
    <w:rsid w:val="001E49D1"/>
    <w:rsid w:val="001E52EB"/>
    <w:rsid w:val="001E61D2"/>
    <w:rsid w:val="001E740C"/>
    <w:rsid w:val="001F04A6"/>
    <w:rsid w:val="001F09B2"/>
    <w:rsid w:val="001F1235"/>
    <w:rsid w:val="001F1CB3"/>
    <w:rsid w:val="001F28D0"/>
    <w:rsid w:val="001F305B"/>
    <w:rsid w:val="001F3156"/>
    <w:rsid w:val="001F3519"/>
    <w:rsid w:val="001F38B5"/>
    <w:rsid w:val="001F4081"/>
    <w:rsid w:val="001F4AF5"/>
    <w:rsid w:val="001F732E"/>
    <w:rsid w:val="001F7361"/>
    <w:rsid w:val="001F78ED"/>
    <w:rsid w:val="0020104C"/>
    <w:rsid w:val="002011B0"/>
    <w:rsid w:val="0020121D"/>
    <w:rsid w:val="00201661"/>
    <w:rsid w:val="00203181"/>
    <w:rsid w:val="00203783"/>
    <w:rsid w:val="002037B1"/>
    <w:rsid w:val="0020385F"/>
    <w:rsid w:val="0020394E"/>
    <w:rsid w:val="002048BE"/>
    <w:rsid w:val="00206563"/>
    <w:rsid w:val="002068A0"/>
    <w:rsid w:val="00206D10"/>
    <w:rsid w:val="00207021"/>
    <w:rsid w:val="0020732F"/>
    <w:rsid w:val="00207D00"/>
    <w:rsid w:val="0021009E"/>
    <w:rsid w:val="002105C1"/>
    <w:rsid w:val="002114C5"/>
    <w:rsid w:val="002116FD"/>
    <w:rsid w:val="002117E6"/>
    <w:rsid w:val="00211D22"/>
    <w:rsid w:val="002123A0"/>
    <w:rsid w:val="002136B9"/>
    <w:rsid w:val="00213982"/>
    <w:rsid w:val="00213EF5"/>
    <w:rsid w:val="00214822"/>
    <w:rsid w:val="00215CA0"/>
    <w:rsid w:val="00216BF5"/>
    <w:rsid w:val="00217649"/>
    <w:rsid w:val="0022076C"/>
    <w:rsid w:val="00220C4D"/>
    <w:rsid w:val="00222368"/>
    <w:rsid w:val="002225C5"/>
    <w:rsid w:val="00222A6E"/>
    <w:rsid w:val="00223100"/>
    <w:rsid w:val="00223128"/>
    <w:rsid w:val="00223277"/>
    <w:rsid w:val="00223395"/>
    <w:rsid w:val="002233A1"/>
    <w:rsid w:val="00223A4F"/>
    <w:rsid w:val="00223B49"/>
    <w:rsid w:val="00223D5A"/>
    <w:rsid w:val="00224DD4"/>
    <w:rsid w:val="00225A8E"/>
    <w:rsid w:val="00225F9B"/>
    <w:rsid w:val="00226D52"/>
    <w:rsid w:val="002278A0"/>
    <w:rsid w:val="00227940"/>
    <w:rsid w:val="0023025D"/>
    <w:rsid w:val="0023060B"/>
    <w:rsid w:val="002307B3"/>
    <w:rsid w:val="002309CC"/>
    <w:rsid w:val="00231BA9"/>
    <w:rsid w:val="0023209F"/>
    <w:rsid w:val="002323DC"/>
    <w:rsid w:val="002329CF"/>
    <w:rsid w:val="0023300D"/>
    <w:rsid w:val="00233C01"/>
    <w:rsid w:val="0023413C"/>
    <w:rsid w:val="002342D5"/>
    <w:rsid w:val="002346F0"/>
    <w:rsid w:val="0023555E"/>
    <w:rsid w:val="0023556E"/>
    <w:rsid w:val="0023629D"/>
    <w:rsid w:val="00237255"/>
    <w:rsid w:val="0024050D"/>
    <w:rsid w:val="00240EF5"/>
    <w:rsid w:val="00241305"/>
    <w:rsid w:val="002424AF"/>
    <w:rsid w:val="00242F78"/>
    <w:rsid w:val="002439DC"/>
    <w:rsid w:val="002441D2"/>
    <w:rsid w:val="00244D4E"/>
    <w:rsid w:val="00244DC8"/>
    <w:rsid w:val="00244FAA"/>
    <w:rsid w:val="002458BA"/>
    <w:rsid w:val="00245CE9"/>
    <w:rsid w:val="0024608E"/>
    <w:rsid w:val="0024636C"/>
    <w:rsid w:val="002467DA"/>
    <w:rsid w:val="00246C9E"/>
    <w:rsid w:val="00247925"/>
    <w:rsid w:val="00250935"/>
    <w:rsid w:val="00251006"/>
    <w:rsid w:val="00251177"/>
    <w:rsid w:val="002524D5"/>
    <w:rsid w:val="002525DE"/>
    <w:rsid w:val="002528F1"/>
    <w:rsid w:val="00253B1D"/>
    <w:rsid w:val="00254198"/>
    <w:rsid w:val="00254DCF"/>
    <w:rsid w:val="0025534B"/>
    <w:rsid w:val="00255BB7"/>
    <w:rsid w:val="00257541"/>
    <w:rsid w:val="00257A39"/>
    <w:rsid w:val="00257AC4"/>
    <w:rsid w:val="00257BBE"/>
    <w:rsid w:val="002605DB"/>
    <w:rsid w:val="00260FB5"/>
    <w:rsid w:val="002618A1"/>
    <w:rsid w:val="00261D56"/>
    <w:rsid w:val="00261EEF"/>
    <w:rsid w:val="00262178"/>
    <w:rsid w:val="00262A1A"/>
    <w:rsid w:val="00262A3F"/>
    <w:rsid w:val="00262A87"/>
    <w:rsid w:val="00262B5A"/>
    <w:rsid w:val="002630A2"/>
    <w:rsid w:val="00263DB8"/>
    <w:rsid w:val="00264D26"/>
    <w:rsid w:val="00264EE7"/>
    <w:rsid w:val="002660BF"/>
    <w:rsid w:val="00266853"/>
    <w:rsid w:val="00266B11"/>
    <w:rsid w:val="00267642"/>
    <w:rsid w:val="00267AEA"/>
    <w:rsid w:val="00267BC7"/>
    <w:rsid w:val="00267E54"/>
    <w:rsid w:val="00267EEE"/>
    <w:rsid w:val="002700E6"/>
    <w:rsid w:val="00270146"/>
    <w:rsid w:val="002701B7"/>
    <w:rsid w:val="00271560"/>
    <w:rsid w:val="0027294B"/>
    <w:rsid w:val="00272CAE"/>
    <w:rsid w:val="00273EB4"/>
    <w:rsid w:val="00274682"/>
    <w:rsid w:val="00274B2A"/>
    <w:rsid w:val="00274B6C"/>
    <w:rsid w:val="00275158"/>
    <w:rsid w:val="002753BE"/>
    <w:rsid w:val="00275C5A"/>
    <w:rsid w:val="002760A3"/>
    <w:rsid w:val="002771F2"/>
    <w:rsid w:val="00277B48"/>
    <w:rsid w:val="002801CF"/>
    <w:rsid w:val="0028022A"/>
    <w:rsid w:val="0028052E"/>
    <w:rsid w:val="00280B9D"/>
    <w:rsid w:val="00280C1D"/>
    <w:rsid w:val="00281014"/>
    <w:rsid w:val="00281ECD"/>
    <w:rsid w:val="00281FEA"/>
    <w:rsid w:val="0028520B"/>
    <w:rsid w:val="00285BCE"/>
    <w:rsid w:val="00285DEB"/>
    <w:rsid w:val="00285FE0"/>
    <w:rsid w:val="0028659F"/>
    <w:rsid w:val="0028665D"/>
    <w:rsid w:val="00286686"/>
    <w:rsid w:val="00286B0B"/>
    <w:rsid w:val="00286E53"/>
    <w:rsid w:val="0029071A"/>
    <w:rsid w:val="00290785"/>
    <w:rsid w:val="002924AB"/>
    <w:rsid w:val="002929FE"/>
    <w:rsid w:val="00292CF1"/>
    <w:rsid w:val="00294637"/>
    <w:rsid w:val="00297643"/>
    <w:rsid w:val="00297E45"/>
    <w:rsid w:val="002A06F5"/>
    <w:rsid w:val="002A07A1"/>
    <w:rsid w:val="002A082A"/>
    <w:rsid w:val="002A14AB"/>
    <w:rsid w:val="002A2003"/>
    <w:rsid w:val="002A2922"/>
    <w:rsid w:val="002A2ADE"/>
    <w:rsid w:val="002A2F50"/>
    <w:rsid w:val="002A447C"/>
    <w:rsid w:val="002A4FE8"/>
    <w:rsid w:val="002A5F7B"/>
    <w:rsid w:val="002A615F"/>
    <w:rsid w:val="002A771B"/>
    <w:rsid w:val="002A7943"/>
    <w:rsid w:val="002A7B0E"/>
    <w:rsid w:val="002B02E4"/>
    <w:rsid w:val="002B05A1"/>
    <w:rsid w:val="002B09A4"/>
    <w:rsid w:val="002B1C1F"/>
    <w:rsid w:val="002B253E"/>
    <w:rsid w:val="002B2B52"/>
    <w:rsid w:val="002B3884"/>
    <w:rsid w:val="002B432F"/>
    <w:rsid w:val="002B4373"/>
    <w:rsid w:val="002B4B73"/>
    <w:rsid w:val="002B5030"/>
    <w:rsid w:val="002B5EE4"/>
    <w:rsid w:val="002B62B3"/>
    <w:rsid w:val="002B62C1"/>
    <w:rsid w:val="002B6754"/>
    <w:rsid w:val="002B6CCE"/>
    <w:rsid w:val="002B6FE4"/>
    <w:rsid w:val="002C1A9F"/>
    <w:rsid w:val="002C2510"/>
    <w:rsid w:val="002C2775"/>
    <w:rsid w:val="002C27C1"/>
    <w:rsid w:val="002C33CD"/>
    <w:rsid w:val="002C36E3"/>
    <w:rsid w:val="002C5099"/>
    <w:rsid w:val="002C5889"/>
    <w:rsid w:val="002C6C25"/>
    <w:rsid w:val="002C71CE"/>
    <w:rsid w:val="002C7674"/>
    <w:rsid w:val="002D0216"/>
    <w:rsid w:val="002D08F8"/>
    <w:rsid w:val="002D1BB1"/>
    <w:rsid w:val="002D48B0"/>
    <w:rsid w:val="002D4D4E"/>
    <w:rsid w:val="002D577C"/>
    <w:rsid w:val="002D65ED"/>
    <w:rsid w:val="002D68E0"/>
    <w:rsid w:val="002D742C"/>
    <w:rsid w:val="002D7832"/>
    <w:rsid w:val="002E0C1B"/>
    <w:rsid w:val="002E0F13"/>
    <w:rsid w:val="002E1071"/>
    <w:rsid w:val="002E15B9"/>
    <w:rsid w:val="002E1A42"/>
    <w:rsid w:val="002E2158"/>
    <w:rsid w:val="002E2219"/>
    <w:rsid w:val="002E2BB5"/>
    <w:rsid w:val="002E3E84"/>
    <w:rsid w:val="002E4092"/>
    <w:rsid w:val="002E4F02"/>
    <w:rsid w:val="002E505A"/>
    <w:rsid w:val="002E5B49"/>
    <w:rsid w:val="002E5C76"/>
    <w:rsid w:val="002E5DE0"/>
    <w:rsid w:val="002E69B9"/>
    <w:rsid w:val="002E7512"/>
    <w:rsid w:val="002E7722"/>
    <w:rsid w:val="002F07BA"/>
    <w:rsid w:val="002F0AFA"/>
    <w:rsid w:val="002F0DA9"/>
    <w:rsid w:val="002F1014"/>
    <w:rsid w:val="002F1E3B"/>
    <w:rsid w:val="002F2A8A"/>
    <w:rsid w:val="002F2AA2"/>
    <w:rsid w:val="002F643C"/>
    <w:rsid w:val="002F71C0"/>
    <w:rsid w:val="002F7359"/>
    <w:rsid w:val="002F743D"/>
    <w:rsid w:val="002F74F1"/>
    <w:rsid w:val="00300A99"/>
    <w:rsid w:val="00301017"/>
    <w:rsid w:val="0030155F"/>
    <w:rsid w:val="0030213A"/>
    <w:rsid w:val="00302168"/>
    <w:rsid w:val="003021D5"/>
    <w:rsid w:val="003053C8"/>
    <w:rsid w:val="00305684"/>
    <w:rsid w:val="0030587B"/>
    <w:rsid w:val="003069E1"/>
    <w:rsid w:val="00306D98"/>
    <w:rsid w:val="00306F2F"/>
    <w:rsid w:val="0030786C"/>
    <w:rsid w:val="0031031A"/>
    <w:rsid w:val="00310981"/>
    <w:rsid w:val="0031117D"/>
    <w:rsid w:val="00311D9B"/>
    <w:rsid w:val="003124D9"/>
    <w:rsid w:val="00312594"/>
    <w:rsid w:val="003128A5"/>
    <w:rsid w:val="00312B9E"/>
    <w:rsid w:val="0031305E"/>
    <w:rsid w:val="003134C8"/>
    <w:rsid w:val="00313582"/>
    <w:rsid w:val="003136D9"/>
    <w:rsid w:val="0031443B"/>
    <w:rsid w:val="00314955"/>
    <w:rsid w:val="00314EE5"/>
    <w:rsid w:val="00315498"/>
    <w:rsid w:val="00316474"/>
    <w:rsid w:val="00316608"/>
    <w:rsid w:val="00316669"/>
    <w:rsid w:val="00316E0F"/>
    <w:rsid w:val="00320066"/>
    <w:rsid w:val="00320132"/>
    <w:rsid w:val="00321CA4"/>
    <w:rsid w:val="00322107"/>
    <w:rsid w:val="00322155"/>
    <w:rsid w:val="00322355"/>
    <w:rsid w:val="003225CF"/>
    <w:rsid w:val="00322846"/>
    <w:rsid w:val="00324DA1"/>
    <w:rsid w:val="00324EE8"/>
    <w:rsid w:val="003253C4"/>
    <w:rsid w:val="00325DA4"/>
    <w:rsid w:val="00326A69"/>
    <w:rsid w:val="00326DA7"/>
    <w:rsid w:val="003270E4"/>
    <w:rsid w:val="0033008A"/>
    <w:rsid w:val="0033075A"/>
    <w:rsid w:val="00330974"/>
    <w:rsid w:val="00330DAA"/>
    <w:rsid w:val="00330F5C"/>
    <w:rsid w:val="003325CB"/>
    <w:rsid w:val="003331CD"/>
    <w:rsid w:val="00333FEB"/>
    <w:rsid w:val="00334927"/>
    <w:rsid w:val="003366C9"/>
    <w:rsid w:val="00336809"/>
    <w:rsid w:val="003371B0"/>
    <w:rsid w:val="00337437"/>
    <w:rsid w:val="003379D4"/>
    <w:rsid w:val="00340586"/>
    <w:rsid w:val="00340B4A"/>
    <w:rsid w:val="00340DF1"/>
    <w:rsid w:val="003418EB"/>
    <w:rsid w:val="00342693"/>
    <w:rsid w:val="00342874"/>
    <w:rsid w:val="00344D71"/>
    <w:rsid w:val="00345292"/>
    <w:rsid w:val="00346A10"/>
    <w:rsid w:val="00347669"/>
    <w:rsid w:val="003478C0"/>
    <w:rsid w:val="00347AC4"/>
    <w:rsid w:val="003506BF"/>
    <w:rsid w:val="003517F9"/>
    <w:rsid w:val="00351BA9"/>
    <w:rsid w:val="00352786"/>
    <w:rsid w:val="00352C2F"/>
    <w:rsid w:val="00353E2C"/>
    <w:rsid w:val="00353F8F"/>
    <w:rsid w:val="00354142"/>
    <w:rsid w:val="0035454A"/>
    <w:rsid w:val="0035482A"/>
    <w:rsid w:val="00354F64"/>
    <w:rsid w:val="00355141"/>
    <w:rsid w:val="00355BD5"/>
    <w:rsid w:val="003561E4"/>
    <w:rsid w:val="0035620E"/>
    <w:rsid w:val="003575BE"/>
    <w:rsid w:val="003579C4"/>
    <w:rsid w:val="00357C56"/>
    <w:rsid w:val="00357D9C"/>
    <w:rsid w:val="00360345"/>
    <w:rsid w:val="003612D3"/>
    <w:rsid w:val="00361A05"/>
    <w:rsid w:val="00362262"/>
    <w:rsid w:val="003624C4"/>
    <w:rsid w:val="00362878"/>
    <w:rsid w:val="0036289A"/>
    <w:rsid w:val="00363AAB"/>
    <w:rsid w:val="00363B00"/>
    <w:rsid w:val="00363D6F"/>
    <w:rsid w:val="003654AC"/>
    <w:rsid w:val="0036569C"/>
    <w:rsid w:val="00365F61"/>
    <w:rsid w:val="00367B8D"/>
    <w:rsid w:val="003707FD"/>
    <w:rsid w:val="003710CF"/>
    <w:rsid w:val="0037358A"/>
    <w:rsid w:val="003737EB"/>
    <w:rsid w:val="003744B6"/>
    <w:rsid w:val="003745D7"/>
    <w:rsid w:val="00374CF6"/>
    <w:rsid w:val="003750F6"/>
    <w:rsid w:val="003760FC"/>
    <w:rsid w:val="0037721B"/>
    <w:rsid w:val="00377A1D"/>
    <w:rsid w:val="003832D5"/>
    <w:rsid w:val="0038365C"/>
    <w:rsid w:val="0038369B"/>
    <w:rsid w:val="00383B78"/>
    <w:rsid w:val="0038407B"/>
    <w:rsid w:val="00385A9D"/>
    <w:rsid w:val="00386201"/>
    <w:rsid w:val="00386362"/>
    <w:rsid w:val="00386B5C"/>
    <w:rsid w:val="00387121"/>
    <w:rsid w:val="003902B1"/>
    <w:rsid w:val="003907B5"/>
    <w:rsid w:val="0039179C"/>
    <w:rsid w:val="00391A94"/>
    <w:rsid w:val="00392105"/>
    <w:rsid w:val="0039278F"/>
    <w:rsid w:val="00393960"/>
    <w:rsid w:val="00393FF1"/>
    <w:rsid w:val="00395807"/>
    <w:rsid w:val="00395B0C"/>
    <w:rsid w:val="00396896"/>
    <w:rsid w:val="00396FD0"/>
    <w:rsid w:val="003971A2"/>
    <w:rsid w:val="00397B77"/>
    <w:rsid w:val="00397DF9"/>
    <w:rsid w:val="003A1099"/>
    <w:rsid w:val="003A1A7A"/>
    <w:rsid w:val="003A2392"/>
    <w:rsid w:val="003A26AB"/>
    <w:rsid w:val="003A2831"/>
    <w:rsid w:val="003A30FF"/>
    <w:rsid w:val="003A3CB6"/>
    <w:rsid w:val="003A3ED1"/>
    <w:rsid w:val="003A44DB"/>
    <w:rsid w:val="003A4C14"/>
    <w:rsid w:val="003A50E5"/>
    <w:rsid w:val="003A5365"/>
    <w:rsid w:val="003A59B4"/>
    <w:rsid w:val="003A6593"/>
    <w:rsid w:val="003A68CF"/>
    <w:rsid w:val="003B091B"/>
    <w:rsid w:val="003B0CB1"/>
    <w:rsid w:val="003B1396"/>
    <w:rsid w:val="003B1FFF"/>
    <w:rsid w:val="003B20DB"/>
    <w:rsid w:val="003B2381"/>
    <w:rsid w:val="003B326D"/>
    <w:rsid w:val="003B3971"/>
    <w:rsid w:val="003B3A6A"/>
    <w:rsid w:val="003B55D1"/>
    <w:rsid w:val="003B59FE"/>
    <w:rsid w:val="003B5B61"/>
    <w:rsid w:val="003B6532"/>
    <w:rsid w:val="003B7219"/>
    <w:rsid w:val="003C0266"/>
    <w:rsid w:val="003C0271"/>
    <w:rsid w:val="003C0581"/>
    <w:rsid w:val="003C1654"/>
    <w:rsid w:val="003C16F0"/>
    <w:rsid w:val="003C1A9E"/>
    <w:rsid w:val="003C1CAD"/>
    <w:rsid w:val="003C1F52"/>
    <w:rsid w:val="003C26EC"/>
    <w:rsid w:val="003C2865"/>
    <w:rsid w:val="003C2A50"/>
    <w:rsid w:val="003C2FDC"/>
    <w:rsid w:val="003C321E"/>
    <w:rsid w:val="003C4D88"/>
    <w:rsid w:val="003C5542"/>
    <w:rsid w:val="003C58B9"/>
    <w:rsid w:val="003C64C8"/>
    <w:rsid w:val="003C6685"/>
    <w:rsid w:val="003C6C79"/>
    <w:rsid w:val="003C7C15"/>
    <w:rsid w:val="003C7D19"/>
    <w:rsid w:val="003C7D2F"/>
    <w:rsid w:val="003D0C5A"/>
    <w:rsid w:val="003D0C9A"/>
    <w:rsid w:val="003D0E5B"/>
    <w:rsid w:val="003D180B"/>
    <w:rsid w:val="003D1828"/>
    <w:rsid w:val="003D1AB4"/>
    <w:rsid w:val="003D1DE4"/>
    <w:rsid w:val="003D1E9A"/>
    <w:rsid w:val="003D2422"/>
    <w:rsid w:val="003D39A1"/>
    <w:rsid w:val="003D3FBF"/>
    <w:rsid w:val="003D438E"/>
    <w:rsid w:val="003D4A30"/>
    <w:rsid w:val="003D5DC6"/>
    <w:rsid w:val="003D69D4"/>
    <w:rsid w:val="003D7452"/>
    <w:rsid w:val="003D79BB"/>
    <w:rsid w:val="003D7C98"/>
    <w:rsid w:val="003D7D9D"/>
    <w:rsid w:val="003E005F"/>
    <w:rsid w:val="003E0543"/>
    <w:rsid w:val="003E242E"/>
    <w:rsid w:val="003E28D1"/>
    <w:rsid w:val="003E2C1F"/>
    <w:rsid w:val="003E2C30"/>
    <w:rsid w:val="003E2C39"/>
    <w:rsid w:val="003E394F"/>
    <w:rsid w:val="003E4242"/>
    <w:rsid w:val="003E4457"/>
    <w:rsid w:val="003E4F0D"/>
    <w:rsid w:val="003E53CB"/>
    <w:rsid w:val="003E5603"/>
    <w:rsid w:val="003E59F1"/>
    <w:rsid w:val="003E66D4"/>
    <w:rsid w:val="003E749E"/>
    <w:rsid w:val="003E7939"/>
    <w:rsid w:val="003E7986"/>
    <w:rsid w:val="003F0946"/>
    <w:rsid w:val="003F0F9D"/>
    <w:rsid w:val="003F122E"/>
    <w:rsid w:val="003F1861"/>
    <w:rsid w:val="003F4156"/>
    <w:rsid w:val="003F41D9"/>
    <w:rsid w:val="003F4629"/>
    <w:rsid w:val="003F4E2F"/>
    <w:rsid w:val="003F4E78"/>
    <w:rsid w:val="003F5ADF"/>
    <w:rsid w:val="003F5AFD"/>
    <w:rsid w:val="003F5F22"/>
    <w:rsid w:val="003F6221"/>
    <w:rsid w:val="003F63F8"/>
    <w:rsid w:val="003F6A2C"/>
    <w:rsid w:val="003F7DAC"/>
    <w:rsid w:val="00400B29"/>
    <w:rsid w:val="00401956"/>
    <w:rsid w:val="00401FD8"/>
    <w:rsid w:val="00402812"/>
    <w:rsid w:val="00402B07"/>
    <w:rsid w:val="0040377D"/>
    <w:rsid w:val="00403BA1"/>
    <w:rsid w:val="00405044"/>
    <w:rsid w:val="0040504B"/>
    <w:rsid w:val="004059F4"/>
    <w:rsid w:val="00405D39"/>
    <w:rsid w:val="00406045"/>
    <w:rsid w:val="004078D2"/>
    <w:rsid w:val="00407FE5"/>
    <w:rsid w:val="00410063"/>
    <w:rsid w:val="004101B0"/>
    <w:rsid w:val="00410326"/>
    <w:rsid w:val="00410708"/>
    <w:rsid w:val="00410EC7"/>
    <w:rsid w:val="00411B39"/>
    <w:rsid w:val="004127A7"/>
    <w:rsid w:val="00413037"/>
    <w:rsid w:val="0041314E"/>
    <w:rsid w:val="004135B7"/>
    <w:rsid w:val="00413A1E"/>
    <w:rsid w:val="00414476"/>
    <w:rsid w:val="00414C2E"/>
    <w:rsid w:val="004151CF"/>
    <w:rsid w:val="00415D5C"/>
    <w:rsid w:val="00416364"/>
    <w:rsid w:val="004164AE"/>
    <w:rsid w:val="004167D7"/>
    <w:rsid w:val="00416BD6"/>
    <w:rsid w:val="00417E16"/>
    <w:rsid w:val="00417EA4"/>
    <w:rsid w:val="0042047F"/>
    <w:rsid w:val="00420AA6"/>
    <w:rsid w:val="00420B9F"/>
    <w:rsid w:val="004211F5"/>
    <w:rsid w:val="00421271"/>
    <w:rsid w:val="00421808"/>
    <w:rsid w:val="0042192C"/>
    <w:rsid w:val="00421DEF"/>
    <w:rsid w:val="00422260"/>
    <w:rsid w:val="0042413F"/>
    <w:rsid w:val="00424473"/>
    <w:rsid w:val="00424F7E"/>
    <w:rsid w:val="00426141"/>
    <w:rsid w:val="004264A0"/>
    <w:rsid w:val="0042693A"/>
    <w:rsid w:val="00426D50"/>
    <w:rsid w:val="00427D1F"/>
    <w:rsid w:val="004304C1"/>
    <w:rsid w:val="00431751"/>
    <w:rsid w:val="00431784"/>
    <w:rsid w:val="004319F8"/>
    <w:rsid w:val="00431E55"/>
    <w:rsid w:val="004321F6"/>
    <w:rsid w:val="004323C6"/>
    <w:rsid w:val="00432A0F"/>
    <w:rsid w:val="00433044"/>
    <w:rsid w:val="0043344F"/>
    <w:rsid w:val="00433B4D"/>
    <w:rsid w:val="00434088"/>
    <w:rsid w:val="0043447D"/>
    <w:rsid w:val="00435017"/>
    <w:rsid w:val="004351FC"/>
    <w:rsid w:val="004363D1"/>
    <w:rsid w:val="00436572"/>
    <w:rsid w:val="004375B9"/>
    <w:rsid w:val="0044187F"/>
    <w:rsid w:val="004428D0"/>
    <w:rsid w:val="00443B6E"/>
    <w:rsid w:val="00444185"/>
    <w:rsid w:val="004443A7"/>
    <w:rsid w:val="0044442C"/>
    <w:rsid w:val="004446B8"/>
    <w:rsid w:val="00445941"/>
    <w:rsid w:val="00446463"/>
    <w:rsid w:val="004464EB"/>
    <w:rsid w:val="00447096"/>
    <w:rsid w:val="00447D26"/>
    <w:rsid w:val="00447DFC"/>
    <w:rsid w:val="00451EC0"/>
    <w:rsid w:val="00452EFB"/>
    <w:rsid w:val="00452F48"/>
    <w:rsid w:val="0045420E"/>
    <w:rsid w:val="0045458C"/>
    <w:rsid w:val="00454618"/>
    <w:rsid w:val="004549C4"/>
    <w:rsid w:val="00455869"/>
    <w:rsid w:val="00455D45"/>
    <w:rsid w:val="00461255"/>
    <w:rsid w:val="004621B4"/>
    <w:rsid w:val="00462378"/>
    <w:rsid w:val="004623A1"/>
    <w:rsid w:val="004634FC"/>
    <w:rsid w:val="00464595"/>
    <w:rsid w:val="004652B7"/>
    <w:rsid w:val="0046552E"/>
    <w:rsid w:val="004657C7"/>
    <w:rsid w:val="004658B5"/>
    <w:rsid w:val="00467C26"/>
    <w:rsid w:val="00467D74"/>
    <w:rsid w:val="004707AB"/>
    <w:rsid w:val="00470CA6"/>
    <w:rsid w:val="00471EA5"/>
    <w:rsid w:val="0047201F"/>
    <w:rsid w:val="00472A79"/>
    <w:rsid w:val="0047365C"/>
    <w:rsid w:val="00473F19"/>
    <w:rsid w:val="0047421B"/>
    <w:rsid w:val="00474B9A"/>
    <w:rsid w:val="00475445"/>
    <w:rsid w:val="00475785"/>
    <w:rsid w:val="00475E22"/>
    <w:rsid w:val="004805D8"/>
    <w:rsid w:val="0048088E"/>
    <w:rsid w:val="00480B56"/>
    <w:rsid w:val="00480F2B"/>
    <w:rsid w:val="0048133F"/>
    <w:rsid w:val="00481A84"/>
    <w:rsid w:val="00481EB4"/>
    <w:rsid w:val="00481F66"/>
    <w:rsid w:val="00482720"/>
    <w:rsid w:val="004835E7"/>
    <w:rsid w:val="0048385C"/>
    <w:rsid w:val="00483B73"/>
    <w:rsid w:val="004852B1"/>
    <w:rsid w:val="004859E1"/>
    <w:rsid w:val="00485F52"/>
    <w:rsid w:val="00485F88"/>
    <w:rsid w:val="00486432"/>
    <w:rsid w:val="004867E2"/>
    <w:rsid w:val="00486B1D"/>
    <w:rsid w:val="0048740D"/>
    <w:rsid w:val="00487838"/>
    <w:rsid w:val="00490B17"/>
    <w:rsid w:val="00491789"/>
    <w:rsid w:val="00491B3A"/>
    <w:rsid w:val="00492969"/>
    <w:rsid w:val="00492CFD"/>
    <w:rsid w:val="00493125"/>
    <w:rsid w:val="00493E45"/>
    <w:rsid w:val="00494207"/>
    <w:rsid w:val="00494B7A"/>
    <w:rsid w:val="00494DD5"/>
    <w:rsid w:val="00495122"/>
    <w:rsid w:val="00495DA7"/>
    <w:rsid w:val="00495E35"/>
    <w:rsid w:val="004962D2"/>
    <w:rsid w:val="00497984"/>
    <w:rsid w:val="004A0DA1"/>
    <w:rsid w:val="004A13D6"/>
    <w:rsid w:val="004A15B9"/>
    <w:rsid w:val="004A17FA"/>
    <w:rsid w:val="004A18D8"/>
    <w:rsid w:val="004A2010"/>
    <w:rsid w:val="004A2317"/>
    <w:rsid w:val="004A2827"/>
    <w:rsid w:val="004A303A"/>
    <w:rsid w:val="004A52E9"/>
    <w:rsid w:val="004A5BBC"/>
    <w:rsid w:val="004A5E48"/>
    <w:rsid w:val="004A5F51"/>
    <w:rsid w:val="004A6040"/>
    <w:rsid w:val="004A644C"/>
    <w:rsid w:val="004A6597"/>
    <w:rsid w:val="004A72FC"/>
    <w:rsid w:val="004A7848"/>
    <w:rsid w:val="004A793B"/>
    <w:rsid w:val="004A7AB8"/>
    <w:rsid w:val="004B0176"/>
    <w:rsid w:val="004B1875"/>
    <w:rsid w:val="004B1CB4"/>
    <w:rsid w:val="004B2548"/>
    <w:rsid w:val="004B2F18"/>
    <w:rsid w:val="004B3A67"/>
    <w:rsid w:val="004B3B85"/>
    <w:rsid w:val="004B3DDB"/>
    <w:rsid w:val="004B44FD"/>
    <w:rsid w:val="004B4921"/>
    <w:rsid w:val="004B53B7"/>
    <w:rsid w:val="004B5993"/>
    <w:rsid w:val="004B5CFC"/>
    <w:rsid w:val="004B5E18"/>
    <w:rsid w:val="004B658A"/>
    <w:rsid w:val="004B6F79"/>
    <w:rsid w:val="004B774D"/>
    <w:rsid w:val="004B77A7"/>
    <w:rsid w:val="004B7A3C"/>
    <w:rsid w:val="004C0BCF"/>
    <w:rsid w:val="004C2AC2"/>
    <w:rsid w:val="004C4AED"/>
    <w:rsid w:val="004C5CEC"/>
    <w:rsid w:val="004C66EE"/>
    <w:rsid w:val="004C7589"/>
    <w:rsid w:val="004D013A"/>
    <w:rsid w:val="004D0CD0"/>
    <w:rsid w:val="004D0E81"/>
    <w:rsid w:val="004D1AD9"/>
    <w:rsid w:val="004D1FF7"/>
    <w:rsid w:val="004D22A4"/>
    <w:rsid w:val="004D22CD"/>
    <w:rsid w:val="004D2BF5"/>
    <w:rsid w:val="004D2C2D"/>
    <w:rsid w:val="004D3714"/>
    <w:rsid w:val="004D3CA4"/>
    <w:rsid w:val="004D4304"/>
    <w:rsid w:val="004D4E97"/>
    <w:rsid w:val="004D5542"/>
    <w:rsid w:val="004D565D"/>
    <w:rsid w:val="004D6841"/>
    <w:rsid w:val="004D69B5"/>
    <w:rsid w:val="004D7227"/>
    <w:rsid w:val="004D7B5E"/>
    <w:rsid w:val="004D7D18"/>
    <w:rsid w:val="004D7FDB"/>
    <w:rsid w:val="004E0DEF"/>
    <w:rsid w:val="004E0E7F"/>
    <w:rsid w:val="004E0EB8"/>
    <w:rsid w:val="004E18E9"/>
    <w:rsid w:val="004E2ADC"/>
    <w:rsid w:val="004E2DB4"/>
    <w:rsid w:val="004E35CE"/>
    <w:rsid w:val="004E36C8"/>
    <w:rsid w:val="004E36F2"/>
    <w:rsid w:val="004E3D9C"/>
    <w:rsid w:val="004E3DF5"/>
    <w:rsid w:val="004E43B2"/>
    <w:rsid w:val="004E4F0B"/>
    <w:rsid w:val="004E59D2"/>
    <w:rsid w:val="004E6B05"/>
    <w:rsid w:val="004E6BDA"/>
    <w:rsid w:val="004E6EF8"/>
    <w:rsid w:val="004E768C"/>
    <w:rsid w:val="004F0EDD"/>
    <w:rsid w:val="004F1A9C"/>
    <w:rsid w:val="004F1C69"/>
    <w:rsid w:val="004F1CB7"/>
    <w:rsid w:val="004F1D02"/>
    <w:rsid w:val="004F200E"/>
    <w:rsid w:val="004F2679"/>
    <w:rsid w:val="004F28C8"/>
    <w:rsid w:val="004F2D3C"/>
    <w:rsid w:val="004F2D85"/>
    <w:rsid w:val="004F2F21"/>
    <w:rsid w:val="004F3DE5"/>
    <w:rsid w:val="004F4390"/>
    <w:rsid w:val="004F44B2"/>
    <w:rsid w:val="004F44E7"/>
    <w:rsid w:val="004F5667"/>
    <w:rsid w:val="004F5953"/>
    <w:rsid w:val="004F5DC5"/>
    <w:rsid w:val="004F6913"/>
    <w:rsid w:val="004F74BF"/>
    <w:rsid w:val="004F7865"/>
    <w:rsid w:val="004F7AA1"/>
    <w:rsid w:val="00500CBA"/>
    <w:rsid w:val="0050174E"/>
    <w:rsid w:val="00501854"/>
    <w:rsid w:val="0050219B"/>
    <w:rsid w:val="00502FE6"/>
    <w:rsid w:val="00503F17"/>
    <w:rsid w:val="00503F3A"/>
    <w:rsid w:val="00504FD4"/>
    <w:rsid w:val="00505F69"/>
    <w:rsid w:val="00506928"/>
    <w:rsid w:val="00507102"/>
    <w:rsid w:val="005077EF"/>
    <w:rsid w:val="00507A88"/>
    <w:rsid w:val="00507B8F"/>
    <w:rsid w:val="00507E7F"/>
    <w:rsid w:val="00510BB9"/>
    <w:rsid w:val="00511AD5"/>
    <w:rsid w:val="00511B19"/>
    <w:rsid w:val="00511DC7"/>
    <w:rsid w:val="00512CAB"/>
    <w:rsid w:val="00512FFB"/>
    <w:rsid w:val="00513512"/>
    <w:rsid w:val="005138DD"/>
    <w:rsid w:val="005142C5"/>
    <w:rsid w:val="00514EFA"/>
    <w:rsid w:val="0051501B"/>
    <w:rsid w:val="005152B5"/>
    <w:rsid w:val="00515886"/>
    <w:rsid w:val="00515A2D"/>
    <w:rsid w:val="0052123C"/>
    <w:rsid w:val="00521319"/>
    <w:rsid w:val="00522BC8"/>
    <w:rsid w:val="005233BC"/>
    <w:rsid w:val="00523ABB"/>
    <w:rsid w:val="00523C28"/>
    <w:rsid w:val="005241AF"/>
    <w:rsid w:val="00524F23"/>
    <w:rsid w:val="00525387"/>
    <w:rsid w:val="005261B3"/>
    <w:rsid w:val="005264F8"/>
    <w:rsid w:val="005270D9"/>
    <w:rsid w:val="005271A3"/>
    <w:rsid w:val="00527B61"/>
    <w:rsid w:val="0053046E"/>
    <w:rsid w:val="00530E36"/>
    <w:rsid w:val="0053161C"/>
    <w:rsid w:val="0053176B"/>
    <w:rsid w:val="00532EA1"/>
    <w:rsid w:val="00533DED"/>
    <w:rsid w:val="005341B3"/>
    <w:rsid w:val="005344D4"/>
    <w:rsid w:val="005369A2"/>
    <w:rsid w:val="00536F42"/>
    <w:rsid w:val="00537182"/>
    <w:rsid w:val="00537A5B"/>
    <w:rsid w:val="005402A9"/>
    <w:rsid w:val="005403CC"/>
    <w:rsid w:val="005404A3"/>
    <w:rsid w:val="00540C82"/>
    <w:rsid w:val="00541492"/>
    <w:rsid w:val="005415AF"/>
    <w:rsid w:val="00541B2B"/>
    <w:rsid w:val="00541EDD"/>
    <w:rsid w:val="00542018"/>
    <w:rsid w:val="00542743"/>
    <w:rsid w:val="00542C2D"/>
    <w:rsid w:val="0054316E"/>
    <w:rsid w:val="00543C42"/>
    <w:rsid w:val="00543CFF"/>
    <w:rsid w:val="005442CC"/>
    <w:rsid w:val="005443D4"/>
    <w:rsid w:val="00546AD5"/>
    <w:rsid w:val="00546CF5"/>
    <w:rsid w:val="005476EF"/>
    <w:rsid w:val="005478BD"/>
    <w:rsid w:val="005479E3"/>
    <w:rsid w:val="00550E22"/>
    <w:rsid w:val="00551700"/>
    <w:rsid w:val="00551985"/>
    <w:rsid w:val="00551BA6"/>
    <w:rsid w:val="0055246D"/>
    <w:rsid w:val="00552A5B"/>
    <w:rsid w:val="00552BD3"/>
    <w:rsid w:val="005532A0"/>
    <w:rsid w:val="00555109"/>
    <w:rsid w:val="005558EB"/>
    <w:rsid w:val="0055687D"/>
    <w:rsid w:val="00556B35"/>
    <w:rsid w:val="005570EC"/>
    <w:rsid w:val="00557332"/>
    <w:rsid w:val="0055741A"/>
    <w:rsid w:val="005574CA"/>
    <w:rsid w:val="00560019"/>
    <w:rsid w:val="0056051A"/>
    <w:rsid w:val="00561147"/>
    <w:rsid w:val="005611B7"/>
    <w:rsid w:val="005618D4"/>
    <w:rsid w:val="00562E27"/>
    <w:rsid w:val="00564867"/>
    <w:rsid w:val="00564881"/>
    <w:rsid w:val="005652B3"/>
    <w:rsid w:val="00565457"/>
    <w:rsid w:val="00565C79"/>
    <w:rsid w:val="00565DD3"/>
    <w:rsid w:val="00565DF0"/>
    <w:rsid w:val="00566154"/>
    <w:rsid w:val="00566793"/>
    <w:rsid w:val="0056696F"/>
    <w:rsid w:val="00566CB1"/>
    <w:rsid w:val="00570ADB"/>
    <w:rsid w:val="00570E1C"/>
    <w:rsid w:val="00570E4E"/>
    <w:rsid w:val="00571865"/>
    <w:rsid w:val="00572269"/>
    <w:rsid w:val="005723E7"/>
    <w:rsid w:val="0057244A"/>
    <w:rsid w:val="00572BDD"/>
    <w:rsid w:val="00572F26"/>
    <w:rsid w:val="005750C5"/>
    <w:rsid w:val="005752DE"/>
    <w:rsid w:val="005759A7"/>
    <w:rsid w:val="00575D60"/>
    <w:rsid w:val="00575D8D"/>
    <w:rsid w:val="00576972"/>
    <w:rsid w:val="00577248"/>
    <w:rsid w:val="00577AA3"/>
    <w:rsid w:val="0058171B"/>
    <w:rsid w:val="00582ABF"/>
    <w:rsid w:val="00583699"/>
    <w:rsid w:val="00584038"/>
    <w:rsid w:val="005844CE"/>
    <w:rsid w:val="005857EC"/>
    <w:rsid w:val="005857F3"/>
    <w:rsid w:val="00585917"/>
    <w:rsid w:val="00585CDD"/>
    <w:rsid w:val="0058612B"/>
    <w:rsid w:val="00586594"/>
    <w:rsid w:val="00587058"/>
    <w:rsid w:val="00591957"/>
    <w:rsid w:val="00592BBF"/>
    <w:rsid w:val="005932E9"/>
    <w:rsid w:val="00593A9A"/>
    <w:rsid w:val="00593F5C"/>
    <w:rsid w:val="0059479C"/>
    <w:rsid w:val="005959FE"/>
    <w:rsid w:val="00596180"/>
    <w:rsid w:val="005961C8"/>
    <w:rsid w:val="00596203"/>
    <w:rsid w:val="00597BF9"/>
    <w:rsid w:val="005A0463"/>
    <w:rsid w:val="005A0C11"/>
    <w:rsid w:val="005A1D44"/>
    <w:rsid w:val="005A2C70"/>
    <w:rsid w:val="005A309A"/>
    <w:rsid w:val="005A373D"/>
    <w:rsid w:val="005A3F35"/>
    <w:rsid w:val="005A4BBC"/>
    <w:rsid w:val="005A55C3"/>
    <w:rsid w:val="005A57E5"/>
    <w:rsid w:val="005A5A58"/>
    <w:rsid w:val="005A5D90"/>
    <w:rsid w:val="005A7416"/>
    <w:rsid w:val="005B0B58"/>
    <w:rsid w:val="005B16B1"/>
    <w:rsid w:val="005B2D91"/>
    <w:rsid w:val="005B35C7"/>
    <w:rsid w:val="005B3DC0"/>
    <w:rsid w:val="005B4218"/>
    <w:rsid w:val="005B4221"/>
    <w:rsid w:val="005B4337"/>
    <w:rsid w:val="005B4AEF"/>
    <w:rsid w:val="005B4C28"/>
    <w:rsid w:val="005B4CD7"/>
    <w:rsid w:val="005B4E53"/>
    <w:rsid w:val="005B5036"/>
    <w:rsid w:val="005B5163"/>
    <w:rsid w:val="005B5857"/>
    <w:rsid w:val="005B6DFD"/>
    <w:rsid w:val="005B6FA8"/>
    <w:rsid w:val="005C0505"/>
    <w:rsid w:val="005C05C4"/>
    <w:rsid w:val="005C19C4"/>
    <w:rsid w:val="005C1A40"/>
    <w:rsid w:val="005C1B83"/>
    <w:rsid w:val="005C25FF"/>
    <w:rsid w:val="005C272D"/>
    <w:rsid w:val="005C2A06"/>
    <w:rsid w:val="005C2D55"/>
    <w:rsid w:val="005C2F74"/>
    <w:rsid w:val="005C346B"/>
    <w:rsid w:val="005C36B8"/>
    <w:rsid w:val="005C4977"/>
    <w:rsid w:val="005C4ECC"/>
    <w:rsid w:val="005C5ABC"/>
    <w:rsid w:val="005C6D94"/>
    <w:rsid w:val="005D044D"/>
    <w:rsid w:val="005D0ABD"/>
    <w:rsid w:val="005D18AD"/>
    <w:rsid w:val="005D23D1"/>
    <w:rsid w:val="005D26B4"/>
    <w:rsid w:val="005D3206"/>
    <w:rsid w:val="005D40E0"/>
    <w:rsid w:val="005D440A"/>
    <w:rsid w:val="005D4D40"/>
    <w:rsid w:val="005D7093"/>
    <w:rsid w:val="005D7B98"/>
    <w:rsid w:val="005E0977"/>
    <w:rsid w:val="005E0A2F"/>
    <w:rsid w:val="005E13A9"/>
    <w:rsid w:val="005E171A"/>
    <w:rsid w:val="005E1995"/>
    <w:rsid w:val="005E1F0A"/>
    <w:rsid w:val="005E2CDB"/>
    <w:rsid w:val="005E3AB1"/>
    <w:rsid w:val="005E3E87"/>
    <w:rsid w:val="005E3EDF"/>
    <w:rsid w:val="005E4150"/>
    <w:rsid w:val="005E5E9E"/>
    <w:rsid w:val="005E6163"/>
    <w:rsid w:val="005E68A2"/>
    <w:rsid w:val="005E6CBC"/>
    <w:rsid w:val="005E702E"/>
    <w:rsid w:val="005E72FF"/>
    <w:rsid w:val="005E73C0"/>
    <w:rsid w:val="005E7D10"/>
    <w:rsid w:val="005F030B"/>
    <w:rsid w:val="005F07ED"/>
    <w:rsid w:val="005F206F"/>
    <w:rsid w:val="005F2201"/>
    <w:rsid w:val="005F2706"/>
    <w:rsid w:val="005F2DDB"/>
    <w:rsid w:val="005F67C6"/>
    <w:rsid w:val="005F6A8F"/>
    <w:rsid w:val="005F6BB7"/>
    <w:rsid w:val="005F7588"/>
    <w:rsid w:val="005F7B4D"/>
    <w:rsid w:val="005F7BC7"/>
    <w:rsid w:val="005F7C6D"/>
    <w:rsid w:val="006014C3"/>
    <w:rsid w:val="0060258B"/>
    <w:rsid w:val="00602745"/>
    <w:rsid w:val="00602CC7"/>
    <w:rsid w:val="00602DAB"/>
    <w:rsid w:val="00602E56"/>
    <w:rsid w:val="0060384D"/>
    <w:rsid w:val="00603DB9"/>
    <w:rsid w:val="00603ECC"/>
    <w:rsid w:val="006042AA"/>
    <w:rsid w:val="00604A83"/>
    <w:rsid w:val="0060569A"/>
    <w:rsid w:val="006056A3"/>
    <w:rsid w:val="00606DF1"/>
    <w:rsid w:val="00606FBA"/>
    <w:rsid w:val="00607669"/>
    <w:rsid w:val="006076F4"/>
    <w:rsid w:val="00607AFD"/>
    <w:rsid w:val="00611201"/>
    <w:rsid w:val="006112DD"/>
    <w:rsid w:val="00611B12"/>
    <w:rsid w:val="00612F97"/>
    <w:rsid w:val="0061345D"/>
    <w:rsid w:val="00614851"/>
    <w:rsid w:val="0061549B"/>
    <w:rsid w:val="00616802"/>
    <w:rsid w:val="00616ADE"/>
    <w:rsid w:val="00616BEC"/>
    <w:rsid w:val="00617629"/>
    <w:rsid w:val="00617E12"/>
    <w:rsid w:val="00620C25"/>
    <w:rsid w:val="00621140"/>
    <w:rsid w:val="00621283"/>
    <w:rsid w:val="00621477"/>
    <w:rsid w:val="00621ADA"/>
    <w:rsid w:val="00621F3A"/>
    <w:rsid w:val="0062203B"/>
    <w:rsid w:val="006235BC"/>
    <w:rsid w:val="00623DE9"/>
    <w:rsid w:val="00623F7B"/>
    <w:rsid w:val="00624A05"/>
    <w:rsid w:val="00624BD4"/>
    <w:rsid w:val="006258D3"/>
    <w:rsid w:val="00626202"/>
    <w:rsid w:val="0062707C"/>
    <w:rsid w:val="00627576"/>
    <w:rsid w:val="00627839"/>
    <w:rsid w:val="0063158F"/>
    <w:rsid w:val="00631D6B"/>
    <w:rsid w:val="00631FA0"/>
    <w:rsid w:val="00632183"/>
    <w:rsid w:val="006322B0"/>
    <w:rsid w:val="006330A1"/>
    <w:rsid w:val="00633808"/>
    <w:rsid w:val="006344B3"/>
    <w:rsid w:val="0063479F"/>
    <w:rsid w:val="006353F0"/>
    <w:rsid w:val="006357B5"/>
    <w:rsid w:val="00636451"/>
    <w:rsid w:val="006364A1"/>
    <w:rsid w:val="0063678E"/>
    <w:rsid w:val="00637BFD"/>
    <w:rsid w:val="00637C5C"/>
    <w:rsid w:val="006403C7"/>
    <w:rsid w:val="006412CF"/>
    <w:rsid w:val="0064192E"/>
    <w:rsid w:val="00641C4E"/>
    <w:rsid w:val="00641FB3"/>
    <w:rsid w:val="006421DB"/>
    <w:rsid w:val="0064383B"/>
    <w:rsid w:val="00643F99"/>
    <w:rsid w:val="0064434C"/>
    <w:rsid w:val="0064480C"/>
    <w:rsid w:val="00644E05"/>
    <w:rsid w:val="00645052"/>
    <w:rsid w:val="00645946"/>
    <w:rsid w:val="00646F69"/>
    <w:rsid w:val="006471CC"/>
    <w:rsid w:val="006472FE"/>
    <w:rsid w:val="00647A29"/>
    <w:rsid w:val="00647D0B"/>
    <w:rsid w:val="006500E5"/>
    <w:rsid w:val="006502FE"/>
    <w:rsid w:val="0065079F"/>
    <w:rsid w:val="00650CC4"/>
    <w:rsid w:val="00652A28"/>
    <w:rsid w:val="0065379F"/>
    <w:rsid w:val="00653F39"/>
    <w:rsid w:val="00656051"/>
    <w:rsid w:val="006560EA"/>
    <w:rsid w:val="00656188"/>
    <w:rsid w:val="00656F7A"/>
    <w:rsid w:val="0065715A"/>
    <w:rsid w:val="006610F1"/>
    <w:rsid w:val="00661C6B"/>
    <w:rsid w:val="00661D44"/>
    <w:rsid w:val="00662407"/>
    <w:rsid w:val="0066285A"/>
    <w:rsid w:val="00662999"/>
    <w:rsid w:val="00662D3E"/>
    <w:rsid w:val="006630BF"/>
    <w:rsid w:val="00666791"/>
    <w:rsid w:val="00667BE3"/>
    <w:rsid w:val="00667CD6"/>
    <w:rsid w:val="00667D4B"/>
    <w:rsid w:val="0067021C"/>
    <w:rsid w:val="006709A3"/>
    <w:rsid w:val="00671004"/>
    <w:rsid w:val="0067202A"/>
    <w:rsid w:val="00672646"/>
    <w:rsid w:val="00673434"/>
    <w:rsid w:val="00674626"/>
    <w:rsid w:val="006749E1"/>
    <w:rsid w:val="00674E42"/>
    <w:rsid w:val="006763AA"/>
    <w:rsid w:val="00676563"/>
    <w:rsid w:val="006769FA"/>
    <w:rsid w:val="00676E63"/>
    <w:rsid w:val="00677B59"/>
    <w:rsid w:val="006813F8"/>
    <w:rsid w:val="00682112"/>
    <w:rsid w:val="0068249C"/>
    <w:rsid w:val="00682BA6"/>
    <w:rsid w:val="00682F51"/>
    <w:rsid w:val="0068373C"/>
    <w:rsid w:val="00684E10"/>
    <w:rsid w:val="00685A1A"/>
    <w:rsid w:val="00685A72"/>
    <w:rsid w:val="00685F41"/>
    <w:rsid w:val="00685FDF"/>
    <w:rsid w:val="00686957"/>
    <w:rsid w:val="006872BA"/>
    <w:rsid w:val="006877B6"/>
    <w:rsid w:val="006877BC"/>
    <w:rsid w:val="0069073F"/>
    <w:rsid w:val="00690795"/>
    <w:rsid w:val="00691648"/>
    <w:rsid w:val="006917D7"/>
    <w:rsid w:val="00691A1E"/>
    <w:rsid w:val="00691C7A"/>
    <w:rsid w:val="006923D4"/>
    <w:rsid w:val="00693915"/>
    <w:rsid w:val="0069434C"/>
    <w:rsid w:val="00694AFA"/>
    <w:rsid w:val="00694F44"/>
    <w:rsid w:val="00695179"/>
    <w:rsid w:val="00696413"/>
    <w:rsid w:val="0069697B"/>
    <w:rsid w:val="00696A78"/>
    <w:rsid w:val="00696B0B"/>
    <w:rsid w:val="00696EF9"/>
    <w:rsid w:val="00696F51"/>
    <w:rsid w:val="0069738F"/>
    <w:rsid w:val="006979A5"/>
    <w:rsid w:val="006A016F"/>
    <w:rsid w:val="006A0D36"/>
    <w:rsid w:val="006A0DF7"/>
    <w:rsid w:val="006A119D"/>
    <w:rsid w:val="006A24BD"/>
    <w:rsid w:val="006A4321"/>
    <w:rsid w:val="006A43D9"/>
    <w:rsid w:val="006A55FD"/>
    <w:rsid w:val="006A68A3"/>
    <w:rsid w:val="006A6B99"/>
    <w:rsid w:val="006A70C3"/>
    <w:rsid w:val="006A75F6"/>
    <w:rsid w:val="006A7E5F"/>
    <w:rsid w:val="006B15CA"/>
    <w:rsid w:val="006B1F2D"/>
    <w:rsid w:val="006B1F4D"/>
    <w:rsid w:val="006B261B"/>
    <w:rsid w:val="006B29B4"/>
    <w:rsid w:val="006B2C90"/>
    <w:rsid w:val="006B35E6"/>
    <w:rsid w:val="006B465A"/>
    <w:rsid w:val="006B5C6C"/>
    <w:rsid w:val="006B6DD0"/>
    <w:rsid w:val="006B70F9"/>
    <w:rsid w:val="006B7953"/>
    <w:rsid w:val="006C0155"/>
    <w:rsid w:val="006C0399"/>
    <w:rsid w:val="006C0CDF"/>
    <w:rsid w:val="006C1D14"/>
    <w:rsid w:val="006C2665"/>
    <w:rsid w:val="006C2A8E"/>
    <w:rsid w:val="006C3063"/>
    <w:rsid w:val="006C30C4"/>
    <w:rsid w:val="006C3255"/>
    <w:rsid w:val="006C3688"/>
    <w:rsid w:val="006C3F26"/>
    <w:rsid w:val="006C4495"/>
    <w:rsid w:val="006C6243"/>
    <w:rsid w:val="006C7160"/>
    <w:rsid w:val="006D0D17"/>
    <w:rsid w:val="006D30BA"/>
    <w:rsid w:val="006D3C7D"/>
    <w:rsid w:val="006D4659"/>
    <w:rsid w:val="006D5D5F"/>
    <w:rsid w:val="006D6141"/>
    <w:rsid w:val="006D68FB"/>
    <w:rsid w:val="006D6F17"/>
    <w:rsid w:val="006D7718"/>
    <w:rsid w:val="006E0A63"/>
    <w:rsid w:val="006E1511"/>
    <w:rsid w:val="006E2834"/>
    <w:rsid w:val="006E2868"/>
    <w:rsid w:val="006E38F9"/>
    <w:rsid w:val="006E3AD2"/>
    <w:rsid w:val="006E3BBA"/>
    <w:rsid w:val="006E40A9"/>
    <w:rsid w:val="006E6809"/>
    <w:rsid w:val="006E6E61"/>
    <w:rsid w:val="006F231D"/>
    <w:rsid w:val="006F2523"/>
    <w:rsid w:val="006F306C"/>
    <w:rsid w:val="006F4A21"/>
    <w:rsid w:val="006F559D"/>
    <w:rsid w:val="006F5AE7"/>
    <w:rsid w:val="006F63A5"/>
    <w:rsid w:val="0070142B"/>
    <w:rsid w:val="00701519"/>
    <w:rsid w:val="00701B53"/>
    <w:rsid w:val="00701C00"/>
    <w:rsid w:val="007020B8"/>
    <w:rsid w:val="0070213F"/>
    <w:rsid w:val="00702352"/>
    <w:rsid w:val="0070276E"/>
    <w:rsid w:val="00702F8F"/>
    <w:rsid w:val="00703ED7"/>
    <w:rsid w:val="00704240"/>
    <w:rsid w:val="00704CB0"/>
    <w:rsid w:val="007054F5"/>
    <w:rsid w:val="00705996"/>
    <w:rsid w:val="007075C5"/>
    <w:rsid w:val="007079FC"/>
    <w:rsid w:val="007108F6"/>
    <w:rsid w:val="00710BEE"/>
    <w:rsid w:val="00710D13"/>
    <w:rsid w:val="007110E7"/>
    <w:rsid w:val="00711A36"/>
    <w:rsid w:val="00711B9D"/>
    <w:rsid w:val="007125D3"/>
    <w:rsid w:val="00712A34"/>
    <w:rsid w:val="00714C26"/>
    <w:rsid w:val="0071529C"/>
    <w:rsid w:val="00715818"/>
    <w:rsid w:val="00715936"/>
    <w:rsid w:val="007170DA"/>
    <w:rsid w:val="007172AD"/>
    <w:rsid w:val="00717546"/>
    <w:rsid w:val="00720801"/>
    <w:rsid w:val="00720BAB"/>
    <w:rsid w:val="00720F0A"/>
    <w:rsid w:val="00721F9D"/>
    <w:rsid w:val="00722B1B"/>
    <w:rsid w:val="007237A6"/>
    <w:rsid w:val="00724024"/>
    <w:rsid w:val="0072416F"/>
    <w:rsid w:val="00724BE3"/>
    <w:rsid w:val="00727407"/>
    <w:rsid w:val="00727C94"/>
    <w:rsid w:val="00731B0A"/>
    <w:rsid w:val="00731EAE"/>
    <w:rsid w:val="00733073"/>
    <w:rsid w:val="00734698"/>
    <w:rsid w:val="007349B5"/>
    <w:rsid w:val="00735033"/>
    <w:rsid w:val="00735328"/>
    <w:rsid w:val="00736184"/>
    <w:rsid w:val="007363D7"/>
    <w:rsid w:val="0073685B"/>
    <w:rsid w:val="0074095E"/>
    <w:rsid w:val="00740B6C"/>
    <w:rsid w:val="00740E3B"/>
    <w:rsid w:val="007435F6"/>
    <w:rsid w:val="007438B3"/>
    <w:rsid w:val="00744681"/>
    <w:rsid w:val="007449BF"/>
    <w:rsid w:val="0074619B"/>
    <w:rsid w:val="007463FE"/>
    <w:rsid w:val="00746B77"/>
    <w:rsid w:val="00746BC0"/>
    <w:rsid w:val="00747578"/>
    <w:rsid w:val="007510B4"/>
    <w:rsid w:val="00751862"/>
    <w:rsid w:val="00752142"/>
    <w:rsid w:val="007523F9"/>
    <w:rsid w:val="0075338A"/>
    <w:rsid w:val="0075357E"/>
    <w:rsid w:val="00753A68"/>
    <w:rsid w:val="00753B29"/>
    <w:rsid w:val="00753D8E"/>
    <w:rsid w:val="00754C09"/>
    <w:rsid w:val="007573E8"/>
    <w:rsid w:val="007576D7"/>
    <w:rsid w:val="00760C4E"/>
    <w:rsid w:val="00760F9E"/>
    <w:rsid w:val="007616E6"/>
    <w:rsid w:val="0076211B"/>
    <w:rsid w:val="007627BE"/>
    <w:rsid w:val="00762AE6"/>
    <w:rsid w:val="00762BFD"/>
    <w:rsid w:val="007637BA"/>
    <w:rsid w:val="00764289"/>
    <w:rsid w:val="00764F03"/>
    <w:rsid w:val="00765B1A"/>
    <w:rsid w:val="00765DC1"/>
    <w:rsid w:val="0076614F"/>
    <w:rsid w:val="00766633"/>
    <w:rsid w:val="00766FC8"/>
    <w:rsid w:val="00766FE3"/>
    <w:rsid w:val="00767CFB"/>
    <w:rsid w:val="00767F3D"/>
    <w:rsid w:val="00770524"/>
    <w:rsid w:val="007719DF"/>
    <w:rsid w:val="007722C5"/>
    <w:rsid w:val="00773FCD"/>
    <w:rsid w:val="00776252"/>
    <w:rsid w:val="00777335"/>
    <w:rsid w:val="0077783A"/>
    <w:rsid w:val="00780848"/>
    <w:rsid w:val="00781383"/>
    <w:rsid w:val="0078263F"/>
    <w:rsid w:val="00782B3C"/>
    <w:rsid w:val="00782FE2"/>
    <w:rsid w:val="007843F2"/>
    <w:rsid w:val="007846FA"/>
    <w:rsid w:val="0078537F"/>
    <w:rsid w:val="00785A9F"/>
    <w:rsid w:val="00785FF9"/>
    <w:rsid w:val="007878B3"/>
    <w:rsid w:val="007913A1"/>
    <w:rsid w:val="007925DF"/>
    <w:rsid w:val="0079456B"/>
    <w:rsid w:val="007945EC"/>
    <w:rsid w:val="00795EE8"/>
    <w:rsid w:val="0079601F"/>
    <w:rsid w:val="0079783E"/>
    <w:rsid w:val="007A08AA"/>
    <w:rsid w:val="007A0A12"/>
    <w:rsid w:val="007A0E76"/>
    <w:rsid w:val="007A132D"/>
    <w:rsid w:val="007A1345"/>
    <w:rsid w:val="007A1A62"/>
    <w:rsid w:val="007A1DDE"/>
    <w:rsid w:val="007A2DDB"/>
    <w:rsid w:val="007A3090"/>
    <w:rsid w:val="007A67A4"/>
    <w:rsid w:val="007A70BA"/>
    <w:rsid w:val="007A73F3"/>
    <w:rsid w:val="007A7C16"/>
    <w:rsid w:val="007B0438"/>
    <w:rsid w:val="007B0D68"/>
    <w:rsid w:val="007B17A5"/>
    <w:rsid w:val="007B1EBB"/>
    <w:rsid w:val="007B2209"/>
    <w:rsid w:val="007B251D"/>
    <w:rsid w:val="007B31DE"/>
    <w:rsid w:val="007B3533"/>
    <w:rsid w:val="007B3A97"/>
    <w:rsid w:val="007B3C34"/>
    <w:rsid w:val="007B42B3"/>
    <w:rsid w:val="007B47B4"/>
    <w:rsid w:val="007B4F58"/>
    <w:rsid w:val="007B528D"/>
    <w:rsid w:val="007B637D"/>
    <w:rsid w:val="007B63CA"/>
    <w:rsid w:val="007B77D1"/>
    <w:rsid w:val="007C07C7"/>
    <w:rsid w:val="007C0964"/>
    <w:rsid w:val="007C1CD9"/>
    <w:rsid w:val="007C2061"/>
    <w:rsid w:val="007C2E4C"/>
    <w:rsid w:val="007C32EF"/>
    <w:rsid w:val="007C361D"/>
    <w:rsid w:val="007C3A91"/>
    <w:rsid w:val="007C3FC9"/>
    <w:rsid w:val="007C49D7"/>
    <w:rsid w:val="007C4B84"/>
    <w:rsid w:val="007C4BE2"/>
    <w:rsid w:val="007C4FC7"/>
    <w:rsid w:val="007C5609"/>
    <w:rsid w:val="007C70FF"/>
    <w:rsid w:val="007C7899"/>
    <w:rsid w:val="007C7C25"/>
    <w:rsid w:val="007D004F"/>
    <w:rsid w:val="007D035F"/>
    <w:rsid w:val="007D06B2"/>
    <w:rsid w:val="007D0B38"/>
    <w:rsid w:val="007D0C1F"/>
    <w:rsid w:val="007D112E"/>
    <w:rsid w:val="007D19DF"/>
    <w:rsid w:val="007D2040"/>
    <w:rsid w:val="007D2D3A"/>
    <w:rsid w:val="007D344D"/>
    <w:rsid w:val="007D37EE"/>
    <w:rsid w:val="007D543C"/>
    <w:rsid w:val="007D5440"/>
    <w:rsid w:val="007D69DC"/>
    <w:rsid w:val="007D69EB"/>
    <w:rsid w:val="007D6B9A"/>
    <w:rsid w:val="007D7CB4"/>
    <w:rsid w:val="007E03B1"/>
    <w:rsid w:val="007E128F"/>
    <w:rsid w:val="007E2154"/>
    <w:rsid w:val="007E4E62"/>
    <w:rsid w:val="007E5E58"/>
    <w:rsid w:val="007E71E1"/>
    <w:rsid w:val="007E76AD"/>
    <w:rsid w:val="007E79C0"/>
    <w:rsid w:val="007F1017"/>
    <w:rsid w:val="007F1919"/>
    <w:rsid w:val="007F1A76"/>
    <w:rsid w:val="007F35E0"/>
    <w:rsid w:val="007F4A3F"/>
    <w:rsid w:val="007F4A61"/>
    <w:rsid w:val="007F5255"/>
    <w:rsid w:val="007F52CF"/>
    <w:rsid w:val="007F56CC"/>
    <w:rsid w:val="007F61C2"/>
    <w:rsid w:val="00800B00"/>
    <w:rsid w:val="00801F11"/>
    <w:rsid w:val="00803074"/>
    <w:rsid w:val="008030E5"/>
    <w:rsid w:val="00803985"/>
    <w:rsid w:val="00804266"/>
    <w:rsid w:val="0080465E"/>
    <w:rsid w:val="00804BC9"/>
    <w:rsid w:val="00805142"/>
    <w:rsid w:val="0080558B"/>
    <w:rsid w:val="00805B80"/>
    <w:rsid w:val="00805FCE"/>
    <w:rsid w:val="00806054"/>
    <w:rsid w:val="00806881"/>
    <w:rsid w:val="00807A8B"/>
    <w:rsid w:val="0081053E"/>
    <w:rsid w:val="00811383"/>
    <w:rsid w:val="00811EA3"/>
    <w:rsid w:val="00812147"/>
    <w:rsid w:val="00812149"/>
    <w:rsid w:val="00812A05"/>
    <w:rsid w:val="00812B7A"/>
    <w:rsid w:val="00812CAC"/>
    <w:rsid w:val="00813847"/>
    <w:rsid w:val="008147FB"/>
    <w:rsid w:val="00814897"/>
    <w:rsid w:val="00815687"/>
    <w:rsid w:val="00816361"/>
    <w:rsid w:val="008166EF"/>
    <w:rsid w:val="00816FEF"/>
    <w:rsid w:val="00817BC1"/>
    <w:rsid w:val="0082020E"/>
    <w:rsid w:val="00820A8C"/>
    <w:rsid w:val="008215FB"/>
    <w:rsid w:val="008216BE"/>
    <w:rsid w:val="008220CC"/>
    <w:rsid w:val="00822D8E"/>
    <w:rsid w:val="00823174"/>
    <w:rsid w:val="008234A4"/>
    <w:rsid w:val="00824A2F"/>
    <w:rsid w:val="00825751"/>
    <w:rsid w:val="00825E2C"/>
    <w:rsid w:val="008264EB"/>
    <w:rsid w:val="008268CE"/>
    <w:rsid w:val="00826D7F"/>
    <w:rsid w:val="0082730A"/>
    <w:rsid w:val="008274C7"/>
    <w:rsid w:val="00827C23"/>
    <w:rsid w:val="00830DE2"/>
    <w:rsid w:val="0083114B"/>
    <w:rsid w:val="008323E2"/>
    <w:rsid w:val="00833B05"/>
    <w:rsid w:val="008362B4"/>
    <w:rsid w:val="00837036"/>
    <w:rsid w:val="00840631"/>
    <w:rsid w:val="00840CA2"/>
    <w:rsid w:val="008411A3"/>
    <w:rsid w:val="00842467"/>
    <w:rsid w:val="0084374F"/>
    <w:rsid w:val="00844A22"/>
    <w:rsid w:val="00844CDD"/>
    <w:rsid w:val="00844ECE"/>
    <w:rsid w:val="00846CA9"/>
    <w:rsid w:val="008476F0"/>
    <w:rsid w:val="00847703"/>
    <w:rsid w:val="00847DF5"/>
    <w:rsid w:val="00847DFB"/>
    <w:rsid w:val="00852488"/>
    <w:rsid w:val="0085309D"/>
    <w:rsid w:val="008531EF"/>
    <w:rsid w:val="008543EC"/>
    <w:rsid w:val="00854FF7"/>
    <w:rsid w:val="00855E77"/>
    <w:rsid w:val="008562A1"/>
    <w:rsid w:val="00856328"/>
    <w:rsid w:val="008567EE"/>
    <w:rsid w:val="00856897"/>
    <w:rsid w:val="00856D0E"/>
    <w:rsid w:val="00856E9A"/>
    <w:rsid w:val="00857000"/>
    <w:rsid w:val="00857488"/>
    <w:rsid w:val="00857C57"/>
    <w:rsid w:val="00860640"/>
    <w:rsid w:val="0086075D"/>
    <w:rsid w:val="00861492"/>
    <w:rsid w:val="00862502"/>
    <w:rsid w:val="008628ED"/>
    <w:rsid w:val="00862CC1"/>
    <w:rsid w:val="00863225"/>
    <w:rsid w:val="008642A7"/>
    <w:rsid w:val="00864907"/>
    <w:rsid w:val="00865CB0"/>
    <w:rsid w:val="008660D4"/>
    <w:rsid w:val="00866AB7"/>
    <w:rsid w:val="008674DD"/>
    <w:rsid w:val="00870C5B"/>
    <w:rsid w:val="008714A7"/>
    <w:rsid w:val="008718E4"/>
    <w:rsid w:val="00871C35"/>
    <w:rsid w:val="00871DD6"/>
    <w:rsid w:val="00871FA9"/>
    <w:rsid w:val="008720A2"/>
    <w:rsid w:val="008728E9"/>
    <w:rsid w:val="00872E43"/>
    <w:rsid w:val="00873216"/>
    <w:rsid w:val="00873246"/>
    <w:rsid w:val="0087375D"/>
    <w:rsid w:val="00875231"/>
    <w:rsid w:val="008753EC"/>
    <w:rsid w:val="00875507"/>
    <w:rsid w:val="00876060"/>
    <w:rsid w:val="00876A1C"/>
    <w:rsid w:val="00880D12"/>
    <w:rsid w:val="00881976"/>
    <w:rsid w:val="00882874"/>
    <w:rsid w:val="00882E3C"/>
    <w:rsid w:val="0088308A"/>
    <w:rsid w:val="00883787"/>
    <w:rsid w:val="008855E4"/>
    <w:rsid w:val="00885930"/>
    <w:rsid w:val="008859FE"/>
    <w:rsid w:val="00886CD2"/>
    <w:rsid w:val="00887878"/>
    <w:rsid w:val="00891E6F"/>
    <w:rsid w:val="0089266B"/>
    <w:rsid w:val="0089275D"/>
    <w:rsid w:val="00892A36"/>
    <w:rsid w:val="00892D39"/>
    <w:rsid w:val="00893239"/>
    <w:rsid w:val="00893292"/>
    <w:rsid w:val="00894489"/>
    <w:rsid w:val="00894CD6"/>
    <w:rsid w:val="00894DA1"/>
    <w:rsid w:val="00895717"/>
    <w:rsid w:val="0089573F"/>
    <w:rsid w:val="008958AB"/>
    <w:rsid w:val="008963A5"/>
    <w:rsid w:val="00896D5D"/>
    <w:rsid w:val="00897140"/>
    <w:rsid w:val="00897B6E"/>
    <w:rsid w:val="008A1201"/>
    <w:rsid w:val="008A211F"/>
    <w:rsid w:val="008A2777"/>
    <w:rsid w:val="008A3039"/>
    <w:rsid w:val="008A3158"/>
    <w:rsid w:val="008A3363"/>
    <w:rsid w:val="008A3371"/>
    <w:rsid w:val="008A394B"/>
    <w:rsid w:val="008A3C3E"/>
    <w:rsid w:val="008A50B6"/>
    <w:rsid w:val="008A54BB"/>
    <w:rsid w:val="008A689E"/>
    <w:rsid w:val="008A6FF2"/>
    <w:rsid w:val="008A79DE"/>
    <w:rsid w:val="008A7BE4"/>
    <w:rsid w:val="008B028E"/>
    <w:rsid w:val="008B0CAF"/>
    <w:rsid w:val="008B12BE"/>
    <w:rsid w:val="008B1757"/>
    <w:rsid w:val="008B1818"/>
    <w:rsid w:val="008B1C33"/>
    <w:rsid w:val="008B35F6"/>
    <w:rsid w:val="008B48E5"/>
    <w:rsid w:val="008B4B6F"/>
    <w:rsid w:val="008B4D9A"/>
    <w:rsid w:val="008B57E1"/>
    <w:rsid w:val="008B5F1D"/>
    <w:rsid w:val="008B6AA9"/>
    <w:rsid w:val="008B7992"/>
    <w:rsid w:val="008B7D7E"/>
    <w:rsid w:val="008C0AD8"/>
    <w:rsid w:val="008C120F"/>
    <w:rsid w:val="008C1D34"/>
    <w:rsid w:val="008C21AC"/>
    <w:rsid w:val="008C2611"/>
    <w:rsid w:val="008C2ABC"/>
    <w:rsid w:val="008C2BA1"/>
    <w:rsid w:val="008C2F7E"/>
    <w:rsid w:val="008C3681"/>
    <w:rsid w:val="008C36AF"/>
    <w:rsid w:val="008C3E57"/>
    <w:rsid w:val="008C4019"/>
    <w:rsid w:val="008C4E21"/>
    <w:rsid w:val="008C5610"/>
    <w:rsid w:val="008C5739"/>
    <w:rsid w:val="008C7282"/>
    <w:rsid w:val="008C79E3"/>
    <w:rsid w:val="008C7CD1"/>
    <w:rsid w:val="008C7D6C"/>
    <w:rsid w:val="008C7ECB"/>
    <w:rsid w:val="008D15A1"/>
    <w:rsid w:val="008D1842"/>
    <w:rsid w:val="008D3342"/>
    <w:rsid w:val="008D3B86"/>
    <w:rsid w:val="008D3E55"/>
    <w:rsid w:val="008D3F73"/>
    <w:rsid w:val="008D43FD"/>
    <w:rsid w:val="008D4755"/>
    <w:rsid w:val="008D4C3D"/>
    <w:rsid w:val="008D4DEB"/>
    <w:rsid w:val="008D524E"/>
    <w:rsid w:val="008D6489"/>
    <w:rsid w:val="008D6BE8"/>
    <w:rsid w:val="008D743C"/>
    <w:rsid w:val="008E02CF"/>
    <w:rsid w:val="008E0D3C"/>
    <w:rsid w:val="008E0D83"/>
    <w:rsid w:val="008E1282"/>
    <w:rsid w:val="008E1B9E"/>
    <w:rsid w:val="008E2835"/>
    <w:rsid w:val="008E33EF"/>
    <w:rsid w:val="008E3840"/>
    <w:rsid w:val="008E4817"/>
    <w:rsid w:val="008E488C"/>
    <w:rsid w:val="008E55AB"/>
    <w:rsid w:val="008E5B79"/>
    <w:rsid w:val="008E60F3"/>
    <w:rsid w:val="008E722A"/>
    <w:rsid w:val="008E7389"/>
    <w:rsid w:val="008F02F4"/>
    <w:rsid w:val="008F120A"/>
    <w:rsid w:val="008F183E"/>
    <w:rsid w:val="008F27E0"/>
    <w:rsid w:val="008F2D3C"/>
    <w:rsid w:val="008F48EB"/>
    <w:rsid w:val="008F4F0B"/>
    <w:rsid w:val="008F5798"/>
    <w:rsid w:val="008F5DBE"/>
    <w:rsid w:val="008F689E"/>
    <w:rsid w:val="008F6D33"/>
    <w:rsid w:val="008F6D97"/>
    <w:rsid w:val="008F6F32"/>
    <w:rsid w:val="008F7676"/>
    <w:rsid w:val="008F782C"/>
    <w:rsid w:val="008F7949"/>
    <w:rsid w:val="0090022C"/>
    <w:rsid w:val="009046C4"/>
    <w:rsid w:val="00905579"/>
    <w:rsid w:val="009055F4"/>
    <w:rsid w:val="009062A5"/>
    <w:rsid w:val="009063AA"/>
    <w:rsid w:val="00906642"/>
    <w:rsid w:val="00906956"/>
    <w:rsid w:val="00907699"/>
    <w:rsid w:val="009078F3"/>
    <w:rsid w:val="0091033E"/>
    <w:rsid w:val="00910FA7"/>
    <w:rsid w:val="00911272"/>
    <w:rsid w:val="00911339"/>
    <w:rsid w:val="009135D6"/>
    <w:rsid w:val="009149CD"/>
    <w:rsid w:val="00914C77"/>
    <w:rsid w:val="0091529B"/>
    <w:rsid w:val="0091583A"/>
    <w:rsid w:val="00915A59"/>
    <w:rsid w:val="00916424"/>
    <w:rsid w:val="009178C5"/>
    <w:rsid w:val="00917A40"/>
    <w:rsid w:val="00917B9D"/>
    <w:rsid w:val="00920F60"/>
    <w:rsid w:val="00921ACB"/>
    <w:rsid w:val="00921ACF"/>
    <w:rsid w:val="00922333"/>
    <w:rsid w:val="0092369B"/>
    <w:rsid w:val="0092644D"/>
    <w:rsid w:val="00926EAB"/>
    <w:rsid w:val="00927745"/>
    <w:rsid w:val="00930F33"/>
    <w:rsid w:val="009318F9"/>
    <w:rsid w:val="0093269C"/>
    <w:rsid w:val="00932926"/>
    <w:rsid w:val="0093352F"/>
    <w:rsid w:val="0093374C"/>
    <w:rsid w:val="00933757"/>
    <w:rsid w:val="00934988"/>
    <w:rsid w:val="00934AB0"/>
    <w:rsid w:val="00935284"/>
    <w:rsid w:val="00937089"/>
    <w:rsid w:val="00937D9D"/>
    <w:rsid w:val="00941004"/>
    <w:rsid w:val="009416F8"/>
    <w:rsid w:val="00941EBF"/>
    <w:rsid w:val="00943640"/>
    <w:rsid w:val="00944C3D"/>
    <w:rsid w:val="00944F8A"/>
    <w:rsid w:val="00945F89"/>
    <w:rsid w:val="00946BCD"/>
    <w:rsid w:val="00946E4A"/>
    <w:rsid w:val="009506A1"/>
    <w:rsid w:val="00950A6C"/>
    <w:rsid w:val="009510A2"/>
    <w:rsid w:val="00951BD9"/>
    <w:rsid w:val="009522B9"/>
    <w:rsid w:val="0095232C"/>
    <w:rsid w:val="00952C07"/>
    <w:rsid w:val="00953257"/>
    <w:rsid w:val="009543C5"/>
    <w:rsid w:val="0095474C"/>
    <w:rsid w:val="00955911"/>
    <w:rsid w:val="00956CAE"/>
    <w:rsid w:val="00957280"/>
    <w:rsid w:val="009575A1"/>
    <w:rsid w:val="00957D92"/>
    <w:rsid w:val="009604B4"/>
    <w:rsid w:val="00962456"/>
    <w:rsid w:val="00962CB9"/>
    <w:rsid w:val="0096373B"/>
    <w:rsid w:val="009638EB"/>
    <w:rsid w:val="00964312"/>
    <w:rsid w:val="00964503"/>
    <w:rsid w:val="0096553C"/>
    <w:rsid w:val="00965B65"/>
    <w:rsid w:val="00965B8A"/>
    <w:rsid w:val="00966655"/>
    <w:rsid w:val="0096730A"/>
    <w:rsid w:val="009700C1"/>
    <w:rsid w:val="0097071F"/>
    <w:rsid w:val="009707F7"/>
    <w:rsid w:val="009714B3"/>
    <w:rsid w:val="009717AC"/>
    <w:rsid w:val="009719B6"/>
    <w:rsid w:val="00971ED6"/>
    <w:rsid w:val="00972A70"/>
    <w:rsid w:val="00973700"/>
    <w:rsid w:val="00974599"/>
    <w:rsid w:val="009751C1"/>
    <w:rsid w:val="009765BC"/>
    <w:rsid w:val="00977CAB"/>
    <w:rsid w:val="009806CD"/>
    <w:rsid w:val="009811F1"/>
    <w:rsid w:val="009815E7"/>
    <w:rsid w:val="00982703"/>
    <w:rsid w:val="009832C0"/>
    <w:rsid w:val="009832DD"/>
    <w:rsid w:val="00983723"/>
    <w:rsid w:val="00983E57"/>
    <w:rsid w:val="009840DC"/>
    <w:rsid w:val="00985048"/>
    <w:rsid w:val="00985DE2"/>
    <w:rsid w:val="0098675D"/>
    <w:rsid w:val="00986C67"/>
    <w:rsid w:val="009879D6"/>
    <w:rsid w:val="00987BA4"/>
    <w:rsid w:val="00987BD3"/>
    <w:rsid w:val="00992161"/>
    <w:rsid w:val="009926E0"/>
    <w:rsid w:val="00993A55"/>
    <w:rsid w:val="0099451E"/>
    <w:rsid w:val="00994DE2"/>
    <w:rsid w:val="00995653"/>
    <w:rsid w:val="00996B1A"/>
    <w:rsid w:val="0099723D"/>
    <w:rsid w:val="009A0350"/>
    <w:rsid w:val="009A0776"/>
    <w:rsid w:val="009A11B0"/>
    <w:rsid w:val="009A17A8"/>
    <w:rsid w:val="009A18F6"/>
    <w:rsid w:val="009A1A44"/>
    <w:rsid w:val="009A2DCC"/>
    <w:rsid w:val="009A3663"/>
    <w:rsid w:val="009A40E8"/>
    <w:rsid w:val="009A41BE"/>
    <w:rsid w:val="009A4EA6"/>
    <w:rsid w:val="009A5444"/>
    <w:rsid w:val="009A5ABC"/>
    <w:rsid w:val="009A64C6"/>
    <w:rsid w:val="009A726E"/>
    <w:rsid w:val="009A7F10"/>
    <w:rsid w:val="009B04D2"/>
    <w:rsid w:val="009B12E8"/>
    <w:rsid w:val="009B1441"/>
    <w:rsid w:val="009B236F"/>
    <w:rsid w:val="009B2BDD"/>
    <w:rsid w:val="009B3E26"/>
    <w:rsid w:val="009B44F8"/>
    <w:rsid w:val="009B5460"/>
    <w:rsid w:val="009B6AA0"/>
    <w:rsid w:val="009B72AE"/>
    <w:rsid w:val="009B7F2D"/>
    <w:rsid w:val="009B7FD8"/>
    <w:rsid w:val="009C1271"/>
    <w:rsid w:val="009C1F26"/>
    <w:rsid w:val="009C23D8"/>
    <w:rsid w:val="009C2522"/>
    <w:rsid w:val="009C3706"/>
    <w:rsid w:val="009C38E8"/>
    <w:rsid w:val="009C3A3A"/>
    <w:rsid w:val="009C5796"/>
    <w:rsid w:val="009C58C8"/>
    <w:rsid w:val="009C6CEA"/>
    <w:rsid w:val="009C795A"/>
    <w:rsid w:val="009C7B85"/>
    <w:rsid w:val="009C7B9A"/>
    <w:rsid w:val="009D0254"/>
    <w:rsid w:val="009D05EF"/>
    <w:rsid w:val="009D0B7D"/>
    <w:rsid w:val="009D111B"/>
    <w:rsid w:val="009D1A64"/>
    <w:rsid w:val="009D34B5"/>
    <w:rsid w:val="009D48C3"/>
    <w:rsid w:val="009D5ADC"/>
    <w:rsid w:val="009D5B91"/>
    <w:rsid w:val="009D5C5C"/>
    <w:rsid w:val="009D6F4E"/>
    <w:rsid w:val="009D72EB"/>
    <w:rsid w:val="009D792E"/>
    <w:rsid w:val="009D7A21"/>
    <w:rsid w:val="009E0DFE"/>
    <w:rsid w:val="009E12C6"/>
    <w:rsid w:val="009E132F"/>
    <w:rsid w:val="009E13C7"/>
    <w:rsid w:val="009E1BA5"/>
    <w:rsid w:val="009E1E87"/>
    <w:rsid w:val="009E31F6"/>
    <w:rsid w:val="009E46A0"/>
    <w:rsid w:val="009E4A32"/>
    <w:rsid w:val="009E4C07"/>
    <w:rsid w:val="009E5036"/>
    <w:rsid w:val="009E548C"/>
    <w:rsid w:val="009E6F7E"/>
    <w:rsid w:val="009E770D"/>
    <w:rsid w:val="009E777F"/>
    <w:rsid w:val="009F05A4"/>
    <w:rsid w:val="009F083A"/>
    <w:rsid w:val="009F1C81"/>
    <w:rsid w:val="009F2FC2"/>
    <w:rsid w:val="009F364F"/>
    <w:rsid w:val="009F428A"/>
    <w:rsid w:val="009F4988"/>
    <w:rsid w:val="009F4F76"/>
    <w:rsid w:val="009F516A"/>
    <w:rsid w:val="009F51F1"/>
    <w:rsid w:val="009F5DAB"/>
    <w:rsid w:val="009F6120"/>
    <w:rsid w:val="009F61AC"/>
    <w:rsid w:val="00A00D76"/>
    <w:rsid w:val="00A01184"/>
    <w:rsid w:val="00A01449"/>
    <w:rsid w:val="00A01CC2"/>
    <w:rsid w:val="00A037C2"/>
    <w:rsid w:val="00A03D43"/>
    <w:rsid w:val="00A03D4C"/>
    <w:rsid w:val="00A04380"/>
    <w:rsid w:val="00A04786"/>
    <w:rsid w:val="00A05472"/>
    <w:rsid w:val="00A059EC"/>
    <w:rsid w:val="00A05C32"/>
    <w:rsid w:val="00A05FB7"/>
    <w:rsid w:val="00A0653F"/>
    <w:rsid w:val="00A06872"/>
    <w:rsid w:val="00A0764F"/>
    <w:rsid w:val="00A10A07"/>
    <w:rsid w:val="00A11AEF"/>
    <w:rsid w:val="00A11CD0"/>
    <w:rsid w:val="00A11F01"/>
    <w:rsid w:val="00A12894"/>
    <w:rsid w:val="00A135E3"/>
    <w:rsid w:val="00A13948"/>
    <w:rsid w:val="00A13ACA"/>
    <w:rsid w:val="00A14286"/>
    <w:rsid w:val="00A143F7"/>
    <w:rsid w:val="00A14438"/>
    <w:rsid w:val="00A1555B"/>
    <w:rsid w:val="00A155C5"/>
    <w:rsid w:val="00A15655"/>
    <w:rsid w:val="00A161F3"/>
    <w:rsid w:val="00A165D4"/>
    <w:rsid w:val="00A16AD8"/>
    <w:rsid w:val="00A17464"/>
    <w:rsid w:val="00A17770"/>
    <w:rsid w:val="00A2021E"/>
    <w:rsid w:val="00A21C95"/>
    <w:rsid w:val="00A21CF3"/>
    <w:rsid w:val="00A21DD0"/>
    <w:rsid w:val="00A2308D"/>
    <w:rsid w:val="00A24369"/>
    <w:rsid w:val="00A244C2"/>
    <w:rsid w:val="00A24683"/>
    <w:rsid w:val="00A24813"/>
    <w:rsid w:val="00A24B8B"/>
    <w:rsid w:val="00A24E4C"/>
    <w:rsid w:val="00A25976"/>
    <w:rsid w:val="00A25C15"/>
    <w:rsid w:val="00A26E04"/>
    <w:rsid w:val="00A27AEC"/>
    <w:rsid w:val="00A30900"/>
    <w:rsid w:val="00A30FED"/>
    <w:rsid w:val="00A31209"/>
    <w:rsid w:val="00A320DB"/>
    <w:rsid w:val="00A326D3"/>
    <w:rsid w:val="00A32D76"/>
    <w:rsid w:val="00A331D8"/>
    <w:rsid w:val="00A33A06"/>
    <w:rsid w:val="00A34D8E"/>
    <w:rsid w:val="00A34E7D"/>
    <w:rsid w:val="00A35CCD"/>
    <w:rsid w:val="00A35D16"/>
    <w:rsid w:val="00A36292"/>
    <w:rsid w:val="00A3657E"/>
    <w:rsid w:val="00A369BB"/>
    <w:rsid w:val="00A36AA8"/>
    <w:rsid w:val="00A37BCD"/>
    <w:rsid w:val="00A4022A"/>
    <w:rsid w:val="00A40381"/>
    <w:rsid w:val="00A40CC3"/>
    <w:rsid w:val="00A40E60"/>
    <w:rsid w:val="00A41689"/>
    <w:rsid w:val="00A42592"/>
    <w:rsid w:val="00A42A64"/>
    <w:rsid w:val="00A42F3F"/>
    <w:rsid w:val="00A439F5"/>
    <w:rsid w:val="00A43C21"/>
    <w:rsid w:val="00A43C59"/>
    <w:rsid w:val="00A43FAD"/>
    <w:rsid w:val="00A44605"/>
    <w:rsid w:val="00A4582D"/>
    <w:rsid w:val="00A45DED"/>
    <w:rsid w:val="00A46029"/>
    <w:rsid w:val="00A50548"/>
    <w:rsid w:val="00A508DA"/>
    <w:rsid w:val="00A50ECD"/>
    <w:rsid w:val="00A51408"/>
    <w:rsid w:val="00A518F3"/>
    <w:rsid w:val="00A52729"/>
    <w:rsid w:val="00A5334B"/>
    <w:rsid w:val="00A53675"/>
    <w:rsid w:val="00A54B95"/>
    <w:rsid w:val="00A55456"/>
    <w:rsid w:val="00A556D4"/>
    <w:rsid w:val="00A55811"/>
    <w:rsid w:val="00A564D7"/>
    <w:rsid w:val="00A56B6A"/>
    <w:rsid w:val="00A56BE8"/>
    <w:rsid w:val="00A578DC"/>
    <w:rsid w:val="00A617C9"/>
    <w:rsid w:val="00A62D7A"/>
    <w:rsid w:val="00A640E2"/>
    <w:rsid w:val="00A64D65"/>
    <w:rsid w:val="00A6692F"/>
    <w:rsid w:val="00A669FB"/>
    <w:rsid w:val="00A6725B"/>
    <w:rsid w:val="00A701BD"/>
    <w:rsid w:val="00A70605"/>
    <w:rsid w:val="00A707BD"/>
    <w:rsid w:val="00A726C3"/>
    <w:rsid w:val="00A72F4B"/>
    <w:rsid w:val="00A73134"/>
    <w:rsid w:val="00A7365A"/>
    <w:rsid w:val="00A73666"/>
    <w:rsid w:val="00A73D9D"/>
    <w:rsid w:val="00A757A2"/>
    <w:rsid w:val="00A76001"/>
    <w:rsid w:val="00A7669D"/>
    <w:rsid w:val="00A777B2"/>
    <w:rsid w:val="00A811F6"/>
    <w:rsid w:val="00A81B4E"/>
    <w:rsid w:val="00A824DC"/>
    <w:rsid w:val="00A825D4"/>
    <w:rsid w:val="00A828F6"/>
    <w:rsid w:val="00A82B73"/>
    <w:rsid w:val="00A83496"/>
    <w:rsid w:val="00A836EE"/>
    <w:rsid w:val="00A8405D"/>
    <w:rsid w:val="00A84B74"/>
    <w:rsid w:val="00A852A8"/>
    <w:rsid w:val="00A86453"/>
    <w:rsid w:val="00A86E8B"/>
    <w:rsid w:val="00A87164"/>
    <w:rsid w:val="00A8767D"/>
    <w:rsid w:val="00A87C8C"/>
    <w:rsid w:val="00A87D4F"/>
    <w:rsid w:val="00A93072"/>
    <w:rsid w:val="00A9338A"/>
    <w:rsid w:val="00A938BD"/>
    <w:rsid w:val="00A93953"/>
    <w:rsid w:val="00A959D8"/>
    <w:rsid w:val="00A96A96"/>
    <w:rsid w:val="00A9734D"/>
    <w:rsid w:val="00A97C99"/>
    <w:rsid w:val="00A97DDB"/>
    <w:rsid w:val="00AA0918"/>
    <w:rsid w:val="00AA113D"/>
    <w:rsid w:val="00AA15A6"/>
    <w:rsid w:val="00AA48F0"/>
    <w:rsid w:val="00AA4B73"/>
    <w:rsid w:val="00AA5BD7"/>
    <w:rsid w:val="00AA6B2D"/>
    <w:rsid w:val="00AA6BD5"/>
    <w:rsid w:val="00AA6BD8"/>
    <w:rsid w:val="00AA6C7D"/>
    <w:rsid w:val="00AA7383"/>
    <w:rsid w:val="00AA7849"/>
    <w:rsid w:val="00AA7C4D"/>
    <w:rsid w:val="00AA7FD6"/>
    <w:rsid w:val="00AB042A"/>
    <w:rsid w:val="00AB11AD"/>
    <w:rsid w:val="00AB126B"/>
    <w:rsid w:val="00AB19EF"/>
    <w:rsid w:val="00AB2495"/>
    <w:rsid w:val="00AB2D34"/>
    <w:rsid w:val="00AB309D"/>
    <w:rsid w:val="00AB3121"/>
    <w:rsid w:val="00AB3430"/>
    <w:rsid w:val="00AB37B9"/>
    <w:rsid w:val="00AB390A"/>
    <w:rsid w:val="00AB3B0C"/>
    <w:rsid w:val="00AB3FAE"/>
    <w:rsid w:val="00AB4AD1"/>
    <w:rsid w:val="00AB50BD"/>
    <w:rsid w:val="00AB575C"/>
    <w:rsid w:val="00AB5E07"/>
    <w:rsid w:val="00AB73EB"/>
    <w:rsid w:val="00AB780C"/>
    <w:rsid w:val="00AB7CFA"/>
    <w:rsid w:val="00AC098B"/>
    <w:rsid w:val="00AC2298"/>
    <w:rsid w:val="00AC2317"/>
    <w:rsid w:val="00AC23C8"/>
    <w:rsid w:val="00AC4B5F"/>
    <w:rsid w:val="00AC539E"/>
    <w:rsid w:val="00AC5B42"/>
    <w:rsid w:val="00AC5B48"/>
    <w:rsid w:val="00AC5CF8"/>
    <w:rsid w:val="00AC6388"/>
    <w:rsid w:val="00AD066D"/>
    <w:rsid w:val="00AD1450"/>
    <w:rsid w:val="00AD1453"/>
    <w:rsid w:val="00AD15E8"/>
    <w:rsid w:val="00AD284C"/>
    <w:rsid w:val="00AD316E"/>
    <w:rsid w:val="00AD356D"/>
    <w:rsid w:val="00AD4303"/>
    <w:rsid w:val="00AD5C70"/>
    <w:rsid w:val="00AD6340"/>
    <w:rsid w:val="00AD6502"/>
    <w:rsid w:val="00AE046F"/>
    <w:rsid w:val="00AE0695"/>
    <w:rsid w:val="00AE0E9E"/>
    <w:rsid w:val="00AE19A0"/>
    <w:rsid w:val="00AE3E7E"/>
    <w:rsid w:val="00AE4B3A"/>
    <w:rsid w:val="00AE62B8"/>
    <w:rsid w:val="00AE6853"/>
    <w:rsid w:val="00AE77FD"/>
    <w:rsid w:val="00AE7E53"/>
    <w:rsid w:val="00AF1315"/>
    <w:rsid w:val="00AF19BF"/>
    <w:rsid w:val="00AF2534"/>
    <w:rsid w:val="00AF25C2"/>
    <w:rsid w:val="00AF27B0"/>
    <w:rsid w:val="00AF2DC3"/>
    <w:rsid w:val="00AF3A15"/>
    <w:rsid w:val="00AF4B02"/>
    <w:rsid w:val="00AF570E"/>
    <w:rsid w:val="00AF6F5D"/>
    <w:rsid w:val="00B0153E"/>
    <w:rsid w:val="00B022E9"/>
    <w:rsid w:val="00B033E5"/>
    <w:rsid w:val="00B03A63"/>
    <w:rsid w:val="00B06B22"/>
    <w:rsid w:val="00B07425"/>
    <w:rsid w:val="00B07BCB"/>
    <w:rsid w:val="00B118A3"/>
    <w:rsid w:val="00B129A4"/>
    <w:rsid w:val="00B15D90"/>
    <w:rsid w:val="00B16BBD"/>
    <w:rsid w:val="00B17FB3"/>
    <w:rsid w:val="00B201A4"/>
    <w:rsid w:val="00B201D1"/>
    <w:rsid w:val="00B20B73"/>
    <w:rsid w:val="00B20C63"/>
    <w:rsid w:val="00B213A6"/>
    <w:rsid w:val="00B21FDC"/>
    <w:rsid w:val="00B235B0"/>
    <w:rsid w:val="00B240CD"/>
    <w:rsid w:val="00B24DF6"/>
    <w:rsid w:val="00B27845"/>
    <w:rsid w:val="00B27A61"/>
    <w:rsid w:val="00B27BB6"/>
    <w:rsid w:val="00B31BA7"/>
    <w:rsid w:val="00B3398C"/>
    <w:rsid w:val="00B33D9A"/>
    <w:rsid w:val="00B33E6A"/>
    <w:rsid w:val="00B3428B"/>
    <w:rsid w:val="00B3439E"/>
    <w:rsid w:val="00B34B9E"/>
    <w:rsid w:val="00B34FE2"/>
    <w:rsid w:val="00B35166"/>
    <w:rsid w:val="00B357D8"/>
    <w:rsid w:val="00B35D8A"/>
    <w:rsid w:val="00B360F4"/>
    <w:rsid w:val="00B3666D"/>
    <w:rsid w:val="00B36A00"/>
    <w:rsid w:val="00B36DF5"/>
    <w:rsid w:val="00B37185"/>
    <w:rsid w:val="00B3792B"/>
    <w:rsid w:val="00B37BFC"/>
    <w:rsid w:val="00B40358"/>
    <w:rsid w:val="00B41614"/>
    <w:rsid w:val="00B42851"/>
    <w:rsid w:val="00B42F80"/>
    <w:rsid w:val="00B435CB"/>
    <w:rsid w:val="00B44EDB"/>
    <w:rsid w:val="00B456B1"/>
    <w:rsid w:val="00B45B68"/>
    <w:rsid w:val="00B46025"/>
    <w:rsid w:val="00B465EC"/>
    <w:rsid w:val="00B475D2"/>
    <w:rsid w:val="00B47BBD"/>
    <w:rsid w:val="00B47C9F"/>
    <w:rsid w:val="00B505C8"/>
    <w:rsid w:val="00B50DB8"/>
    <w:rsid w:val="00B5187C"/>
    <w:rsid w:val="00B518B0"/>
    <w:rsid w:val="00B52A4D"/>
    <w:rsid w:val="00B53654"/>
    <w:rsid w:val="00B53905"/>
    <w:rsid w:val="00B53DDC"/>
    <w:rsid w:val="00B546DB"/>
    <w:rsid w:val="00B54924"/>
    <w:rsid w:val="00B54B5B"/>
    <w:rsid w:val="00B54E0C"/>
    <w:rsid w:val="00B5562E"/>
    <w:rsid w:val="00B55862"/>
    <w:rsid w:val="00B55D65"/>
    <w:rsid w:val="00B56305"/>
    <w:rsid w:val="00B56D7B"/>
    <w:rsid w:val="00B57000"/>
    <w:rsid w:val="00B5747E"/>
    <w:rsid w:val="00B57FEC"/>
    <w:rsid w:val="00B607B1"/>
    <w:rsid w:val="00B60939"/>
    <w:rsid w:val="00B60A1C"/>
    <w:rsid w:val="00B60AFD"/>
    <w:rsid w:val="00B61D26"/>
    <w:rsid w:val="00B61EF3"/>
    <w:rsid w:val="00B62715"/>
    <w:rsid w:val="00B627B7"/>
    <w:rsid w:val="00B63065"/>
    <w:rsid w:val="00B6357C"/>
    <w:rsid w:val="00B63D7F"/>
    <w:rsid w:val="00B65611"/>
    <w:rsid w:val="00B66206"/>
    <w:rsid w:val="00B66F1B"/>
    <w:rsid w:val="00B70E8E"/>
    <w:rsid w:val="00B7178D"/>
    <w:rsid w:val="00B729F1"/>
    <w:rsid w:val="00B7364F"/>
    <w:rsid w:val="00B73669"/>
    <w:rsid w:val="00B741FE"/>
    <w:rsid w:val="00B75B2C"/>
    <w:rsid w:val="00B76C92"/>
    <w:rsid w:val="00B77433"/>
    <w:rsid w:val="00B774B1"/>
    <w:rsid w:val="00B77AE6"/>
    <w:rsid w:val="00B801FA"/>
    <w:rsid w:val="00B80B79"/>
    <w:rsid w:val="00B80EFD"/>
    <w:rsid w:val="00B8149D"/>
    <w:rsid w:val="00B818A4"/>
    <w:rsid w:val="00B831AF"/>
    <w:rsid w:val="00B83739"/>
    <w:rsid w:val="00B83E30"/>
    <w:rsid w:val="00B83E6E"/>
    <w:rsid w:val="00B84117"/>
    <w:rsid w:val="00B8487E"/>
    <w:rsid w:val="00B858F0"/>
    <w:rsid w:val="00B85AA2"/>
    <w:rsid w:val="00B8649C"/>
    <w:rsid w:val="00B86550"/>
    <w:rsid w:val="00B8695D"/>
    <w:rsid w:val="00B86AEE"/>
    <w:rsid w:val="00B86E9D"/>
    <w:rsid w:val="00B86EBD"/>
    <w:rsid w:val="00B871D9"/>
    <w:rsid w:val="00B872EA"/>
    <w:rsid w:val="00B87F0A"/>
    <w:rsid w:val="00B916E9"/>
    <w:rsid w:val="00B91A61"/>
    <w:rsid w:val="00B92D0B"/>
    <w:rsid w:val="00B92F9B"/>
    <w:rsid w:val="00B94740"/>
    <w:rsid w:val="00B94945"/>
    <w:rsid w:val="00B94C4A"/>
    <w:rsid w:val="00B94DD6"/>
    <w:rsid w:val="00B97768"/>
    <w:rsid w:val="00B97F6A"/>
    <w:rsid w:val="00BA0144"/>
    <w:rsid w:val="00BA0E62"/>
    <w:rsid w:val="00BA3030"/>
    <w:rsid w:val="00BA322D"/>
    <w:rsid w:val="00BA47A9"/>
    <w:rsid w:val="00BA4DA1"/>
    <w:rsid w:val="00BA60DC"/>
    <w:rsid w:val="00BA63FA"/>
    <w:rsid w:val="00BA689E"/>
    <w:rsid w:val="00BA71FE"/>
    <w:rsid w:val="00BA72F8"/>
    <w:rsid w:val="00BA7D90"/>
    <w:rsid w:val="00BB00B3"/>
    <w:rsid w:val="00BB07B6"/>
    <w:rsid w:val="00BB0AA9"/>
    <w:rsid w:val="00BB0BDD"/>
    <w:rsid w:val="00BB0CC8"/>
    <w:rsid w:val="00BB12F9"/>
    <w:rsid w:val="00BB176C"/>
    <w:rsid w:val="00BB1BA0"/>
    <w:rsid w:val="00BB2A73"/>
    <w:rsid w:val="00BB3A45"/>
    <w:rsid w:val="00BB3EE0"/>
    <w:rsid w:val="00BB4ACC"/>
    <w:rsid w:val="00BB550E"/>
    <w:rsid w:val="00BB5973"/>
    <w:rsid w:val="00BB5D10"/>
    <w:rsid w:val="00BB6DD9"/>
    <w:rsid w:val="00BB703E"/>
    <w:rsid w:val="00BB732D"/>
    <w:rsid w:val="00BB7405"/>
    <w:rsid w:val="00BB7A70"/>
    <w:rsid w:val="00BC2602"/>
    <w:rsid w:val="00BC3631"/>
    <w:rsid w:val="00BC591F"/>
    <w:rsid w:val="00BC7579"/>
    <w:rsid w:val="00BC793C"/>
    <w:rsid w:val="00BC7D6D"/>
    <w:rsid w:val="00BD02EF"/>
    <w:rsid w:val="00BD2108"/>
    <w:rsid w:val="00BD2D9B"/>
    <w:rsid w:val="00BD30BC"/>
    <w:rsid w:val="00BD36AE"/>
    <w:rsid w:val="00BD3EEA"/>
    <w:rsid w:val="00BD4F7C"/>
    <w:rsid w:val="00BD5193"/>
    <w:rsid w:val="00BD5A9C"/>
    <w:rsid w:val="00BD6058"/>
    <w:rsid w:val="00BD68A3"/>
    <w:rsid w:val="00BD6938"/>
    <w:rsid w:val="00BD6CE9"/>
    <w:rsid w:val="00BD6CF3"/>
    <w:rsid w:val="00BD6EB8"/>
    <w:rsid w:val="00BD7E9A"/>
    <w:rsid w:val="00BD7F72"/>
    <w:rsid w:val="00BE011D"/>
    <w:rsid w:val="00BE01C4"/>
    <w:rsid w:val="00BE0ECA"/>
    <w:rsid w:val="00BE1F44"/>
    <w:rsid w:val="00BE2180"/>
    <w:rsid w:val="00BE21F2"/>
    <w:rsid w:val="00BE2987"/>
    <w:rsid w:val="00BE2BBE"/>
    <w:rsid w:val="00BE4275"/>
    <w:rsid w:val="00BE4286"/>
    <w:rsid w:val="00BE46F7"/>
    <w:rsid w:val="00BE4BC4"/>
    <w:rsid w:val="00BE54A7"/>
    <w:rsid w:val="00BE5EA4"/>
    <w:rsid w:val="00BE64F4"/>
    <w:rsid w:val="00BE66A6"/>
    <w:rsid w:val="00BF06AE"/>
    <w:rsid w:val="00BF0F95"/>
    <w:rsid w:val="00BF1984"/>
    <w:rsid w:val="00BF1DD4"/>
    <w:rsid w:val="00BF1DD6"/>
    <w:rsid w:val="00BF2433"/>
    <w:rsid w:val="00BF249F"/>
    <w:rsid w:val="00BF2E6E"/>
    <w:rsid w:val="00BF3647"/>
    <w:rsid w:val="00BF41F6"/>
    <w:rsid w:val="00BF61C9"/>
    <w:rsid w:val="00BF6C94"/>
    <w:rsid w:val="00BF6EE1"/>
    <w:rsid w:val="00BF79B9"/>
    <w:rsid w:val="00BF7B10"/>
    <w:rsid w:val="00C00424"/>
    <w:rsid w:val="00C00BB0"/>
    <w:rsid w:val="00C00D32"/>
    <w:rsid w:val="00C0127F"/>
    <w:rsid w:val="00C028B5"/>
    <w:rsid w:val="00C05093"/>
    <w:rsid w:val="00C055A4"/>
    <w:rsid w:val="00C060FA"/>
    <w:rsid w:val="00C06393"/>
    <w:rsid w:val="00C07C2E"/>
    <w:rsid w:val="00C07EC4"/>
    <w:rsid w:val="00C10A56"/>
    <w:rsid w:val="00C10CD5"/>
    <w:rsid w:val="00C1179F"/>
    <w:rsid w:val="00C11A31"/>
    <w:rsid w:val="00C127B9"/>
    <w:rsid w:val="00C128FA"/>
    <w:rsid w:val="00C12C14"/>
    <w:rsid w:val="00C14E31"/>
    <w:rsid w:val="00C15F04"/>
    <w:rsid w:val="00C177BC"/>
    <w:rsid w:val="00C179B3"/>
    <w:rsid w:val="00C17E3F"/>
    <w:rsid w:val="00C200AA"/>
    <w:rsid w:val="00C203B8"/>
    <w:rsid w:val="00C237ED"/>
    <w:rsid w:val="00C238FF"/>
    <w:rsid w:val="00C24632"/>
    <w:rsid w:val="00C25418"/>
    <w:rsid w:val="00C25D9C"/>
    <w:rsid w:val="00C26C49"/>
    <w:rsid w:val="00C27454"/>
    <w:rsid w:val="00C275D7"/>
    <w:rsid w:val="00C2778B"/>
    <w:rsid w:val="00C3051F"/>
    <w:rsid w:val="00C312F7"/>
    <w:rsid w:val="00C31499"/>
    <w:rsid w:val="00C31649"/>
    <w:rsid w:val="00C326A9"/>
    <w:rsid w:val="00C33058"/>
    <w:rsid w:val="00C342C8"/>
    <w:rsid w:val="00C3434C"/>
    <w:rsid w:val="00C34FAC"/>
    <w:rsid w:val="00C351D4"/>
    <w:rsid w:val="00C35ADA"/>
    <w:rsid w:val="00C36836"/>
    <w:rsid w:val="00C37D04"/>
    <w:rsid w:val="00C40385"/>
    <w:rsid w:val="00C406FE"/>
    <w:rsid w:val="00C41292"/>
    <w:rsid w:val="00C41768"/>
    <w:rsid w:val="00C41935"/>
    <w:rsid w:val="00C4200B"/>
    <w:rsid w:val="00C429D8"/>
    <w:rsid w:val="00C43D63"/>
    <w:rsid w:val="00C43F53"/>
    <w:rsid w:val="00C442D2"/>
    <w:rsid w:val="00C45870"/>
    <w:rsid w:val="00C459F7"/>
    <w:rsid w:val="00C475AA"/>
    <w:rsid w:val="00C47D35"/>
    <w:rsid w:val="00C47DA7"/>
    <w:rsid w:val="00C517E8"/>
    <w:rsid w:val="00C51D7E"/>
    <w:rsid w:val="00C523F2"/>
    <w:rsid w:val="00C527C7"/>
    <w:rsid w:val="00C53C98"/>
    <w:rsid w:val="00C5412C"/>
    <w:rsid w:val="00C544AF"/>
    <w:rsid w:val="00C555CE"/>
    <w:rsid w:val="00C56242"/>
    <w:rsid w:val="00C56FCF"/>
    <w:rsid w:val="00C575DA"/>
    <w:rsid w:val="00C57B6C"/>
    <w:rsid w:val="00C57E80"/>
    <w:rsid w:val="00C61A59"/>
    <w:rsid w:val="00C62521"/>
    <w:rsid w:val="00C6286F"/>
    <w:rsid w:val="00C628A6"/>
    <w:rsid w:val="00C62C15"/>
    <w:rsid w:val="00C63693"/>
    <w:rsid w:val="00C63825"/>
    <w:rsid w:val="00C64344"/>
    <w:rsid w:val="00C64707"/>
    <w:rsid w:val="00C647EA"/>
    <w:rsid w:val="00C65108"/>
    <w:rsid w:val="00C65576"/>
    <w:rsid w:val="00C6594E"/>
    <w:rsid w:val="00C66165"/>
    <w:rsid w:val="00C6713C"/>
    <w:rsid w:val="00C674D7"/>
    <w:rsid w:val="00C67776"/>
    <w:rsid w:val="00C7060A"/>
    <w:rsid w:val="00C709AA"/>
    <w:rsid w:val="00C7151A"/>
    <w:rsid w:val="00C717E3"/>
    <w:rsid w:val="00C71CD9"/>
    <w:rsid w:val="00C71F60"/>
    <w:rsid w:val="00C72241"/>
    <w:rsid w:val="00C725FF"/>
    <w:rsid w:val="00C72670"/>
    <w:rsid w:val="00C73175"/>
    <w:rsid w:val="00C74B90"/>
    <w:rsid w:val="00C74DA4"/>
    <w:rsid w:val="00C750C8"/>
    <w:rsid w:val="00C75513"/>
    <w:rsid w:val="00C7560F"/>
    <w:rsid w:val="00C76903"/>
    <w:rsid w:val="00C77E6C"/>
    <w:rsid w:val="00C80A0E"/>
    <w:rsid w:val="00C80BEB"/>
    <w:rsid w:val="00C811B1"/>
    <w:rsid w:val="00C8213F"/>
    <w:rsid w:val="00C82BCF"/>
    <w:rsid w:val="00C82DCF"/>
    <w:rsid w:val="00C8303F"/>
    <w:rsid w:val="00C83546"/>
    <w:rsid w:val="00C83F3E"/>
    <w:rsid w:val="00C85154"/>
    <w:rsid w:val="00C85A70"/>
    <w:rsid w:val="00C86B0B"/>
    <w:rsid w:val="00C86C47"/>
    <w:rsid w:val="00C8797A"/>
    <w:rsid w:val="00C900B8"/>
    <w:rsid w:val="00C90197"/>
    <w:rsid w:val="00C90C71"/>
    <w:rsid w:val="00C9115A"/>
    <w:rsid w:val="00C91FD1"/>
    <w:rsid w:val="00C92093"/>
    <w:rsid w:val="00C92AEA"/>
    <w:rsid w:val="00C92B6D"/>
    <w:rsid w:val="00C931CF"/>
    <w:rsid w:val="00C9387E"/>
    <w:rsid w:val="00C938CF"/>
    <w:rsid w:val="00C93EDC"/>
    <w:rsid w:val="00C94053"/>
    <w:rsid w:val="00C9459C"/>
    <w:rsid w:val="00C9624D"/>
    <w:rsid w:val="00C9692D"/>
    <w:rsid w:val="00C969DA"/>
    <w:rsid w:val="00C96A2C"/>
    <w:rsid w:val="00C97CD6"/>
    <w:rsid w:val="00C97D54"/>
    <w:rsid w:val="00C97F30"/>
    <w:rsid w:val="00CA0208"/>
    <w:rsid w:val="00CA040A"/>
    <w:rsid w:val="00CA1CF4"/>
    <w:rsid w:val="00CA28B9"/>
    <w:rsid w:val="00CA2C77"/>
    <w:rsid w:val="00CA34C5"/>
    <w:rsid w:val="00CA444F"/>
    <w:rsid w:val="00CA5245"/>
    <w:rsid w:val="00CA5740"/>
    <w:rsid w:val="00CA626D"/>
    <w:rsid w:val="00CA71F4"/>
    <w:rsid w:val="00CA7326"/>
    <w:rsid w:val="00CA778C"/>
    <w:rsid w:val="00CA7B09"/>
    <w:rsid w:val="00CB0082"/>
    <w:rsid w:val="00CB12A5"/>
    <w:rsid w:val="00CB1CAC"/>
    <w:rsid w:val="00CB2F2A"/>
    <w:rsid w:val="00CB41C5"/>
    <w:rsid w:val="00CB52C0"/>
    <w:rsid w:val="00CB5B1A"/>
    <w:rsid w:val="00CB6843"/>
    <w:rsid w:val="00CB6B22"/>
    <w:rsid w:val="00CB7F5F"/>
    <w:rsid w:val="00CC0BD5"/>
    <w:rsid w:val="00CC0DB0"/>
    <w:rsid w:val="00CC0FB9"/>
    <w:rsid w:val="00CC1B39"/>
    <w:rsid w:val="00CC1BFA"/>
    <w:rsid w:val="00CC2426"/>
    <w:rsid w:val="00CC2E9F"/>
    <w:rsid w:val="00CC35EA"/>
    <w:rsid w:val="00CC3848"/>
    <w:rsid w:val="00CC5539"/>
    <w:rsid w:val="00CC58B8"/>
    <w:rsid w:val="00CC6D5E"/>
    <w:rsid w:val="00CD0200"/>
    <w:rsid w:val="00CD0A2E"/>
    <w:rsid w:val="00CD0B29"/>
    <w:rsid w:val="00CD2015"/>
    <w:rsid w:val="00CD3F40"/>
    <w:rsid w:val="00CD3F77"/>
    <w:rsid w:val="00CD4335"/>
    <w:rsid w:val="00CD5102"/>
    <w:rsid w:val="00CD5F87"/>
    <w:rsid w:val="00CD62C9"/>
    <w:rsid w:val="00CD6ADC"/>
    <w:rsid w:val="00CD6CB0"/>
    <w:rsid w:val="00CD7193"/>
    <w:rsid w:val="00CD780D"/>
    <w:rsid w:val="00CD7D8F"/>
    <w:rsid w:val="00CD7F0B"/>
    <w:rsid w:val="00CE2D0E"/>
    <w:rsid w:val="00CE38C8"/>
    <w:rsid w:val="00CE4F0D"/>
    <w:rsid w:val="00CE524F"/>
    <w:rsid w:val="00CE5471"/>
    <w:rsid w:val="00CE58CC"/>
    <w:rsid w:val="00CE6274"/>
    <w:rsid w:val="00CE6445"/>
    <w:rsid w:val="00CE6D1B"/>
    <w:rsid w:val="00CE77B6"/>
    <w:rsid w:val="00CE7D15"/>
    <w:rsid w:val="00CF1512"/>
    <w:rsid w:val="00CF2B8D"/>
    <w:rsid w:val="00CF304A"/>
    <w:rsid w:val="00CF38D8"/>
    <w:rsid w:val="00CF3A1B"/>
    <w:rsid w:val="00CF3B72"/>
    <w:rsid w:val="00CF3DAD"/>
    <w:rsid w:val="00CF42D5"/>
    <w:rsid w:val="00CF456B"/>
    <w:rsid w:val="00CF4A19"/>
    <w:rsid w:val="00CF5A22"/>
    <w:rsid w:val="00CF6DC0"/>
    <w:rsid w:val="00CF7171"/>
    <w:rsid w:val="00D0262E"/>
    <w:rsid w:val="00D026DC"/>
    <w:rsid w:val="00D03679"/>
    <w:rsid w:val="00D03812"/>
    <w:rsid w:val="00D03BB1"/>
    <w:rsid w:val="00D046D4"/>
    <w:rsid w:val="00D05E3D"/>
    <w:rsid w:val="00D06139"/>
    <w:rsid w:val="00D063ED"/>
    <w:rsid w:val="00D06563"/>
    <w:rsid w:val="00D110BD"/>
    <w:rsid w:val="00D11251"/>
    <w:rsid w:val="00D11DB4"/>
    <w:rsid w:val="00D12DC1"/>
    <w:rsid w:val="00D1338A"/>
    <w:rsid w:val="00D13675"/>
    <w:rsid w:val="00D141E1"/>
    <w:rsid w:val="00D145C3"/>
    <w:rsid w:val="00D15314"/>
    <w:rsid w:val="00D15B48"/>
    <w:rsid w:val="00D17D6C"/>
    <w:rsid w:val="00D20459"/>
    <w:rsid w:val="00D20D1D"/>
    <w:rsid w:val="00D20F78"/>
    <w:rsid w:val="00D211A4"/>
    <w:rsid w:val="00D212DE"/>
    <w:rsid w:val="00D2155B"/>
    <w:rsid w:val="00D22DF1"/>
    <w:rsid w:val="00D2306D"/>
    <w:rsid w:val="00D236CD"/>
    <w:rsid w:val="00D23D11"/>
    <w:rsid w:val="00D240D3"/>
    <w:rsid w:val="00D244B6"/>
    <w:rsid w:val="00D25349"/>
    <w:rsid w:val="00D26BFA"/>
    <w:rsid w:val="00D2754D"/>
    <w:rsid w:val="00D27B16"/>
    <w:rsid w:val="00D27B27"/>
    <w:rsid w:val="00D30D5B"/>
    <w:rsid w:val="00D31EDC"/>
    <w:rsid w:val="00D3224F"/>
    <w:rsid w:val="00D326B4"/>
    <w:rsid w:val="00D33619"/>
    <w:rsid w:val="00D33BE9"/>
    <w:rsid w:val="00D33F93"/>
    <w:rsid w:val="00D34276"/>
    <w:rsid w:val="00D3455A"/>
    <w:rsid w:val="00D35552"/>
    <w:rsid w:val="00D357FF"/>
    <w:rsid w:val="00D36167"/>
    <w:rsid w:val="00D3692E"/>
    <w:rsid w:val="00D3798B"/>
    <w:rsid w:val="00D406BF"/>
    <w:rsid w:val="00D40AF0"/>
    <w:rsid w:val="00D424C7"/>
    <w:rsid w:val="00D439CA"/>
    <w:rsid w:val="00D43B2A"/>
    <w:rsid w:val="00D43CF1"/>
    <w:rsid w:val="00D43D83"/>
    <w:rsid w:val="00D453F9"/>
    <w:rsid w:val="00D45C5A"/>
    <w:rsid w:val="00D47575"/>
    <w:rsid w:val="00D475A7"/>
    <w:rsid w:val="00D479BD"/>
    <w:rsid w:val="00D47FD5"/>
    <w:rsid w:val="00D5075A"/>
    <w:rsid w:val="00D5243B"/>
    <w:rsid w:val="00D533EC"/>
    <w:rsid w:val="00D5375F"/>
    <w:rsid w:val="00D53FA2"/>
    <w:rsid w:val="00D551DF"/>
    <w:rsid w:val="00D5594E"/>
    <w:rsid w:val="00D56761"/>
    <w:rsid w:val="00D56A25"/>
    <w:rsid w:val="00D56A95"/>
    <w:rsid w:val="00D60086"/>
    <w:rsid w:val="00D6076E"/>
    <w:rsid w:val="00D61604"/>
    <w:rsid w:val="00D62CDF"/>
    <w:rsid w:val="00D63F20"/>
    <w:rsid w:val="00D66156"/>
    <w:rsid w:val="00D66833"/>
    <w:rsid w:val="00D66F92"/>
    <w:rsid w:val="00D66FB2"/>
    <w:rsid w:val="00D675CC"/>
    <w:rsid w:val="00D67A01"/>
    <w:rsid w:val="00D707DA"/>
    <w:rsid w:val="00D70B3C"/>
    <w:rsid w:val="00D70F16"/>
    <w:rsid w:val="00D72617"/>
    <w:rsid w:val="00D72F57"/>
    <w:rsid w:val="00D72FC3"/>
    <w:rsid w:val="00D73638"/>
    <w:rsid w:val="00D752AB"/>
    <w:rsid w:val="00D753A7"/>
    <w:rsid w:val="00D769DE"/>
    <w:rsid w:val="00D76A44"/>
    <w:rsid w:val="00D81575"/>
    <w:rsid w:val="00D815EF"/>
    <w:rsid w:val="00D81949"/>
    <w:rsid w:val="00D81F26"/>
    <w:rsid w:val="00D822E2"/>
    <w:rsid w:val="00D83762"/>
    <w:rsid w:val="00D83DEF"/>
    <w:rsid w:val="00D843F2"/>
    <w:rsid w:val="00D84834"/>
    <w:rsid w:val="00D86231"/>
    <w:rsid w:val="00D86A8F"/>
    <w:rsid w:val="00D912AB"/>
    <w:rsid w:val="00D91923"/>
    <w:rsid w:val="00D91D2D"/>
    <w:rsid w:val="00D92DF2"/>
    <w:rsid w:val="00D93753"/>
    <w:rsid w:val="00D9453D"/>
    <w:rsid w:val="00D94A3C"/>
    <w:rsid w:val="00D964B2"/>
    <w:rsid w:val="00DA016B"/>
    <w:rsid w:val="00DA1FCA"/>
    <w:rsid w:val="00DA3167"/>
    <w:rsid w:val="00DA347D"/>
    <w:rsid w:val="00DA473E"/>
    <w:rsid w:val="00DA4DC3"/>
    <w:rsid w:val="00DA5298"/>
    <w:rsid w:val="00DA69D5"/>
    <w:rsid w:val="00DA6C72"/>
    <w:rsid w:val="00DA77A5"/>
    <w:rsid w:val="00DA7CA5"/>
    <w:rsid w:val="00DB0E36"/>
    <w:rsid w:val="00DB2B52"/>
    <w:rsid w:val="00DB3097"/>
    <w:rsid w:val="00DB3DBF"/>
    <w:rsid w:val="00DB472D"/>
    <w:rsid w:val="00DB484F"/>
    <w:rsid w:val="00DB6A22"/>
    <w:rsid w:val="00DB6DD8"/>
    <w:rsid w:val="00DB6F1A"/>
    <w:rsid w:val="00DB7241"/>
    <w:rsid w:val="00DC04F6"/>
    <w:rsid w:val="00DC0690"/>
    <w:rsid w:val="00DC09F6"/>
    <w:rsid w:val="00DC0B28"/>
    <w:rsid w:val="00DC1D65"/>
    <w:rsid w:val="00DC25AA"/>
    <w:rsid w:val="00DC2FFF"/>
    <w:rsid w:val="00DC32D9"/>
    <w:rsid w:val="00DC3C57"/>
    <w:rsid w:val="00DC4260"/>
    <w:rsid w:val="00DC5501"/>
    <w:rsid w:val="00DC5DE4"/>
    <w:rsid w:val="00DC61EB"/>
    <w:rsid w:val="00DC7154"/>
    <w:rsid w:val="00DC7E8A"/>
    <w:rsid w:val="00DD02AB"/>
    <w:rsid w:val="00DD0408"/>
    <w:rsid w:val="00DD07E6"/>
    <w:rsid w:val="00DD0F78"/>
    <w:rsid w:val="00DD1336"/>
    <w:rsid w:val="00DD24B3"/>
    <w:rsid w:val="00DD273C"/>
    <w:rsid w:val="00DD3D9C"/>
    <w:rsid w:val="00DD3F28"/>
    <w:rsid w:val="00DD3F8D"/>
    <w:rsid w:val="00DD4446"/>
    <w:rsid w:val="00DD4537"/>
    <w:rsid w:val="00DD4E15"/>
    <w:rsid w:val="00DD5D99"/>
    <w:rsid w:val="00DD6BE5"/>
    <w:rsid w:val="00DD7112"/>
    <w:rsid w:val="00DD7992"/>
    <w:rsid w:val="00DD7B2C"/>
    <w:rsid w:val="00DD7C06"/>
    <w:rsid w:val="00DE039B"/>
    <w:rsid w:val="00DE0EFB"/>
    <w:rsid w:val="00DE1C25"/>
    <w:rsid w:val="00DE206B"/>
    <w:rsid w:val="00DE2304"/>
    <w:rsid w:val="00DE2425"/>
    <w:rsid w:val="00DE263B"/>
    <w:rsid w:val="00DE265D"/>
    <w:rsid w:val="00DE3138"/>
    <w:rsid w:val="00DE37F8"/>
    <w:rsid w:val="00DE4273"/>
    <w:rsid w:val="00DE4FCB"/>
    <w:rsid w:val="00DE5847"/>
    <w:rsid w:val="00DE5D07"/>
    <w:rsid w:val="00DE5E62"/>
    <w:rsid w:val="00DE61E6"/>
    <w:rsid w:val="00DE6522"/>
    <w:rsid w:val="00DE6B1D"/>
    <w:rsid w:val="00DE72A7"/>
    <w:rsid w:val="00DE7832"/>
    <w:rsid w:val="00DF18FC"/>
    <w:rsid w:val="00DF1EF7"/>
    <w:rsid w:val="00DF2BB6"/>
    <w:rsid w:val="00DF2D6A"/>
    <w:rsid w:val="00DF3315"/>
    <w:rsid w:val="00DF4057"/>
    <w:rsid w:val="00DF5D2B"/>
    <w:rsid w:val="00DF5EF1"/>
    <w:rsid w:val="00DF6341"/>
    <w:rsid w:val="00DF6727"/>
    <w:rsid w:val="00DF6FBB"/>
    <w:rsid w:val="00E00591"/>
    <w:rsid w:val="00E00E8E"/>
    <w:rsid w:val="00E030B8"/>
    <w:rsid w:val="00E0319C"/>
    <w:rsid w:val="00E03723"/>
    <w:rsid w:val="00E05630"/>
    <w:rsid w:val="00E05A90"/>
    <w:rsid w:val="00E05B4C"/>
    <w:rsid w:val="00E06DBB"/>
    <w:rsid w:val="00E07601"/>
    <w:rsid w:val="00E10149"/>
    <w:rsid w:val="00E1085C"/>
    <w:rsid w:val="00E11340"/>
    <w:rsid w:val="00E122A1"/>
    <w:rsid w:val="00E140EE"/>
    <w:rsid w:val="00E14CAD"/>
    <w:rsid w:val="00E15027"/>
    <w:rsid w:val="00E156E9"/>
    <w:rsid w:val="00E16372"/>
    <w:rsid w:val="00E1684D"/>
    <w:rsid w:val="00E16AD8"/>
    <w:rsid w:val="00E16B57"/>
    <w:rsid w:val="00E170BF"/>
    <w:rsid w:val="00E17640"/>
    <w:rsid w:val="00E17FFA"/>
    <w:rsid w:val="00E20442"/>
    <w:rsid w:val="00E20E4D"/>
    <w:rsid w:val="00E20ED6"/>
    <w:rsid w:val="00E21358"/>
    <w:rsid w:val="00E2161D"/>
    <w:rsid w:val="00E21B00"/>
    <w:rsid w:val="00E223CB"/>
    <w:rsid w:val="00E2249B"/>
    <w:rsid w:val="00E22573"/>
    <w:rsid w:val="00E2285F"/>
    <w:rsid w:val="00E22A0D"/>
    <w:rsid w:val="00E232B6"/>
    <w:rsid w:val="00E233D6"/>
    <w:rsid w:val="00E244F6"/>
    <w:rsid w:val="00E25207"/>
    <w:rsid w:val="00E2581D"/>
    <w:rsid w:val="00E258DB"/>
    <w:rsid w:val="00E26C46"/>
    <w:rsid w:val="00E2771E"/>
    <w:rsid w:val="00E27B0B"/>
    <w:rsid w:val="00E311EF"/>
    <w:rsid w:val="00E31E41"/>
    <w:rsid w:val="00E32180"/>
    <w:rsid w:val="00E32210"/>
    <w:rsid w:val="00E32A6E"/>
    <w:rsid w:val="00E34948"/>
    <w:rsid w:val="00E3566B"/>
    <w:rsid w:val="00E36514"/>
    <w:rsid w:val="00E3660D"/>
    <w:rsid w:val="00E36E3E"/>
    <w:rsid w:val="00E37569"/>
    <w:rsid w:val="00E37D1E"/>
    <w:rsid w:val="00E401B2"/>
    <w:rsid w:val="00E4068A"/>
    <w:rsid w:val="00E40E09"/>
    <w:rsid w:val="00E4107C"/>
    <w:rsid w:val="00E41A4B"/>
    <w:rsid w:val="00E41E30"/>
    <w:rsid w:val="00E42F73"/>
    <w:rsid w:val="00E43D70"/>
    <w:rsid w:val="00E45818"/>
    <w:rsid w:val="00E45B50"/>
    <w:rsid w:val="00E466F3"/>
    <w:rsid w:val="00E46838"/>
    <w:rsid w:val="00E47B2C"/>
    <w:rsid w:val="00E47D9C"/>
    <w:rsid w:val="00E51560"/>
    <w:rsid w:val="00E51821"/>
    <w:rsid w:val="00E52743"/>
    <w:rsid w:val="00E52DFE"/>
    <w:rsid w:val="00E53FC8"/>
    <w:rsid w:val="00E54347"/>
    <w:rsid w:val="00E5442C"/>
    <w:rsid w:val="00E54D75"/>
    <w:rsid w:val="00E55424"/>
    <w:rsid w:val="00E558A9"/>
    <w:rsid w:val="00E55915"/>
    <w:rsid w:val="00E55BB5"/>
    <w:rsid w:val="00E565E4"/>
    <w:rsid w:val="00E611DF"/>
    <w:rsid w:val="00E62273"/>
    <w:rsid w:val="00E63417"/>
    <w:rsid w:val="00E63703"/>
    <w:rsid w:val="00E63FCB"/>
    <w:rsid w:val="00E64676"/>
    <w:rsid w:val="00E64C94"/>
    <w:rsid w:val="00E6502D"/>
    <w:rsid w:val="00E6514F"/>
    <w:rsid w:val="00E65987"/>
    <w:rsid w:val="00E65E79"/>
    <w:rsid w:val="00E6660D"/>
    <w:rsid w:val="00E66857"/>
    <w:rsid w:val="00E6692A"/>
    <w:rsid w:val="00E66BA2"/>
    <w:rsid w:val="00E66E13"/>
    <w:rsid w:val="00E67277"/>
    <w:rsid w:val="00E672A1"/>
    <w:rsid w:val="00E67380"/>
    <w:rsid w:val="00E67416"/>
    <w:rsid w:val="00E70619"/>
    <w:rsid w:val="00E71460"/>
    <w:rsid w:val="00E718B6"/>
    <w:rsid w:val="00E71D28"/>
    <w:rsid w:val="00E723BA"/>
    <w:rsid w:val="00E726AE"/>
    <w:rsid w:val="00E72E9A"/>
    <w:rsid w:val="00E73581"/>
    <w:rsid w:val="00E73D83"/>
    <w:rsid w:val="00E74793"/>
    <w:rsid w:val="00E758E8"/>
    <w:rsid w:val="00E75EB9"/>
    <w:rsid w:val="00E762DB"/>
    <w:rsid w:val="00E76D9E"/>
    <w:rsid w:val="00E771FD"/>
    <w:rsid w:val="00E829E6"/>
    <w:rsid w:val="00E82E5E"/>
    <w:rsid w:val="00E833F7"/>
    <w:rsid w:val="00E83BDF"/>
    <w:rsid w:val="00E84B08"/>
    <w:rsid w:val="00E84C35"/>
    <w:rsid w:val="00E858EA"/>
    <w:rsid w:val="00E86FCC"/>
    <w:rsid w:val="00E87A1D"/>
    <w:rsid w:val="00E87C9A"/>
    <w:rsid w:val="00E9094A"/>
    <w:rsid w:val="00E90953"/>
    <w:rsid w:val="00E90EDF"/>
    <w:rsid w:val="00E914CC"/>
    <w:rsid w:val="00E91840"/>
    <w:rsid w:val="00E91B53"/>
    <w:rsid w:val="00E91D35"/>
    <w:rsid w:val="00E91F40"/>
    <w:rsid w:val="00E9224C"/>
    <w:rsid w:val="00E926A5"/>
    <w:rsid w:val="00E929C0"/>
    <w:rsid w:val="00E94327"/>
    <w:rsid w:val="00E94442"/>
    <w:rsid w:val="00E95474"/>
    <w:rsid w:val="00E95CC6"/>
    <w:rsid w:val="00E962CC"/>
    <w:rsid w:val="00E971F7"/>
    <w:rsid w:val="00E97240"/>
    <w:rsid w:val="00E9767B"/>
    <w:rsid w:val="00E97F05"/>
    <w:rsid w:val="00EA0D9E"/>
    <w:rsid w:val="00EA0FD9"/>
    <w:rsid w:val="00EA17C3"/>
    <w:rsid w:val="00EA2151"/>
    <w:rsid w:val="00EA2942"/>
    <w:rsid w:val="00EA2CAA"/>
    <w:rsid w:val="00EA3864"/>
    <w:rsid w:val="00EA4149"/>
    <w:rsid w:val="00EA7F1C"/>
    <w:rsid w:val="00EB1270"/>
    <w:rsid w:val="00EB13F7"/>
    <w:rsid w:val="00EB1570"/>
    <w:rsid w:val="00EB15B6"/>
    <w:rsid w:val="00EB1B17"/>
    <w:rsid w:val="00EB247D"/>
    <w:rsid w:val="00EB2FAA"/>
    <w:rsid w:val="00EB3573"/>
    <w:rsid w:val="00EB3D06"/>
    <w:rsid w:val="00EB43D3"/>
    <w:rsid w:val="00EB4916"/>
    <w:rsid w:val="00EB4A48"/>
    <w:rsid w:val="00EB7CEC"/>
    <w:rsid w:val="00EC00C9"/>
    <w:rsid w:val="00EC08D5"/>
    <w:rsid w:val="00EC0DD9"/>
    <w:rsid w:val="00EC1253"/>
    <w:rsid w:val="00EC13CD"/>
    <w:rsid w:val="00EC1866"/>
    <w:rsid w:val="00EC1FD5"/>
    <w:rsid w:val="00EC2649"/>
    <w:rsid w:val="00EC2C41"/>
    <w:rsid w:val="00EC31ED"/>
    <w:rsid w:val="00EC4A34"/>
    <w:rsid w:val="00EC5836"/>
    <w:rsid w:val="00EC5A82"/>
    <w:rsid w:val="00EC688C"/>
    <w:rsid w:val="00EC6F28"/>
    <w:rsid w:val="00EC72D2"/>
    <w:rsid w:val="00ED046A"/>
    <w:rsid w:val="00ED12E3"/>
    <w:rsid w:val="00ED1544"/>
    <w:rsid w:val="00ED192D"/>
    <w:rsid w:val="00ED1A07"/>
    <w:rsid w:val="00ED272A"/>
    <w:rsid w:val="00ED385E"/>
    <w:rsid w:val="00ED4536"/>
    <w:rsid w:val="00ED48FB"/>
    <w:rsid w:val="00ED4B04"/>
    <w:rsid w:val="00ED50CE"/>
    <w:rsid w:val="00ED57EA"/>
    <w:rsid w:val="00ED5BD4"/>
    <w:rsid w:val="00ED7332"/>
    <w:rsid w:val="00ED75A1"/>
    <w:rsid w:val="00ED75C0"/>
    <w:rsid w:val="00EE07D3"/>
    <w:rsid w:val="00EE0A0E"/>
    <w:rsid w:val="00EE0F7C"/>
    <w:rsid w:val="00EE1038"/>
    <w:rsid w:val="00EE1996"/>
    <w:rsid w:val="00EE1C01"/>
    <w:rsid w:val="00EE22AF"/>
    <w:rsid w:val="00EE25A5"/>
    <w:rsid w:val="00EE2C97"/>
    <w:rsid w:val="00EE2D90"/>
    <w:rsid w:val="00EE315E"/>
    <w:rsid w:val="00EE4FA7"/>
    <w:rsid w:val="00EF0171"/>
    <w:rsid w:val="00EF1784"/>
    <w:rsid w:val="00EF1B25"/>
    <w:rsid w:val="00EF1DA0"/>
    <w:rsid w:val="00EF2662"/>
    <w:rsid w:val="00EF2FB6"/>
    <w:rsid w:val="00EF4747"/>
    <w:rsid w:val="00EF4BF8"/>
    <w:rsid w:val="00EF59BF"/>
    <w:rsid w:val="00EF61AE"/>
    <w:rsid w:val="00EF6295"/>
    <w:rsid w:val="00EF6BD1"/>
    <w:rsid w:val="00EF6C7B"/>
    <w:rsid w:val="00EF70C2"/>
    <w:rsid w:val="00EF7879"/>
    <w:rsid w:val="00EF7A55"/>
    <w:rsid w:val="00F016CF"/>
    <w:rsid w:val="00F02253"/>
    <w:rsid w:val="00F02518"/>
    <w:rsid w:val="00F03C2E"/>
    <w:rsid w:val="00F046E0"/>
    <w:rsid w:val="00F04A66"/>
    <w:rsid w:val="00F04B4B"/>
    <w:rsid w:val="00F0516C"/>
    <w:rsid w:val="00F05A43"/>
    <w:rsid w:val="00F06161"/>
    <w:rsid w:val="00F062E0"/>
    <w:rsid w:val="00F067A2"/>
    <w:rsid w:val="00F06875"/>
    <w:rsid w:val="00F06A86"/>
    <w:rsid w:val="00F06AF4"/>
    <w:rsid w:val="00F075A9"/>
    <w:rsid w:val="00F07A1C"/>
    <w:rsid w:val="00F07B9E"/>
    <w:rsid w:val="00F10239"/>
    <w:rsid w:val="00F1116F"/>
    <w:rsid w:val="00F1263A"/>
    <w:rsid w:val="00F139C5"/>
    <w:rsid w:val="00F13E72"/>
    <w:rsid w:val="00F15B77"/>
    <w:rsid w:val="00F15CB4"/>
    <w:rsid w:val="00F20004"/>
    <w:rsid w:val="00F2018D"/>
    <w:rsid w:val="00F21173"/>
    <w:rsid w:val="00F21236"/>
    <w:rsid w:val="00F217A8"/>
    <w:rsid w:val="00F22350"/>
    <w:rsid w:val="00F229D9"/>
    <w:rsid w:val="00F24837"/>
    <w:rsid w:val="00F24F6E"/>
    <w:rsid w:val="00F251F2"/>
    <w:rsid w:val="00F2575F"/>
    <w:rsid w:val="00F26069"/>
    <w:rsid w:val="00F2638A"/>
    <w:rsid w:val="00F27565"/>
    <w:rsid w:val="00F275DD"/>
    <w:rsid w:val="00F30FBE"/>
    <w:rsid w:val="00F310D4"/>
    <w:rsid w:val="00F31ABD"/>
    <w:rsid w:val="00F31D5A"/>
    <w:rsid w:val="00F31D76"/>
    <w:rsid w:val="00F3258F"/>
    <w:rsid w:val="00F336AD"/>
    <w:rsid w:val="00F33883"/>
    <w:rsid w:val="00F33975"/>
    <w:rsid w:val="00F33DE9"/>
    <w:rsid w:val="00F3411C"/>
    <w:rsid w:val="00F34324"/>
    <w:rsid w:val="00F358C7"/>
    <w:rsid w:val="00F35E6D"/>
    <w:rsid w:val="00F3619A"/>
    <w:rsid w:val="00F3679C"/>
    <w:rsid w:val="00F36CB4"/>
    <w:rsid w:val="00F3785A"/>
    <w:rsid w:val="00F37995"/>
    <w:rsid w:val="00F401BF"/>
    <w:rsid w:val="00F4040C"/>
    <w:rsid w:val="00F40AAA"/>
    <w:rsid w:val="00F40BA7"/>
    <w:rsid w:val="00F40F9D"/>
    <w:rsid w:val="00F41ACD"/>
    <w:rsid w:val="00F43146"/>
    <w:rsid w:val="00F45D2A"/>
    <w:rsid w:val="00F46CB6"/>
    <w:rsid w:val="00F4756D"/>
    <w:rsid w:val="00F475C2"/>
    <w:rsid w:val="00F47DE8"/>
    <w:rsid w:val="00F501EA"/>
    <w:rsid w:val="00F510BA"/>
    <w:rsid w:val="00F51ACA"/>
    <w:rsid w:val="00F52F55"/>
    <w:rsid w:val="00F53496"/>
    <w:rsid w:val="00F53734"/>
    <w:rsid w:val="00F542C1"/>
    <w:rsid w:val="00F550E3"/>
    <w:rsid w:val="00F55E73"/>
    <w:rsid w:val="00F55EDA"/>
    <w:rsid w:val="00F5683F"/>
    <w:rsid w:val="00F56C80"/>
    <w:rsid w:val="00F571D4"/>
    <w:rsid w:val="00F60092"/>
    <w:rsid w:val="00F612F9"/>
    <w:rsid w:val="00F61C18"/>
    <w:rsid w:val="00F62582"/>
    <w:rsid w:val="00F632D5"/>
    <w:rsid w:val="00F63EAD"/>
    <w:rsid w:val="00F64247"/>
    <w:rsid w:val="00F64F1B"/>
    <w:rsid w:val="00F6535D"/>
    <w:rsid w:val="00F65402"/>
    <w:rsid w:val="00F65F4B"/>
    <w:rsid w:val="00F6750E"/>
    <w:rsid w:val="00F67A69"/>
    <w:rsid w:val="00F70BFF"/>
    <w:rsid w:val="00F70C9D"/>
    <w:rsid w:val="00F7185E"/>
    <w:rsid w:val="00F72625"/>
    <w:rsid w:val="00F72C19"/>
    <w:rsid w:val="00F73E08"/>
    <w:rsid w:val="00F73FF3"/>
    <w:rsid w:val="00F74CD9"/>
    <w:rsid w:val="00F75ADD"/>
    <w:rsid w:val="00F764BF"/>
    <w:rsid w:val="00F76E77"/>
    <w:rsid w:val="00F80A7B"/>
    <w:rsid w:val="00F80E5D"/>
    <w:rsid w:val="00F81E78"/>
    <w:rsid w:val="00F82B59"/>
    <w:rsid w:val="00F834DE"/>
    <w:rsid w:val="00F83916"/>
    <w:rsid w:val="00F83D94"/>
    <w:rsid w:val="00F84EF7"/>
    <w:rsid w:val="00F851CE"/>
    <w:rsid w:val="00F851FE"/>
    <w:rsid w:val="00F86EB4"/>
    <w:rsid w:val="00F872A8"/>
    <w:rsid w:val="00F873F8"/>
    <w:rsid w:val="00F87628"/>
    <w:rsid w:val="00F87734"/>
    <w:rsid w:val="00F91219"/>
    <w:rsid w:val="00F92444"/>
    <w:rsid w:val="00F92784"/>
    <w:rsid w:val="00F92ED0"/>
    <w:rsid w:val="00F93306"/>
    <w:rsid w:val="00F9393E"/>
    <w:rsid w:val="00F94CF4"/>
    <w:rsid w:val="00F95E37"/>
    <w:rsid w:val="00F96756"/>
    <w:rsid w:val="00F96B30"/>
    <w:rsid w:val="00F96D95"/>
    <w:rsid w:val="00F96F61"/>
    <w:rsid w:val="00F96FD0"/>
    <w:rsid w:val="00F97A78"/>
    <w:rsid w:val="00FA06EF"/>
    <w:rsid w:val="00FA0B20"/>
    <w:rsid w:val="00FA0E08"/>
    <w:rsid w:val="00FA12A1"/>
    <w:rsid w:val="00FA24E7"/>
    <w:rsid w:val="00FA37E1"/>
    <w:rsid w:val="00FA5EE6"/>
    <w:rsid w:val="00FA6630"/>
    <w:rsid w:val="00FA6AA7"/>
    <w:rsid w:val="00FA7956"/>
    <w:rsid w:val="00FB0824"/>
    <w:rsid w:val="00FB129A"/>
    <w:rsid w:val="00FB1A94"/>
    <w:rsid w:val="00FB2FCB"/>
    <w:rsid w:val="00FB3229"/>
    <w:rsid w:val="00FB3380"/>
    <w:rsid w:val="00FB3578"/>
    <w:rsid w:val="00FB4C9C"/>
    <w:rsid w:val="00FB64CE"/>
    <w:rsid w:val="00FB6C44"/>
    <w:rsid w:val="00FB7284"/>
    <w:rsid w:val="00FB7631"/>
    <w:rsid w:val="00FB7C09"/>
    <w:rsid w:val="00FB7C55"/>
    <w:rsid w:val="00FC0233"/>
    <w:rsid w:val="00FC04E8"/>
    <w:rsid w:val="00FC09B2"/>
    <w:rsid w:val="00FC0D4F"/>
    <w:rsid w:val="00FC1074"/>
    <w:rsid w:val="00FC109F"/>
    <w:rsid w:val="00FC1525"/>
    <w:rsid w:val="00FC1884"/>
    <w:rsid w:val="00FC1DF5"/>
    <w:rsid w:val="00FC22C1"/>
    <w:rsid w:val="00FC3279"/>
    <w:rsid w:val="00FC371D"/>
    <w:rsid w:val="00FC4667"/>
    <w:rsid w:val="00FC513E"/>
    <w:rsid w:val="00FC5F0B"/>
    <w:rsid w:val="00FC6333"/>
    <w:rsid w:val="00FC6A86"/>
    <w:rsid w:val="00FC6B16"/>
    <w:rsid w:val="00FC6E29"/>
    <w:rsid w:val="00FC6F85"/>
    <w:rsid w:val="00FC7EAA"/>
    <w:rsid w:val="00FD0ED4"/>
    <w:rsid w:val="00FD1102"/>
    <w:rsid w:val="00FD2100"/>
    <w:rsid w:val="00FD21D7"/>
    <w:rsid w:val="00FD257D"/>
    <w:rsid w:val="00FD3C53"/>
    <w:rsid w:val="00FD436C"/>
    <w:rsid w:val="00FD446D"/>
    <w:rsid w:val="00FD4F2C"/>
    <w:rsid w:val="00FD5741"/>
    <w:rsid w:val="00FD5E26"/>
    <w:rsid w:val="00FD6394"/>
    <w:rsid w:val="00FD7164"/>
    <w:rsid w:val="00FE0A49"/>
    <w:rsid w:val="00FE0E6C"/>
    <w:rsid w:val="00FE142D"/>
    <w:rsid w:val="00FE17AF"/>
    <w:rsid w:val="00FE1CDC"/>
    <w:rsid w:val="00FE28BE"/>
    <w:rsid w:val="00FE345C"/>
    <w:rsid w:val="00FE43F3"/>
    <w:rsid w:val="00FE5E80"/>
    <w:rsid w:val="00FE6E0A"/>
    <w:rsid w:val="00FE70C3"/>
    <w:rsid w:val="00FF02C4"/>
    <w:rsid w:val="00FF09B6"/>
    <w:rsid w:val="00FF1A8B"/>
    <w:rsid w:val="00FF2105"/>
    <w:rsid w:val="00FF2AD9"/>
    <w:rsid w:val="00FF359F"/>
    <w:rsid w:val="00FF3BCF"/>
    <w:rsid w:val="00FF3DCF"/>
    <w:rsid w:val="00FF462D"/>
    <w:rsid w:val="00FF492C"/>
    <w:rsid w:val="00FF4A21"/>
    <w:rsid w:val="00FF5A89"/>
    <w:rsid w:val="00FF5AA3"/>
    <w:rsid w:val="00FF5AD8"/>
    <w:rsid w:val="00FF600F"/>
    <w:rsid w:val="00FF666E"/>
    <w:rsid w:val="00FF6AB3"/>
    <w:rsid w:val="00FF7221"/>
    <w:rsid w:val="00FF78BA"/>
    <w:rsid w:val="00FF7A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2"/>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1"/>
    <w:next w:val="ListBullet2"/>
    <w:link w:val="ListParagraphChar"/>
    <w:uiPriority w:val="1"/>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1"/>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Page header"/>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Page header Char"/>
    <w:basedOn w:val="DefaultParagraphFont"/>
    <w:link w:val="Header"/>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Dossier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Verwijzing opmerking"/>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2306D"/>
    <w:pPr>
      <w:tabs>
        <w:tab w:val="left" w:pos="440"/>
        <w:tab w:val="right" w:leader="dot" w:pos="9016"/>
      </w:tabs>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36289A"/>
    <w:pPr>
      <w:tabs>
        <w:tab w:val="right" w:leader="dot" w:pos="9016"/>
      </w:tabs>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paragraph" w:customStyle="1" w:styleId="BodyText1">
    <w:name w:val="Body Text1"/>
    <w:basedOn w:val="Normal"/>
    <w:link w:val="BodytextChar0"/>
    <w:qFormat/>
    <w:rsid w:val="00564881"/>
    <w:pPr>
      <w:spacing w:after="120" w:line="276" w:lineRule="auto"/>
    </w:pPr>
    <w:rPr>
      <w:rFonts w:ascii="Arial" w:hAnsi="Arial" w:cs="Times New Roman"/>
      <w:sz w:val="22"/>
      <w:szCs w:val="22"/>
      <w:lang w:val="en-US" w:eastAsia="en-GB"/>
    </w:rPr>
  </w:style>
  <w:style w:type="character" w:customStyle="1" w:styleId="BodytextChar0">
    <w:name w:val="Body text Char"/>
    <w:link w:val="BodyText1"/>
    <w:rsid w:val="00564881"/>
    <w:rPr>
      <w:rFonts w:ascii="Arial" w:hAnsi="Arial"/>
      <w:sz w:val="22"/>
      <w:szCs w:val="22"/>
      <w:lang w:val="en-US" w:eastAsia="en-GB"/>
    </w:rPr>
  </w:style>
  <w:style w:type="paragraph" w:customStyle="1" w:styleId="Bodytextsinglespace">
    <w:name w:val="Body text +single space"/>
    <w:basedOn w:val="Normal"/>
    <w:link w:val="BodytextsinglespaceChar"/>
    <w:qFormat/>
    <w:rsid w:val="00564881"/>
    <w:pPr>
      <w:spacing w:after="120" w:line="276" w:lineRule="auto"/>
    </w:pPr>
    <w:rPr>
      <w:rFonts w:asciiTheme="minorHAnsi" w:hAnsiTheme="minorHAnsi" w:cs="Times New Roman"/>
      <w:sz w:val="22"/>
      <w:szCs w:val="22"/>
      <w:lang w:eastAsia="en-US"/>
    </w:rPr>
  </w:style>
  <w:style w:type="character" w:customStyle="1" w:styleId="BodytextsinglespaceChar">
    <w:name w:val="Body text +single space Char"/>
    <w:basedOn w:val="DefaultParagraphFont"/>
    <w:link w:val="Bodytextsinglespace"/>
    <w:rsid w:val="00564881"/>
    <w:rPr>
      <w:rFonts w:asciiTheme="minorHAnsi" w:hAnsiTheme="minorHAnsi"/>
      <w:sz w:val="22"/>
      <w:szCs w:val="22"/>
      <w:lang w:eastAsia="en-US"/>
    </w:rPr>
  </w:style>
  <w:style w:type="character" w:customStyle="1" w:styleId="V50InstructionsChar">
    <w:name w:val="V5.0 Instructions Char"/>
    <w:basedOn w:val="DefaultParagraphFont"/>
    <w:link w:val="V50Instructions"/>
    <w:locked/>
    <w:rsid w:val="003E242E"/>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rsid w:val="003E242E"/>
    <w:pPr>
      <w:spacing w:before="120" w:after="160"/>
      <w:jc w:val="left"/>
    </w:pPr>
    <w:rPr>
      <w:rFonts w:asciiTheme="minorHAnsi" w:eastAsiaTheme="minorHAnsi" w:hAnsiTheme="minorHAnsi" w:cstheme="minorBidi"/>
      <w:color w:val="4BACC6" w:themeColor="accent5"/>
      <w:szCs w:val="22"/>
      <w:lang w:eastAsia="en-US"/>
    </w:rPr>
  </w:style>
  <w:style w:type="paragraph" w:customStyle="1" w:styleId="Tablebullet">
    <w:name w:val="Table bullet"/>
    <w:uiPriority w:val="4"/>
    <w:rsid w:val="0081053E"/>
    <w:pPr>
      <w:numPr>
        <w:numId w:val="8"/>
      </w:numPr>
      <w:spacing w:before="40" w:after="60"/>
      <w:ind w:left="426" w:hanging="357"/>
    </w:pPr>
    <w:rPr>
      <w:rFonts w:ascii="Calibri" w:hAnsi="Calibri" w:cs="Calibri"/>
      <w:bCs/>
      <w:color w:val="000000"/>
      <w:sz w:val="16"/>
      <w:szCs w:val="26"/>
      <w:lang w:eastAsia="en-US"/>
    </w:rPr>
  </w:style>
  <w:style w:type="paragraph" w:customStyle="1" w:styleId="StyleTablebullet9pt">
    <w:name w:val="Style Table bullet + 9 pt"/>
    <w:basedOn w:val="Tablebullet"/>
    <w:rsid w:val="0081053E"/>
    <w:pPr>
      <w:ind w:left="473" w:hanging="360"/>
    </w:pPr>
    <w:rPr>
      <w:bCs w:val="0"/>
      <w:sz w:val="18"/>
    </w:rPr>
  </w:style>
  <w:style w:type="paragraph" w:customStyle="1" w:styleId="PbacTableHeading">
    <w:name w:val="Pbac Table Heading"/>
    <w:basedOn w:val="PBACTableText"/>
    <w:uiPriority w:val="1"/>
    <w:qFormat/>
    <w:rsid w:val="004F5953"/>
    <w:pPr>
      <w:spacing w:before="0" w:after="80"/>
    </w:pPr>
    <w:rPr>
      <w:rFonts w:eastAsiaTheme="minorHAnsi" w:cs="Arial"/>
      <w:b/>
    </w:rPr>
  </w:style>
  <w:style w:type="paragraph" w:customStyle="1" w:styleId="PBACTableText">
    <w:name w:val="PBAC Table Text"/>
    <w:basedOn w:val="Normal"/>
    <w:link w:val="PBACTableTextChar"/>
    <w:uiPriority w:val="1"/>
    <w:qFormat/>
    <w:rsid w:val="004F5953"/>
    <w:pPr>
      <w:spacing w:before="40" w:after="40" w:line="276" w:lineRule="auto"/>
    </w:pPr>
    <w:rPr>
      <w:rFonts w:ascii="Arial Narrow" w:hAnsi="Arial Narrow" w:cstheme="minorBidi"/>
      <w:sz w:val="20"/>
      <w:szCs w:val="20"/>
      <w:lang w:eastAsia="en-US"/>
    </w:rPr>
  </w:style>
  <w:style w:type="character" w:customStyle="1" w:styleId="PBACTableTextChar">
    <w:name w:val="PBAC Table Text Char"/>
    <w:basedOn w:val="DefaultParagraphFont"/>
    <w:link w:val="PBACTableText"/>
    <w:uiPriority w:val="1"/>
    <w:rsid w:val="004F5953"/>
    <w:rPr>
      <w:rFonts w:ascii="Arial Narrow" w:hAnsi="Arial Narrow" w:cstheme="minorBidi"/>
      <w:lang w:eastAsia="en-US"/>
    </w:rPr>
  </w:style>
  <w:style w:type="paragraph" w:customStyle="1" w:styleId="TableNotes">
    <w:name w:val="Table Notes"/>
    <w:basedOn w:val="Normal"/>
    <w:next w:val="Normal"/>
    <w:link w:val="TableNotesChar"/>
    <w:qFormat/>
    <w:rsid w:val="009879D6"/>
    <w:pPr>
      <w:spacing w:before="60" w:after="240" w:line="276" w:lineRule="auto"/>
      <w:contextualSpacing/>
    </w:pPr>
    <w:rPr>
      <w:rFonts w:ascii="Arial" w:hAnsi="Arial" w:cs="Times New Roman"/>
      <w:sz w:val="16"/>
      <w:szCs w:val="16"/>
      <w:lang w:val="en-US"/>
    </w:rPr>
  </w:style>
  <w:style w:type="character" w:styleId="FootnoteReference">
    <w:name w:val="footnote reference"/>
    <w:basedOn w:val="DefaultParagraphFont"/>
    <w:uiPriority w:val="99"/>
    <w:semiHidden/>
    <w:unhideWhenUsed/>
    <w:rsid w:val="00025009"/>
    <w:rPr>
      <w:vertAlign w:val="superscript"/>
    </w:rPr>
  </w:style>
  <w:style w:type="paragraph" w:styleId="FootnoteText">
    <w:name w:val="footnote text"/>
    <w:aliases w:val="Char"/>
    <w:basedOn w:val="Normal"/>
    <w:link w:val="FootnoteTextChar"/>
    <w:unhideWhenUsed/>
    <w:rsid w:val="00025009"/>
    <w:pPr>
      <w:spacing w:line="276" w:lineRule="auto"/>
    </w:pPr>
    <w:rPr>
      <w:rFonts w:ascii="Times New Roman" w:hAnsi="Times New Roman" w:cs="Times New Roman"/>
      <w:sz w:val="20"/>
      <w:szCs w:val="20"/>
      <w:lang w:eastAsia="en-US"/>
    </w:rPr>
  </w:style>
  <w:style w:type="character" w:customStyle="1" w:styleId="FootnoteTextChar">
    <w:name w:val="Footnote Text Char"/>
    <w:aliases w:val="Char Char"/>
    <w:basedOn w:val="DefaultParagraphFont"/>
    <w:link w:val="FootnoteText"/>
    <w:rsid w:val="00025009"/>
    <w:rPr>
      <w:lang w:eastAsia="en-US"/>
    </w:rPr>
  </w:style>
  <w:style w:type="character" w:customStyle="1" w:styleId="TableNotesChar">
    <w:name w:val="Table Notes Char"/>
    <w:basedOn w:val="DefaultParagraphFont"/>
    <w:link w:val="TableNotes"/>
    <w:locked/>
    <w:rsid w:val="008E0D83"/>
    <w:rPr>
      <w:rFonts w:ascii="Arial" w:hAnsi="Arial"/>
      <w:sz w:val="16"/>
      <w:szCs w:val="16"/>
      <w:lang w:val="en-US"/>
    </w:rPr>
  </w:style>
  <w:style w:type="table" w:customStyle="1" w:styleId="ASDTable1">
    <w:name w:val="ASD Table1"/>
    <w:basedOn w:val="TableNormal"/>
    <w:next w:val="TableGrid"/>
    <w:uiPriority w:val="39"/>
    <w:rsid w:val="004D3CA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566793"/>
    <w:pPr>
      <w:keepNext/>
      <w:spacing w:after="60"/>
      <w:jc w:val="left"/>
    </w:pPr>
    <w:rPr>
      <w:rFonts w:ascii="Arial Narrow" w:eastAsiaTheme="minorHAnsi" w:hAnsi="Arial Narrow" w:cstheme="minorBidi"/>
      <w:b/>
      <w:sz w:val="20"/>
      <w:szCs w:val="22"/>
      <w:lang w:eastAsia="en-US"/>
    </w:rPr>
  </w:style>
  <w:style w:type="paragraph" w:customStyle="1" w:styleId="Tableorfigurefootnote">
    <w:name w:val="Table or figure footnote"/>
    <w:next w:val="BodyText"/>
    <w:link w:val="TableorfigurefootnoteChar"/>
    <w:qFormat/>
    <w:rsid w:val="003E53CB"/>
    <w:rPr>
      <w:rFonts w:ascii="Arial" w:hAnsi="Arial"/>
      <w:sz w:val="16"/>
      <w:szCs w:val="22"/>
      <w:lang w:val="en-GB" w:eastAsia="en-GB"/>
    </w:rPr>
  </w:style>
  <w:style w:type="character" w:customStyle="1" w:styleId="TableorfigurefootnoteChar">
    <w:name w:val="Table or figure footnote Char"/>
    <w:link w:val="Tableorfigurefootnote"/>
    <w:rsid w:val="003E53CB"/>
    <w:rPr>
      <w:rFonts w:ascii="Arial" w:hAnsi="Arial"/>
      <w:sz w:val="16"/>
      <w:szCs w:val="22"/>
      <w:lang w:val="en-GB" w:eastAsia="en-GB"/>
    </w:rPr>
  </w:style>
  <w:style w:type="character" w:customStyle="1" w:styleId="Heading1Char">
    <w:name w:val="Heading 1 Char"/>
    <w:basedOn w:val="DefaultParagraphFont"/>
    <w:link w:val="Heading1"/>
    <w:uiPriority w:val="2"/>
    <w:rsid w:val="00ED046A"/>
    <w:rPr>
      <w:rFonts w:ascii="Calibri" w:hAnsi="Calibri" w:cs="Arial"/>
      <w:b/>
      <w:caps/>
      <w:sz w:val="32"/>
      <w:szCs w:val="24"/>
    </w:rPr>
  </w:style>
  <w:style w:type="numbering" w:customStyle="1" w:styleId="CurrentList1">
    <w:name w:val="Current List1"/>
    <w:uiPriority w:val="99"/>
    <w:rsid w:val="006014C3"/>
    <w:pPr>
      <w:numPr>
        <w:numId w:val="9"/>
      </w:numPr>
    </w:pPr>
  </w:style>
  <w:style w:type="character" w:customStyle="1" w:styleId="TableFooterSubChar">
    <w:name w:val="Table Footer Sub Char"/>
    <w:link w:val="TableFooterSub"/>
    <w:rsid w:val="00565457"/>
    <w:rPr>
      <w:rFonts w:ascii="Arial Narrow" w:hAnsi="Arial Narrow"/>
      <w:noProof/>
      <w:sz w:val="18"/>
      <w:szCs w:val="18"/>
    </w:rPr>
  </w:style>
  <w:style w:type="paragraph" w:customStyle="1" w:styleId="TableFooterSub">
    <w:name w:val="Table Footer Sub"/>
    <w:basedOn w:val="Normal"/>
    <w:link w:val="TableFooterSubChar"/>
    <w:qFormat/>
    <w:rsid w:val="00565457"/>
    <w:pPr>
      <w:keepNext/>
      <w:spacing w:line="276" w:lineRule="auto"/>
    </w:pPr>
    <w:rPr>
      <w:rFonts w:ascii="Arial Narrow" w:hAnsi="Arial Narrow" w:cs="Times New Roman"/>
      <w:noProof/>
      <w:sz w:val="18"/>
      <w:szCs w:val="18"/>
    </w:rPr>
  </w:style>
  <w:style w:type="character" w:customStyle="1" w:styleId="TableFigureFooterChar">
    <w:name w:val="Table/Figure Footer Char"/>
    <w:link w:val="TableFigureFooter"/>
    <w:locked/>
    <w:rsid w:val="00565457"/>
    <w:rPr>
      <w:rFonts w:ascii="Arial Narrow" w:hAnsi="Arial Narrow" w:cs="Arial"/>
      <w:sz w:val="18"/>
      <w:szCs w:val="22"/>
    </w:rPr>
  </w:style>
  <w:style w:type="paragraph" w:customStyle="1" w:styleId="TableFigureFooter">
    <w:name w:val="Table/Figure Footer"/>
    <w:basedOn w:val="Normal"/>
    <w:link w:val="TableFigureFooterChar"/>
    <w:qFormat/>
    <w:rsid w:val="00565457"/>
    <w:pPr>
      <w:snapToGrid w:val="0"/>
      <w:spacing w:after="120"/>
      <w:contextualSpacing/>
    </w:pPr>
    <w:rPr>
      <w:rFonts w:ascii="Arial Narrow" w:hAnsi="Arial Narrow"/>
      <w:sz w:val="18"/>
      <w:szCs w:val="22"/>
    </w:rPr>
  </w:style>
  <w:style w:type="paragraph" w:customStyle="1" w:styleId="pf0">
    <w:name w:val="pf0"/>
    <w:basedOn w:val="Normal"/>
    <w:rsid w:val="00565457"/>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565457"/>
    <w:rPr>
      <w:rFonts w:ascii="Segoe UI" w:hAnsi="Segoe UI" w:cs="Segoe UI" w:hint="default"/>
      <w:sz w:val="18"/>
      <w:szCs w:val="18"/>
      <w:shd w:val="clear" w:color="auto" w:fill="00FF00"/>
    </w:rPr>
  </w:style>
  <w:style w:type="table" w:customStyle="1" w:styleId="ASDTable2">
    <w:name w:val="ASD Table2"/>
    <w:basedOn w:val="TableNormal"/>
    <w:next w:val="TableGrid"/>
    <w:rsid w:val="003149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314955"/>
    <w:rPr>
      <w:rFonts w:ascii="Segoe UI" w:hAnsi="Segoe UI" w:cs="Segoe UI" w:hint="default"/>
      <w:sz w:val="18"/>
      <w:szCs w:val="18"/>
    </w:rPr>
  </w:style>
  <w:style w:type="character" w:customStyle="1" w:styleId="NoSpacingChar">
    <w:name w:val="No Spacing Char"/>
    <w:aliases w:val="PBAC Table Footnote Char"/>
    <w:basedOn w:val="DefaultParagraphFont"/>
    <w:link w:val="NoSpacing"/>
    <w:uiPriority w:val="1"/>
    <w:locked/>
    <w:rsid w:val="00CB0082"/>
    <w:rPr>
      <w:rFonts w:ascii="Arial" w:hAnsi="Arial" w:cs="Arial"/>
      <w:snapToGrid w:val="0"/>
      <w:sz w:val="22"/>
      <w:lang w:eastAsia="en-US"/>
    </w:rPr>
  </w:style>
  <w:style w:type="paragraph" w:styleId="ListBullet2">
    <w:name w:val="List Bullet 2"/>
    <w:basedOn w:val="Normal"/>
    <w:unhideWhenUsed/>
    <w:rsid w:val="006769FA"/>
    <w:pPr>
      <w:numPr>
        <w:numId w:val="10"/>
      </w:numPr>
      <w:contextualSpacing/>
    </w:pPr>
  </w:style>
  <w:style w:type="paragraph" w:customStyle="1" w:styleId="5-SubSubSubHead">
    <w:name w:val="5-Sub Sub Sub Head"/>
    <w:basedOn w:val="Heading4"/>
    <w:qFormat/>
    <w:rsid w:val="00016BA6"/>
  </w:style>
  <w:style w:type="paragraph" w:customStyle="1" w:styleId="3-SubsectionHeading">
    <w:name w:val="3-Subsection Heading"/>
    <w:basedOn w:val="Heading2"/>
    <w:next w:val="Normal"/>
    <w:link w:val="3-SubsectionHeadingChar"/>
    <w:qFormat/>
    <w:rsid w:val="0062203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2203B"/>
    <w:rPr>
      <w:rFonts w:asciiTheme="minorHAnsi" w:eastAsiaTheme="majorEastAsia" w:hAnsiTheme="minorHAnsi" w:cstheme="majorBidi"/>
      <w:b/>
      <w:i/>
      <w:snapToGrid/>
      <w:spacing w:val="5"/>
      <w:kern w:val="28"/>
      <w:sz w:val="28"/>
      <w:szCs w:val="36"/>
      <w:lang w:eastAsia="en-US"/>
    </w:rPr>
  </w:style>
  <w:style w:type="paragraph" w:customStyle="1" w:styleId="BulletPBAC">
    <w:name w:val="BulletPBAC"/>
    <w:basedOn w:val="3-BodyText"/>
    <w:link w:val="BulletPBACChar"/>
    <w:qFormat/>
    <w:rsid w:val="001876B8"/>
    <w:pPr>
      <w:numPr>
        <w:numId w:val="11"/>
      </w:numPr>
      <w:ind w:left="993" w:hanging="219"/>
    </w:pPr>
  </w:style>
  <w:style w:type="character" w:customStyle="1" w:styleId="BulletPBACChar">
    <w:name w:val="BulletPBAC Char"/>
    <w:basedOn w:val="3-BodyTextChar"/>
    <w:link w:val="BulletPBAC"/>
    <w:rsid w:val="001876B8"/>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317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893382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9918205">
      <w:bodyDiv w:val="1"/>
      <w:marLeft w:val="0"/>
      <w:marRight w:val="0"/>
      <w:marTop w:val="0"/>
      <w:marBottom w:val="0"/>
      <w:divBdr>
        <w:top w:val="none" w:sz="0" w:space="0" w:color="auto"/>
        <w:left w:val="none" w:sz="0" w:space="0" w:color="auto"/>
        <w:bottom w:val="none" w:sz="0" w:space="0" w:color="auto"/>
        <w:right w:val="none" w:sz="0" w:space="0" w:color="auto"/>
      </w:divBdr>
    </w:div>
    <w:div w:id="360978114">
      <w:bodyDiv w:val="1"/>
      <w:marLeft w:val="0"/>
      <w:marRight w:val="0"/>
      <w:marTop w:val="0"/>
      <w:marBottom w:val="0"/>
      <w:divBdr>
        <w:top w:val="none" w:sz="0" w:space="0" w:color="auto"/>
        <w:left w:val="none" w:sz="0" w:space="0" w:color="auto"/>
        <w:bottom w:val="none" w:sz="0" w:space="0" w:color="auto"/>
        <w:right w:val="none" w:sz="0" w:space="0" w:color="auto"/>
      </w:divBdr>
    </w:div>
    <w:div w:id="397555524">
      <w:bodyDiv w:val="1"/>
      <w:marLeft w:val="0"/>
      <w:marRight w:val="0"/>
      <w:marTop w:val="0"/>
      <w:marBottom w:val="0"/>
      <w:divBdr>
        <w:top w:val="none" w:sz="0" w:space="0" w:color="auto"/>
        <w:left w:val="none" w:sz="0" w:space="0" w:color="auto"/>
        <w:bottom w:val="none" w:sz="0" w:space="0" w:color="auto"/>
        <w:right w:val="none" w:sz="0" w:space="0" w:color="auto"/>
      </w:divBdr>
    </w:div>
    <w:div w:id="724137395">
      <w:bodyDiv w:val="1"/>
      <w:marLeft w:val="0"/>
      <w:marRight w:val="0"/>
      <w:marTop w:val="0"/>
      <w:marBottom w:val="0"/>
      <w:divBdr>
        <w:top w:val="none" w:sz="0" w:space="0" w:color="auto"/>
        <w:left w:val="none" w:sz="0" w:space="0" w:color="auto"/>
        <w:bottom w:val="none" w:sz="0" w:space="0" w:color="auto"/>
        <w:right w:val="none" w:sz="0" w:space="0" w:color="auto"/>
      </w:divBdr>
    </w:div>
    <w:div w:id="741174468">
      <w:bodyDiv w:val="1"/>
      <w:marLeft w:val="0"/>
      <w:marRight w:val="0"/>
      <w:marTop w:val="0"/>
      <w:marBottom w:val="0"/>
      <w:divBdr>
        <w:top w:val="none" w:sz="0" w:space="0" w:color="auto"/>
        <w:left w:val="none" w:sz="0" w:space="0" w:color="auto"/>
        <w:bottom w:val="none" w:sz="0" w:space="0" w:color="auto"/>
        <w:right w:val="none" w:sz="0" w:space="0" w:color="auto"/>
      </w:divBdr>
    </w:div>
    <w:div w:id="767775154">
      <w:bodyDiv w:val="1"/>
      <w:marLeft w:val="0"/>
      <w:marRight w:val="0"/>
      <w:marTop w:val="0"/>
      <w:marBottom w:val="0"/>
      <w:divBdr>
        <w:top w:val="none" w:sz="0" w:space="0" w:color="auto"/>
        <w:left w:val="none" w:sz="0" w:space="0" w:color="auto"/>
        <w:bottom w:val="none" w:sz="0" w:space="0" w:color="auto"/>
        <w:right w:val="none" w:sz="0" w:space="0" w:color="auto"/>
      </w:divBdr>
    </w:div>
    <w:div w:id="82779486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1503710">
      <w:bodyDiv w:val="1"/>
      <w:marLeft w:val="0"/>
      <w:marRight w:val="0"/>
      <w:marTop w:val="0"/>
      <w:marBottom w:val="0"/>
      <w:divBdr>
        <w:top w:val="none" w:sz="0" w:space="0" w:color="auto"/>
        <w:left w:val="none" w:sz="0" w:space="0" w:color="auto"/>
        <w:bottom w:val="none" w:sz="0" w:space="0" w:color="auto"/>
        <w:right w:val="none" w:sz="0" w:space="0" w:color="auto"/>
      </w:divBdr>
    </w:div>
    <w:div w:id="1006978131">
      <w:bodyDiv w:val="1"/>
      <w:marLeft w:val="0"/>
      <w:marRight w:val="0"/>
      <w:marTop w:val="0"/>
      <w:marBottom w:val="0"/>
      <w:divBdr>
        <w:top w:val="none" w:sz="0" w:space="0" w:color="auto"/>
        <w:left w:val="none" w:sz="0" w:space="0" w:color="auto"/>
        <w:bottom w:val="none" w:sz="0" w:space="0" w:color="auto"/>
        <w:right w:val="none" w:sz="0" w:space="0" w:color="auto"/>
      </w:divBdr>
    </w:div>
    <w:div w:id="1008405374">
      <w:bodyDiv w:val="1"/>
      <w:marLeft w:val="0"/>
      <w:marRight w:val="0"/>
      <w:marTop w:val="0"/>
      <w:marBottom w:val="0"/>
      <w:divBdr>
        <w:top w:val="none" w:sz="0" w:space="0" w:color="auto"/>
        <w:left w:val="none" w:sz="0" w:space="0" w:color="auto"/>
        <w:bottom w:val="none" w:sz="0" w:space="0" w:color="auto"/>
        <w:right w:val="none" w:sz="0" w:space="0" w:color="auto"/>
      </w:divBdr>
    </w:div>
    <w:div w:id="1113327470">
      <w:bodyDiv w:val="1"/>
      <w:marLeft w:val="0"/>
      <w:marRight w:val="0"/>
      <w:marTop w:val="0"/>
      <w:marBottom w:val="0"/>
      <w:divBdr>
        <w:top w:val="none" w:sz="0" w:space="0" w:color="auto"/>
        <w:left w:val="none" w:sz="0" w:space="0" w:color="auto"/>
        <w:bottom w:val="none" w:sz="0" w:space="0" w:color="auto"/>
        <w:right w:val="none" w:sz="0" w:space="0" w:color="auto"/>
      </w:divBdr>
    </w:div>
    <w:div w:id="11431609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86975873">
      <w:bodyDiv w:val="1"/>
      <w:marLeft w:val="0"/>
      <w:marRight w:val="0"/>
      <w:marTop w:val="0"/>
      <w:marBottom w:val="0"/>
      <w:divBdr>
        <w:top w:val="none" w:sz="0" w:space="0" w:color="auto"/>
        <w:left w:val="none" w:sz="0" w:space="0" w:color="auto"/>
        <w:bottom w:val="none" w:sz="0" w:space="0" w:color="auto"/>
        <w:right w:val="none" w:sz="0" w:space="0" w:color="auto"/>
      </w:divBdr>
    </w:div>
    <w:div w:id="189615899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6134325">
      <w:bodyDiv w:val="1"/>
      <w:marLeft w:val="0"/>
      <w:marRight w:val="0"/>
      <w:marTop w:val="0"/>
      <w:marBottom w:val="0"/>
      <w:divBdr>
        <w:top w:val="none" w:sz="0" w:space="0" w:color="auto"/>
        <w:left w:val="none" w:sz="0" w:space="0" w:color="auto"/>
        <w:bottom w:val="none" w:sz="0" w:space="0" w:color="auto"/>
        <w:right w:val="none" w:sz="0" w:space="0" w:color="auto"/>
      </w:divBdr>
    </w:div>
    <w:div w:id="21152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16805</Words>
  <Characters>88124</Characters>
  <Application>Microsoft Office Word</Application>
  <DocSecurity>0</DocSecurity>
  <Lines>734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2023-10-24T05:26:00Z</dcterms:created>
  <dcterms:modified xsi:type="dcterms:W3CDTF">2023-10-24T05:26:00Z</dcterms:modified>
</cp:coreProperties>
</file>